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84C39">
      <w:pPr>
        <w:rPr>
          <w:rFonts w:hint="eastAsia" w:ascii="宋体" w:hAnsi="宋体" w:cs="宋体"/>
          <w:b/>
          <w:sz w:val="36"/>
          <w:szCs w:val="36"/>
          <w:highlight w:val="none"/>
        </w:rPr>
      </w:pPr>
    </w:p>
    <w:p w14:paraId="6DEC1C15">
      <w:pPr>
        <w:pStyle w:val="8"/>
        <w:ind w:firstLine="0"/>
        <w:rPr>
          <w:rFonts w:hint="eastAsia" w:ascii="宋体" w:hAnsi="宋体" w:cs="宋体"/>
          <w:b/>
          <w:sz w:val="56"/>
          <w:szCs w:val="56"/>
          <w:highlight w:val="none"/>
        </w:rPr>
      </w:pPr>
    </w:p>
    <w:p w14:paraId="3A838AB3">
      <w:pPr>
        <w:spacing w:line="360" w:lineRule="auto"/>
        <w:jc w:val="center"/>
        <w:rPr>
          <w:rFonts w:hint="eastAsia" w:ascii="宋体" w:hAnsi="宋体" w:cs="宋体"/>
          <w:b/>
          <w:sz w:val="52"/>
          <w:szCs w:val="52"/>
          <w:highlight w:val="none"/>
          <w:lang w:eastAsia="zh-CN"/>
        </w:rPr>
      </w:pPr>
      <w:r>
        <w:rPr>
          <w:rFonts w:hint="eastAsia" w:ascii="宋体" w:hAnsi="宋体" w:cs="宋体"/>
          <w:b/>
          <w:sz w:val="52"/>
          <w:szCs w:val="52"/>
          <w:highlight w:val="none"/>
          <w:lang w:eastAsia="zh-CN"/>
        </w:rPr>
        <w:t>气象服务保障经费</w:t>
      </w:r>
    </w:p>
    <w:p w14:paraId="423047A9">
      <w:pPr>
        <w:jc w:val="both"/>
        <w:rPr>
          <w:rFonts w:hint="eastAsia" w:ascii="宋体" w:hAnsi="宋体" w:eastAsia="宋体" w:cs="宋体"/>
          <w:b/>
          <w:sz w:val="56"/>
          <w:szCs w:val="56"/>
          <w:highlight w:val="none"/>
          <w:lang w:eastAsia="zh-CN"/>
        </w:rPr>
      </w:pPr>
    </w:p>
    <w:p w14:paraId="5F32B251">
      <w:pPr>
        <w:jc w:val="center"/>
        <w:rPr>
          <w:rFonts w:hint="eastAsia" w:ascii="宋体" w:hAnsi="宋体" w:cs="宋体"/>
          <w:b/>
          <w:sz w:val="36"/>
          <w:highlight w:val="none"/>
        </w:rPr>
      </w:pPr>
    </w:p>
    <w:p w14:paraId="6D4A1364">
      <w:pPr>
        <w:pStyle w:val="8"/>
        <w:rPr>
          <w:rFonts w:hint="eastAsia"/>
          <w:highlight w:val="none"/>
        </w:rPr>
      </w:pPr>
    </w:p>
    <w:p w14:paraId="380F32F6">
      <w:pPr>
        <w:pStyle w:val="8"/>
        <w:spacing w:line="480" w:lineRule="auto"/>
        <w:jc w:val="center"/>
        <w:rPr>
          <w:rFonts w:hint="eastAsia" w:ascii="宋体" w:hAnsi="宋体" w:cs="宋体"/>
          <w:b/>
          <w:bCs/>
          <w:sz w:val="48"/>
          <w:szCs w:val="48"/>
          <w:highlight w:val="none"/>
        </w:rPr>
      </w:pPr>
      <w:r>
        <w:rPr>
          <w:rFonts w:hint="eastAsia" w:ascii="宋体" w:hAnsi="宋体" w:cs="宋体"/>
          <w:b/>
          <w:bCs/>
          <w:sz w:val="48"/>
          <w:szCs w:val="48"/>
          <w:highlight w:val="none"/>
        </w:rPr>
        <w:t>竞争性</w:t>
      </w:r>
      <w:r>
        <w:rPr>
          <w:rFonts w:hint="eastAsia" w:ascii="宋体" w:hAnsi="宋体" w:cs="宋体"/>
          <w:b/>
          <w:bCs/>
          <w:sz w:val="48"/>
          <w:szCs w:val="48"/>
          <w:highlight w:val="none"/>
          <w:lang w:val="en-US" w:eastAsia="zh-CN"/>
        </w:rPr>
        <w:t>谈判</w:t>
      </w:r>
      <w:r>
        <w:rPr>
          <w:rFonts w:hint="eastAsia" w:ascii="宋体" w:hAnsi="宋体" w:cs="宋体"/>
          <w:b/>
          <w:bCs/>
          <w:sz w:val="48"/>
          <w:szCs w:val="48"/>
          <w:highlight w:val="none"/>
        </w:rPr>
        <w:t>文件</w:t>
      </w:r>
    </w:p>
    <w:p w14:paraId="2DA5A6C8">
      <w:pPr>
        <w:snapToGrid w:val="0"/>
        <w:spacing w:line="480" w:lineRule="auto"/>
        <w:jc w:val="center"/>
        <w:rPr>
          <w:rFonts w:hint="eastAsia" w:ascii="宋体" w:hAnsi="宋体" w:cs="宋体"/>
          <w:b/>
          <w:sz w:val="30"/>
          <w:szCs w:val="30"/>
          <w:highlight w:val="none"/>
        </w:rPr>
      </w:pPr>
    </w:p>
    <w:p w14:paraId="6A833B61">
      <w:pPr>
        <w:snapToGrid w:val="0"/>
        <w:spacing w:line="480" w:lineRule="auto"/>
        <w:jc w:val="center"/>
        <w:rPr>
          <w:rFonts w:hint="eastAsia" w:ascii="宋体" w:hAnsi="宋体" w:cs="宋体"/>
          <w:b/>
          <w:bCs/>
          <w:sz w:val="32"/>
          <w:szCs w:val="32"/>
          <w:highlight w:val="none"/>
        </w:rPr>
      </w:pPr>
      <w:r>
        <w:rPr>
          <w:rFonts w:hint="eastAsia" w:ascii="宋体" w:hAnsi="宋体" w:cs="宋体"/>
          <w:b/>
          <w:sz w:val="30"/>
          <w:szCs w:val="30"/>
          <w:highlight w:val="none"/>
        </w:rPr>
        <w:t>（文件编号：</w:t>
      </w:r>
      <w:r>
        <w:rPr>
          <w:rFonts w:hint="eastAsia" w:ascii="宋体" w:hAnsi="宋体" w:cs="宋体"/>
          <w:b/>
          <w:sz w:val="30"/>
          <w:szCs w:val="30"/>
          <w:highlight w:val="none"/>
          <w:lang w:val="en-US" w:eastAsia="zh-CN"/>
        </w:rPr>
        <w:t>XZZB-FW-2025012</w:t>
      </w:r>
      <w:r>
        <w:rPr>
          <w:rFonts w:hint="eastAsia" w:ascii="宋体" w:hAnsi="宋体" w:cs="宋体"/>
          <w:b/>
          <w:sz w:val="30"/>
          <w:szCs w:val="30"/>
          <w:highlight w:val="none"/>
        </w:rPr>
        <w:t>）</w:t>
      </w:r>
    </w:p>
    <w:p w14:paraId="3F64EE32">
      <w:pPr>
        <w:pStyle w:val="7"/>
        <w:rPr>
          <w:rFonts w:hint="eastAsia" w:ascii="宋体" w:hAnsi="宋体" w:cs="宋体"/>
          <w:highlight w:val="none"/>
        </w:rPr>
      </w:pPr>
    </w:p>
    <w:p w14:paraId="666C0626">
      <w:pPr>
        <w:rPr>
          <w:rFonts w:hint="eastAsia" w:ascii="宋体" w:hAnsi="宋体" w:cs="宋体"/>
          <w:b/>
          <w:sz w:val="28"/>
          <w:szCs w:val="24"/>
          <w:highlight w:val="none"/>
        </w:rPr>
      </w:pPr>
    </w:p>
    <w:p w14:paraId="4915FDAC">
      <w:pPr>
        <w:pStyle w:val="15"/>
        <w:spacing w:line="300" w:lineRule="auto"/>
        <w:jc w:val="both"/>
        <w:rPr>
          <w:rFonts w:hint="eastAsia" w:ascii="宋体" w:hAnsi="宋体" w:cs="宋体"/>
          <w:sz w:val="33"/>
          <w:highlight w:val="none"/>
        </w:rPr>
      </w:pPr>
      <w:r>
        <w:rPr>
          <w:rFonts w:hint="eastAsia" w:ascii="宋体" w:hAnsi="宋体" w:cs="宋体"/>
          <w:sz w:val="48"/>
          <w:szCs w:val="48"/>
          <w:highlight w:val="none"/>
          <w:lang w:val="en-US" w:eastAsia="zh-CN"/>
        </w:rPr>
        <w:t xml:space="preserve"> </w:t>
      </w:r>
    </w:p>
    <w:p w14:paraId="3100345A">
      <w:pPr>
        <w:overflowPunct w:val="0"/>
        <w:spacing w:line="500" w:lineRule="exact"/>
        <w:ind w:firstLine="301" w:firstLineChars="100"/>
        <w:rPr>
          <w:rFonts w:hint="eastAsia" w:ascii="宋体" w:hAnsi="宋体" w:cs="宋体"/>
          <w:b/>
          <w:sz w:val="30"/>
          <w:szCs w:val="30"/>
          <w:highlight w:val="none"/>
        </w:rPr>
      </w:pPr>
    </w:p>
    <w:p w14:paraId="55D8B4B4">
      <w:pPr>
        <w:overflowPunct w:val="0"/>
        <w:spacing w:line="500" w:lineRule="exact"/>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采购人：</w:t>
      </w:r>
      <w:r>
        <w:rPr>
          <w:rFonts w:hint="eastAsia" w:ascii="宋体" w:hAnsi="宋体" w:cs="宋体"/>
          <w:b/>
          <w:sz w:val="32"/>
          <w:szCs w:val="32"/>
          <w:highlight w:val="none"/>
          <w:lang w:eastAsia="zh-CN"/>
        </w:rPr>
        <w:t>克拉玛依市气象局</w:t>
      </w:r>
    </w:p>
    <w:p w14:paraId="06B9565E">
      <w:pPr>
        <w:spacing w:line="600" w:lineRule="auto"/>
        <w:rPr>
          <w:rFonts w:hint="eastAsia" w:ascii="宋体" w:hAnsi="宋体" w:cs="宋体"/>
          <w:b/>
          <w:sz w:val="32"/>
          <w:szCs w:val="32"/>
          <w:highlight w:val="none"/>
        </w:rPr>
      </w:pPr>
    </w:p>
    <w:p w14:paraId="1D533017">
      <w:pPr>
        <w:spacing w:line="600" w:lineRule="auto"/>
        <w:rPr>
          <w:rFonts w:hint="eastAsia" w:ascii="宋体" w:hAnsi="宋体" w:eastAsia="宋体" w:cs="宋体"/>
          <w:b/>
          <w:bCs/>
          <w:sz w:val="32"/>
          <w:szCs w:val="32"/>
          <w:highlight w:val="none"/>
          <w:lang w:eastAsia="zh-CN"/>
        </w:rPr>
      </w:pPr>
      <w:r>
        <w:rPr>
          <w:rFonts w:hint="eastAsia" w:ascii="宋体" w:hAnsi="宋体" w:cs="宋体"/>
          <w:b/>
          <w:sz w:val="32"/>
          <w:szCs w:val="32"/>
          <w:highlight w:val="none"/>
        </w:rPr>
        <w:t>采购代理机构：</w:t>
      </w:r>
      <w:r>
        <w:rPr>
          <w:rFonts w:hint="eastAsia" w:ascii="宋体" w:hAnsi="宋体" w:cs="宋体"/>
          <w:b/>
          <w:bCs/>
          <w:sz w:val="32"/>
          <w:szCs w:val="32"/>
          <w:highlight w:val="none"/>
          <w:lang w:eastAsia="zh-CN"/>
        </w:rPr>
        <w:t>新疆新咨工程咨询有限公司</w:t>
      </w:r>
    </w:p>
    <w:p w14:paraId="70D91172">
      <w:pPr>
        <w:spacing w:line="360" w:lineRule="auto"/>
        <w:rPr>
          <w:rFonts w:hint="eastAsia" w:ascii="宋体" w:hAnsi="宋体" w:cs="宋体"/>
          <w:b/>
          <w:sz w:val="36"/>
          <w:szCs w:val="21"/>
          <w:highlight w:val="none"/>
        </w:rPr>
      </w:pPr>
    </w:p>
    <w:p w14:paraId="28B727DC">
      <w:pPr>
        <w:spacing w:line="360" w:lineRule="auto"/>
        <w:jc w:val="right"/>
        <w:rPr>
          <w:rFonts w:hint="eastAsia" w:ascii="宋体" w:hAnsi="宋体" w:cs="宋体"/>
          <w:b/>
          <w:bCs/>
          <w:color w:val="FF0000"/>
          <w:sz w:val="32"/>
          <w:szCs w:val="32"/>
          <w:highlight w:val="none"/>
        </w:rPr>
      </w:pPr>
      <w:r>
        <w:rPr>
          <w:rFonts w:hint="eastAsia" w:ascii="宋体" w:hAnsi="宋体" w:cs="宋体"/>
          <w:b/>
          <w:sz w:val="36"/>
          <w:szCs w:val="21"/>
          <w:highlight w:val="none"/>
        </w:rPr>
        <w:t xml:space="preserve"> </w:t>
      </w:r>
      <w:r>
        <w:rPr>
          <w:rFonts w:hint="eastAsia" w:ascii="宋体" w:hAnsi="宋体" w:cs="宋体"/>
          <w:b/>
          <w:sz w:val="32"/>
          <w:szCs w:val="32"/>
          <w:highlight w:val="none"/>
        </w:rPr>
        <w:t>202</w:t>
      </w:r>
      <w:r>
        <w:rPr>
          <w:rFonts w:hint="eastAsia" w:ascii="宋体" w:hAnsi="宋体" w:cs="宋体"/>
          <w:b/>
          <w:sz w:val="32"/>
          <w:szCs w:val="32"/>
          <w:highlight w:val="none"/>
          <w:lang w:val="en-US" w:eastAsia="zh-CN"/>
        </w:rPr>
        <w:t>5</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06</w:t>
      </w:r>
      <w:r>
        <w:rPr>
          <w:rFonts w:hint="eastAsia" w:ascii="宋体" w:hAnsi="宋体" w:cs="宋体"/>
          <w:b/>
          <w:sz w:val="32"/>
          <w:szCs w:val="32"/>
          <w:highlight w:val="none"/>
        </w:rPr>
        <w:t>月</w:t>
      </w:r>
    </w:p>
    <w:p w14:paraId="5B156A75">
      <w:pPr>
        <w:pStyle w:val="7"/>
        <w:rPr>
          <w:rFonts w:hint="eastAsia" w:ascii="宋体" w:hAnsi="宋体" w:cs="宋体"/>
          <w:sz w:val="28"/>
          <w:szCs w:val="28"/>
          <w:highlight w:val="none"/>
        </w:rPr>
        <w:sectPr>
          <w:headerReference r:id="rId5" w:type="first"/>
          <w:headerReference r:id="rId3" w:type="default"/>
          <w:footerReference r:id="rId6" w:type="default"/>
          <w:headerReference r:id="rId4" w:type="even"/>
          <w:footerReference r:id="rId7" w:type="even"/>
          <w:pgSz w:w="11906" w:h="16838"/>
          <w:pgMar w:top="1440" w:right="1083" w:bottom="1440" w:left="1083" w:header="850" w:footer="992" w:gutter="0"/>
          <w:pgNumType w:fmt="decimal" w:start="0"/>
          <w:cols w:space="0" w:num="1"/>
          <w:titlePg/>
          <w:rtlGutter w:val="0"/>
          <w:docGrid w:linePitch="312" w:charSpace="0"/>
        </w:sectPr>
      </w:pPr>
    </w:p>
    <w:p w14:paraId="4C200CD5">
      <w:pPr>
        <w:spacing w:line="360" w:lineRule="auto"/>
        <w:jc w:val="center"/>
        <w:rPr>
          <w:rFonts w:hint="eastAsia" w:ascii="宋体" w:hAnsi="宋体" w:cs="宋体"/>
          <w:sz w:val="44"/>
          <w:szCs w:val="44"/>
          <w:highlight w:val="none"/>
        </w:rPr>
      </w:pPr>
      <w:r>
        <w:rPr>
          <w:rFonts w:hint="eastAsia" w:ascii="宋体" w:hAnsi="宋体" w:cs="宋体"/>
          <w:b/>
          <w:sz w:val="44"/>
          <w:szCs w:val="44"/>
          <w:highlight w:val="none"/>
        </w:rPr>
        <w:t>目    录</w:t>
      </w:r>
    </w:p>
    <w:p w14:paraId="737C99D6">
      <w:pPr>
        <w:pStyle w:val="17"/>
        <w:keepNext w:val="0"/>
        <w:keepLines w:val="0"/>
        <w:pageBreakBefore w:val="0"/>
        <w:widowControl w:val="0"/>
        <w:tabs>
          <w:tab w:val="right" w:leader="dot" w:pos="9740"/>
        </w:tabs>
        <w:kinsoku/>
        <w:wordWrap/>
        <w:overflowPunct/>
        <w:topLinePunct w:val="0"/>
        <w:autoSpaceDE w:val="0"/>
        <w:autoSpaceDN w:val="0"/>
        <w:bidi w:val="0"/>
        <w:adjustRightInd w:val="0"/>
        <w:snapToGrid/>
        <w:spacing w:line="1160" w:lineRule="exact"/>
        <w:textAlignment w:val="baseline"/>
        <w:rPr>
          <w:sz w:val="32"/>
          <w:szCs w:val="28"/>
        </w:rPr>
      </w:pPr>
      <w:r>
        <w:rPr>
          <w:rFonts w:hint="eastAsia" w:ascii="宋体" w:hAnsi="宋体" w:eastAsia="宋体" w:cs="宋体"/>
          <w:sz w:val="52"/>
          <w:szCs w:val="52"/>
          <w:highlight w:val="none"/>
        </w:rPr>
        <w:fldChar w:fldCharType="begin"/>
      </w:r>
      <w:r>
        <w:rPr>
          <w:rFonts w:hint="eastAsia" w:ascii="宋体" w:hAnsi="宋体" w:eastAsia="宋体" w:cs="宋体"/>
          <w:sz w:val="52"/>
          <w:szCs w:val="52"/>
          <w:highlight w:val="none"/>
        </w:rPr>
        <w:instrText xml:space="preserve">TOC \o "1-1" \h \u </w:instrText>
      </w:r>
      <w:bookmarkStart w:id="0" w:name="_Toc28786"/>
      <w:bookmarkStart w:id="1" w:name="_Toc21543"/>
      <w:bookmarkStart w:id="2" w:name="_Toc20703"/>
      <w:bookmarkStart w:id="3" w:name="_Toc23865"/>
      <w:r>
        <w:rPr>
          <w:rFonts w:hint="eastAsia" w:ascii="宋体" w:hAnsi="宋体" w:eastAsia="宋体" w:cs="宋体"/>
          <w:sz w:val="52"/>
          <w:szCs w:val="52"/>
          <w:highlight w:val="none"/>
        </w:rPr>
        <w:fldChar w:fldCharType="separate"/>
      </w:r>
      <w:r>
        <w:rPr>
          <w:rFonts w:hint="eastAsia" w:ascii="宋体" w:hAnsi="宋体" w:eastAsia="宋体" w:cs="宋体"/>
          <w:sz w:val="32"/>
          <w:szCs w:val="52"/>
          <w:highlight w:val="none"/>
        </w:rPr>
        <w:fldChar w:fldCharType="begin"/>
      </w:r>
      <w:r>
        <w:rPr>
          <w:rFonts w:hint="eastAsia" w:ascii="宋体" w:hAnsi="宋体" w:eastAsia="宋体" w:cs="宋体"/>
          <w:sz w:val="32"/>
          <w:szCs w:val="52"/>
          <w:highlight w:val="none"/>
        </w:rPr>
        <w:instrText xml:space="preserve"> HYPERLINK \l _Toc7803 </w:instrText>
      </w:r>
      <w:r>
        <w:rPr>
          <w:rFonts w:hint="eastAsia" w:ascii="宋体" w:hAnsi="宋体" w:eastAsia="宋体" w:cs="宋体"/>
          <w:sz w:val="32"/>
          <w:szCs w:val="52"/>
          <w:highlight w:val="none"/>
        </w:rPr>
        <w:fldChar w:fldCharType="separate"/>
      </w:r>
      <w:r>
        <w:rPr>
          <w:rFonts w:hint="eastAsia"/>
          <w:sz w:val="32"/>
          <w:szCs w:val="28"/>
          <w:highlight w:val="none"/>
        </w:rPr>
        <w:t>第一章、</w:t>
      </w:r>
      <w:r>
        <w:rPr>
          <w:rFonts w:hint="eastAsia"/>
          <w:sz w:val="32"/>
          <w:szCs w:val="28"/>
          <w:highlight w:val="none"/>
          <w:lang w:eastAsia="zh-CN"/>
        </w:rPr>
        <w:t>竞争性谈判</w:t>
      </w:r>
      <w:r>
        <w:rPr>
          <w:rFonts w:hint="eastAsia"/>
          <w:sz w:val="32"/>
          <w:szCs w:val="28"/>
          <w:highlight w:val="none"/>
        </w:rPr>
        <w:t>采购公告</w:t>
      </w:r>
      <w:r>
        <w:rPr>
          <w:sz w:val="32"/>
          <w:szCs w:val="28"/>
        </w:rPr>
        <w:tab/>
      </w:r>
      <w:r>
        <w:rPr>
          <w:sz w:val="32"/>
          <w:szCs w:val="28"/>
        </w:rPr>
        <w:fldChar w:fldCharType="begin"/>
      </w:r>
      <w:r>
        <w:rPr>
          <w:sz w:val="32"/>
          <w:szCs w:val="28"/>
        </w:rPr>
        <w:instrText xml:space="preserve"> PAGEREF _Toc7803 \h </w:instrText>
      </w:r>
      <w:r>
        <w:rPr>
          <w:sz w:val="32"/>
          <w:szCs w:val="28"/>
        </w:rPr>
        <w:fldChar w:fldCharType="separate"/>
      </w:r>
      <w:r>
        <w:rPr>
          <w:sz w:val="32"/>
          <w:szCs w:val="28"/>
        </w:rPr>
        <w:t>- 2 -</w:t>
      </w:r>
      <w:r>
        <w:rPr>
          <w:sz w:val="32"/>
          <w:szCs w:val="28"/>
        </w:rPr>
        <w:fldChar w:fldCharType="end"/>
      </w:r>
      <w:r>
        <w:rPr>
          <w:rFonts w:hint="eastAsia" w:ascii="宋体" w:hAnsi="宋体" w:eastAsia="宋体" w:cs="宋体"/>
          <w:sz w:val="32"/>
          <w:szCs w:val="52"/>
          <w:highlight w:val="none"/>
        </w:rPr>
        <w:fldChar w:fldCharType="end"/>
      </w:r>
    </w:p>
    <w:p w14:paraId="768C286B">
      <w:pPr>
        <w:pStyle w:val="17"/>
        <w:keepNext w:val="0"/>
        <w:keepLines w:val="0"/>
        <w:pageBreakBefore w:val="0"/>
        <w:widowControl w:val="0"/>
        <w:tabs>
          <w:tab w:val="right" w:leader="dot" w:pos="9740"/>
        </w:tabs>
        <w:kinsoku/>
        <w:wordWrap/>
        <w:overflowPunct/>
        <w:topLinePunct w:val="0"/>
        <w:autoSpaceDE w:val="0"/>
        <w:autoSpaceDN w:val="0"/>
        <w:bidi w:val="0"/>
        <w:adjustRightInd w:val="0"/>
        <w:snapToGrid/>
        <w:spacing w:line="1160" w:lineRule="exact"/>
        <w:textAlignment w:val="baseline"/>
        <w:rPr>
          <w:sz w:val="32"/>
          <w:szCs w:val="28"/>
        </w:rPr>
      </w:pPr>
      <w:r>
        <w:rPr>
          <w:rFonts w:hint="eastAsia" w:ascii="宋体" w:hAnsi="宋体" w:eastAsia="宋体" w:cs="宋体"/>
          <w:sz w:val="32"/>
          <w:szCs w:val="52"/>
          <w:highlight w:val="none"/>
        </w:rPr>
        <w:fldChar w:fldCharType="begin"/>
      </w:r>
      <w:r>
        <w:rPr>
          <w:rFonts w:hint="eastAsia" w:ascii="宋体" w:hAnsi="宋体" w:eastAsia="宋体" w:cs="宋体"/>
          <w:sz w:val="32"/>
          <w:szCs w:val="52"/>
          <w:highlight w:val="none"/>
        </w:rPr>
        <w:instrText xml:space="preserve"> HYPERLINK \l _Toc27273 </w:instrText>
      </w:r>
      <w:r>
        <w:rPr>
          <w:rFonts w:hint="eastAsia" w:ascii="宋体" w:hAnsi="宋体" w:eastAsia="宋体" w:cs="宋体"/>
          <w:sz w:val="32"/>
          <w:szCs w:val="52"/>
          <w:highlight w:val="none"/>
        </w:rPr>
        <w:fldChar w:fldCharType="separate"/>
      </w:r>
      <w:r>
        <w:rPr>
          <w:rFonts w:hint="eastAsia" w:ascii="宋体" w:hAnsi="宋体" w:eastAsia="宋体" w:cs="宋体"/>
          <w:bCs/>
          <w:kern w:val="0"/>
          <w:sz w:val="32"/>
          <w:szCs w:val="52"/>
          <w:highlight w:val="none"/>
          <w:lang w:val="en-US" w:eastAsia="zh-CN" w:bidi="ar-SA"/>
        </w:rPr>
        <w:t>第二章、供应商须知</w:t>
      </w:r>
      <w:r>
        <w:rPr>
          <w:sz w:val="32"/>
          <w:szCs w:val="28"/>
        </w:rPr>
        <w:tab/>
      </w:r>
      <w:r>
        <w:rPr>
          <w:sz w:val="32"/>
          <w:szCs w:val="28"/>
        </w:rPr>
        <w:fldChar w:fldCharType="begin"/>
      </w:r>
      <w:r>
        <w:rPr>
          <w:sz w:val="32"/>
          <w:szCs w:val="28"/>
        </w:rPr>
        <w:instrText xml:space="preserve"> PAGEREF _Toc27273 \h </w:instrText>
      </w:r>
      <w:r>
        <w:rPr>
          <w:sz w:val="32"/>
          <w:szCs w:val="28"/>
        </w:rPr>
        <w:fldChar w:fldCharType="separate"/>
      </w:r>
      <w:r>
        <w:rPr>
          <w:sz w:val="32"/>
          <w:szCs w:val="28"/>
        </w:rPr>
        <w:t>- 5 -</w:t>
      </w:r>
      <w:r>
        <w:rPr>
          <w:sz w:val="32"/>
          <w:szCs w:val="28"/>
        </w:rPr>
        <w:fldChar w:fldCharType="end"/>
      </w:r>
      <w:r>
        <w:rPr>
          <w:rFonts w:hint="eastAsia" w:ascii="宋体" w:hAnsi="宋体" w:eastAsia="宋体" w:cs="宋体"/>
          <w:sz w:val="32"/>
          <w:szCs w:val="52"/>
          <w:highlight w:val="none"/>
        </w:rPr>
        <w:fldChar w:fldCharType="end"/>
      </w:r>
    </w:p>
    <w:p w14:paraId="7FCBE18C">
      <w:pPr>
        <w:pStyle w:val="17"/>
        <w:keepNext w:val="0"/>
        <w:keepLines w:val="0"/>
        <w:pageBreakBefore w:val="0"/>
        <w:widowControl w:val="0"/>
        <w:tabs>
          <w:tab w:val="right" w:leader="dot" w:pos="9740"/>
        </w:tabs>
        <w:kinsoku/>
        <w:wordWrap/>
        <w:overflowPunct/>
        <w:topLinePunct w:val="0"/>
        <w:autoSpaceDE w:val="0"/>
        <w:autoSpaceDN w:val="0"/>
        <w:bidi w:val="0"/>
        <w:adjustRightInd w:val="0"/>
        <w:snapToGrid/>
        <w:spacing w:line="1160" w:lineRule="exact"/>
        <w:textAlignment w:val="baseline"/>
        <w:rPr>
          <w:sz w:val="32"/>
          <w:szCs w:val="28"/>
        </w:rPr>
      </w:pPr>
      <w:r>
        <w:rPr>
          <w:rFonts w:hint="eastAsia" w:ascii="宋体" w:hAnsi="宋体" w:eastAsia="宋体" w:cs="宋体"/>
          <w:sz w:val="32"/>
          <w:szCs w:val="52"/>
          <w:highlight w:val="none"/>
        </w:rPr>
        <w:fldChar w:fldCharType="begin"/>
      </w:r>
      <w:r>
        <w:rPr>
          <w:rFonts w:hint="eastAsia" w:ascii="宋体" w:hAnsi="宋体" w:eastAsia="宋体" w:cs="宋体"/>
          <w:sz w:val="32"/>
          <w:szCs w:val="52"/>
          <w:highlight w:val="none"/>
        </w:rPr>
        <w:instrText xml:space="preserve"> HYPERLINK \l _Toc1256 </w:instrText>
      </w:r>
      <w:r>
        <w:rPr>
          <w:rFonts w:hint="eastAsia" w:ascii="宋体" w:hAnsi="宋体" w:eastAsia="宋体" w:cs="宋体"/>
          <w:sz w:val="32"/>
          <w:szCs w:val="52"/>
          <w:highlight w:val="none"/>
        </w:rPr>
        <w:fldChar w:fldCharType="separate"/>
      </w:r>
      <w:r>
        <w:rPr>
          <w:rFonts w:hint="eastAsia"/>
          <w:sz w:val="32"/>
          <w:szCs w:val="28"/>
          <w:highlight w:val="none"/>
          <w:lang w:val="en-US" w:eastAsia="zh-CN"/>
        </w:rPr>
        <w:t>第三章、项目采购需求</w:t>
      </w:r>
      <w:r>
        <w:rPr>
          <w:sz w:val="32"/>
          <w:szCs w:val="28"/>
        </w:rPr>
        <w:tab/>
      </w:r>
      <w:r>
        <w:rPr>
          <w:sz w:val="32"/>
          <w:szCs w:val="28"/>
        </w:rPr>
        <w:fldChar w:fldCharType="begin"/>
      </w:r>
      <w:r>
        <w:rPr>
          <w:sz w:val="32"/>
          <w:szCs w:val="28"/>
        </w:rPr>
        <w:instrText xml:space="preserve"> PAGEREF _Toc1256 \h </w:instrText>
      </w:r>
      <w:r>
        <w:rPr>
          <w:sz w:val="32"/>
          <w:szCs w:val="28"/>
        </w:rPr>
        <w:fldChar w:fldCharType="separate"/>
      </w:r>
      <w:r>
        <w:rPr>
          <w:sz w:val="32"/>
          <w:szCs w:val="28"/>
        </w:rPr>
        <w:t>- 23 -</w:t>
      </w:r>
      <w:r>
        <w:rPr>
          <w:sz w:val="32"/>
          <w:szCs w:val="28"/>
        </w:rPr>
        <w:fldChar w:fldCharType="end"/>
      </w:r>
      <w:r>
        <w:rPr>
          <w:rFonts w:hint="eastAsia" w:ascii="宋体" w:hAnsi="宋体" w:eastAsia="宋体" w:cs="宋体"/>
          <w:sz w:val="32"/>
          <w:szCs w:val="52"/>
          <w:highlight w:val="none"/>
        </w:rPr>
        <w:fldChar w:fldCharType="end"/>
      </w:r>
    </w:p>
    <w:p w14:paraId="68349B6B">
      <w:pPr>
        <w:pStyle w:val="17"/>
        <w:keepNext w:val="0"/>
        <w:keepLines w:val="0"/>
        <w:pageBreakBefore w:val="0"/>
        <w:widowControl w:val="0"/>
        <w:tabs>
          <w:tab w:val="right" w:leader="dot" w:pos="9740"/>
        </w:tabs>
        <w:kinsoku/>
        <w:wordWrap/>
        <w:overflowPunct/>
        <w:topLinePunct w:val="0"/>
        <w:autoSpaceDE w:val="0"/>
        <w:autoSpaceDN w:val="0"/>
        <w:bidi w:val="0"/>
        <w:adjustRightInd w:val="0"/>
        <w:snapToGrid/>
        <w:spacing w:line="1160" w:lineRule="exact"/>
        <w:textAlignment w:val="baseline"/>
        <w:rPr>
          <w:sz w:val="32"/>
          <w:szCs w:val="28"/>
        </w:rPr>
      </w:pPr>
      <w:r>
        <w:rPr>
          <w:rFonts w:hint="eastAsia" w:ascii="宋体" w:hAnsi="宋体" w:eastAsia="宋体" w:cs="宋体"/>
          <w:sz w:val="32"/>
          <w:szCs w:val="52"/>
          <w:highlight w:val="none"/>
        </w:rPr>
        <w:fldChar w:fldCharType="begin"/>
      </w:r>
      <w:r>
        <w:rPr>
          <w:rFonts w:hint="eastAsia" w:ascii="宋体" w:hAnsi="宋体" w:eastAsia="宋体" w:cs="宋体"/>
          <w:sz w:val="32"/>
          <w:szCs w:val="52"/>
          <w:highlight w:val="none"/>
        </w:rPr>
        <w:instrText xml:space="preserve"> HYPERLINK \l _Toc1699 </w:instrText>
      </w:r>
      <w:r>
        <w:rPr>
          <w:rFonts w:hint="eastAsia" w:ascii="宋体" w:hAnsi="宋体" w:eastAsia="宋体" w:cs="宋体"/>
          <w:sz w:val="32"/>
          <w:szCs w:val="52"/>
          <w:highlight w:val="none"/>
        </w:rPr>
        <w:fldChar w:fldCharType="separate"/>
      </w:r>
      <w:r>
        <w:rPr>
          <w:rFonts w:hint="eastAsia"/>
          <w:sz w:val="32"/>
          <w:szCs w:val="28"/>
          <w:highlight w:val="none"/>
        </w:rPr>
        <w:t>第四章</w:t>
      </w:r>
      <w:r>
        <w:rPr>
          <w:rFonts w:hint="eastAsia"/>
          <w:sz w:val="32"/>
          <w:szCs w:val="28"/>
          <w:highlight w:val="none"/>
          <w:lang w:eastAsia="zh-CN"/>
        </w:rPr>
        <w:t>、</w:t>
      </w:r>
      <w:r>
        <w:rPr>
          <w:rFonts w:hint="eastAsia"/>
          <w:sz w:val="32"/>
          <w:szCs w:val="28"/>
          <w:highlight w:val="none"/>
        </w:rPr>
        <w:t>合同条款</w:t>
      </w:r>
      <w:r>
        <w:rPr>
          <w:sz w:val="32"/>
          <w:szCs w:val="28"/>
        </w:rPr>
        <w:tab/>
      </w:r>
      <w:r>
        <w:rPr>
          <w:sz w:val="32"/>
          <w:szCs w:val="28"/>
        </w:rPr>
        <w:fldChar w:fldCharType="begin"/>
      </w:r>
      <w:r>
        <w:rPr>
          <w:sz w:val="32"/>
          <w:szCs w:val="28"/>
        </w:rPr>
        <w:instrText xml:space="preserve"> PAGEREF _Toc1699 \h </w:instrText>
      </w:r>
      <w:r>
        <w:rPr>
          <w:sz w:val="32"/>
          <w:szCs w:val="28"/>
        </w:rPr>
        <w:fldChar w:fldCharType="separate"/>
      </w:r>
      <w:r>
        <w:rPr>
          <w:sz w:val="32"/>
          <w:szCs w:val="28"/>
        </w:rPr>
        <w:t>- 23 -</w:t>
      </w:r>
      <w:r>
        <w:rPr>
          <w:sz w:val="32"/>
          <w:szCs w:val="28"/>
        </w:rPr>
        <w:fldChar w:fldCharType="end"/>
      </w:r>
      <w:r>
        <w:rPr>
          <w:rFonts w:hint="eastAsia" w:ascii="宋体" w:hAnsi="宋体" w:eastAsia="宋体" w:cs="宋体"/>
          <w:sz w:val="32"/>
          <w:szCs w:val="52"/>
          <w:highlight w:val="none"/>
        </w:rPr>
        <w:fldChar w:fldCharType="end"/>
      </w:r>
    </w:p>
    <w:p w14:paraId="4BF56DED">
      <w:pPr>
        <w:pStyle w:val="17"/>
        <w:keepNext w:val="0"/>
        <w:keepLines w:val="0"/>
        <w:pageBreakBefore w:val="0"/>
        <w:widowControl w:val="0"/>
        <w:tabs>
          <w:tab w:val="right" w:leader="dot" w:pos="9740"/>
        </w:tabs>
        <w:kinsoku/>
        <w:wordWrap/>
        <w:overflowPunct/>
        <w:topLinePunct w:val="0"/>
        <w:autoSpaceDE w:val="0"/>
        <w:autoSpaceDN w:val="0"/>
        <w:bidi w:val="0"/>
        <w:adjustRightInd w:val="0"/>
        <w:snapToGrid/>
        <w:spacing w:line="1160" w:lineRule="exact"/>
        <w:textAlignment w:val="baseline"/>
        <w:rPr>
          <w:sz w:val="32"/>
          <w:szCs w:val="28"/>
        </w:rPr>
      </w:pPr>
      <w:r>
        <w:rPr>
          <w:rFonts w:hint="eastAsia" w:ascii="宋体" w:hAnsi="宋体" w:eastAsia="宋体" w:cs="宋体"/>
          <w:sz w:val="32"/>
          <w:szCs w:val="52"/>
          <w:highlight w:val="none"/>
        </w:rPr>
        <w:fldChar w:fldCharType="begin"/>
      </w:r>
      <w:r>
        <w:rPr>
          <w:rFonts w:hint="eastAsia" w:ascii="宋体" w:hAnsi="宋体" w:eastAsia="宋体" w:cs="宋体"/>
          <w:sz w:val="32"/>
          <w:szCs w:val="52"/>
          <w:highlight w:val="none"/>
        </w:rPr>
        <w:instrText xml:space="preserve"> HYPERLINK \l _Toc27037 </w:instrText>
      </w:r>
      <w:r>
        <w:rPr>
          <w:rFonts w:hint="eastAsia" w:ascii="宋体" w:hAnsi="宋体" w:eastAsia="宋体" w:cs="宋体"/>
          <w:sz w:val="32"/>
          <w:szCs w:val="52"/>
          <w:highlight w:val="none"/>
        </w:rPr>
        <w:fldChar w:fldCharType="separate"/>
      </w:r>
      <w:r>
        <w:rPr>
          <w:rFonts w:hint="eastAsia" w:ascii="宋体" w:hAnsi="宋体" w:eastAsia="宋体" w:cs="宋体"/>
          <w:bCs/>
          <w:kern w:val="0"/>
          <w:sz w:val="32"/>
          <w:szCs w:val="52"/>
          <w:highlight w:val="none"/>
          <w:lang w:val="en-US" w:eastAsia="zh-CN" w:bidi="ar-SA"/>
        </w:rPr>
        <w:t>第五章、响应文件格式</w:t>
      </w:r>
      <w:r>
        <w:rPr>
          <w:sz w:val="32"/>
          <w:szCs w:val="28"/>
        </w:rPr>
        <w:tab/>
      </w:r>
      <w:r>
        <w:rPr>
          <w:sz w:val="32"/>
          <w:szCs w:val="28"/>
        </w:rPr>
        <w:fldChar w:fldCharType="begin"/>
      </w:r>
      <w:r>
        <w:rPr>
          <w:sz w:val="32"/>
          <w:szCs w:val="28"/>
        </w:rPr>
        <w:instrText xml:space="preserve"> PAGEREF _Toc27037 \h </w:instrText>
      </w:r>
      <w:r>
        <w:rPr>
          <w:sz w:val="32"/>
          <w:szCs w:val="28"/>
        </w:rPr>
        <w:fldChar w:fldCharType="separate"/>
      </w:r>
      <w:r>
        <w:rPr>
          <w:sz w:val="32"/>
          <w:szCs w:val="28"/>
        </w:rPr>
        <w:t>- 29 -</w:t>
      </w:r>
      <w:r>
        <w:rPr>
          <w:sz w:val="32"/>
          <w:szCs w:val="28"/>
        </w:rPr>
        <w:fldChar w:fldCharType="end"/>
      </w:r>
      <w:r>
        <w:rPr>
          <w:rFonts w:hint="eastAsia" w:ascii="宋体" w:hAnsi="宋体" w:eastAsia="宋体" w:cs="宋体"/>
          <w:sz w:val="32"/>
          <w:szCs w:val="52"/>
          <w:highlight w:val="none"/>
        </w:rPr>
        <w:fldChar w:fldCharType="end"/>
      </w:r>
    </w:p>
    <w:p w14:paraId="61CD7610">
      <w:pPr>
        <w:pStyle w:val="17"/>
        <w:keepNext w:val="0"/>
        <w:keepLines w:val="0"/>
        <w:pageBreakBefore w:val="0"/>
        <w:widowControl w:val="0"/>
        <w:tabs>
          <w:tab w:val="right" w:leader="dot" w:pos="9740"/>
        </w:tabs>
        <w:kinsoku/>
        <w:wordWrap/>
        <w:overflowPunct/>
        <w:topLinePunct w:val="0"/>
        <w:autoSpaceDE w:val="0"/>
        <w:autoSpaceDN w:val="0"/>
        <w:bidi w:val="0"/>
        <w:adjustRightInd w:val="0"/>
        <w:snapToGrid/>
        <w:spacing w:line="1160" w:lineRule="exact"/>
        <w:textAlignment w:val="baseline"/>
        <w:rPr>
          <w:sz w:val="32"/>
          <w:szCs w:val="28"/>
        </w:rPr>
      </w:pPr>
      <w:r>
        <w:rPr>
          <w:rFonts w:hint="eastAsia" w:ascii="宋体" w:hAnsi="宋体" w:eastAsia="宋体" w:cs="宋体"/>
          <w:sz w:val="32"/>
          <w:szCs w:val="52"/>
          <w:highlight w:val="none"/>
        </w:rPr>
        <w:fldChar w:fldCharType="begin"/>
      </w:r>
      <w:r>
        <w:rPr>
          <w:rFonts w:hint="eastAsia" w:ascii="宋体" w:hAnsi="宋体" w:eastAsia="宋体" w:cs="宋体"/>
          <w:sz w:val="32"/>
          <w:szCs w:val="52"/>
          <w:highlight w:val="none"/>
        </w:rPr>
        <w:instrText xml:space="preserve"> HYPERLINK \l _Toc14366 </w:instrText>
      </w:r>
      <w:r>
        <w:rPr>
          <w:rFonts w:hint="eastAsia" w:ascii="宋体" w:hAnsi="宋体" w:eastAsia="宋体" w:cs="宋体"/>
          <w:sz w:val="32"/>
          <w:szCs w:val="52"/>
          <w:highlight w:val="none"/>
        </w:rPr>
        <w:fldChar w:fldCharType="separate"/>
      </w:r>
      <w:r>
        <w:rPr>
          <w:rFonts w:hint="eastAsia" w:ascii="宋体" w:hAnsi="宋体" w:eastAsia="宋体" w:cs="宋体"/>
          <w:bCs/>
          <w:kern w:val="0"/>
          <w:sz w:val="32"/>
          <w:szCs w:val="52"/>
          <w:highlight w:val="none"/>
          <w:lang w:val="en-US" w:eastAsia="zh-CN" w:bidi="ar-SA"/>
        </w:rPr>
        <w:t>第六章、评审标准（</w:t>
      </w:r>
      <w:r>
        <w:rPr>
          <w:rFonts w:hint="eastAsia" w:ascii="宋体" w:hAnsi="宋体" w:cs="宋体"/>
          <w:bCs/>
          <w:kern w:val="0"/>
          <w:sz w:val="32"/>
          <w:szCs w:val="52"/>
          <w:highlight w:val="none"/>
          <w:lang w:val="en-US" w:eastAsia="zh-CN" w:bidi="ar-SA"/>
        </w:rPr>
        <w:t>最低评标价法</w:t>
      </w:r>
      <w:r>
        <w:rPr>
          <w:rFonts w:hint="eastAsia" w:ascii="宋体" w:hAnsi="宋体" w:eastAsia="宋体" w:cs="宋体"/>
          <w:bCs/>
          <w:kern w:val="0"/>
          <w:sz w:val="32"/>
          <w:szCs w:val="52"/>
          <w:highlight w:val="none"/>
          <w:lang w:val="en-US" w:eastAsia="zh-CN" w:bidi="ar-SA"/>
        </w:rPr>
        <w:t>）</w:t>
      </w:r>
      <w:r>
        <w:rPr>
          <w:sz w:val="32"/>
          <w:szCs w:val="28"/>
        </w:rPr>
        <w:tab/>
      </w:r>
      <w:r>
        <w:rPr>
          <w:sz w:val="32"/>
          <w:szCs w:val="28"/>
        </w:rPr>
        <w:fldChar w:fldCharType="begin"/>
      </w:r>
      <w:r>
        <w:rPr>
          <w:sz w:val="32"/>
          <w:szCs w:val="28"/>
        </w:rPr>
        <w:instrText xml:space="preserve"> PAGEREF _Toc14366 \h </w:instrText>
      </w:r>
      <w:r>
        <w:rPr>
          <w:sz w:val="32"/>
          <w:szCs w:val="28"/>
        </w:rPr>
        <w:fldChar w:fldCharType="separate"/>
      </w:r>
      <w:r>
        <w:rPr>
          <w:sz w:val="32"/>
          <w:szCs w:val="28"/>
        </w:rPr>
        <w:t>- 44 -</w:t>
      </w:r>
      <w:r>
        <w:rPr>
          <w:sz w:val="32"/>
          <w:szCs w:val="28"/>
        </w:rPr>
        <w:fldChar w:fldCharType="end"/>
      </w:r>
      <w:r>
        <w:rPr>
          <w:rFonts w:hint="eastAsia" w:ascii="宋体" w:hAnsi="宋体" w:eastAsia="宋体" w:cs="宋体"/>
          <w:sz w:val="32"/>
          <w:szCs w:val="52"/>
          <w:highlight w:val="none"/>
        </w:rPr>
        <w:fldChar w:fldCharType="end"/>
      </w:r>
    </w:p>
    <w:p w14:paraId="773E3F3C">
      <w:pPr>
        <w:pStyle w:val="17"/>
        <w:keepNext w:val="0"/>
        <w:keepLines w:val="0"/>
        <w:pageBreakBefore w:val="0"/>
        <w:widowControl w:val="0"/>
        <w:tabs>
          <w:tab w:val="right" w:leader="dot" w:pos="10466"/>
        </w:tabs>
        <w:kinsoku/>
        <w:wordWrap/>
        <w:overflowPunct/>
        <w:topLinePunct w:val="0"/>
        <w:autoSpaceDE w:val="0"/>
        <w:autoSpaceDN w:val="0"/>
        <w:bidi w:val="0"/>
        <w:adjustRightInd w:val="0"/>
        <w:snapToGrid/>
        <w:spacing w:line="1160" w:lineRule="exact"/>
        <w:textAlignment w:val="baseline"/>
        <w:rPr>
          <w:rFonts w:hint="eastAsia" w:ascii="宋体" w:hAnsi="宋体" w:eastAsia="宋体" w:cs="宋体"/>
          <w:sz w:val="36"/>
          <w:szCs w:val="36"/>
          <w:highlight w:val="none"/>
        </w:rPr>
      </w:pPr>
      <w:r>
        <w:rPr>
          <w:rFonts w:hint="eastAsia" w:ascii="宋体" w:hAnsi="宋体" w:eastAsia="宋体" w:cs="宋体"/>
          <w:sz w:val="32"/>
          <w:szCs w:val="52"/>
          <w:highlight w:val="none"/>
        </w:rPr>
        <w:fldChar w:fldCharType="end"/>
      </w:r>
    </w:p>
    <w:p w14:paraId="7BBE4C3A">
      <w:pPr>
        <w:pStyle w:val="17"/>
        <w:tabs>
          <w:tab w:val="right" w:leader="dot" w:pos="10466"/>
        </w:tabs>
        <w:spacing w:line="1000" w:lineRule="exact"/>
        <w:jc w:val="center"/>
        <w:rPr>
          <w:rFonts w:hint="eastAsia" w:ascii="宋体" w:hAnsi="宋体" w:cs="宋体"/>
          <w:sz w:val="48"/>
          <w:szCs w:val="48"/>
          <w:highlight w:val="none"/>
        </w:rPr>
        <w:sectPr>
          <w:headerReference r:id="rId8" w:type="default"/>
          <w:footerReference r:id="rId9" w:type="default"/>
          <w:pgSz w:w="11906" w:h="16838"/>
          <w:pgMar w:top="1440" w:right="1083" w:bottom="1440" w:left="1083" w:header="850" w:footer="992" w:gutter="0"/>
          <w:pgNumType w:fmt="decimal" w:start="1"/>
          <w:cols w:space="0" w:num="1"/>
          <w:titlePg/>
          <w:rtlGutter w:val="0"/>
          <w:docGrid w:linePitch="312" w:charSpace="0"/>
        </w:sectPr>
      </w:pPr>
    </w:p>
    <w:p w14:paraId="579FA854">
      <w:pPr>
        <w:pStyle w:val="2"/>
        <w:bidi w:val="0"/>
        <w:rPr>
          <w:rFonts w:hint="eastAsia"/>
          <w:highlight w:val="none"/>
        </w:rPr>
      </w:pPr>
      <w:bookmarkStart w:id="4" w:name="_Toc7803"/>
      <w:bookmarkStart w:id="5" w:name="_Toc24741"/>
      <w:r>
        <w:rPr>
          <w:rFonts w:hint="eastAsia"/>
          <w:highlight w:val="none"/>
        </w:rPr>
        <w:t>第一章、竞争性</w:t>
      </w:r>
      <w:r>
        <w:rPr>
          <w:rFonts w:hint="eastAsia"/>
          <w:highlight w:val="none"/>
          <w:lang w:val="en-US" w:eastAsia="zh-CN"/>
        </w:rPr>
        <w:t>谈判</w:t>
      </w:r>
      <w:r>
        <w:rPr>
          <w:rFonts w:hint="eastAsia"/>
          <w:highlight w:val="none"/>
        </w:rPr>
        <w:t>采购公告</w:t>
      </w:r>
      <w:bookmarkEnd w:id="0"/>
      <w:bookmarkEnd w:id="1"/>
      <w:bookmarkEnd w:id="2"/>
      <w:bookmarkEnd w:id="3"/>
      <w:bookmarkEnd w:id="4"/>
      <w:bookmarkEnd w:id="5"/>
    </w:p>
    <w:tbl>
      <w:tblPr>
        <w:tblStyle w:val="22"/>
        <w:tblpPr w:leftFromText="180" w:rightFromText="180" w:vertAnchor="text" w:horzAnchor="page" w:tblpX="1382" w:tblpY="394"/>
        <w:tblOverlap w:val="never"/>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3"/>
      </w:tblGrid>
      <w:tr w14:paraId="4421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9683" w:type="dxa"/>
            <w:noWrap w:val="0"/>
            <w:vAlign w:val="top"/>
          </w:tcPr>
          <w:p w14:paraId="2C828541">
            <w:pPr>
              <w:spacing w:line="400" w:lineRule="exact"/>
              <w:ind w:firstLine="480" w:firstLineChars="200"/>
              <w:rPr>
                <w:rFonts w:hint="eastAsia" w:ascii="宋体" w:hAnsi="宋体" w:eastAsia="宋体" w:cs="宋体"/>
                <w:sz w:val="24"/>
                <w:szCs w:val="24"/>
                <w:highlight w:val="none"/>
                <w:lang w:eastAsia="zh-CN"/>
              </w:rPr>
            </w:pPr>
            <w:bookmarkStart w:id="6" w:name="_Toc8079"/>
            <w:bookmarkStart w:id="7" w:name="_Toc2578"/>
            <w:r>
              <w:rPr>
                <w:rFonts w:hint="eastAsia" w:ascii="宋体" w:hAnsi="宋体" w:eastAsia="宋体" w:cs="宋体"/>
                <w:sz w:val="24"/>
                <w:szCs w:val="24"/>
                <w:highlight w:val="none"/>
              </w:rPr>
              <w:t>项目概况</w:t>
            </w:r>
            <w:r>
              <w:rPr>
                <w:rFonts w:hint="eastAsia" w:ascii="宋体" w:hAnsi="宋体" w:eastAsia="宋体" w:cs="宋体"/>
                <w:sz w:val="24"/>
                <w:szCs w:val="24"/>
                <w:highlight w:val="none"/>
                <w:lang w:eastAsia="zh-CN"/>
              </w:rPr>
              <w:t>：</w:t>
            </w:r>
          </w:p>
          <w:p w14:paraId="4768D25A">
            <w:pPr>
              <w:spacing w:line="400" w:lineRule="exact"/>
              <w:ind w:left="239" w:leftChars="114" w:firstLine="240" w:firstLineChars="100"/>
              <w:rPr>
                <w:rFonts w:hint="eastAsia" w:ascii="宋体" w:hAnsi="宋体" w:eastAsia="宋体" w:cs="宋体"/>
                <w:sz w:val="24"/>
                <w:szCs w:val="24"/>
                <w:highlight w:val="none"/>
              </w:rPr>
            </w:pPr>
            <w:r>
              <w:rPr>
                <w:rFonts w:hint="eastAsia" w:ascii="宋体" w:hAnsi="宋体" w:cs="宋体"/>
                <w:sz w:val="24"/>
                <w:szCs w:val="24"/>
                <w:highlight w:val="none"/>
                <w:lang w:eastAsia="zh-CN"/>
              </w:rPr>
              <w:t>气象服务保障经费</w:t>
            </w:r>
            <w:r>
              <w:rPr>
                <w:rFonts w:hint="eastAsia" w:ascii="宋体" w:hAnsi="宋体" w:eastAsia="宋体" w:cs="宋体"/>
                <w:sz w:val="24"/>
                <w:szCs w:val="24"/>
                <w:highlight w:val="none"/>
              </w:rPr>
              <w:t>的潜在供应商应在新疆政府采购网获取采购文件，并于</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06月 24日上午10:30</w:t>
            </w:r>
            <w:r>
              <w:rPr>
                <w:rFonts w:hint="eastAsia" w:ascii="宋体" w:hAnsi="宋体" w:eastAsia="宋体" w:cs="宋体"/>
                <w:sz w:val="24"/>
                <w:szCs w:val="24"/>
                <w:highlight w:val="none"/>
              </w:rPr>
              <w:t>（北京时间）前提交响应文件。</w:t>
            </w:r>
          </w:p>
        </w:tc>
      </w:tr>
    </w:tbl>
    <w:p w14:paraId="74197BB6">
      <w:pPr>
        <w:keepNext w:val="0"/>
        <w:keepLines w:val="0"/>
        <w:pageBreakBefore w:val="0"/>
        <w:widowControl w:val="0"/>
        <w:kinsoku/>
        <w:wordWrap w:val="0"/>
        <w:overflowPunct/>
        <w:topLinePunct/>
        <w:bidi w:val="0"/>
        <w:snapToGrid/>
        <w:spacing w:line="360" w:lineRule="auto"/>
        <w:ind w:firstLine="482" w:firstLineChars="200"/>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一、项目基本情况</w:t>
      </w:r>
      <w:bookmarkEnd w:id="6"/>
      <w:bookmarkEnd w:id="7"/>
    </w:p>
    <w:p w14:paraId="66D45AB1">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cs="宋体"/>
          <w:sz w:val="24"/>
          <w:szCs w:val="24"/>
          <w:highlight w:val="none"/>
          <w:lang w:val="en-US" w:eastAsia="zh-CN"/>
        </w:rPr>
        <w:t>XZZB-FW-2025012</w:t>
      </w:r>
    </w:p>
    <w:p w14:paraId="7BF39C78">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气象服务保障经费</w:t>
      </w:r>
    </w:p>
    <w:p w14:paraId="1453580B">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采购方式：竞争性</w:t>
      </w:r>
      <w:r>
        <w:rPr>
          <w:rFonts w:hint="eastAsia" w:ascii="宋体" w:hAnsi="宋体" w:cs="宋体"/>
          <w:sz w:val="24"/>
          <w:szCs w:val="24"/>
          <w:highlight w:val="none"/>
          <w:lang w:val="en-US" w:eastAsia="zh-CN"/>
        </w:rPr>
        <w:t>谈判</w:t>
      </w:r>
    </w:p>
    <w:p w14:paraId="0AC00620">
      <w:pPr>
        <w:keepNext w:val="0"/>
        <w:keepLines w:val="0"/>
        <w:pageBreakBefore w:val="0"/>
        <w:widowControl w:val="0"/>
        <w:kinsoku/>
        <w:overflowPunct/>
        <w:bidi w:val="0"/>
        <w:snapToGrid/>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600000</w:t>
      </w:r>
    </w:p>
    <w:p w14:paraId="49BC9A76">
      <w:pPr>
        <w:keepNext w:val="0"/>
        <w:keepLines w:val="0"/>
        <w:pageBreakBefore w:val="0"/>
        <w:widowControl w:val="0"/>
        <w:kinsoku/>
        <w:overflowPunct/>
        <w:bidi w:val="0"/>
        <w:snapToGrid/>
        <w:spacing w:line="360" w:lineRule="auto"/>
        <w:ind w:firstLine="480" w:firstLineChars="200"/>
        <w:rPr>
          <w:rFonts w:hint="default"/>
          <w:highlight w:val="none"/>
          <w:lang w:val="en-US"/>
        </w:rPr>
      </w:pPr>
      <w:r>
        <w:rPr>
          <w:rFonts w:hint="eastAsia" w:ascii="宋体" w:hAnsi="宋体" w:eastAsia="宋体" w:cs="宋体"/>
          <w:sz w:val="24"/>
          <w:szCs w:val="24"/>
          <w:highlight w:val="none"/>
          <w:lang w:val="en-US" w:eastAsia="zh-CN"/>
        </w:rPr>
        <w:t>最高限价（元）：</w:t>
      </w:r>
      <w:r>
        <w:rPr>
          <w:rFonts w:hint="eastAsia" w:ascii="宋体" w:hAnsi="宋体" w:cs="宋体"/>
          <w:sz w:val="24"/>
          <w:szCs w:val="24"/>
          <w:highlight w:val="none"/>
          <w:lang w:val="en-US" w:eastAsia="zh-CN"/>
        </w:rPr>
        <w:t>600000</w:t>
      </w:r>
    </w:p>
    <w:p w14:paraId="327BC281">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bookmarkStart w:id="8" w:name="_Toc28359090"/>
      <w:bookmarkStart w:id="9" w:name="_Toc28359013"/>
      <w:bookmarkStart w:id="10" w:name="_Toc35393630"/>
      <w:bookmarkStart w:id="11" w:name="_Toc35393799"/>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完成</w:t>
      </w:r>
      <w:r>
        <w:rPr>
          <w:rFonts w:hint="eastAsia" w:ascii="宋体" w:hAnsi="宋体" w:cs="宋体"/>
          <w:sz w:val="24"/>
          <w:szCs w:val="24"/>
          <w:highlight w:val="none"/>
          <w:lang w:eastAsia="zh-CN"/>
        </w:rPr>
        <w:t>气象服务保障经费</w:t>
      </w:r>
      <w:r>
        <w:rPr>
          <w:rFonts w:hint="eastAsia" w:ascii="宋体" w:hAnsi="宋体" w:eastAsia="宋体" w:cs="Times New Roman"/>
          <w:sz w:val="24"/>
          <w:highlight w:val="none"/>
        </w:rPr>
        <w:t>应承担的所有工作</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包括不限于</w:t>
      </w:r>
      <w:r>
        <w:rPr>
          <w:rFonts w:hint="eastAsia" w:ascii="宋体" w:hAnsi="宋体" w:eastAsia="宋体" w:cs="宋体"/>
          <w:sz w:val="24"/>
          <w:szCs w:val="24"/>
          <w:highlight w:val="none"/>
          <w:lang w:val="en-US" w:eastAsia="zh-CN"/>
        </w:rPr>
        <w:t>设备的供应、保险、税费、仓储运输、现场保管及装卸（卸至需方指定地点）、现场搬运（含二次搬运），安装调试、运行、检验及验收、移交、原有设备拆除并运至指定地点等工作，向采购人提交技术参数、技术资料（包括操作手册、维修手册及其他相关资料等）、技术咨询、用户人员培训、缺陷修补、质量保修期内的维保、售后服务等保证项目验收合格并能正常交付使用以及合同条款、项目采购需求、本</w:t>
      </w:r>
      <w:r>
        <w:rPr>
          <w:rFonts w:hint="eastAsia" w:ascii="宋体" w:hAnsi="宋体" w:cs="宋体"/>
          <w:sz w:val="24"/>
          <w:szCs w:val="24"/>
          <w:highlight w:val="none"/>
          <w:lang w:val="en-US" w:eastAsia="zh-CN"/>
        </w:rPr>
        <w:t>谈判</w:t>
      </w:r>
      <w:r>
        <w:rPr>
          <w:rFonts w:hint="eastAsia" w:ascii="宋体" w:hAnsi="宋体" w:eastAsia="宋体" w:cs="宋体"/>
          <w:sz w:val="24"/>
          <w:szCs w:val="24"/>
          <w:highlight w:val="none"/>
          <w:lang w:val="en-US" w:eastAsia="zh-CN"/>
        </w:rPr>
        <w:t>文件约定的全部内容及保修责任和义务。</w:t>
      </w:r>
    </w:p>
    <w:p w14:paraId="2F94C4A3">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其他详细内容见</w:t>
      </w:r>
      <w:r>
        <w:rPr>
          <w:rFonts w:hint="eastAsia" w:ascii="宋体" w:hAnsi="宋体" w:cs="宋体"/>
          <w:sz w:val="24"/>
          <w:szCs w:val="24"/>
          <w:highlight w:val="none"/>
          <w:lang w:val="en-US" w:eastAsia="zh-CN"/>
        </w:rPr>
        <w:t>谈判</w:t>
      </w:r>
      <w:r>
        <w:rPr>
          <w:rFonts w:hint="eastAsia" w:ascii="宋体" w:hAnsi="宋体" w:eastAsia="宋体" w:cs="宋体"/>
          <w:sz w:val="24"/>
          <w:szCs w:val="24"/>
          <w:highlight w:val="none"/>
          <w:lang w:val="en-US" w:eastAsia="zh-CN"/>
        </w:rPr>
        <w:t>文件。</w:t>
      </w:r>
    </w:p>
    <w:p w14:paraId="497438E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0000FF"/>
          <w:sz w:val="24"/>
          <w:szCs w:val="24"/>
          <w:highlight w:val="none"/>
          <w:lang w:val="en-US" w:eastAsia="zh-CN"/>
        </w:rPr>
      </w:pPr>
      <w:r>
        <w:rPr>
          <w:rFonts w:hint="eastAsia" w:ascii="宋体" w:hAnsi="宋体" w:cs="宋体"/>
          <w:color w:val="auto"/>
          <w:sz w:val="24"/>
          <w:szCs w:val="24"/>
          <w:highlight w:val="none"/>
          <w:lang w:val="en-US" w:eastAsia="zh-CN"/>
        </w:rPr>
        <w:t>供货期</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2025年</w:t>
      </w:r>
      <w:r>
        <w:rPr>
          <w:rFonts w:hint="eastAsia" w:ascii="宋体" w:hAnsi="宋体" w:cs="宋体"/>
          <w:color w:val="auto"/>
          <w:sz w:val="24"/>
          <w:highlight w:val="none"/>
          <w:lang w:val="en-US" w:eastAsia="zh-CN"/>
        </w:rPr>
        <w:t>6月30日前送货并完成安装调试、验收。</w:t>
      </w:r>
    </w:p>
    <w:p w14:paraId="63A63F36">
      <w:pPr>
        <w:keepNext w:val="0"/>
        <w:keepLines w:val="0"/>
        <w:pageBreakBefore w:val="0"/>
        <w:widowControl w:val="0"/>
        <w:kinsoku/>
        <w:wordWrap w:val="0"/>
        <w:overflowPunct/>
        <w:topLinePunct/>
        <w:bidi w:val="0"/>
        <w:snapToGrid/>
        <w:spacing w:line="360" w:lineRule="auto"/>
        <w:ind w:firstLine="480" w:firstLineChars="200"/>
        <w:rPr>
          <w:rFonts w:hint="eastAsia" w:ascii="宋体" w:hAnsi="宋体" w:eastAsia="宋体" w:cs="宋体"/>
          <w:b w:val="0"/>
          <w:bCs/>
          <w:color w:val="000000"/>
          <w:sz w:val="24"/>
          <w:szCs w:val="24"/>
          <w:highlight w:val="none"/>
        </w:rPr>
      </w:pPr>
      <w:bookmarkStart w:id="12" w:name="_Toc17658"/>
      <w:bookmarkStart w:id="13" w:name="_Toc3918"/>
      <w:r>
        <w:rPr>
          <w:rFonts w:hint="eastAsia" w:ascii="宋体" w:hAnsi="宋体" w:eastAsia="宋体" w:cs="宋体"/>
          <w:b w:val="0"/>
          <w:bCs/>
          <w:color w:val="000000"/>
          <w:sz w:val="24"/>
          <w:szCs w:val="24"/>
          <w:highlight w:val="none"/>
        </w:rPr>
        <w:t>本项目不接受联合体投标。</w:t>
      </w:r>
    </w:p>
    <w:p w14:paraId="7BD7C11A">
      <w:pPr>
        <w:keepNext w:val="0"/>
        <w:keepLines w:val="0"/>
        <w:pageBreakBefore w:val="0"/>
        <w:widowControl w:val="0"/>
        <w:kinsoku/>
        <w:wordWrap w:val="0"/>
        <w:overflowPunct/>
        <w:topLinePunct/>
        <w:bidi w:val="0"/>
        <w:snapToGrid/>
        <w:spacing w:line="360" w:lineRule="auto"/>
        <w:ind w:firstLine="482" w:firstLineChars="200"/>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二、申请人的资格要求</w:t>
      </w:r>
      <w:bookmarkEnd w:id="8"/>
      <w:bookmarkEnd w:id="9"/>
      <w:bookmarkEnd w:id="10"/>
      <w:bookmarkEnd w:id="11"/>
      <w:bookmarkEnd w:id="12"/>
      <w:bookmarkEnd w:id="13"/>
    </w:p>
    <w:p w14:paraId="7CEF4F38">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rPr>
      </w:pPr>
      <w:bookmarkStart w:id="14" w:name="_Toc13180"/>
      <w:bookmarkStart w:id="15" w:name="_Toc8748"/>
      <w:r>
        <w:rPr>
          <w:rFonts w:hint="eastAsia" w:ascii="宋体" w:hAnsi="宋体" w:eastAsia="宋体" w:cs="宋体"/>
          <w:sz w:val="24"/>
          <w:szCs w:val="24"/>
          <w:highlight w:val="none"/>
          <w:lang w:val="en-US" w:eastAsia="zh-CN"/>
        </w:rPr>
        <w:t>（一）</w:t>
      </w:r>
      <w:bookmarkStart w:id="16" w:name="_Toc28359081"/>
      <w:bookmarkStart w:id="17" w:name="_Toc35393623"/>
      <w:bookmarkStart w:id="18" w:name="_Toc35393792"/>
      <w:bookmarkStart w:id="19" w:name="_Toc28359004"/>
      <w:r>
        <w:rPr>
          <w:rFonts w:hint="eastAsia" w:ascii="宋体" w:hAnsi="宋体" w:eastAsia="宋体" w:cs="宋体"/>
          <w:sz w:val="24"/>
          <w:szCs w:val="24"/>
          <w:highlight w:val="none"/>
        </w:rPr>
        <w:t>满足《中华人民共和国政府采购法》第二十二条规定；</w:t>
      </w:r>
    </w:p>
    <w:p w14:paraId="36354B8D">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（二）落实政府采购政策需满足的资格要求：本项目专门面向</w:t>
      </w:r>
      <w:r>
        <w:rPr>
          <w:rFonts w:hint="eastAsia" w:ascii="宋体" w:hAnsi="宋体" w:cs="宋体"/>
          <w:sz w:val="24"/>
          <w:szCs w:val="24"/>
          <w:highlight w:val="none"/>
          <w:lang w:val="en-US" w:eastAsia="zh-CN"/>
        </w:rPr>
        <w:t>小微</w:t>
      </w:r>
      <w:r>
        <w:rPr>
          <w:rFonts w:hint="eastAsia" w:ascii="宋体" w:hAnsi="宋体" w:eastAsia="宋体" w:cs="宋体"/>
          <w:sz w:val="24"/>
          <w:szCs w:val="24"/>
          <w:highlight w:val="none"/>
          <w:lang w:val="en-US" w:eastAsia="zh-CN"/>
        </w:rPr>
        <w:t>企业</w:t>
      </w:r>
      <w:r>
        <w:rPr>
          <w:rFonts w:hint="eastAsia" w:ascii="宋体" w:hAnsi="宋体" w:cs="宋体"/>
          <w:sz w:val="24"/>
          <w:szCs w:val="24"/>
          <w:highlight w:val="none"/>
          <w:lang w:val="en-US" w:eastAsia="zh-CN"/>
        </w:rPr>
        <w:t>；</w:t>
      </w:r>
    </w:p>
    <w:p w14:paraId="15A317FF">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（三）本项目的特定资格要求：无 </w:t>
      </w:r>
    </w:p>
    <w:bookmarkEnd w:id="16"/>
    <w:bookmarkEnd w:id="17"/>
    <w:bookmarkEnd w:id="18"/>
    <w:bookmarkEnd w:id="19"/>
    <w:p w14:paraId="49FDFE52">
      <w:pPr>
        <w:keepNext w:val="0"/>
        <w:keepLines w:val="0"/>
        <w:pageBreakBefore w:val="0"/>
        <w:widowControl w:val="0"/>
        <w:kinsoku/>
        <w:wordWrap w:val="0"/>
        <w:overflowPunct/>
        <w:topLinePunct/>
        <w:bidi w:val="0"/>
        <w:snapToGrid/>
        <w:spacing w:line="360" w:lineRule="auto"/>
        <w:ind w:firstLine="482" w:firstLineChars="200"/>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三、获取采购文件</w:t>
      </w:r>
      <w:bookmarkEnd w:id="14"/>
      <w:bookmarkEnd w:id="15"/>
    </w:p>
    <w:p w14:paraId="3A08B713">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bookmarkStart w:id="20" w:name="_Toc28359092"/>
      <w:bookmarkStart w:id="21" w:name="_Toc35393801"/>
      <w:bookmarkStart w:id="22" w:name="_Toc28359015"/>
      <w:bookmarkStart w:id="23" w:name="_Toc35393632"/>
      <w:r>
        <w:rPr>
          <w:rFonts w:hint="eastAsia" w:ascii="宋体" w:hAnsi="宋体" w:eastAsia="宋体" w:cs="宋体"/>
          <w:sz w:val="24"/>
          <w:szCs w:val="24"/>
          <w:highlight w:val="none"/>
          <w:lang w:val="en-US" w:eastAsia="zh-CN"/>
        </w:rPr>
        <w:t xml:space="preserve">   1.时间：</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 xml:space="preserve"> 06</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19</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至</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06</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23</w:t>
      </w:r>
      <w:r>
        <w:rPr>
          <w:rFonts w:hint="eastAsia" w:ascii="宋体" w:hAnsi="宋体" w:cs="宋体"/>
          <w:sz w:val="24"/>
          <w:szCs w:val="24"/>
          <w:highlight w:val="none"/>
          <w:lang w:eastAsia="zh-CN"/>
        </w:rPr>
        <w:t>日</w:t>
      </w:r>
      <w:r>
        <w:rPr>
          <w:rFonts w:hint="eastAsia" w:ascii="宋体" w:hAnsi="宋体" w:eastAsia="宋体" w:cs="宋体"/>
          <w:sz w:val="24"/>
          <w:szCs w:val="24"/>
          <w:highlight w:val="none"/>
          <w:lang w:val="en-US" w:eastAsia="zh-CN"/>
        </w:rPr>
        <w:t>，每天上午00:00至12:00，下午12:00至23：59（北京时间，法定节假日除外）。</w:t>
      </w:r>
    </w:p>
    <w:p w14:paraId="1A7D8553">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2.地点：新疆政府采购网政采云平台（www.zcygov.cn） </w:t>
      </w:r>
    </w:p>
    <w:p w14:paraId="5C38AD8D">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3.方式：</w:t>
      </w:r>
      <w:bookmarkStart w:id="24" w:name="_Toc23684"/>
      <w:bookmarkStart w:id="25" w:name="_Toc26021"/>
      <w:r>
        <w:rPr>
          <w:rFonts w:hint="eastAsia" w:ascii="宋体" w:hAnsi="宋体" w:eastAsia="宋体" w:cs="宋体"/>
          <w:sz w:val="24"/>
          <w:szCs w:val="24"/>
          <w:highlight w:val="none"/>
          <w:lang w:val="en-US" w:eastAsia="zh-CN"/>
        </w:rPr>
        <w:t>供应商登录政采云平台https://www.zcygov.cn/在线申请获取采购文件（进入“项目采购”应用，在获取采购文件菜单中选择项目，申请获取采购文件）</w:t>
      </w:r>
    </w:p>
    <w:p w14:paraId="46A51E48">
      <w:pPr>
        <w:keepNext w:val="0"/>
        <w:keepLines w:val="0"/>
        <w:pageBreakBefore w:val="0"/>
        <w:widowControl w:val="0"/>
        <w:kinsoku/>
        <w:overflowPunct/>
        <w:bidi w:val="0"/>
        <w:snapToGrid/>
        <w:spacing w:line="360" w:lineRule="auto"/>
        <w:ind w:firstLine="482" w:firstLineChars="200"/>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四、</w:t>
      </w:r>
      <w:bookmarkEnd w:id="20"/>
      <w:bookmarkEnd w:id="21"/>
      <w:bookmarkEnd w:id="22"/>
      <w:bookmarkEnd w:id="23"/>
      <w:bookmarkEnd w:id="24"/>
      <w:bookmarkEnd w:id="25"/>
      <w:r>
        <w:rPr>
          <w:rFonts w:hint="eastAsia" w:ascii="宋体" w:hAnsi="宋体" w:eastAsia="宋体" w:cs="宋体"/>
          <w:b/>
          <w:bCs/>
          <w:color w:val="auto"/>
          <w:sz w:val="24"/>
          <w:szCs w:val="24"/>
          <w:highlight w:val="none"/>
        </w:rPr>
        <w:t>响应文件提交</w:t>
      </w:r>
    </w:p>
    <w:p w14:paraId="580F5B61">
      <w:pPr>
        <w:spacing w:line="360" w:lineRule="auto"/>
        <w:ind w:firstLine="480" w:firstLineChars="200"/>
        <w:rPr>
          <w:rStyle w:val="25"/>
          <w:rFonts w:hint="eastAsia" w:ascii="宋体" w:hAnsi="宋体" w:eastAsia="宋体" w:cs="宋体"/>
          <w:b w:val="0"/>
          <w:bCs/>
          <w:color w:val="auto"/>
          <w:kern w:val="0"/>
          <w:sz w:val="24"/>
          <w:szCs w:val="22"/>
          <w:highlight w:val="none"/>
        </w:rPr>
      </w:pPr>
      <w:bookmarkStart w:id="26" w:name="_Toc28359016"/>
      <w:bookmarkStart w:id="27" w:name="_Toc35393802"/>
      <w:bookmarkStart w:id="28" w:name="_Toc35393633"/>
      <w:bookmarkStart w:id="29" w:name="_Toc28359093"/>
      <w:r>
        <w:rPr>
          <w:rStyle w:val="25"/>
          <w:rFonts w:hint="eastAsia" w:ascii="宋体" w:hAnsi="宋体" w:eastAsia="宋体" w:cs="宋体"/>
          <w:b w:val="0"/>
          <w:bCs/>
          <w:color w:val="auto"/>
          <w:kern w:val="0"/>
          <w:sz w:val="24"/>
          <w:szCs w:val="22"/>
          <w:highlight w:val="none"/>
        </w:rPr>
        <w:t>截止时间：</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06</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24</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上午10:30</w:t>
      </w:r>
      <w:r>
        <w:rPr>
          <w:rStyle w:val="25"/>
          <w:rFonts w:hint="eastAsia" w:ascii="宋体" w:hAnsi="宋体" w:eastAsia="宋体" w:cs="宋体"/>
          <w:b w:val="0"/>
          <w:bCs/>
          <w:color w:val="auto"/>
          <w:kern w:val="0"/>
          <w:sz w:val="24"/>
          <w:szCs w:val="22"/>
          <w:highlight w:val="none"/>
        </w:rPr>
        <w:t>（北京时间）</w:t>
      </w:r>
    </w:p>
    <w:p w14:paraId="35A30E1E">
      <w:pPr>
        <w:spacing w:line="360" w:lineRule="auto"/>
        <w:ind w:firstLine="480" w:firstLineChars="200"/>
        <w:rPr>
          <w:rFonts w:hint="eastAsia" w:ascii="宋体" w:hAnsi="宋体" w:eastAsia="宋体" w:cs="宋体"/>
          <w:sz w:val="24"/>
          <w:szCs w:val="24"/>
          <w:highlight w:val="none"/>
          <w:lang w:val="en-US" w:eastAsia="zh-CN"/>
        </w:rPr>
      </w:pPr>
      <w:r>
        <w:rPr>
          <w:rStyle w:val="25"/>
          <w:rFonts w:hint="eastAsia" w:ascii="宋体" w:hAnsi="宋体" w:eastAsia="宋体" w:cs="宋体"/>
          <w:b w:val="0"/>
          <w:bCs/>
          <w:color w:val="auto"/>
          <w:kern w:val="0"/>
          <w:sz w:val="24"/>
          <w:szCs w:val="22"/>
          <w:highlight w:val="none"/>
        </w:rPr>
        <w:t>地点：</w:t>
      </w:r>
      <w:r>
        <w:rPr>
          <w:rFonts w:hint="eastAsia" w:ascii="宋体" w:hAnsi="宋体" w:eastAsia="宋体" w:cs="宋体"/>
          <w:bCs/>
          <w:color w:val="auto"/>
          <w:kern w:val="0"/>
          <w:sz w:val="24"/>
          <w:szCs w:val="22"/>
          <w:highlight w:val="none"/>
        </w:rPr>
        <w:t>新疆政府采购网政采云平台（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"http://www.zcygov.cn"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 w:val="24"/>
          <w:szCs w:val="22"/>
          <w:highlight w:val="none"/>
        </w:rPr>
        <w:t>www.zcygov.cn</w:t>
      </w:r>
      <w:r>
        <w:rPr>
          <w:rFonts w:hint="eastAsia" w:ascii="宋体" w:hAnsi="宋体" w:eastAsia="宋体" w:cs="宋体"/>
          <w:bCs/>
          <w:color w:val="auto"/>
          <w:kern w:val="0"/>
          <w:sz w:val="24"/>
          <w:szCs w:val="22"/>
          <w:highlight w:val="none"/>
        </w:rPr>
        <w:fldChar w:fldCharType="end"/>
      </w:r>
      <w:r>
        <w:rPr>
          <w:rFonts w:hint="eastAsia" w:ascii="宋体" w:hAnsi="宋体" w:eastAsia="宋体" w:cs="宋体"/>
          <w:bCs/>
          <w:color w:val="auto"/>
          <w:kern w:val="0"/>
          <w:sz w:val="24"/>
          <w:szCs w:val="22"/>
          <w:highlight w:val="none"/>
        </w:rPr>
        <w:t>）</w:t>
      </w:r>
      <w:r>
        <w:rPr>
          <w:rFonts w:hint="eastAsia" w:ascii="宋体" w:hAnsi="宋体" w:eastAsia="宋体" w:cs="宋体"/>
          <w:sz w:val="24"/>
          <w:szCs w:val="24"/>
          <w:highlight w:val="none"/>
          <w:lang w:val="en-US" w:eastAsia="zh-CN"/>
        </w:rPr>
        <w:t> </w:t>
      </w:r>
    </w:p>
    <w:p w14:paraId="72EE67D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开启</w:t>
      </w:r>
    </w:p>
    <w:bookmarkEnd w:id="26"/>
    <w:bookmarkEnd w:id="27"/>
    <w:bookmarkEnd w:id="28"/>
    <w:bookmarkEnd w:id="29"/>
    <w:p w14:paraId="338CEB7D">
      <w:pPr>
        <w:spacing w:line="360" w:lineRule="auto"/>
        <w:ind w:firstLine="480" w:firstLineChars="200"/>
        <w:rPr>
          <w:rStyle w:val="25"/>
          <w:rFonts w:hint="eastAsia" w:ascii="宋体" w:hAnsi="宋体" w:eastAsia="宋体" w:cs="宋体"/>
          <w:b w:val="0"/>
          <w:bCs/>
          <w:color w:val="auto"/>
          <w:kern w:val="0"/>
          <w:sz w:val="24"/>
          <w:szCs w:val="22"/>
          <w:highlight w:val="none"/>
        </w:rPr>
      </w:pPr>
      <w:bookmarkStart w:id="30" w:name="_Toc18495"/>
      <w:bookmarkStart w:id="31" w:name="_Toc1186"/>
      <w:r>
        <w:rPr>
          <w:rStyle w:val="25"/>
          <w:rFonts w:hint="eastAsia" w:ascii="宋体" w:hAnsi="宋体" w:eastAsia="宋体" w:cs="宋体"/>
          <w:b w:val="0"/>
          <w:bCs/>
          <w:color w:val="auto"/>
          <w:kern w:val="0"/>
          <w:sz w:val="24"/>
          <w:szCs w:val="22"/>
          <w:highlight w:val="none"/>
        </w:rPr>
        <w:t>时</w:t>
      </w:r>
      <w:r>
        <w:rPr>
          <w:rStyle w:val="25"/>
          <w:rFonts w:hint="eastAsia" w:ascii="宋体" w:hAnsi="宋体" w:cs="宋体"/>
          <w:b w:val="0"/>
          <w:bCs/>
          <w:color w:val="auto"/>
          <w:kern w:val="0"/>
          <w:sz w:val="24"/>
          <w:szCs w:val="22"/>
          <w:highlight w:val="none"/>
          <w:lang w:val="en-US" w:eastAsia="zh-CN"/>
        </w:rPr>
        <w:t xml:space="preserve">    </w:t>
      </w:r>
      <w:r>
        <w:rPr>
          <w:rStyle w:val="25"/>
          <w:rFonts w:hint="eastAsia" w:ascii="宋体" w:hAnsi="宋体" w:eastAsia="宋体" w:cs="宋体"/>
          <w:b w:val="0"/>
          <w:bCs/>
          <w:color w:val="auto"/>
          <w:kern w:val="0"/>
          <w:sz w:val="24"/>
          <w:szCs w:val="22"/>
          <w:highlight w:val="none"/>
        </w:rPr>
        <w:t>间：</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06</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24</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上午10:30</w:t>
      </w:r>
      <w:r>
        <w:rPr>
          <w:rStyle w:val="25"/>
          <w:rFonts w:hint="eastAsia" w:ascii="宋体" w:hAnsi="宋体" w:eastAsia="宋体" w:cs="宋体"/>
          <w:b w:val="0"/>
          <w:bCs/>
          <w:color w:val="auto"/>
          <w:kern w:val="0"/>
          <w:sz w:val="24"/>
          <w:szCs w:val="22"/>
          <w:highlight w:val="none"/>
        </w:rPr>
        <w:t>（北京时间）</w:t>
      </w:r>
    </w:p>
    <w:p w14:paraId="03BDA805">
      <w:pPr>
        <w:spacing w:line="360" w:lineRule="auto"/>
        <w:ind w:firstLine="480" w:firstLineChars="200"/>
        <w:rPr>
          <w:rStyle w:val="25"/>
          <w:rFonts w:hint="eastAsia" w:ascii="宋体" w:hAnsi="宋体" w:eastAsia="宋体" w:cs="宋体"/>
          <w:b w:val="0"/>
          <w:bCs/>
          <w:color w:val="auto"/>
          <w:kern w:val="0"/>
          <w:sz w:val="24"/>
          <w:szCs w:val="22"/>
          <w:highlight w:val="none"/>
        </w:rPr>
      </w:pPr>
      <w:r>
        <w:rPr>
          <w:rStyle w:val="25"/>
          <w:rFonts w:hint="eastAsia" w:ascii="宋体" w:hAnsi="宋体" w:eastAsia="宋体" w:cs="宋体"/>
          <w:b w:val="0"/>
          <w:bCs/>
          <w:color w:val="auto"/>
          <w:kern w:val="0"/>
          <w:sz w:val="24"/>
          <w:szCs w:val="22"/>
          <w:highlight w:val="none"/>
        </w:rPr>
        <w:t>地</w:t>
      </w:r>
      <w:r>
        <w:rPr>
          <w:rStyle w:val="25"/>
          <w:rFonts w:hint="eastAsia" w:ascii="宋体" w:hAnsi="宋体" w:cs="宋体"/>
          <w:b w:val="0"/>
          <w:bCs/>
          <w:color w:val="auto"/>
          <w:kern w:val="0"/>
          <w:sz w:val="24"/>
          <w:szCs w:val="22"/>
          <w:highlight w:val="none"/>
          <w:lang w:val="en-US" w:eastAsia="zh-CN"/>
        </w:rPr>
        <w:t xml:space="preserve">    </w:t>
      </w:r>
      <w:r>
        <w:rPr>
          <w:rStyle w:val="25"/>
          <w:rFonts w:hint="eastAsia" w:ascii="宋体" w:hAnsi="宋体" w:eastAsia="宋体" w:cs="宋体"/>
          <w:b w:val="0"/>
          <w:bCs/>
          <w:color w:val="auto"/>
          <w:kern w:val="0"/>
          <w:sz w:val="24"/>
          <w:szCs w:val="22"/>
          <w:highlight w:val="none"/>
        </w:rPr>
        <w:t>点：</w:t>
      </w:r>
      <w:r>
        <w:rPr>
          <w:rFonts w:hint="eastAsia" w:ascii="宋体" w:hAnsi="宋体" w:eastAsia="宋体" w:cs="宋体"/>
          <w:bCs/>
          <w:color w:val="auto"/>
          <w:kern w:val="0"/>
          <w:sz w:val="24"/>
          <w:szCs w:val="22"/>
          <w:highlight w:val="none"/>
        </w:rPr>
        <w:t>新疆政府采购网政采云平台（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"http://www.zcygov.cn"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 w:val="24"/>
          <w:szCs w:val="22"/>
          <w:highlight w:val="none"/>
        </w:rPr>
        <w:t>www.zcygov.cn</w:t>
      </w:r>
      <w:r>
        <w:rPr>
          <w:rFonts w:hint="eastAsia" w:ascii="宋体" w:hAnsi="宋体" w:eastAsia="宋体" w:cs="宋体"/>
          <w:bCs/>
          <w:color w:val="auto"/>
          <w:kern w:val="0"/>
          <w:sz w:val="24"/>
          <w:szCs w:val="22"/>
          <w:highlight w:val="none"/>
        </w:rPr>
        <w:fldChar w:fldCharType="end"/>
      </w:r>
      <w:r>
        <w:rPr>
          <w:rFonts w:hint="eastAsia" w:ascii="宋体" w:hAnsi="宋体" w:eastAsia="宋体" w:cs="宋体"/>
          <w:bCs/>
          <w:color w:val="auto"/>
          <w:kern w:val="0"/>
          <w:sz w:val="24"/>
          <w:szCs w:val="22"/>
          <w:highlight w:val="none"/>
        </w:rPr>
        <w:t>）</w:t>
      </w:r>
    </w:p>
    <w:p w14:paraId="3A7D4EC9">
      <w:pPr>
        <w:keepNext w:val="0"/>
        <w:keepLines w:val="0"/>
        <w:pageBreakBefore w:val="0"/>
        <w:widowControl w:val="0"/>
        <w:kinsoku/>
        <w:wordWrap w:val="0"/>
        <w:overflowPunct/>
        <w:topLinePunct/>
        <w:bidi w:val="0"/>
        <w:snapToGrid/>
        <w:spacing w:line="360" w:lineRule="auto"/>
        <w:ind w:firstLine="482" w:firstLineChars="200"/>
        <w:rPr>
          <w:rFonts w:hint="eastAsia" w:ascii="宋体" w:hAnsi="宋体" w:eastAsia="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六</w:t>
      </w:r>
      <w:r>
        <w:rPr>
          <w:rFonts w:hint="eastAsia" w:ascii="宋体" w:hAnsi="宋体" w:eastAsia="宋体" w:cs="宋体"/>
          <w:b/>
          <w:bCs w:val="0"/>
          <w:color w:val="000000"/>
          <w:sz w:val="24"/>
          <w:szCs w:val="24"/>
          <w:highlight w:val="none"/>
          <w:lang w:val="en-US" w:eastAsia="zh-CN"/>
        </w:rPr>
        <w:t>、公告期限</w:t>
      </w:r>
      <w:bookmarkEnd w:id="30"/>
      <w:bookmarkEnd w:id="31"/>
    </w:p>
    <w:p w14:paraId="5C16D5E1">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自本公告发布之日起3工作日。</w:t>
      </w:r>
    </w:p>
    <w:p w14:paraId="1D40C0E2">
      <w:pPr>
        <w:keepNext w:val="0"/>
        <w:keepLines w:val="0"/>
        <w:pageBreakBefore w:val="0"/>
        <w:widowControl w:val="0"/>
        <w:kinsoku/>
        <w:wordWrap w:val="0"/>
        <w:overflowPunct/>
        <w:topLinePunct/>
        <w:bidi w:val="0"/>
        <w:snapToGrid/>
        <w:spacing w:line="360" w:lineRule="auto"/>
        <w:ind w:firstLine="482" w:firstLineChars="200"/>
        <w:rPr>
          <w:rFonts w:hint="eastAsia" w:ascii="宋体" w:hAnsi="宋体" w:eastAsia="宋体" w:cs="宋体"/>
          <w:b/>
          <w:bCs w:val="0"/>
          <w:color w:val="000000"/>
          <w:sz w:val="24"/>
          <w:szCs w:val="24"/>
          <w:highlight w:val="none"/>
          <w:lang w:val="en-US" w:eastAsia="zh-CN"/>
        </w:rPr>
      </w:pPr>
      <w:bookmarkStart w:id="32" w:name="_Toc30113"/>
      <w:bookmarkStart w:id="33" w:name="_Toc35393635"/>
      <w:bookmarkStart w:id="34" w:name="_Toc24586"/>
      <w:bookmarkStart w:id="35" w:name="_Toc35393804"/>
      <w:r>
        <w:rPr>
          <w:rFonts w:hint="eastAsia" w:ascii="宋体" w:hAnsi="宋体" w:cs="宋体"/>
          <w:b/>
          <w:bCs w:val="0"/>
          <w:color w:val="000000"/>
          <w:sz w:val="24"/>
          <w:szCs w:val="24"/>
          <w:highlight w:val="none"/>
          <w:lang w:val="en-US" w:eastAsia="zh-CN"/>
        </w:rPr>
        <w:t>七</w:t>
      </w:r>
      <w:r>
        <w:rPr>
          <w:rFonts w:hint="eastAsia" w:ascii="宋体" w:hAnsi="宋体" w:eastAsia="宋体" w:cs="宋体"/>
          <w:b/>
          <w:bCs w:val="0"/>
          <w:color w:val="000000"/>
          <w:sz w:val="24"/>
          <w:szCs w:val="24"/>
          <w:highlight w:val="none"/>
          <w:lang w:val="en-US" w:eastAsia="zh-CN"/>
        </w:rPr>
        <w:t>、其他补充事宜</w:t>
      </w:r>
      <w:bookmarkEnd w:id="32"/>
      <w:bookmarkEnd w:id="33"/>
      <w:bookmarkEnd w:id="34"/>
      <w:bookmarkEnd w:id="35"/>
    </w:p>
    <w:p w14:paraId="0F32A5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bookmarkStart w:id="36" w:name="_Toc27802"/>
      <w:bookmarkStart w:id="37" w:name="_Toc1786"/>
      <w:r>
        <w:rPr>
          <w:rFonts w:hint="eastAsia" w:ascii="宋体" w:hAnsi="宋体" w:eastAsia="宋体" w:cs="宋体"/>
          <w:sz w:val="24"/>
          <w:szCs w:val="24"/>
          <w:lang w:val="en-US" w:eastAsia="zh-CN"/>
        </w:rPr>
        <w:t>1、本项目为电子招投标项目，供应商需要使用CA加密设备，凡参加本项目供应商可通过新疆数字证书认证中心官网（https://www.xjca.com.cn/）或下载“新疆政务通”APP自行进行线上申领，或前往新疆克拉玛依市克拉玛依区迎宾路75号（中国银行大厦11楼营业部）或新疆克拉玛依市独山子区大庆东路3039号（市民服务中心三楼大厅）进行线下办理。如有操作性问题可与政采云在线客服进行咨询，咨询电话：400-881-7190。</w:t>
      </w:r>
    </w:p>
    <w:p w14:paraId="324A37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2、本项目实行网上投标，采用电子响应文件，若供应商参与</w:t>
      </w:r>
      <w:r>
        <w:rPr>
          <w:rFonts w:hint="eastAsia" w:ascii="宋体" w:hAnsi="宋体" w:cs="宋体"/>
          <w:sz w:val="24"/>
          <w:szCs w:val="24"/>
          <w:lang w:val="en-US" w:eastAsia="zh-CN"/>
        </w:rPr>
        <w:t>谈判</w:t>
      </w:r>
      <w:r>
        <w:rPr>
          <w:rFonts w:hint="eastAsia" w:ascii="宋体" w:hAnsi="宋体" w:eastAsia="宋体" w:cs="宋体"/>
          <w:sz w:val="24"/>
          <w:szCs w:val="24"/>
          <w:lang w:val="en-US" w:eastAsia="zh-CN"/>
        </w:rPr>
        <w:t>，应自行承担投标一切费用。</w:t>
      </w:r>
    </w:p>
    <w:p w14:paraId="051A19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3、供应商应在</w:t>
      </w:r>
      <w:r>
        <w:rPr>
          <w:rFonts w:hint="eastAsia" w:ascii="宋体" w:hAnsi="宋体" w:cs="宋体"/>
          <w:sz w:val="24"/>
          <w:szCs w:val="24"/>
          <w:lang w:val="en-US" w:eastAsia="zh-CN"/>
        </w:rPr>
        <w:t>谈判</w:t>
      </w:r>
      <w:r>
        <w:rPr>
          <w:rFonts w:hint="eastAsia" w:ascii="宋体" w:hAnsi="宋体" w:eastAsia="宋体" w:cs="宋体"/>
          <w:sz w:val="24"/>
          <w:szCs w:val="24"/>
          <w:lang w:val="en-US" w:eastAsia="zh-CN"/>
        </w:rPr>
        <w:t>前应确保成为新疆政府采购网正式注册入库供应商，并完成CA数字证书申领。因未注册入库、未办理CA数字证书等原因造成无法递交电子版响应文件或递交电子响应文件失败等后果由供应商自行承担。</w:t>
      </w:r>
    </w:p>
    <w:p w14:paraId="2EE221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新疆政府采购网（www.ccgp-xinjiang.gov.cn）下载专区查看，如有问题可拨打政采云客户服务热线400-881-7190进行咨询。</w:t>
      </w:r>
    </w:p>
    <w:p w14:paraId="67317B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5、供应商应当在递交电子响应文件截止时间前，将生成的“电子加密响应文件”上传递交至“政府采购云平台”，递交电子响应文件截止时间以后上传递交的响应文件将被“政府采购云平台”拒收。</w:t>
      </w:r>
    </w:p>
    <w:p w14:paraId="1B6FCE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6、供应商登录政采云平台，在</w:t>
      </w:r>
      <w:r>
        <w:rPr>
          <w:rFonts w:hint="eastAsia" w:ascii="宋体" w:hAnsi="宋体" w:cs="宋体"/>
          <w:sz w:val="24"/>
          <w:szCs w:val="24"/>
          <w:lang w:val="en-US" w:eastAsia="zh-CN"/>
        </w:rPr>
        <w:t>谈判</w:t>
      </w:r>
      <w:r>
        <w:rPr>
          <w:rFonts w:hint="eastAsia" w:ascii="宋体" w:hAnsi="宋体" w:eastAsia="宋体" w:cs="宋体"/>
          <w:sz w:val="24"/>
          <w:szCs w:val="24"/>
          <w:lang w:val="en-US" w:eastAsia="zh-CN"/>
        </w:rPr>
        <w:t>时间后30分钟内用“项目采购-开标评标”功能进行解密响应文件。若供应商在规定时间内未按时解密的，视为无效响应。解密与加密响应文件须使用同一个CA。</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特别提示：</w:t>
      </w:r>
    </w:p>
    <w:p w14:paraId="2511FF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1、采购限额标准以上，200万元以下的货物和服务采购项目、400万元以下的工程采购项目，适宜由中小企业提供的，采购人应当专门面向中小企业采购。</w:t>
      </w:r>
    </w:p>
    <w:p w14:paraId="290615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35A5FB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9F71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  </w:t>
      </w:r>
    </w:p>
    <w:p w14:paraId="7F40132E">
      <w:pPr>
        <w:keepNext w:val="0"/>
        <w:keepLines w:val="0"/>
        <w:pageBreakBefore w:val="0"/>
        <w:widowControl w:val="0"/>
        <w:kinsoku/>
        <w:wordWrap w:val="0"/>
        <w:overflowPunct/>
        <w:topLinePunct/>
        <w:bidi w:val="0"/>
        <w:snapToGrid/>
        <w:spacing w:line="360" w:lineRule="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七、凡对本次采购提出询问，请按以下方式联系。</w:t>
      </w:r>
      <w:bookmarkEnd w:id="36"/>
      <w:bookmarkEnd w:id="37"/>
    </w:p>
    <w:p w14:paraId="65E94A2E">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bookmarkStart w:id="38" w:name="_Toc20031"/>
      <w:r>
        <w:rPr>
          <w:rFonts w:hint="eastAsia" w:ascii="宋体" w:hAnsi="宋体" w:eastAsia="宋体" w:cs="宋体"/>
          <w:sz w:val="24"/>
          <w:szCs w:val="24"/>
          <w:highlight w:val="none"/>
          <w:lang w:val="en-US" w:eastAsia="zh-CN"/>
        </w:rPr>
        <w:t>1.采购人信息</w:t>
      </w:r>
      <w:bookmarkEnd w:id="38"/>
    </w:p>
    <w:p w14:paraId="4E47E1E5">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称：</w:t>
      </w:r>
      <w:r>
        <w:rPr>
          <w:rFonts w:hint="eastAsia" w:ascii="宋体" w:hAnsi="宋体" w:cs="宋体"/>
          <w:sz w:val="24"/>
          <w:szCs w:val="24"/>
          <w:highlight w:val="none"/>
          <w:lang w:val="en-US" w:eastAsia="zh-CN"/>
        </w:rPr>
        <w:t>克拉玛依市气象局</w:t>
      </w:r>
    </w:p>
    <w:p w14:paraId="2E1241F2">
      <w:pPr>
        <w:keepNext w:val="0"/>
        <w:keepLines w:val="0"/>
        <w:pageBreakBefore w:val="0"/>
        <w:widowControl w:val="0"/>
        <w:kinsoku/>
        <w:overflowPunct/>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址：</w:t>
      </w:r>
      <w:bookmarkStart w:id="39" w:name="_Toc28359009"/>
      <w:bookmarkStart w:id="40" w:name="_Toc28359086"/>
      <w:r>
        <w:rPr>
          <w:rFonts w:hint="eastAsia" w:ascii="宋体" w:hAnsi="宋体" w:cs="宋体"/>
          <w:color w:val="auto"/>
          <w:sz w:val="24"/>
          <w:szCs w:val="24"/>
          <w:highlight w:val="none"/>
          <w:lang w:val="en-US" w:eastAsia="zh-CN"/>
        </w:rPr>
        <w:t>克拉玛依市纬六路</w:t>
      </w:r>
    </w:p>
    <w:p w14:paraId="39FA0005">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w:t>
      </w:r>
      <w:bookmarkStart w:id="41" w:name="_Toc18899"/>
      <w:r>
        <w:rPr>
          <w:rFonts w:hint="eastAsia" w:ascii="宋体" w:hAnsi="宋体" w:cs="宋体"/>
          <w:sz w:val="24"/>
          <w:szCs w:val="24"/>
          <w:highlight w:val="none"/>
          <w:lang w:val="en-US" w:eastAsia="zh-CN"/>
        </w:rPr>
        <w:t>13999312631</w:t>
      </w:r>
    </w:p>
    <w:p w14:paraId="23199D2E">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bookmarkEnd w:id="39"/>
      <w:bookmarkEnd w:id="40"/>
      <w:bookmarkEnd w:id="41"/>
    </w:p>
    <w:p w14:paraId="359B3C7D">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称：新疆新咨工程咨询有限公司</w:t>
      </w:r>
    </w:p>
    <w:p w14:paraId="1CB02E06">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址：新疆克拉玛依市克拉玛依区新兴路108-201号</w:t>
      </w:r>
    </w:p>
    <w:p w14:paraId="5064B830">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kern w:val="2"/>
          <w:sz w:val="24"/>
          <w:highlight w:val="none"/>
          <w:lang w:val="en-US" w:eastAsia="zh-CN" w:bidi="ar-SA"/>
        </w:rPr>
      </w:pPr>
      <w:r>
        <w:rPr>
          <w:rFonts w:hint="eastAsia" w:ascii="宋体" w:hAnsi="宋体" w:eastAsia="宋体" w:cs="宋体"/>
          <w:sz w:val="24"/>
          <w:szCs w:val="24"/>
          <w:highlight w:val="none"/>
          <w:lang w:val="en-US" w:eastAsia="zh-CN"/>
        </w:rPr>
        <w:t>联系方式：</w:t>
      </w:r>
      <w:r>
        <w:rPr>
          <w:rFonts w:hint="eastAsia" w:ascii="宋体" w:hAnsi="宋体" w:eastAsia="宋体" w:cs="宋体"/>
          <w:bCs/>
          <w:sz w:val="24"/>
          <w:szCs w:val="24"/>
          <w:highlight w:val="none"/>
          <w:lang w:val="en-US" w:eastAsia="zh-CN"/>
        </w:rPr>
        <w:t xml:space="preserve">0990-6227911、18690635205 </w:t>
      </w:r>
    </w:p>
    <w:p w14:paraId="7017A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42" w:name="_Toc28359021"/>
      <w:bookmarkStart w:id="43" w:name="_Toc28359098"/>
      <w:bookmarkStart w:id="44" w:name="_Toc35393639"/>
      <w:bookmarkStart w:id="45" w:name="_Toc35393808"/>
      <w:bookmarkStart w:id="46" w:name="_Toc2952"/>
      <w:bookmarkStart w:id="47" w:name="_Toc2401"/>
      <w:bookmarkStart w:id="48" w:name="_Toc22784"/>
      <w:bookmarkStart w:id="49" w:name="_Toc27035"/>
      <w:r>
        <w:rPr>
          <w:rFonts w:hint="eastAsia" w:ascii="宋体" w:hAnsi="宋体" w:eastAsia="宋体" w:cs="宋体"/>
          <w:color w:val="auto"/>
          <w:sz w:val="24"/>
          <w:szCs w:val="24"/>
          <w:highlight w:val="none"/>
          <w:lang w:val="en-US" w:eastAsia="zh-CN"/>
        </w:rPr>
        <w:t>3.项目联系方式</w:t>
      </w:r>
      <w:bookmarkEnd w:id="42"/>
      <w:bookmarkEnd w:id="43"/>
      <w:bookmarkEnd w:id="44"/>
      <w:bookmarkEnd w:id="45"/>
    </w:p>
    <w:p w14:paraId="6044F4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w:t>
      </w:r>
      <w:r>
        <w:rPr>
          <w:rFonts w:hint="eastAsia" w:hAnsi="宋体" w:cs="宋体"/>
          <w:bCs/>
          <w:sz w:val="24"/>
          <w:szCs w:val="24"/>
          <w:highlight w:val="none"/>
          <w:lang w:val="en-US" w:eastAsia="zh-CN"/>
        </w:rPr>
        <w:t>谢云</w:t>
      </w:r>
      <w:r>
        <w:rPr>
          <w:rFonts w:hint="eastAsia" w:ascii="宋体" w:hAnsi="宋体" w:eastAsia="宋体" w:cs="宋体"/>
          <w:color w:val="auto"/>
          <w:kern w:val="0"/>
          <w:sz w:val="24"/>
          <w:highlight w:val="none"/>
          <w:lang w:val="en-US" w:eastAsia="zh-CN"/>
        </w:rPr>
        <w:t>（采购人） 陈鑫、秦玉欣</w:t>
      </w:r>
      <w:r>
        <w:rPr>
          <w:rFonts w:hint="eastAsia" w:ascii="宋体" w:hAnsi="宋体" w:eastAsia="宋体" w:cs="宋体"/>
          <w:color w:val="auto"/>
          <w:kern w:val="0"/>
          <w:sz w:val="24"/>
          <w:highlight w:val="none"/>
          <w:lang w:eastAsia="zh-CN"/>
        </w:rPr>
        <w:t>（采购代理机构）</w:t>
      </w:r>
    </w:p>
    <w:p w14:paraId="7F26E417">
      <w:pPr>
        <w:keepNext w:val="0"/>
        <w:keepLines w:val="0"/>
        <w:pageBreakBefore w:val="0"/>
        <w:widowControl w:val="0"/>
        <w:kinsoku/>
        <w:overflowPunct/>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sz w:val="24"/>
          <w:szCs w:val="24"/>
          <w:highlight w:val="none"/>
          <w:lang w:val="en-US" w:eastAsia="zh-CN"/>
        </w:rPr>
        <w:t>13999312631、</w:t>
      </w:r>
      <w:r>
        <w:rPr>
          <w:rFonts w:hint="eastAsia" w:ascii="宋体" w:hAnsi="宋体" w:eastAsia="宋体" w:cs="宋体"/>
          <w:bCs/>
          <w:sz w:val="24"/>
          <w:szCs w:val="24"/>
          <w:highlight w:val="none"/>
          <w:lang w:val="en-US" w:eastAsia="zh-CN"/>
        </w:rPr>
        <w:t xml:space="preserve">18690635205 </w:t>
      </w:r>
    </w:p>
    <w:p w14:paraId="08327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054E32C1">
      <w:pPr>
        <w:pStyle w:val="2"/>
        <w:jc w:val="center"/>
        <w:rPr>
          <w:rFonts w:hint="eastAsia" w:ascii="宋体" w:hAnsi="宋体" w:cs="宋体"/>
          <w:sz w:val="44"/>
          <w:highlight w:val="none"/>
        </w:rPr>
      </w:pPr>
      <w:bookmarkStart w:id="50" w:name="_Toc31507"/>
      <w:bookmarkStart w:id="51" w:name="_Toc27273"/>
      <w:r>
        <w:rPr>
          <w:rFonts w:hint="eastAsia" w:ascii="宋体" w:hAnsi="宋体" w:eastAsia="宋体" w:cs="宋体"/>
          <w:b/>
          <w:bCs/>
          <w:kern w:val="0"/>
          <w:sz w:val="36"/>
          <w:szCs w:val="36"/>
          <w:highlight w:val="none"/>
          <w:lang w:val="en-US" w:eastAsia="zh-CN" w:bidi="ar-SA"/>
        </w:rPr>
        <w:t>第二章、供应商须知</w:t>
      </w:r>
      <w:bookmarkEnd w:id="46"/>
      <w:bookmarkEnd w:id="47"/>
      <w:bookmarkEnd w:id="48"/>
      <w:bookmarkEnd w:id="49"/>
      <w:bookmarkEnd w:id="50"/>
      <w:bookmarkEnd w:id="51"/>
    </w:p>
    <w:p w14:paraId="6392281E">
      <w:pPr>
        <w:jc w:val="center"/>
        <w:outlineLvl w:val="9"/>
        <w:rPr>
          <w:rFonts w:hint="eastAsia" w:ascii="宋体" w:hAnsi="宋体" w:eastAsia="宋体" w:cs="宋体"/>
          <w:b w:val="0"/>
          <w:bCs w:val="0"/>
          <w:kern w:val="2"/>
          <w:sz w:val="32"/>
          <w:szCs w:val="32"/>
          <w:highlight w:val="none"/>
          <w:lang w:val="en-US" w:eastAsia="zh-CN" w:bidi="ar-SA"/>
        </w:rPr>
      </w:pPr>
      <w:bookmarkStart w:id="52" w:name="_Toc15212"/>
      <w:r>
        <w:rPr>
          <w:rFonts w:hint="eastAsia" w:ascii="宋体" w:hAnsi="宋体" w:eastAsia="宋体" w:cs="宋体"/>
          <w:b w:val="0"/>
          <w:bCs w:val="0"/>
          <w:kern w:val="2"/>
          <w:sz w:val="32"/>
          <w:szCs w:val="32"/>
          <w:highlight w:val="none"/>
          <w:lang w:val="en-US" w:eastAsia="zh-CN" w:bidi="ar-SA"/>
        </w:rPr>
        <w:t>前附表</w:t>
      </w:r>
      <w:bookmarkEnd w:id="52"/>
    </w:p>
    <w:tbl>
      <w:tblPr>
        <w:tblStyle w:val="22"/>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685"/>
      </w:tblGrid>
      <w:tr w14:paraId="5441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5" w:type="dxa"/>
            <w:noWrap w:val="0"/>
            <w:vAlign w:val="center"/>
          </w:tcPr>
          <w:p w14:paraId="42B92F76">
            <w:pPr>
              <w:pStyle w:val="11"/>
              <w:spacing w:line="240" w:lineRule="auto"/>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序号</w:t>
            </w:r>
          </w:p>
        </w:tc>
        <w:tc>
          <w:tcPr>
            <w:tcW w:w="9685" w:type="dxa"/>
            <w:noWrap w:val="0"/>
            <w:vAlign w:val="center"/>
          </w:tcPr>
          <w:p w14:paraId="5E0FF1B9">
            <w:pPr>
              <w:pStyle w:val="11"/>
              <w:spacing w:line="240" w:lineRule="auto"/>
              <w:jc w:val="center"/>
              <w:rPr>
                <w:rFonts w:hint="eastAsia" w:hAnsi="宋体" w:cs="宋体"/>
                <w:sz w:val="24"/>
                <w:szCs w:val="24"/>
                <w:highlight w:val="none"/>
              </w:rPr>
            </w:pPr>
            <w:r>
              <w:rPr>
                <w:rFonts w:hint="eastAsia" w:hAnsi="宋体" w:cs="宋体"/>
                <w:sz w:val="24"/>
                <w:szCs w:val="24"/>
                <w:highlight w:val="none"/>
              </w:rPr>
              <w:t>内容规定</w:t>
            </w:r>
          </w:p>
        </w:tc>
      </w:tr>
      <w:tr w14:paraId="426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5" w:type="dxa"/>
            <w:noWrap w:val="0"/>
            <w:vAlign w:val="center"/>
          </w:tcPr>
          <w:p w14:paraId="377CAEE1">
            <w:pPr>
              <w:pStyle w:val="11"/>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9685" w:type="dxa"/>
            <w:noWrap w:val="0"/>
            <w:vAlign w:val="center"/>
          </w:tcPr>
          <w:p w14:paraId="65406122">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r>
              <w:rPr>
                <w:rFonts w:hint="eastAsia" w:hAnsi="宋体" w:cs="宋体"/>
                <w:bCs/>
                <w:sz w:val="24"/>
                <w:szCs w:val="24"/>
                <w:highlight w:val="none"/>
                <w:lang w:eastAsia="zh-CN"/>
              </w:rPr>
              <w:t>气象服务保障经费</w:t>
            </w:r>
          </w:p>
          <w:p w14:paraId="7F554394">
            <w:pPr>
              <w:pStyle w:val="11"/>
              <w:spacing w:line="360" w:lineRule="auto"/>
              <w:rPr>
                <w:rFonts w:hint="eastAsia" w:ascii="宋体" w:hAnsi="宋体" w:eastAsia="宋体" w:cs="宋体"/>
                <w:bCs/>
                <w:sz w:val="24"/>
                <w:szCs w:val="24"/>
                <w:highlight w:val="none"/>
                <w:lang w:val="en-US" w:eastAsia="zh-CN"/>
              </w:rPr>
            </w:pPr>
            <w:r>
              <w:rPr>
                <w:rFonts w:hint="eastAsia" w:hAnsi="宋体" w:cs="宋体"/>
                <w:bCs/>
                <w:sz w:val="24"/>
                <w:szCs w:val="24"/>
                <w:highlight w:val="none"/>
                <w:lang w:eastAsia="zh-CN"/>
              </w:rPr>
              <w:t>竞争性谈判</w:t>
            </w:r>
            <w:r>
              <w:rPr>
                <w:rFonts w:hint="eastAsia" w:ascii="宋体" w:hAnsi="宋体" w:eastAsia="宋体" w:cs="宋体"/>
                <w:bCs/>
                <w:sz w:val="24"/>
                <w:szCs w:val="24"/>
                <w:highlight w:val="none"/>
              </w:rPr>
              <w:t>文件编号：</w:t>
            </w:r>
            <w:r>
              <w:rPr>
                <w:rFonts w:hint="eastAsia" w:hAnsi="宋体" w:cs="宋体"/>
                <w:bCs/>
                <w:sz w:val="24"/>
                <w:szCs w:val="24"/>
                <w:highlight w:val="none"/>
                <w:lang w:val="en-US" w:eastAsia="zh-CN"/>
              </w:rPr>
              <w:t>XZZB-FW-2025012</w:t>
            </w:r>
          </w:p>
        </w:tc>
      </w:tr>
      <w:tr w14:paraId="758E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55" w:type="dxa"/>
            <w:noWrap w:val="0"/>
            <w:vAlign w:val="center"/>
          </w:tcPr>
          <w:p w14:paraId="60092957">
            <w:pPr>
              <w:pStyle w:val="11"/>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9685" w:type="dxa"/>
            <w:noWrap w:val="0"/>
            <w:vAlign w:val="top"/>
          </w:tcPr>
          <w:p w14:paraId="60A08F4D">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w:t>
            </w:r>
            <w:r>
              <w:rPr>
                <w:rFonts w:hint="eastAsia"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购</w:t>
            </w:r>
            <w:r>
              <w:rPr>
                <w:rFonts w:hint="eastAsia"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人：</w:t>
            </w:r>
            <w:r>
              <w:rPr>
                <w:rFonts w:hint="eastAsia" w:hAnsi="宋体" w:cs="宋体"/>
                <w:bCs/>
                <w:sz w:val="24"/>
                <w:szCs w:val="24"/>
                <w:highlight w:val="none"/>
                <w:lang w:val="en-US" w:eastAsia="zh-CN"/>
              </w:rPr>
              <w:t>克拉玛依市气象局</w:t>
            </w:r>
          </w:p>
          <w:p w14:paraId="02F54A71">
            <w:pPr>
              <w:pStyle w:val="11"/>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地</w:t>
            </w:r>
            <w:r>
              <w:rPr>
                <w:rFonts w:hint="eastAsia"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址：克拉玛依市克拉玛依区纬六路168号</w:t>
            </w:r>
          </w:p>
          <w:p w14:paraId="0B6FB21F">
            <w:pPr>
              <w:pStyle w:val="11"/>
              <w:spacing w:line="360" w:lineRule="auto"/>
              <w:rPr>
                <w:rFonts w:hint="default" w:hAnsi="宋体" w:eastAsia="宋体" w:cs="宋体"/>
                <w:bCs/>
                <w:sz w:val="24"/>
                <w:szCs w:val="24"/>
                <w:highlight w:val="none"/>
                <w:lang w:val="en-US" w:eastAsia="zh-CN"/>
              </w:rPr>
            </w:pPr>
            <w:r>
              <w:rPr>
                <w:rFonts w:hint="eastAsia" w:ascii="宋体" w:hAnsi="宋体" w:eastAsia="宋体" w:cs="宋体"/>
                <w:bCs/>
                <w:sz w:val="24"/>
                <w:szCs w:val="24"/>
                <w:highlight w:val="none"/>
              </w:rPr>
              <w:t>联</w:t>
            </w:r>
            <w:r>
              <w:rPr>
                <w:rFonts w:hint="eastAsia"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系</w:t>
            </w:r>
            <w:r>
              <w:rPr>
                <w:rFonts w:hint="eastAsia"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人</w:t>
            </w:r>
            <w:r>
              <w:rPr>
                <w:rFonts w:hint="eastAsia" w:hAnsi="宋体" w:eastAsia="宋体" w:cs="宋体"/>
                <w:bCs/>
                <w:sz w:val="24"/>
                <w:szCs w:val="24"/>
                <w:highlight w:val="none"/>
                <w:lang w:eastAsia="zh-CN"/>
              </w:rPr>
              <w:t>：</w:t>
            </w:r>
            <w:r>
              <w:rPr>
                <w:rFonts w:hint="eastAsia" w:hAnsi="宋体" w:cs="宋体"/>
                <w:bCs/>
                <w:sz w:val="24"/>
                <w:szCs w:val="24"/>
                <w:highlight w:val="none"/>
                <w:lang w:val="en-US" w:eastAsia="zh-CN"/>
              </w:rPr>
              <w:t>谢云</w:t>
            </w:r>
          </w:p>
          <w:p w14:paraId="3E81986C">
            <w:pPr>
              <w:pStyle w:val="11"/>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联系电话：</w:t>
            </w:r>
            <w:r>
              <w:rPr>
                <w:rFonts w:hint="eastAsia" w:ascii="宋体" w:hAnsi="宋体" w:cs="宋体"/>
                <w:sz w:val="24"/>
                <w:szCs w:val="24"/>
                <w:highlight w:val="none"/>
                <w:lang w:val="en-US" w:eastAsia="zh-CN"/>
              </w:rPr>
              <w:t>13999312631</w:t>
            </w:r>
          </w:p>
        </w:tc>
      </w:tr>
      <w:tr w14:paraId="0AC9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55" w:type="dxa"/>
            <w:noWrap w:val="0"/>
            <w:vAlign w:val="center"/>
          </w:tcPr>
          <w:p w14:paraId="5E003ED6">
            <w:pPr>
              <w:pStyle w:val="11"/>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9685" w:type="dxa"/>
            <w:noWrap w:val="0"/>
            <w:vAlign w:val="center"/>
          </w:tcPr>
          <w:p w14:paraId="0A6423D8">
            <w:pPr>
              <w:pStyle w:val="11"/>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采购代理机构：</w:t>
            </w:r>
            <w:r>
              <w:rPr>
                <w:rFonts w:hint="eastAsia" w:hAnsi="宋体" w:cs="宋体"/>
                <w:bCs/>
                <w:sz w:val="24"/>
                <w:szCs w:val="24"/>
                <w:highlight w:val="none"/>
                <w:lang w:val="en-US" w:eastAsia="zh-CN"/>
              </w:rPr>
              <w:t>新疆新咨工程咨询有限公司</w:t>
            </w:r>
          </w:p>
          <w:p w14:paraId="24D809DE">
            <w:pPr>
              <w:pStyle w:val="11"/>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地    址：</w:t>
            </w:r>
            <w:r>
              <w:rPr>
                <w:rFonts w:hint="eastAsia" w:ascii="宋体" w:hAnsi="宋体" w:eastAsia="宋体" w:cs="宋体"/>
                <w:sz w:val="24"/>
                <w:szCs w:val="24"/>
                <w:highlight w:val="none"/>
                <w:lang w:val="en-US" w:eastAsia="zh-CN"/>
              </w:rPr>
              <w:t>新疆克拉玛依市克拉玛依区新兴路108-20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号</w:t>
            </w:r>
          </w:p>
          <w:p w14:paraId="156BB0D5">
            <w:pPr>
              <w:pStyle w:val="11"/>
              <w:spacing w:line="360" w:lineRule="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联 系 人：</w:t>
            </w:r>
            <w:r>
              <w:rPr>
                <w:rFonts w:hint="eastAsia" w:hAnsi="宋体" w:cs="宋体"/>
                <w:bCs/>
                <w:sz w:val="24"/>
                <w:szCs w:val="24"/>
                <w:highlight w:val="none"/>
                <w:lang w:val="en-US" w:eastAsia="zh-CN"/>
              </w:rPr>
              <w:t>陈鑫、秦玉欣</w:t>
            </w:r>
          </w:p>
          <w:p w14:paraId="0CE53433">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联系电话：</w:t>
            </w:r>
            <w:r>
              <w:rPr>
                <w:rFonts w:hint="eastAsia" w:hAnsi="宋体" w:cs="宋体"/>
                <w:bCs/>
                <w:sz w:val="24"/>
                <w:szCs w:val="24"/>
                <w:highlight w:val="none"/>
                <w:lang w:val="en-US" w:eastAsia="zh-CN"/>
              </w:rPr>
              <w:t>0990-6227911、18690635205</w:t>
            </w:r>
            <w:r>
              <w:rPr>
                <w:rFonts w:hint="eastAsia" w:ascii="宋体" w:hAnsi="宋体" w:eastAsia="宋体" w:cs="宋体"/>
                <w:bCs/>
                <w:sz w:val="24"/>
                <w:szCs w:val="24"/>
                <w:highlight w:val="none"/>
                <w:lang w:val="en-US" w:eastAsia="zh-CN"/>
              </w:rPr>
              <w:t xml:space="preserve"> </w:t>
            </w:r>
          </w:p>
        </w:tc>
      </w:tr>
      <w:tr w14:paraId="2067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noWrap w:val="0"/>
            <w:vAlign w:val="center"/>
          </w:tcPr>
          <w:p w14:paraId="1ED8159E">
            <w:pPr>
              <w:pStyle w:val="11"/>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9685" w:type="dxa"/>
            <w:noWrap w:val="0"/>
            <w:vAlign w:val="center"/>
          </w:tcPr>
          <w:p w14:paraId="736CE360">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响应文件有效期：递交响应文件截止之日起</w:t>
            </w:r>
            <w:r>
              <w:rPr>
                <w:rFonts w:hint="eastAsia" w:hAnsi="宋体" w:cs="宋体"/>
                <w:bCs/>
                <w:sz w:val="24"/>
                <w:szCs w:val="24"/>
                <w:highlight w:val="none"/>
                <w:lang w:val="en-US" w:eastAsia="zh-CN"/>
              </w:rPr>
              <w:t>90</w:t>
            </w:r>
            <w:r>
              <w:rPr>
                <w:rFonts w:hint="eastAsia" w:ascii="宋体" w:hAnsi="宋体" w:eastAsia="宋体" w:cs="宋体"/>
                <w:bCs/>
                <w:sz w:val="24"/>
                <w:szCs w:val="24"/>
                <w:highlight w:val="none"/>
              </w:rPr>
              <w:t>天（日历日）</w:t>
            </w:r>
          </w:p>
        </w:tc>
      </w:tr>
      <w:tr w14:paraId="2F06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755" w:type="dxa"/>
            <w:noWrap w:val="0"/>
            <w:vAlign w:val="center"/>
          </w:tcPr>
          <w:p w14:paraId="2FAB8BE7">
            <w:pPr>
              <w:pStyle w:val="11"/>
              <w:spacing w:line="24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5</w:t>
            </w:r>
          </w:p>
        </w:tc>
        <w:tc>
          <w:tcPr>
            <w:tcW w:w="9685" w:type="dxa"/>
            <w:noWrap w:val="0"/>
            <w:vAlign w:val="center"/>
          </w:tcPr>
          <w:p w14:paraId="57B4E7D0">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采购人不统一组织考察，各供应商自行对采购项目进行考察。</w:t>
            </w:r>
          </w:p>
          <w:p w14:paraId="30FFCFC1">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供应商如有疑问，于</w:t>
            </w:r>
            <w:r>
              <w:rPr>
                <w:rFonts w:hint="eastAsia" w:hAnsi="宋体" w:cs="宋体"/>
                <w:sz w:val="24"/>
                <w:szCs w:val="24"/>
                <w:highlight w:val="none"/>
                <w:lang w:val="en-US" w:eastAsia="zh-CN"/>
              </w:rPr>
              <w:t>2025年06月23日</w:t>
            </w:r>
            <w:r>
              <w:rPr>
                <w:rFonts w:hint="eastAsia" w:ascii="宋体" w:hAnsi="宋体" w:eastAsia="宋体" w:cs="宋体"/>
                <w:bCs/>
                <w:sz w:val="24"/>
                <w:szCs w:val="24"/>
                <w:highlight w:val="none"/>
              </w:rPr>
              <w:t>19</w:t>
            </w:r>
            <w:r>
              <w:rPr>
                <w:rFonts w:hint="eastAsia" w:hAnsi="宋体" w:eastAsia="宋体" w:cs="宋体"/>
                <w:bCs/>
                <w:sz w:val="24"/>
                <w:szCs w:val="24"/>
                <w:highlight w:val="none"/>
                <w:lang w:eastAsia="zh-CN"/>
              </w:rPr>
              <w:t>：</w:t>
            </w:r>
            <w:r>
              <w:rPr>
                <w:rFonts w:hint="eastAsia" w:hAnsi="宋体" w:eastAsia="宋体" w:cs="宋体"/>
                <w:bCs/>
                <w:sz w:val="24"/>
                <w:szCs w:val="24"/>
                <w:highlight w:val="none"/>
                <w:lang w:val="en-US" w:eastAsia="zh-CN"/>
              </w:rPr>
              <w:t>00</w:t>
            </w:r>
            <w:r>
              <w:rPr>
                <w:rFonts w:hint="eastAsia" w:ascii="宋体" w:hAnsi="宋体" w:eastAsia="宋体" w:cs="宋体"/>
                <w:bCs/>
                <w:sz w:val="24"/>
                <w:szCs w:val="24"/>
                <w:highlight w:val="none"/>
              </w:rPr>
              <w:t>前将有关疑问以扫描件形式（必须加盖供应商公章）发送到邮箱</w:t>
            </w:r>
            <w:r>
              <w:rPr>
                <w:rFonts w:hint="eastAsia" w:hAnsi="宋体" w:eastAsia="宋体" w:cs="宋体"/>
                <w:bCs/>
                <w:sz w:val="24"/>
                <w:szCs w:val="24"/>
                <w:highlight w:val="none"/>
                <w:lang w:eastAsia="zh-CN"/>
              </w:rPr>
              <w:t>：</w:t>
            </w:r>
            <w:r>
              <w:rPr>
                <w:rFonts w:hint="eastAsia" w:hAnsi="宋体" w:cs="宋体"/>
                <w:sz w:val="24"/>
                <w:szCs w:val="24"/>
                <w:highlight w:val="none"/>
                <w:lang w:val="en-US" w:eastAsia="zh-CN"/>
              </w:rPr>
              <w:t>1054615588@qq.com</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谈判文件</w:t>
            </w:r>
            <w:r>
              <w:rPr>
                <w:rFonts w:hint="eastAsia" w:ascii="宋体" w:hAnsi="宋体" w:eastAsia="宋体" w:cs="宋体"/>
                <w:bCs/>
                <w:sz w:val="24"/>
                <w:szCs w:val="24"/>
                <w:highlight w:val="none"/>
              </w:rPr>
              <w:t>的澄清或修改将以发布澄清或变更公告为准（同招标公告发布网站），所有投标供应商应关注网站及时查看，采购人不再进行书面或其他形式通知，未看变更或澄清公告并由此导致的一切后果均由投标供应商自负。书面提问截止时间：</w:t>
            </w:r>
            <w:r>
              <w:rPr>
                <w:rFonts w:hint="eastAsia" w:hAnsi="宋体" w:cs="宋体"/>
                <w:sz w:val="24"/>
                <w:szCs w:val="24"/>
                <w:highlight w:val="none"/>
                <w:lang w:val="en-US" w:eastAsia="zh-CN"/>
              </w:rPr>
              <w:t>2025年06月23日</w:t>
            </w:r>
            <w:r>
              <w:rPr>
                <w:rFonts w:hint="eastAsia" w:ascii="宋体" w:hAnsi="宋体" w:eastAsia="宋体" w:cs="宋体"/>
                <w:bCs/>
                <w:sz w:val="24"/>
                <w:szCs w:val="24"/>
                <w:highlight w:val="none"/>
              </w:rPr>
              <w:t>19：00</w:t>
            </w:r>
          </w:p>
          <w:p w14:paraId="75E5B4E7">
            <w:pPr>
              <w:pStyle w:val="11"/>
              <w:spacing w:line="360" w:lineRule="auto"/>
              <w:rPr>
                <w:rFonts w:hint="default" w:hAnsi="宋体" w:cs="宋体"/>
                <w:sz w:val="24"/>
                <w:szCs w:val="24"/>
                <w:highlight w:val="none"/>
                <w:lang w:val="en-US" w:eastAsia="zh-CN"/>
              </w:rPr>
            </w:pPr>
            <w:r>
              <w:rPr>
                <w:rFonts w:hint="eastAsia" w:ascii="宋体" w:hAnsi="宋体" w:eastAsia="宋体" w:cs="宋体"/>
                <w:bCs/>
                <w:sz w:val="24"/>
                <w:szCs w:val="24"/>
                <w:highlight w:val="none"/>
              </w:rPr>
              <w:t>电</w:t>
            </w:r>
            <w:r>
              <w:rPr>
                <w:rFonts w:hint="eastAsia"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话：</w:t>
            </w:r>
            <w:r>
              <w:rPr>
                <w:rFonts w:hint="eastAsia" w:hAnsi="宋体" w:cs="宋体"/>
                <w:bCs/>
                <w:sz w:val="24"/>
                <w:szCs w:val="24"/>
                <w:highlight w:val="none"/>
                <w:lang w:val="en-US" w:eastAsia="zh-CN"/>
              </w:rPr>
              <w:t>0990-6227911、18690635205</w:t>
            </w:r>
            <w:r>
              <w:rPr>
                <w:rFonts w:hint="eastAsia" w:ascii="宋体" w:hAnsi="宋体" w:eastAsia="宋体" w:cs="宋体"/>
                <w:bCs/>
                <w:sz w:val="24"/>
                <w:szCs w:val="24"/>
                <w:highlight w:val="none"/>
                <w:lang w:val="en-US" w:eastAsia="zh-CN"/>
              </w:rPr>
              <w:t xml:space="preserve"> </w:t>
            </w:r>
          </w:p>
          <w:p w14:paraId="175F0EAD">
            <w:pPr>
              <w:pStyle w:val="11"/>
              <w:spacing w:line="360" w:lineRule="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联系人：</w:t>
            </w:r>
            <w:r>
              <w:rPr>
                <w:rFonts w:hint="eastAsia" w:hAnsi="宋体" w:cs="宋体"/>
                <w:sz w:val="24"/>
                <w:szCs w:val="24"/>
                <w:highlight w:val="none"/>
                <w:lang w:val="en-US" w:eastAsia="zh-CN"/>
              </w:rPr>
              <w:t>陈鑫、秦玉欣</w:t>
            </w:r>
          </w:p>
        </w:tc>
      </w:tr>
      <w:tr w14:paraId="30A3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55" w:type="dxa"/>
            <w:noWrap w:val="0"/>
            <w:vAlign w:val="center"/>
          </w:tcPr>
          <w:p w14:paraId="7E9E6B74">
            <w:pPr>
              <w:pStyle w:val="11"/>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9685" w:type="dxa"/>
            <w:noWrap w:val="0"/>
            <w:vAlign w:val="center"/>
          </w:tcPr>
          <w:p w14:paraId="1F70323A">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政府采购云平台（www.zcygov.cn），</w:t>
            </w:r>
            <w:r>
              <w:rPr>
                <w:rFonts w:hint="eastAsia" w:hAnsi="宋体" w:cs="宋体"/>
                <w:bCs/>
                <w:sz w:val="24"/>
                <w:szCs w:val="24"/>
                <w:highlight w:val="none"/>
                <w:lang w:eastAsia="zh-CN"/>
              </w:rPr>
              <w:t>供应商</w:t>
            </w:r>
            <w:r>
              <w:rPr>
                <w:rFonts w:hint="eastAsia" w:ascii="宋体" w:hAnsi="宋体" w:eastAsia="宋体" w:cs="宋体"/>
                <w:bCs/>
                <w:sz w:val="24"/>
                <w:szCs w:val="24"/>
                <w:highlight w:val="none"/>
              </w:rPr>
              <w:t>应于投标截止时间之前将电子</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上传到“政采云”平台。</w:t>
            </w:r>
          </w:p>
          <w:p w14:paraId="73DABDCD">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1.本项目实行网上投标，采用电子</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，若</w:t>
            </w:r>
            <w:r>
              <w:rPr>
                <w:rFonts w:hint="eastAsia" w:hAnsi="宋体" w:cs="宋体"/>
                <w:bCs/>
                <w:sz w:val="24"/>
                <w:szCs w:val="24"/>
                <w:highlight w:val="none"/>
                <w:lang w:eastAsia="zh-CN"/>
              </w:rPr>
              <w:t>供应商</w:t>
            </w:r>
            <w:r>
              <w:rPr>
                <w:rFonts w:hint="eastAsia" w:ascii="宋体" w:hAnsi="宋体" w:eastAsia="宋体" w:cs="宋体"/>
                <w:bCs/>
                <w:sz w:val="24"/>
                <w:szCs w:val="24"/>
                <w:highlight w:val="none"/>
              </w:rPr>
              <w:t>参与投标，应自行承担投标一切费用。</w:t>
            </w:r>
          </w:p>
          <w:p w14:paraId="725DA291">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hAnsi="宋体" w:cs="宋体"/>
                <w:bCs/>
                <w:sz w:val="24"/>
                <w:szCs w:val="24"/>
                <w:highlight w:val="none"/>
                <w:lang w:eastAsia="zh-CN"/>
              </w:rPr>
              <w:t>供应商</w:t>
            </w:r>
            <w:r>
              <w:rPr>
                <w:rFonts w:hint="eastAsia" w:ascii="宋体" w:hAnsi="宋体" w:eastAsia="宋体" w:cs="宋体"/>
                <w:bCs/>
                <w:sz w:val="24"/>
                <w:szCs w:val="24"/>
                <w:highlight w:val="none"/>
              </w:rPr>
              <w:t>应在开标前应确保成为新疆政府采购网正式注册入库</w:t>
            </w:r>
            <w:r>
              <w:rPr>
                <w:rFonts w:hint="eastAsia" w:hAnsi="宋体" w:cs="宋体"/>
                <w:bCs/>
                <w:sz w:val="24"/>
                <w:szCs w:val="24"/>
                <w:highlight w:val="none"/>
                <w:lang w:eastAsia="zh-CN"/>
              </w:rPr>
              <w:t>供应商</w:t>
            </w:r>
            <w:r>
              <w:rPr>
                <w:rFonts w:hint="eastAsia" w:ascii="宋体" w:hAnsi="宋体" w:eastAsia="宋体" w:cs="宋体"/>
                <w:bCs/>
                <w:sz w:val="24"/>
                <w:szCs w:val="24"/>
                <w:highlight w:val="none"/>
              </w:rPr>
              <w:t>，并完成CA数字证书申领。因未注册入库、未办理CA数字证书等原因造成无法递交电子版</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或递交电子</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失败等后果由</w:t>
            </w:r>
            <w:r>
              <w:rPr>
                <w:rFonts w:hint="eastAsia" w:hAnsi="宋体" w:cs="宋体"/>
                <w:bCs/>
                <w:sz w:val="24"/>
                <w:szCs w:val="24"/>
                <w:highlight w:val="none"/>
                <w:lang w:eastAsia="zh-CN"/>
              </w:rPr>
              <w:t>供应商</w:t>
            </w:r>
            <w:r>
              <w:rPr>
                <w:rFonts w:hint="eastAsia" w:ascii="宋体" w:hAnsi="宋体" w:eastAsia="宋体" w:cs="宋体"/>
                <w:bCs/>
                <w:sz w:val="24"/>
                <w:szCs w:val="24"/>
                <w:highlight w:val="none"/>
              </w:rPr>
              <w:t>自行承担。</w:t>
            </w:r>
          </w:p>
          <w:p w14:paraId="3B0B6F78">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hAnsi="宋体" w:cs="宋体"/>
                <w:bCs/>
                <w:sz w:val="24"/>
                <w:szCs w:val="24"/>
                <w:highlight w:val="none"/>
                <w:lang w:eastAsia="zh-CN"/>
              </w:rPr>
              <w:t>供应商</w:t>
            </w:r>
            <w:r>
              <w:rPr>
                <w:rFonts w:hint="eastAsia" w:ascii="宋体" w:hAnsi="宋体" w:eastAsia="宋体" w:cs="宋体"/>
                <w:bCs/>
                <w:sz w:val="24"/>
                <w:szCs w:val="24"/>
                <w:highlight w:val="none"/>
              </w:rPr>
              <w:t>应使用最新版本的CA驱动和政采云投标客户端，客户端下载、安装完成后，可通过账号密码或CA登录客户端进行</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制作。在使用政采云投标客户端时，建议使用谷歌浏览器，电脑配置满足win7+64位以上操作系统（不能用mac或者linux系统）。客户端请至新疆政府采购网（www.ccgp-xinjiang.gov.cn）下载专区查看，如有问题可拨打政采云客户服务热线400-881-7190进行咨询。</w:t>
            </w:r>
          </w:p>
          <w:p w14:paraId="04006251">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hAnsi="宋体" w:cs="宋体"/>
                <w:bCs/>
                <w:sz w:val="24"/>
                <w:szCs w:val="24"/>
                <w:highlight w:val="none"/>
                <w:lang w:eastAsia="zh-CN"/>
              </w:rPr>
              <w:t>供应商</w:t>
            </w:r>
            <w:r>
              <w:rPr>
                <w:rFonts w:hint="eastAsia" w:ascii="宋体" w:hAnsi="宋体" w:eastAsia="宋体" w:cs="宋体"/>
                <w:bCs/>
                <w:sz w:val="24"/>
                <w:szCs w:val="24"/>
                <w:highlight w:val="none"/>
              </w:rPr>
              <w:t>应当在递交电子</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截止时间前，将生成的“电子加密</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”上传递交至“政府采购云平台”，递交电子</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截止时间以后上传递交的</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将被“政府采购云平台”拒收。</w:t>
            </w:r>
          </w:p>
          <w:p w14:paraId="00DCAB44">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hint="eastAsia" w:hAnsi="宋体" w:cs="宋体"/>
                <w:bCs/>
                <w:sz w:val="24"/>
                <w:szCs w:val="24"/>
                <w:highlight w:val="none"/>
                <w:lang w:eastAsia="zh-CN"/>
              </w:rPr>
              <w:t>供应商</w:t>
            </w:r>
            <w:r>
              <w:rPr>
                <w:rFonts w:hint="eastAsia" w:ascii="宋体" w:hAnsi="宋体" w:eastAsia="宋体" w:cs="宋体"/>
                <w:bCs/>
                <w:sz w:val="24"/>
                <w:szCs w:val="24"/>
                <w:highlight w:val="none"/>
              </w:rPr>
              <w:t>登录政采云平台，在开标时间后30分钟内</w:t>
            </w:r>
            <w:r>
              <w:rPr>
                <w:rFonts w:hint="eastAsia" w:hAnsi="宋体" w:cs="宋体"/>
                <w:bCs/>
                <w:sz w:val="24"/>
                <w:szCs w:val="24"/>
                <w:highlight w:val="none"/>
                <w:lang w:eastAsia="zh-CN"/>
              </w:rPr>
              <w:t>（</w:t>
            </w:r>
            <w:r>
              <w:rPr>
                <w:rFonts w:hint="eastAsia" w:hAnsi="宋体" w:cs="宋体"/>
                <w:sz w:val="24"/>
                <w:szCs w:val="24"/>
                <w:highlight w:val="none"/>
                <w:lang w:val="en-US" w:eastAsia="zh-CN"/>
              </w:rPr>
              <w:t>2025年06月24日</w:t>
            </w:r>
            <w:r>
              <w:rPr>
                <w:rFonts w:hint="eastAsia" w:hAnsi="宋体" w:cs="宋体"/>
                <w:kern w:val="0"/>
                <w:sz w:val="24"/>
                <w:highlight w:val="none"/>
                <w:lang w:val="en-US" w:eastAsia="zh-CN"/>
              </w:rPr>
              <w:t>10:30-11:00</w:t>
            </w:r>
            <w:r>
              <w:rPr>
                <w:rFonts w:hint="eastAsia" w:hAnsi="宋体" w:cs="宋体"/>
                <w:bCs/>
                <w:sz w:val="24"/>
                <w:szCs w:val="24"/>
                <w:highlight w:val="none"/>
                <w:lang w:eastAsia="zh-CN"/>
              </w:rPr>
              <w:t>）</w:t>
            </w:r>
            <w:r>
              <w:rPr>
                <w:rFonts w:hint="eastAsia" w:ascii="宋体" w:hAnsi="宋体" w:eastAsia="宋体" w:cs="宋体"/>
                <w:bCs/>
                <w:sz w:val="24"/>
                <w:szCs w:val="24"/>
                <w:highlight w:val="none"/>
              </w:rPr>
              <w:t>用“项目采购-开标评标”功能进行解密</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。若</w:t>
            </w:r>
            <w:r>
              <w:rPr>
                <w:rFonts w:hint="eastAsia" w:hAnsi="宋体" w:cs="宋体"/>
                <w:bCs/>
                <w:sz w:val="24"/>
                <w:szCs w:val="24"/>
                <w:highlight w:val="none"/>
                <w:lang w:eastAsia="zh-CN"/>
              </w:rPr>
              <w:t>供应商</w:t>
            </w:r>
            <w:r>
              <w:rPr>
                <w:rFonts w:hint="eastAsia" w:ascii="宋体" w:hAnsi="宋体" w:eastAsia="宋体" w:cs="宋体"/>
                <w:bCs/>
                <w:sz w:val="24"/>
                <w:szCs w:val="24"/>
                <w:highlight w:val="none"/>
              </w:rPr>
              <w:t>在规定时间内未按时解密的，视为无效响应。解密与加密</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 xml:space="preserve">须使用同一个CA。 </w:t>
            </w:r>
          </w:p>
        </w:tc>
      </w:tr>
      <w:tr w14:paraId="64F4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55" w:type="dxa"/>
            <w:noWrap w:val="0"/>
            <w:vAlign w:val="center"/>
          </w:tcPr>
          <w:p w14:paraId="280800D3">
            <w:pPr>
              <w:pStyle w:val="11"/>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9685" w:type="dxa"/>
            <w:noWrap w:val="0"/>
            <w:vAlign w:val="center"/>
          </w:tcPr>
          <w:p w14:paraId="4BD420D8">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递交响应文件截止时间：</w:t>
            </w:r>
            <w:r>
              <w:rPr>
                <w:rFonts w:hint="eastAsia" w:hAnsi="宋体" w:cs="宋体"/>
                <w:sz w:val="24"/>
                <w:szCs w:val="24"/>
                <w:highlight w:val="none"/>
                <w:lang w:val="en-US" w:eastAsia="zh-CN"/>
              </w:rPr>
              <w:t>2025年06月24日</w:t>
            </w:r>
            <w:r>
              <w:rPr>
                <w:rFonts w:hint="eastAsia" w:ascii="宋体" w:hAnsi="宋体" w:cs="宋体"/>
                <w:sz w:val="24"/>
                <w:szCs w:val="24"/>
                <w:highlight w:val="none"/>
                <w:lang w:val="en-US" w:eastAsia="zh-CN"/>
              </w:rPr>
              <w:t>上午1</w:t>
            </w:r>
            <w:r>
              <w:rPr>
                <w:rFonts w:hint="eastAsia" w:hAnsi="宋体" w:cs="宋体"/>
                <w:sz w:val="24"/>
                <w:szCs w:val="24"/>
                <w:highlight w:val="none"/>
                <w:lang w:val="en-US" w:eastAsia="zh-CN"/>
              </w:rPr>
              <w:t>0</w:t>
            </w:r>
            <w:r>
              <w:rPr>
                <w:rFonts w:hint="eastAsia" w:ascii="宋体" w:hAnsi="宋体" w:cs="宋体"/>
                <w:sz w:val="24"/>
                <w:szCs w:val="24"/>
                <w:highlight w:val="none"/>
                <w:lang w:val="en-US" w:eastAsia="zh-CN"/>
              </w:rPr>
              <w:t>:</w:t>
            </w:r>
            <w:r>
              <w:rPr>
                <w:rFonts w:hint="eastAsia" w:hAnsi="宋体" w:cs="宋体"/>
                <w:sz w:val="24"/>
                <w:szCs w:val="24"/>
                <w:highlight w:val="none"/>
                <w:lang w:val="en-US" w:eastAsia="zh-CN"/>
              </w:rPr>
              <w:t>30</w:t>
            </w:r>
            <w:r>
              <w:rPr>
                <w:rFonts w:hint="eastAsia" w:ascii="宋体" w:hAnsi="宋体" w:eastAsia="宋体" w:cs="宋体"/>
                <w:kern w:val="2"/>
                <w:sz w:val="24"/>
                <w:highlight w:val="none"/>
                <w:lang w:val="en-US" w:eastAsia="zh-CN" w:bidi="ar-SA"/>
              </w:rPr>
              <w:t>（北京时间）</w:t>
            </w:r>
          </w:p>
          <w:p w14:paraId="5F11013C">
            <w:pPr>
              <w:pStyle w:val="1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递交响应文件地点：新疆政府采购网政采云平台（www.zcygov.cn）</w:t>
            </w:r>
          </w:p>
        </w:tc>
      </w:tr>
      <w:tr w14:paraId="20BB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55" w:type="dxa"/>
            <w:noWrap w:val="0"/>
            <w:vAlign w:val="center"/>
          </w:tcPr>
          <w:p w14:paraId="780B010C">
            <w:pPr>
              <w:pStyle w:val="11"/>
              <w:spacing w:line="240" w:lineRule="auto"/>
              <w:jc w:val="center"/>
              <w:rPr>
                <w:rFonts w:hint="eastAsia" w:ascii="宋体" w:hAnsi="宋体" w:eastAsia="宋体" w:cs="宋体"/>
                <w:bCs/>
                <w:sz w:val="24"/>
                <w:szCs w:val="24"/>
                <w:highlight w:val="none"/>
                <w:lang w:eastAsia="zh-CN"/>
              </w:rPr>
            </w:pPr>
            <w:r>
              <w:rPr>
                <w:rFonts w:hint="eastAsia" w:hAnsi="宋体" w:cs="宋体"/>
                <w:bCs/>
                <w:sz w:val="24"/>
                <w:szCs w:val="24"/>
                <w:highlight w:val="none"/>
                <w:lang w:val="en-US" w:eastAsia="zh-CN"/>
              </w:rPr>
              <w:t>8</w:t>
            </w:r>
          </w:p>
        </w:tc>
        <w:tc>
          <w:tcPr>
            <w:tcW w:w="9685" w:type="dxa"/>
            <w:noWrap w:val="0"/>
            <w:vAlign w:val="center"/>
          </w:tcPr>
          <w:p w14:paraId="1627AEB5">
            <w:pPr>
              <w:spacing w:line="360" w:lineRule="auto"/>
              <w:rPr>
                <w:rFonts w:hint="eastAsia" w:ascii="宋体" w:hAnsi="宋体" w:eastAsia="宋体" w:cs="宋体"/>
                <w:bCs/>
                <w:sz w:val="24"/>
                <w:szCs w:val="24"/>
                <w:highlight w:val="none"/>
                <w:lang w:eastAsia="zh-CN"/>
              </w:rPr>
            </w:pPr>
            <w:r>
              <w:rPr>
                <w:rFonts w:hint="eastAsia" w:ascii="宋体" w:hAnsi="宋体"/>
                <w:b w:val="0"/>
                <w:bCs w:val="0"/>
                <w:sz w:val="24"/>
                <w:highlight w:val="none"/>
              </w:rPr>
              <w:t>本项目</w:t>
            </w:r>
            <w:r>
              <w:rPr>
                <w:rFonts w:hint="eastAsia" w:ascii="宋体" w:hAnsi="宋体"/>
                <w:b w:val="0"/>
                <w:bCs w:val="0"/>
                <w:sz w:val="24"/>
                <w:highlight w:val="none"/>
                <w:lang w:val="en-US" w:eastAsia="zh-CN"/>
              </w:rPr>
              <w:t>控制价</w:t>
            </w:r>
            <w:r>
              <w:rPr>
                <w:rFonts w:hint="eastAsia" w:ascii="宋体" w:hAnsi="宋体"/>
                <w:b w:val="0"/>
                <w:bCs w:val="0"/>
                <w:sz w:val="24"/>
                <w:highlight w:val="none"/>
                <w:lang w:eastAsia="zh-CN"/>
              </w:rPr>
              <w:t>：</w:t>
            </w:r>
            <w:r>
              <w:rPr>
                <w:rFonts w:hint="eastAsia" w:ascii="宋体" w:hAnsi="宋体"/>
                <w:b w:val="0"/>
                <w:bCs w:val="0"/>
                <w:sz w:val="24"/>
                <w:highlight w:val="none"/>
                <w:lang w:val="en-US" w:eastAsia="zh-CN"/>
              </w:rPr>
              <w:t>600000</w:t>
            </w:r>
            <w:r>
              <w:rPr>
                <w:rFonts w:hint="eastAsia" w:ascii="宋体" w:hAnsi="宋体"/>
                <w:b w:val="0"/>
                <w:bCs w:val="0"/>
                <w:sz w:val="24"/>
                <w:highlight w:val="none"/>
              </w:rPr>
              <w:t>元</w:t>
            </w:r>
            <w:r>
              <w:rPr>
                <w:rFonts w:hint="eastAsia" w:ascii="宋体" w:hAnsi="宋体"/>
                <w:b w:val="0"/>
                <w:bCs w:val="0"/>
                <w:sz w:val="24"/>
                <w:highlight w:val="none"/>
                <w:lang w:eastAsia="zh-CN"/>
              </w:rPr>
              <w:t>（</w:t>
            </w:r>
            <w:r>
              <w:rPr>
                <w:rFonts w:hint="eastAsia" w:ascii="宋体" w:hAnsi="宋体"/>
                <w:b w:val="0"/>
                <w:bCs w:val="0"/>
                <w:sz w:val="24"/>
                <w:highlight w:val="none"/>
                <w:lang w:val="en-US" w:eastAsia="zh-CN"/>
              </w:rPr>
              <w:t>大写：人民币陆拾万元整</w:t>
            </w:r>
            <w:r>
              <w:rPr>
                <w:rFonts w:hint="eastAsia" w:ascii="宋体" w:hAnsi="宋体"/>
                <w:b w:val="0"/>
                <w:bCs w:val="0"/>
                <w:sz w:val="24"/>
                <w:highlight w:val="none"/>
                <w:lang w:eastAsia="zh-CN"/>
              </w:rPr>
              <w:t>）；</w:t>
            </w:r>
            <w:r>
              <w:rPr>
                <w:rFonts w:hint="eastAsia" w:ascii="宋体" w:hAnsi="宋体" w:eastAsia="宋体" w:cs="宋体"/>
                <w:b w:val="0"/>
                <w:bCs w:val="0"/>
                <w:sz w:val="24"/>
                <w:highlight w:val="none"/>
              </w:rPr>
              <w:t>各</w:t>
            </w:r>
            <w:r>
              <w:rPr>
                <w:rFonts w:hint="eastAsia" w:ascii="宋体" w:hAnsi="宋体" w:eastAsia="宋体" w:cs="宋体"/>
                <w:b w:val="0"/>
                <w:bCs w:val="0"/>
                <w:sz w:val="24"/>
                <w:highlight w:val="none"/>
                <w:lang w:val="en-US" w:eastAsia="zh-CN"/>
              </w:rPr>
              <w:t>供应商</w:t>
            </w:r>
            <w:r>
              <w:rPr>
                <w:rFonts w:hint="eastAsia" w:ascii="宋体" w:hAnsi="宋体" w:eastAsia="宋体" w:cs="宋体"/>
                <w:b w:val="0"/>
                <w:bCs w:val="0"/>
                <w:sz w:val="24"/>
                <w:highlight w:val="none"/>
              </w:rPr>
              <w:t>的投标报价超出此</w:t>
            </w:r>
            <w:r>
              <w:rPr>
                <w:rFonts w:hint="eastAsia" w:ascii="宋体" w:hAnsi="宋体" w:eastAsia="宋体" w:cs="宋体"/>
                <w:b w:val="0"/>
                <w:bCs w:val="0"/>
                <w:sz w:val="24"/>
                <w:highlight w:val="none"/>
                <w:lang w:val="en-US" w:eastAsia="zh-CN"/>
              </w:rPr>
              <w:t>预算金额的</w:t>
            </w:r>
            <w:r>
              <w:rPr>
                <w:rFonts w:hint="eastAsia" w:ascii="宋体" w:hAnsi="宋体" w:eastAsia="宋体" w:cs="宋体"/>
                <w:b w:val="0"/>
                <w:bCs w:val="0"/>
                <w:sz w:val="24"/>
                <w:highlight w:val="none"/>
              </w:rPr>
              <w:t>将作废标处理。</w:t>
            </w:r>
          </w:p>
        </w:tc>
      </w:tr>
      <w:tr w14:paraId="1EE9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55" w:type="dxa"/>
            <w:noWrap w:val="0"/>
            <w:vAlign w:val="center"/>
          </w:tcPr>
          <w:p w14:paraId="22DA2230">
            <w:pPr>
              <w:pStyle w:val="11"/>
              <w:spacing w:line="240" w:lineRule="auto"/>
              <w:jc w:val="center"/>
              <w:rPr>
                <w:rFonts w:hint="eastAsia" w:ascii="宋体" w:hAnsi="宋体" w:eastAsia="宋体" w:cs="宋体"/>
                <w:bCs/>
                <w:sz w:val="24"/>
                <w:szCs w:val="24"/>
                <w:highlight w:val="none"/>
                <w:lang w:val="en-US" w:eastAsia="zh-CN"/>
              </w:rPr>
            </w:pPr>
            <w:r>
              <w:rPr>
                <w:rFonts w:hint="eastAsia" w:hAnsi="宋体" w:cs="宋体"/>
                <w:bCs/>
                <w:sz w:val="24"/>
                <w:szCs w:val="24"/>
                <w:highlight w:val="none"/>
                <w:lang w:val="en-US" w:eastAsia="zh-CN"/>
              </w:rPr>
              <w:t>9</w:t>
            </w:r>
          </w:p>
        </w:tc>
        <w:tc>
          <w:tcPr>
            <w:tcW w:w="9685" w:type="dxa"/>
            <w:noWrap w:val="0"/>
            <w:vAlign w:val="center"/>
          </w:tcPr>
          <w:p w14:paraId="080007D8">
            <w:pPr>
              <w:pStyle w:val="11"/>
              <w:numPr>
                <w:ilvl w:val="0"/>
                <w:numId w:val="0"/>
              </w:numPr>
              <w:spacing w:line="360" w:lineRule="auto"/>
              <w:rPr>
                <w:rFonts w:hint="eastAsia" w:ascii="宋体" w:hAnsi="宋体"/>
                <w:b w:val="0"/>
                <w:bCs w:val="0"/>
                <w:sz w:val="24"/>
                <w:highlight w:val="none"/>
              </w:rPr>
            </w:pPr>
            <w:r>
              <w:rPr>
                <w:rFonts w:hint="eastAsia" w:hAnsi="宋体"/>
                <w:b w:val="0"/>
                <w:bCs w:val="0"/>
                <w:sz w:val="24"/>
                <w:highlight w:val="none"/>
                <w:lang w:eastAsia="zh-CN"/>
              </w:rPr>
              <w:t>（</w:t>
            </w:r>
            <w:r>
              <w:rPr>
                <w:rFonts w:hint="eastAsia" w:hAnsi="宋体"/>
                <w:b w:val="0"/>
                <w:bCs w:val="0"/>
                <w:sz w:val="24"/>
                <w:highlight w:val="none"/>
                <w:lang w:val="en-US" w:eastAsia="zh-CN"/>
              </w:rPr>
              <w:t>1</w:t>
            </w:r>
            <w:r>
              <w:rPr>
                <w:rFonts w:hint="eastAsia" w:hAnsi="宋体"/>
                <w:b w:val="0"/>
                <w:bCs w:val="0"/>
                <w:sz w:val="24"/>
                <w:highlight w:val="none"/>
                <w:lang w:eastAsia="zh-CN"/>
              </w:rPr>
              <w:t>）</w:t>
            </w:r>
            <w:r>
              <w:rPr>
                <w:rFonts w:hint="eastAsia" w:ascii="宋体" w:hAnsi="宋体"/>
                <w:b w:val="0"/>
                <w:bCs w:val="0"/>
                <w:sz w:val="24"/>
                <w:highlight w:val="none"/>
              </w:rPr>
              <w:t>采购代理费：</w:t>
            </w:r>
            <w:r>
              <w:rPr>
                <w:rFonts w:hint="eastAsia" w:ascii="宋体" w:hAnsi="宋体"/>
                <w:b w:val="0"/>
                <w:bCs w:val="0"/>
                <w:sz w:val="24"/>
                <w:highlight w:val="none"/>
                <w:lang w:val="en-US" w:eastAsia="zh-CN"/>
              </w:rPr>
              <w:t>经与采购人协商，本项目采购代理服务费由成交供应商在领取成交通知书同时向采购代理机构支付</w:t>
            </w:r>
            <w:r>
              <w:rPr>
                <w:rFonts w:hint="eastAsia" w:hAnsi="宋体"/>
                <w:b w:val="0"/>
                <w:bCs w:val="0"/>
                <w:sz w:val="24"/>
                <w:highlight w:val="none"/>
                <w:lang w:val="en-US" w:eastAsia="zh-CN"/>
              </w:rPr>
              <w:t>，</w:t>
            </w:r>
            <w:r>
              <w:rPr>
                <w:rFonts w:hint="eastAsia" w:ascii="宋体" w:hAnsi="宋体"/>
                <w:b w:val="0"/>
                <w:bCs w:val="0"/>
                <w:sz w:val="24"/>
                <w:highlight w:val="none"/>
              </w:rPr>
              <w:t>由中标供应商支付，本项目采购代理费为：</w:t>
            </w:r>
            <w:r>
              <w:rPr>
                <w:rFonts w:hint="eastAsia" w:hAnsi="宋体"/>
                <w:b w:val="0"/>
                <w:bCs w:val="0"/>
                <w:sz w:val="24"/>
                <w:highlight w:val="none"/>
                <w:lang w:val="en-US" w:eastAsia="zh-CN"/>
              </w:rPr>
              <w:t>4000</w:t>
            </w:r>
            <w:r>
              <w:rPr>
                <w:rFonts w:hint="eastAsia" w:ascii="宋体" w:hAnsi="宋体"/>
                <w:b w:val="0"/>
                <w:bCs w:val="0"/>
                <w:sz w:val="24"/>
                <w:highlight w:val="none"/>
              </w:rPr>
              <w:t>元（大写：人民币</w:t>
            </w:r>
            <w:r>
              <w:rPr>
                <w:rFonts w:hint="eastAsia" w:hAnsi="宋体"/>
                <w:b w:val="0"/>
                <w:bCs w:val="0"/>
                <w:sz w:val="24"/>
                <w:highlight w:val="none"/>
                <w:lang w:val="en-US" w:eastAsia="zh-CN"/>
              </w:rPr>
              <w:t>肆仟元</w:t>
            </w:r>
            <w:r>
              <w:rPr>
                <w:rFonts w:hint="eastAsia" w:ascii="宋体" w:hAnsi="宋体"/>
                <w:b w:val="0"/>
                <w:bCs w:val="0"/>
                <w:sz w:val="24"/>
                <w:highlight w:val="none"/>
              </w:rPr>
              <w:t>整）</w:t>
            </w:r>
          </w:p>
          <w:p w14:paraId="1B52A626">
            <w:pPr>
              <w:pStyle w:val="11"/>
              <w:numPr>
                <w:ilvl w:val="0"/>
                <w:numId w:val="0"/>
              </w:numPr>
              <w:spacing w:line="360" w:lineRule="auto"/>
              <w:rPr>
                <w:rFonts w:hint="eastAsia" w:ascii="宋体" w:hAnsi="宋体"/>
                <w:b w:val="0"/>
                <w:bCs w:val="0"/>
                <w:sz w:val="24"/>
                <w:highlight w:val="none"/>
              </w:rPr>
            </w:pPr>
            <w:r>
              <w:rPr>
                <w:rFonts w:hint="eastAsia" w:ascii="宋体" w:hAnsi="宋体"/>
                <w:b w:val="0"/>
                <w:bCs w:val="0"/>
                <w:sz w:val="24"/>
                <w:highlight w:val="none"/>
              </w:rPr>
              <w:t>（2）中标供应商领取中标通知书时支付采购代理费。此部分费用供应商自行考虑计入本次投标报价中，不因供应商漏报或忽略而后期追加费用。</w:t>
            </w:r>
          </w:p>
          <w:p w14:paraId="293360AE">
            <w:pPr>
              <w:pStyle w:val="11"/>
              <w:spacing w:line="360" w:lineRule="auto"/>
              <w:rPr>
                <w:rFonts w:hint="eastAsia" w:ascii="宋体" w:hAnsi="宋体"/>
                <w:b w:val="0"/>
                <w:bCs w:val="0"/>
                <w:sz w:val="24"/>
                <w:highlight w:val="none"/>
              </w:rPr>
            </w:pPr>
            <w:r>
              <w:rPr>
                <w:rFonts w:hint="eastAsia" w:ascii="宋体" w:hAnsi="宋体"/>
                <w:b w:val="0"/>
                <w:bCs w:val="0"/>
                <w:sz w:val="24"/>
                <w:highlight w:val="none"/>
              </w:rPr>
              <w:t>（3）缴纳账户信息：</w:t>
            </w:r>
          </w:p>
          <w:p w14:paraId="0DB3AE5B">
            <w:pPr>
              <w:pStyle w:val="11"/>
              <w:spacing w:line="360" w:lineRule="auto"/>
              <w:rPr>
                <w:rFonts w:hint="eastAsia" w:ascii="宋体" w:hAnsi="宋体"/>
                <w:b w:val="0"/>
                <w:bCs w:val="0"/>
                <w:sz w:val="24"/>
                <w:highlight w:val="none"/>
              </w:rPr>
            </w:pPr>
            <w:r>
              <w:rPr>
                <w:rFonts w:hint="eastAsia" w:ascii="宋体" w:hAnsi="宋体"/>
                <w:b w:val="0"/>
                <w:bCs w:val="0"/>
                <w:sz w:val="24"/>
                <w:highlight w:val="none"/>
              </w:rPr>
              <w:t>账户名称：</w:t>
            </w:r>
            <w:r>
              <w:rPr>
                <w:rFonts w:hint="eastAsia" w:ascii="宋体" w:hAnsi="宋体"/>
                <w:b w:val="0"/>
                <w:bCs w:val="0"/>
                <w:sz w:val="24"/>
                <w:highlight w:val="none"/>
                <w:lang w:eastAsia="zh-CN"/>
              </w:rPr>
              <w:t>新疆新咨工程咨询有限公司</w:t>
            </w:r>
            <w:r>
              <w:rPr>
                <w:rFonts w:hint="eastAsia" w:ascii="宋体" w:hAnsi="宋体"/>
                <w:b w:val="0"/>
                <w:bCs w:val="0"/>
                <w:sz w:val="24"/>
                <w:highlight w:val="none"/>
              </w:rPr>
              <w:t>克拉玛依</w:t>
            </w:r>
            <w:r>
              <w:rPr>
                <w:rFonts w:hint="eastAsia" w:hAnsi="宋体"/>
                <w:b w:val="0"/>
                <w:bCs w:val="0"/>
                <w:sz w:val="24"/>
                <w:highlight w:val="none"/>
                <w:lang w:eastAsia="zh-CN"/>
              </w:rPr>
              <w:t>市</w:t>
            </w:r>
            <w:r>
              <w:rPr>
                <w:rFonts w:hint="eastAsia" w:ascii="宋体" w:hAnsi="宋体"/>
                <w:b w:val="0"/>
                <w:bCs w:val="0"/>
                <w:sz w:val="24"/>
                <w:highlight w:val="none"/>
              </w:rPr>
              <w:t>分公司</w:t>
            </w:r>
          </w:p>
          <w:p w14:paraId="74B99352">
            <w:pPr>
              <w:pStyle w:val="11"/>
              <w:spacing w:line="360" w:lineRule="auto"/>
              <w:rPr>
                <w:rFonts w:hint="eastAsia" w:ascii="宋体" w:hAnsi="宋体"/>
                <w:b w:val="0"/>
                <w:bCs w:val="0"/>
                <w:sz w:val="24"/>
                <w:highlight w:val="none"/>
              </w:rPr>
            </w:pPr>
            <w:r>
              <w:rPr>
                <w:rFonts w:hint="eastAsia" w:ascii="宋体" w:hAnsi="宋体"/>
                <w:b w:val="0"/>
                <w:bCs w:val="0"/>
                <w:sz w:val="24"/>
                <w:highlight w:val="none"/>
              </w:rPr>
              <w:t>开 户 行：</w:t>
            </w:r>
            <w:r>
              <w:rPr>
                <w:rFonts w:hint="eastAsia" w:ascii="宋体" w:hAnsi="宋体"/>
                <w:b w:val="0"/>
                <w:bCs w:val="0"/>
                <w:sz w:val="24"/>
                <w:highlight w:val="none"/>
                <w:lang w:val="en-US" w:eastAsia="zh-CN"/>
              </w:rPr>
              <w:t>中国工商银行股份有限公司克拉玛依迎宾支行</w:t>
            </w:r>
            <w:r>
              <w:rPr>
                <w:rFonts w:hint="eastAsia" w:ascii="宋体" w:hAnsi="宋体"/>
                <w:b w:val="0"/>
                <w:bCs w:val="0"/>
                <w:sz w:val="24"/>
                <w:highlight w:val="none"/>
              </w:rPr>
              <w:t xml:space="preserve">   </w:t>
            </w:r>
          </w:p>
          <w:p w14:paraId="332E5053">
            <w:pPr>
              <w:pStyle w:val="11"/>
              <w:spacing w:line="360" w:lineRule="auto"/>
              <w:rPr>
                <w:rFonts w:hint="eastAsia" w:ascii="宋体" w:hAnsi="宋体"/>
                <w:b/>
                <w:bCs/>
                <w:sz w:val="24"/>
                <w:highlight w:val="none"/>
              </w:rPr>
            </w:pPr>
            <w:r>
              <w:rPr>
                <w:rFonts w:hint="eastAsia" w:ascii="宋体" w:hAnsi="宋体"/>
                <w:b w:val="0"/>
                <w:bCs w:val="0"/>
                <w:sz w:val="24"/>
                <w:highlight w:val="none"/>
              </w:rPr>
              <w:t>账    号：</w:t>
            </w:r>
            <w:r>
              <w:rPr>
                <w:rFonts w:hint="eastAsia" w:ascii="宋体" w:hAnsi="宋体"/>
                <w:b w:val="0"/>
                <w:bCs w:val="0"/>
                <w:sz w:val="24"/>
                <w:highlight w:val="none"/>
                <w:lang w:val="en-US" w:eastAsia="zh-CN"/>
              </w:rPr>
              <w:t>3003 0203 0920 0153 009</w:t>
            </w:r>
          </w:p>
        </w:tc>
      </w:tr>
      <w:tr w14:paraId="018F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55" w:type="dxa"/>
            <w:noWrap w:val="0"/>
            <w:vAlign w:val="center"/>
          </w:tcPr>
          <w:p w14:paraId="47EAB34B">
            <w:pPr>
              <w:pStyle w:val="11"/>
              <w:spacing w:line="240" w:lineRule="auto"/>
              <w:jc w:val="center"/>
              <w:rPr>
                <w:rFonts w:hint="default" w:hAnsi="宋体" w:cs="宋体"/>
                <w:bCs/>
                <w:sz w:val="24"/>
                <w:szCs w:val="24"/>
                <w:highlight w:val="none"/>
                <w:lang w:val="en-US" w:eastAsia="zh-CN"/>
              </w:rPr>
            </w:pPr>
            <w:r>
              <w:rPr>
                <w:rFonts w:hint="eastAsia" w:hAnsi="宋体" w:cs="宋体"/>
                <w:bCs/>
                <w:sz w:val="24"/>
                <w:szCs w:val="24"/>
                <w:highlight w:val="none"/>
                <w:lang w:val="en-US" w:eastAsia="zh-CN"/>
              </w:rPr>
              <w:t>10</w:t>
            </w:r>
          </w:p>
        </w:tc>
        <w:tc>
          <w:tcPr>
            <w:tcW w:w="9685" w:type="dxa"/>
            <w:noWrap w:val="0"/>
            <w:vAlign w:val="center"/>
          </w:tcPr>
          <w:p w14:paraId="087E5987">
            <w:pPr>
              <w:pStyle w:val="11"/>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本项目采购标的对应的中小企业划分标准所属行业：根据工信部联企业〔2011〕300 号 </w:t>
            </w:r>
          </w:p>
          <w:p w14:paraId="70BA409D">
            <w:pPr>
              <w:pStyle w:val="11"/>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中小企业划型标准规定：</w:t>
            </w:r>
            <w:r>
              <w:rPr>
                <w:rFonts w:hint="eastAsia" w:hAnsi="宋体" w:cs="宋体"/>
                <w:color w:val="auto"/>
                <w:sz w:val="24"/>
                <w:szCs w:val="24"/>
                <w:highlight w:val="none"/>
                <w:u w:val="single"/>
                <w:lang w:val="en-US" w:eastAsia="zh-CN"/>
              </w:rPr>
              <w:t>工业</w:t>
            </w:r>
            <w:r>
              <w:rPr>
                <w:rFonts w:hint="eastAsia" w:ascii="宋体" w:hAnsi="宋体" w:eastAsia="宋体" w:cs="宋体"/>
                <w:color w:val="0000FF"/>
                <w:sz w:val="24"/>
                <w:szCs w:val="24"/>
                <w:highlight w:val="none"/>
                <w:lang w:val="en-US" w:eastAsia="zh-CN"/>
              </w:rPr>
              <w:t>。</w:t>
            </w:r>
          </w:p>
        </w:tc>
      </w:tr>
    </w:tbl>
    <w:p w14:paraId="3FFE4D19">
      <w:pPr>
        <w:spacing w:line="360" w:lineRule="auto"/>
        <w:jc w:val="both"/>
        <w:rPr>
          <w:rFonts w:hint="eastAsia" w:ascii="宋体" w:hAnsi="宋体" w:cs="宋体"/>
          <w:sz w:val="28"/>
          <w:szCs w:val="21"/>
          <w:highlight w:val="none"/>
        </w:rPr>
      </w:pPr>
    </w:p>
    <w:p w14:paraId="1FC242D2">
      <w:pPr>
        <w:rPr>
          <w:rFonts w:hint="eastAsia" w:ascii="宋体" w:hAnsi="宋体" w:cs="宋体"/>
          <w:sz w:val="28"/>
          <w:szCs w:val="21"/>
          <w:highlight w:val="none"/>
        </w:rPr>
      </w:pPr>
    </w:p>
    <w:p w14:paraId="21840480">
      <w:pPr>
        <w:spacing w:line="360" w:lineRule="auto"/>
        <w:jc w:val="center"/>
        <w:rPr>
          <w:rFonts w:hint="eastAsia" w:ascii="宋体" w:hAnsi="宋体" w:cs="宋体"/>
          <w:b/>
          <w:sz w:val="28"/>
          <w:szCs w:val="21"/>
          <w:highlight w:val="none"/>
        </w:rPr>
      </w:pPr>
      <w:r>
        <w:rPr>
          <w:rFonts w:hint="eastAsia" w:ascii="宋体" w:hAnsi="宋体" w:cs="宋体"/>
          <w:sz w:val="28"/>
          <w:szCs w:val="21"/>
          <w:highlight w:val="none"/>
        </w:rPr>
        <w:t>A</w:t>
      </w:r>
      <w:bookmarkStart w:id="53" w:name="_Toc154996576"/>
      <w:r>
        <w:rPr>
          <w:rFonts w:hint="eastAsia" w:ascii="宋体" w:hAnsi="宋体" w:cs="宋体"/>
          <w:b/>
          <w:sz w:val="28"/>
          <w:szCs w:val="21"/>
          <w:highlight w:val="none"/>
        </w:rPr>
        <w:t>说明</w:t>
      </w:r>
    </w:p>
    <w:p w14:paraId="744CECEA">
      <w:pPr>
        <w:pStyle w:val="11"/>
        <w:spacing w:line="360" w:lineRule="auto"/>
        <w:ind w:firstLine="482" w:firstLineChars="200"/>
        <w:outlineLvl w:val="9"/>
        <w:rPr>
          <w:rFonts w:hint="eastAsia" w:hAnsi="宋体" w:cs="宋体"/>
          <w:b/>
          <w:bCs/>
          <w:sz w:val="24"/>
          <w:szCs w:val="24"/>
          <w:highlight w:val="none"/>
        </w:rPr>
      </w:pPr>
      <w:bookmarkStart w:id="54" w:name="_Toc243906311"/>
      <w:bookmarkStart w:id="55" w:name="_Toc246216180"/>
      <w:bookmarkStart w:id="56" w:name="_Toc243907571"/>
      <w:bookmarkStart w:id="57" w:name="_Toc233274811"/>
      <w:bookmarkStart w:id="58" w:name="_Toc20671"/>
      <w:r>
        <w:rPr>
          <w:rFonts w:hint="eastAsia" w:hAnsi="宋体" w:cs="宋体"/>
          <w:b/>
          <w:bCs/>
          <w:sz w:val="24"/>
          <w:szCs w:val="24"/>
          <w:highlight w:val="none"/>
        </w:rPr>
        <w:t>1、适用范围</w:t>
      </w:r>
      <w:bookmarkEnd w:id="54"/>
      <w:bookmarkEnd w:id="55"/>
      <w:bookmarkEnd w:id="56"/>
      <w:bookmarkEnd w:id="57"/>
      <w:r>
        <w:rPr>
          <w:rFonts w:hint="eastAsia" w:hAnsi="宋体" w:cs="宋体"/>
          <w:b/>
          <w:bCs/>
          <w:sz w:val="24"/>
          <w:szCs w:val="24"/>
          <w:highlight w:val="none"/>
        </w:rPr>
        <w:t>及</w:t>
      </w:r>
      <w:r>
        <w:rPr>
          <w:rFonts w:hint="eastAsia" w:hAnsi="宋体" w:cs="宋体"/>
          <w:b/>
          <w:bCs/>
          <w:sz w:val="24"/>
          <w:szCs w:val="24"/>
          <w:highlight w:val="none"/>
          <w:lang w:val="en-US" w:eastAsia="zh-CN"/>
        </w:rPr>
        <w:t>谈判</w:t>
      </w:r>
      <w:r>
        <w:rPr>
          <w:rFonts w:hint="eastAsia" w:hAnsi="宋体" w:cs="宋体"/>
          <w:b/>
          <w:bCs/>
          <w:sz w:val="24"/>
          <w:szCs w:val="24"/>
          <w:highlight w:val="none"/>
        </w:rPr>
        <w:t>依据</w:t>
      </w:r>
      <w:bookmarkEnd w:id="58"/>
    </w:p>
    <w:p w14:paraId="034BF31C">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1.1 适用范围</w:t>
      </w:r>
    </w:p>
    <w:p w14:paraId="2159EC51">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本</w:t>
      </w:r>
      <w:r>
        <w:rPr>
          <w:rFonts w:hint="eastAsia" w:hAnsi="宋体" w:cs="宋体"/>
          <w:sz w:val="24"/>
          <w:szCs w:val="24"/>
          <w:highlight w:val="none"/>
          <w:lang w:eastAsia="zh-CN"/>
        </w:rPr>
        <w:t>竞争性谈判</w:t>
      </w:r>
      <w:r>
        <w:rPr>
          <w:rFonts w:hint="eastAsia" w:hAnsi="宋体" w:cs="宋体"/>
          <w:sz w:val="24"/>
          <w:szCs w:val="24"/>
          <w:highlight w:val="none"/>
        </w:rPr>
        <w:t>文件仅适用</w:t>
      </w:r>
      <w:r>
        <w:rPr>
          <w:rFonts w:hint="eastAsia" w:hAnsi="宋体" w:cs="宋体"/>
          <w:sz w:val="24"/>
          <w:szCs w:val="24"/>
          <w:highlight w:val="none"/>
          <w:lang w:eastAsia="zh-CN"/>
        </w:rPr>
        <w:t>气象服务保障经费</w:t>
      </w:r>
      <w:r>
        <w:rPr>
          <w:rFonts w:hint="eastAsia" w:hAnsi="宋体" w:cs="宋体"/>
          <w:sz w:val="24"/>
          <w:szCs w:val="24"/>
          <w:highlight w:val="none"/>
        </w:rPr>
        <w:t>的采购。</w:t>
      </w:r>
    </w:p>
    <w:p w14:paraId="7D564267">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1.2</w:t>
      </w:r>
      <w:r>
        <w:rPr>
          <w:rFonts w:hint="eastAsia" w:hAnsi="宋体" w:cs="宋体"/>
          <w:sz w:val="24"/>
          <w:szCs w:val="24"/>
          <w:highlight w:val="none"/>
          <w:lang w:eastAsia="zh-CN"/>
        </w:rPr>
        <w:t>谈判</w:t>
      </w:r>
      <w:r>
        <w:rPr>
          <w:rFonts w:hint="eastAsia" w:hAnsi="宋体" w:cs="宋体"/>
          <w:sz w:val="24"/>
          <w:szCs w:val="24"/>
          <w:highlight w:val="none"/>
        </w:rPr>
        <w:t>依据</w:t>
      </w:r>
    </w:p>
    <w:p w14:paraId="1FB1530C">
      <w:pPr>
        <w:keepNext/>
        <w:keepLines w:val="0"/>
        <w:pageBreakBefore w:val="0"/>
        <w:widowControl/>
        <w:numPr>
          <w:ilvl w:val="0"/>
          <w:numId w:val="0"/>
        </w:numPr>
        <w:tabs>
          <w:tab w:val="left" w:pos="72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kern w:val="2"/>
          <w:sz w:val="24"/>
          <w:szCs w:val="24"/>
          <w:highlight w:val="none"/>
          <w:lang w:val="en-US" w:eastAsia="zh-CN" w:bidi="ar-SA"/>
        </w:rPr>
      </w:pPr>
      <w:bookmarkStart w:id="59" w:name="_Toc243906312"/>
      <w:bookmarkStart w:id="60" w:name="_Toc243907572"/>
      <w:bookmarkStart w:id="61" w:name="_Toc5511"/>
      <w:bookmarkStart w:id="62" w:name="_Toc246216181"/>
      <w:bookmarkStart w:id="63" w:name="_Toc233274812"/>
      <w:r>
        <w:rPr>
          <w:rFonts w:hint="eastAsia" w:ascii="宋体" w:hAnsi="宋体" w:eastAsia="宋体" w:cs="宋体"/>
          <w:kern w:val="2"/>
          <w:sz w:val="24"/>
          <w:szCs w:val="24"/>
          <w:highlight w:val="none"/>
          <w:lang w:val="en-US" w:eastAsia="zh-CN" w:bidi="ar-SA"/>
        </w:rPr>
        <w:t>本谈判文件是根据《中华人民共和国政府采购法》、《中华人民共和国政府采购法实施条例》、《政府采购非招标采购方式管理暂行办法》（中华人民共和国财政部令第74号）及其他相关法律、法规编制。</w:t>
      </w:r>
    </w:p>
    <w:p w14:paraId="63EF8688">
      <w:pPr>
        <w:pStyle w:val="11"/>
        <w:spacing w:line="360" w:lineRule="auto"/>
        <w:ind w:firstLine="482" w:firstLineChars="200"/>
        <w:outlineLvl w:val="9"/>
        <w:rPr>
          <w:rFonts w:hint="eastAsia" w:hAnsi="宋体" w:cs="宋体"/>
          <w:b/>
          <w:bCs/>
          <w:sz w:val="24"/>
          <w:szCs w:val="24"/>
          <w:highlight w:val="none"/>
        </w:rPr>
      </w:pPr>
      <w:r>
        <w:rPr>
          <w:rFonts w:hint="eastAsia" w:hAnsi="宋体" w:cs="宋体"/>
          <w:b/>
          <w:bCs/>
          <w:sz w:val="24"/>
          <w:szCs w:val="24"/>
          <w:highlight w:val="none"/>
        </w:rPr>
        <w:t>2、定义</w:t>
      </w:r>
      <w:bookmarkEnd w:id="59"/>
      <w:bookmarkEnd w:id="60"/>
      <w:bookmarkEnd w:id="61"/>
      <w:bookmarkEnd w:id="62"/>
      <w:bookmarkEnd w:id="63"/>
    </w:p>
    <w:p w14:paraId="5DC8D1F2">
      <w:pPr>
        <w:pStyle w:val="11"/>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 “采购人”系指</w:t>
      </w:r>
      <w:r>
        <w:rPr>
          <w:rFonts w:hint="eastAsia" w:hAnsi="宋体" w:cs="宋体"/>
          <w:bCs/>
          <w:sz w:val="24"/>
          <w:szCs w:val="24"/>
          <w:highlight w:val="none"/>
          <w:lang w:val="en-US" w:eastAsia="zh-CN"/>
        </w:rPr>
        <w:t>克拉玛依市气象局，</w:t>
      </w:r>
      <w:r>
        <w:rPr>
          <w:rFonts w:hint="eastAsia" w:ascii="宋体" w:hAnsi="宋体" w:eastAsia="宋体" w:cs="宋体"/>
          <w:sz w:val="24"/>
          <w:szCs w:val="24"/>
          <w:highlight w:val="none"/>
          <w:lang w:val="en-US" w:eastAsia="zh-CN"/>
        </w:rPr>
        <w:t>在签订和执行合同阶段称“</w:t>
      </w:r>
      <w:r>
        <w:rPr>
          <w:rFonts w:hint="eastAsia" w:hAnsi="宋体" w:cs="宋体"/>
          <w:sz w:val="24"/>
          <w:szCs w:val="24"/>
          <w:highlight w:val="none"/>
          <w:lang w:val="en-US" w:eastAsia="zh-CN"/>
        </w:rPr>
        <w:t>甲方</w:t>
      </w:r>
      <w:r>
        <w:rPr>
          <w:rFonts w:hint="eastAsia" w:ascii="宋体" w:hAnsi="宋体" w:eastAsia="宋体" w:cs="宋体"/>
          <w:sz w:val="24"/>
          <w:szCs w:val="24"/>
          <w:highlight w:val="none"/>
          <w:lang w:val="en-US" w:eastAsia="zh-CN"/>
        </w:rPr>
        <w:t>”。</w:t>
      </w:r>
    </w:p>
    <w:p w14:paraId="667711D3">
      <w:pPr>
        <w:pStyle w:val="11"/>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2.2“采购代理机构”系指</w:t>
      </w:r>
      <w:r>
        <w:rPr>
          <w:rFonts w:hint="eastAsia" w:hAnsi="宋体" w:cs="宋体"/>
          <w:sz w:val="24"/>
          <w:szCs w:val="24"/>
          <w:highlight w:val="none"/>
          <w:lang w:val="en-US" w:eastAsia="zh-CN"/>
        </w:rPr>
        <w:t>新疆新咨工程咨询有限公司</w:t>
      </w:r>
      <w:r>
        <w:rPr>
          <w:rFonts w:hint="eastAsia" w:ascii="宋体" w:hAnsi="宋体" w:eastAsia="宋体" w:cs="宋体"/>
          <w:sz w:val="24"/>
          <w:szCs w:val="24"/>
          <w:highlight w:val="none"/>
          <w:lang w:val="en-US" w:eastAsia="zh-CN"/>
        </w:rPr>
        <w:t>。</w:t>
      </w:r>
    </w:p>
    <w:p w14:paraId="4D0D39BB">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 “供应商”</w:t>
      </w:r>
      <w:r>
        <w:rPr>
          <w:rFonts w:hint="eastAsia" w:ascii="宋体" w:hAnsi="宋体" w:eastAsia="宋体" w:cs="宋体"/>
          <w:sz w:val="24"/>
          <w:szCs w:val="24"/>
          <w:highlight w:val="none"/>
        </w:rPr>
        <w:t>系指具备资格并响应</w:t>
      </w:r>
      <w:r>
        <w:rPr>
          <w:rFonts w:hint="eastAsia" w:hAnsi="宋体" w:cs="宋体"/>
          <w:sz w:val="24"/>
          <w:szCs w:val="24"/>
          <w:highlight w:val="none"/>
          <w:lang w:eastAsia="zh-CN"/>
        </w:rPr>
        <w:t>竞争性谈判</w:t>
      </w:r>
      <w:r>
        <w:rPr>
          <w:rFonts w:hint="eastAsia" w:ascii="宋体" w:hAnsi="宋体" w:eastAsia="宋体" w:cs="宋体"/>
          <w:sz w:val="24"/>
          <w:szCs w:val="24"/>
          <w:highlight w:val="none"/>
        </w:rPr>
        <w:t>文件要求提交响应文件的法人，供应商若中标，在签订和执行合同阶段称“</w:t>
      </w:r>
      <w:r>
        <w:rPr>
          <w:rFonts w:hint="eastAsia" w:hAnsi="宋体" w:cs="宋体"/>
          <w:sz w:val="24"/>
          <w:szCs w:val="24"/>
          <w:highlight w:val="none"/>
          <w:lang w:val="en-US" w:eastAsia="zh-CN"/>
        </w:rPr>
        <w:t>乙方</w:t>
      </w:r>
      <w:r>
        <w:rPr>
          <w:rFonts w:hint="eastAsia" w:ascii="宋体" w:hAnsi="宋体" w:eastAsia="宋体" w:cs="宋体"/>
          <w:sz w:val="24"/>
          <w:szCs w:val="24"/>
          <w:highlight w:val="none"/>
        </w:rPr>
        <w:t>”。</w:t>
      </w:r>
    </w:p>
    <w:p w14:paraId="43C7C8AA">
      <w:pPr>
        <w:pStyle w:val="11"/>
        <w:spacing w:line="360" w:lineRule="auto"/>
        <w:ind w:firstLine="480" w:firstLineChars="200"/>
        <w:rPr>
          <w:rFonts w:hint="eastAsia" w:hAnsi="宋体" w:cs="宋体"/>
          <w:sz w:val="24"/>
          <w:szCs w:val="24"/>
          <w:highlight w:val="none"/>
        </w:rPr>
      </w:pPr>
      <w:r>
        <w:rPr>
          <w:rFonts w:hint="eastAsia" w:ascii="宋体" w:hAnsi="宋体" w:eastAsia="宋体" w:cs="宋体"/>
          <w:sz w:val="24"/>
          <w:szCs w:val="24"/>
          <w:highlight w:val="none"/>
        </w:rPr>
        <w:t>2.4 “</w:t>
      </w:r>
      <w:r>
        <w:rPr>
          <w:rFonts w:hint="eastAsia" w:ascii="宋体" w:hAnsi="宋体" w:eastAsia="宋体" w:cs="宋体"/>
          <w:sz w:val="24"/>
          <w:szCs w:val="24"/>
          <w:highlight w:val="none"/>
          <w:lang w:val="en-US" w:eastAsia="zh-CN"/>
        </w:rPr>
        <w:t>采购</w:t>
      </w:r>
      <w:r>
        <w:rPr>
          <w:rFonts w:hint="eastAsia" w:hAnsi="宋体" w:cs="宋体"/>
          <w:sz w:val="24"/>
          <w:szCs w:val="24"/>
          <w:highlight w:val="none"/>
        </w:rPr>
        <w:t>文件”系指由采购人向供应商发出的本采购项目的全部文件（包括修改文件、项目采购需求、补充文件、答疑纪要、各种通知和附件等）。</w:t>
      </w:r>
    </w:p>
    <w:p w14:paraId="472D6264">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2.5 “响应文件”系指供应商根据</w:t>
      </w:r>
      <w:r>
        <w:rPr>
          <w:rFonts w:hint="eastAsia" w:hAnsi="宋体" w:cs="宋体"/>
          <w:sz w:val="24"/>
          <w:szCs w:val="24"/>
          <w:highlight w:val="none"/>
          <w:lang w:eastAsia="zh-CN"/>
        </w:rPr>
        <w:t>竞争性谈判</w:t>
      </w:r>
      <w:r>
        <w:rPr>
          <w:rFonts w:hint="eastAsia" w:hAnsi="宋体" w:cs="宋体"/>
          <w:sz w:val="24"/>
          <w:szCs w:val="24"/>
          <w:highlight w:val="none"/>
        </w:rPr>
        <w:t>文件提交的所有文件。</w:t>
      </w:r>
    </w:p>
    <w:p w14:paraId="01E86D5F">
      <w:pPr>
        <w:keepNext w:val="0"/>
        <w:keepLines w:val="0"/>
        <w:pageBreakBefore w:val="0"/>
        <w:widowControl w:val="0"/>
        <w:kinsoku/>
        <w:overflowPunct/>
        <w:bidi w:val="0"/>
        <w:snapToGrid/>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2.6 </w:t>
      </w:r>
      <w:r>
        <w:rPr>
          <w:rFonts w:hint="eastAsia" w:ascii="宋体" w:hAnsi="宋体" w:cs="宋体"/>
          <w:sz w:val="24"/>
          <w:szCs w:val="24"/>
          <w:highlight w:val="none"/>
          <w:lang w:val="en-US" w:eastAsia="zh-CN"/>
        </w:rPr>
        <w:t>“合同货物”系指按合同条款、技术规范及标准、项目采购需求、本采购文件规定，成交供应商须向采购人提供本项目验收合格并正常使用所需的全部设备、材料等 (含手册、规范、标准及相关技术资料等)</w:t>
      </w:r>
    </w:p>
    <w:p w14:paraId="57406B92">
      <w:pPr>
        <w:keepNext w:val="0"/>
        <w:keepLines w:val="0"/>
        <w:pageBreakBefore w:val="0"/>
        <w:widowControl w:val="0"/>
        <w:kinsoku/>
        <w:overflowPunct/>
        <w:bidi w:val="0"/>
        <w:snapToGrid/>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2.7</w:t>
      </w:r>
      <w:r>
        <w:rPr>
          <w:rFonts w:hint="eastAsia" w:ascii="宋体" w:hAnsi="宋体" w:cs="宋体"/>
          <w:sz w:val="24"/>
          <w:szCs w:val="24"/>
          <w:highlight w:val="none"/>
        </w:rPr>
        <w:t>“</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”系指合同条款、技术规范及标准、项目采购需求、本</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文件规定，中标供应商为</w:t>
      </w:r>
      <w:r>
        <w:rPr>
          <w:rFonts w:hint="eastAsia" w:ascii="宋体" w:hAnsi="宋体" w:cs="宋体"/>
          <w:bCs/>
          <w:sz w:val="24"/>
          <w:szCs w:val="24"/>
          <w:highlight w:val="none"/>
        </w:rPr>
        <w:t>保</w:t>
      </w:r>
      <w:r>
        <w:rPr>
          <w:rFonts w:hint="eastAsia" w:ascii="宋体" w:hAnsi="宋体" w:cs="宋体"/>
          <w:sz w:val="24"/>
          <w:szCs w:val="24"/>
          <w:highlight w:val="none"/>
        </w:rPr>
        <w:t>证完成</w:t>
      </w:r>
      <w:r>
        <w:rPr>
          <w:rFonts w:hint="eastAsia" w:ascii="宋体" w:hAnsi="宋体" w:cs="宋体"/>
          <w:sz w:val="24"/>
          <w:szCs w:val="24"/>
          <w:highlight w:val="none"/>
          <w:lang w:eastAsia="zh-CN"/>
        </w:rPr>
        <w:t>气象服务保障经费</w:t>
      </w:r>
      <w:r>
        <w:rPr>
          <w:rFonts w:hint="eastAsia" w:ascii="宋体" w:hAnsi="宋体" w:cs="宋体"/>
          <w:sz w:val="24"/>
          <w:szCs w:val="24"/>
          <w:highlight w:val="none"/>
        </w:rPr>
        <w:t>的采购应承担的所有工作，</w:t>
      </w:r>
      <w:r>
        <w:rPr>
          <w:rFonts w:hint="eastAsia" w:ascii="宋体" w:hAnsi="宋体" w:cs="宋体"/>
          <w:sz w:val="24"/>
          <w:szCs w:val="24"/>
          <w:highlight w:val="none"/>
          <w:lang w:val="en-US" w:eastAsia="zh-CN"/>
        </w:rPr>
        <w:t>包括不限于</w:t>
      </w:r>
      <w:r>
        <w:rPr>
          <w:rFonts w:hint="eastAsia" w:ascii="宋体" w:hAnsi="宋体" w:eastAsia="宋体" w:cs="宋体"/>
          <w:sz w:val="24"/>
          <w:szCs w:val="24"/>
          <w:highlight w:val="none"/>
          <w:lang w:val="en-US" w:eastAsia="zh-CN"/>
        </w:rPr>
        <w:t>设备的供应、保险、税费、仓储运输、现场保管及装卸（卸至需方指定地点）、现场搬运（含二次搬运），安装调试、运行、检验及验收、移交、原有设备拆除并运至指定地点等工作，向采购人提交技术参数、技术资料（包括操作手册、维修手册及其他相关资料等）、技术咨询、用户人员培训、缺陷修补、质量保修期内的维保、售后服务等保证项目验收合格并能正常交付使用以及合同条款、项目采购需求、本</w:t>
      </w:r>
      <w:r>
        <w:rPr>
          <w:rFonts w:hint="eastAsia" w:ascii="宋体" w:hAnsi="宋体" w:cs="宋体"/>
          <w:sz w:val="24"/>
          <w:szCs w:val="24"/>
          <w:highlight w:val="none"/>
          <w:lang w:val="en-US" w:eastAsia="zh-CN"/>
        </w:rPr>
        <w:t>谈判</w:t>
      </w:r>
      <w:r>
        <w:rPr>
          <w:rFonts w:hint="eastAsia" w:ascii="宋体" w:hAnsi="宋体" w:eastAsia="宋体" w:cs="宋体"/>
          <w:sz w:val="24"/>
          <w:szCs w:val="24"/>
          <w:highlight w:val="none"/>
          <w:lang w:val="en-US" w:eastAsia="zh-CN"/>
        </w:rPr>
        <w:t>文件约定的全部内容及保修责任和义务。</w:t>
      </w:r>
    </w:p>
    <w:p w14:paraId="5D74AE5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2.7凡提及的“天、日期、星期、月份和年份”系指公历日历的日历天、日期、星期、月份和年份。 </w:t>
      </w:r>
    </w:p>
    <w:p w14:paraId="50AA5741">
      <w:pPr>
        <w:pStyle w:val="11"/>
        <w:spacing w:line="360" w:lineRule="auto"/>
        <w:ind w:firstLine="482" w:firstLineChars="200"/>
        <w:outlineLvl w:val="9"/>
        <w:rPr>
          <w:rFonts w:hint="eastAsia" w:hAnsi="宋体" w:cs="宋体"/>
          <w:b/>
          <w:sz w:val="24"/>
          <w:szCs w:val="24"/>
          <w:highlight w:val="none"/>
        </w:rPr>
      </w:pPr>
      <w:bookmarkStart w:id="64" w:name="_Toc233274813"/>
      <w:bookmarkStart w:id="65" w:name="_Toc243906313"/>
      <w:bookmarkStart w:id="66" w:name="_Toc243907573"/>
      <w:bookmarkStart w:id="67" w:name="_Toc246216182"/>
      <w:bookmarkStart w:id="68" w:name="_Toc26901"/>
      <w:bookmarkStart w:id="69" w:name="_Toc233274814"/>
      <w:bookmarkStart w:id="70" w:name="_Toc243907574"/>
      <w:bookmarkStart w:id="71" w:name="_Toc246216183"/>
      <w:bookmarkStart w:id="72" w:name="_Toc243906314"/>
      <w:r>
        <w:rPr>
          <w:rFonts w:hint="eastAsia" w:hAnsi="宋体" w:cs="宋体"/>
          <w:b/>
          <w:sz w:val="24"/>
          <w:szCs w:val="24"/>
          <w:highlight w:val="none"/>
        </w:rPr>
        <w:t>3、采购范围</w:t>
      </w:r>
      <w:bookmarkEnd w:id="64"/>
      <w:bookmarkEnd w:id="65"/>
      <w:bookmarkEnd w:id="66"/>
      <w:bookmarkEnd w:id="67"/>
      <w:r>
        <w:rPr>
          <w:rFonts w:hint="eastAsia" w:hAnsi="宋体" w:cs="宋体"/>
          <w:b/>
          <w:sz w:val="24"/>
          <w:szCs w:val="24"/>
          <w:highlight w:val="none"/>
        </w:rPr>
        <w:t>及</w:t>
      </w:r>
      <w:bookmarkEnd w:id="68"/>
      <w:r>
        <w:rPr>
          <w:rFonts w:hint="eastAsia" w:hAnsi="宋体" w:cs="宋体"/>
          <w:b/>
          <w:sz w:val="24"/>
          <w:szCs w:val="24"/>
          <w:highlight w:val="none"/>
          <w:lang w:eastAsia="zh-CN"/>
        </w:rPr>
        <w:t>供货期</w:t>
      </w:r>
    </w:p>
    <w:p w14:paraId="30572DC6">
      <w:pPr>
        <w:keepNext w:val="0"/>
        <w:keepLines w:val="0"/>
        <w:pageBreakBefore w:val="0"/>
        <w:widowControl w:val="0"/>
        <w:kinsoku/>
        <w:overflowPunct/>
        <w:bidi w:val="0"/>
        <w:snapToGrid/>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sz w:val="24"/>
          <w:szCs w:val="24"/>
          <w:highlight w:val="none"/>
        </w:rPr>
        <w:t>3.1采购范围：</w:t>
      </w:r>
      <w:r>
        <w:rPr>
          <w:rFonts w:hint="eastAsia" w:ascii="宋体" w:hAnsi="宋体" w:cs="宋体"/>
          <w:sz w:val="24"/>
          <w:szCs w:val="24"/>
          <w:highlight w:val="none"/>
        </w:rPr>
        <w:t>完成</w:t>
      </w:r>
      <w:r>
        <w:rPr>
          <w:rFonts w:hint="eastAsia" w:ascii="宋体" w:hAnsi="宋体" w:cs="宋体"/>
          <w:sz w:val="24"/>
          <w:szCs w:val="24"/>
          <w:highlight w:val="none"/>
          <w:lang w:eastAsia="zh-CN"/>
        </w:rPr>
        <w:t>气象服务保障经费</w:t>
      </w:r>
      <w:r>
        <w:rPr>
          <w:rFonts w:hint="eastAsia" w:ascii="宋体" w:hAnsi="宋体" w:cs="宋体"/>
          <w:sz w:val="24"/>
          <w:szCs w:val="24"/>
          <w:highlight w:val="none"/>
        </w:rPr>
        <w:t>的采购应承担的所有工作，</w:t>
      </w:r>
      <w:r>
        <w:rPr>
          <w:rFonts w:hint="eastAsia" w:ascii="宋体" w:hAnsi="宋体" w:cs="宋体"/>
          <w:sz w:val="24"/>
          <w:szCs w:val="24"/>
          <w:highlight w:val="none"/>
          <w:lang w:val="en-US" w:eastAsia="zh-CN"/>
        </w:rPr>
        <w:t>包括不限于</w:t>
      </w:r>
      <w:r>
        <w:rPr>
          <w:rFonts w:hint="eastAsia" w:ascii="宋体" w:hAnsi="宋体" w:eastAsia="宋体" w:cs="宋体"/>
          <w:sz w:val="24"/>
          <w:szCs w:val="24"/>
          <w:highlight w:val="none"/>
          <w:lang w:val="en-US" w:eastAsia="zh-CN"/>
        </w:rPr>
        <w:t>设备的供应、保险、税费、仓储运输、现场保管及装卸（卸至需方指定地点）、现场搬运（含二次搬运），安装调试、运行、检验及验收、移交、原有设备拆除并运至指定地点等工作，向采购人提交技术参数、技术资料（包括操作手册、维修手册及其他相关资料等）、技术咨询、用户人员培训、缺陷修补、质量保修期内的维保、售后服务等保证项目验收合格并能正常交付使用以及合同条款、项目采购需求、本</w:t>
      </w:r>
      <w:r>
        <w:rPr>
          <w:rFonts w:hint="eastAsia" w:ascii="宋体" w:hAnsi="宋体" w:cs="宋体"/>
          <w:sz w:val="24"/>
          <w:szCs w:val="24"/>
          <w:highlight w:val="none"/>
          <w:lang w:val="en-US" w:eastAsia="zh-CN"/>
        </w:rPr>
        <w:t>谈判</w:t>
      </w:r>
      <w:r>
        <w:rPr>
          <w:rFonts w:hint="eastAsia" w:ascii="宋体" w:hAnsi="宋体" w:eastAsia="宋体" w:cs="宋体"/>
          <w:sz w:val="24"/>
          <w:szCs w:val="24"/>
          <w:highlight w:val="none"/>
          <w:lang w:val="en-US" w:eastAsia="zh-CN"/>
        </w:rPr>
        <w:t>文件约定的全部内容及保修责任和义务。</w:t>
      </w:r>
    </w:p>
    <w:p w14:paraId="5D30CFBD">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highlight w:val="none"/>
          <w:lang w:val="en-US" w:eastAsia="zh-CN"/>
        </w:rPr>
        <w:t>3.2</w:t>
      </w:r>
      <w:r>
        <w:rPr>
          <w:rFonts w:hint="eastAsia" w:ascii="宋体" w:hAnsi="宋体" w:cs="宋体"/>
          <w:b w:val="0"/>
          <w:bCs w:val="0"/>
          <w:color w:val="auto"/>
          <w:sz w:val="24"/>
          <w:szCs w:val="24"/>
          <w:highlight w:val="none"/>
          <w:lang w:val="en-US" w:eastAsia="zh-CN"/>
        </w:rPr>
        <w:t>供货期</w:t>
      </w:r>
      <w:r>
        <w:rPr>
          <w:rFonts w:hint="eastAsia" w:ascii="宋体" w:hAnsi="宋体" w:eastAsia="宋体" w:cs="宋体"/>
          <w:b w:val="0"/>
          <w:bCs w:val="0"/>
          <w:color w:val="auto"/>
          <w:sz w:val="24"/>
          <w:szCs w:val="24"/>
          <w:highlight w:val="none"/>
          <w:lang w:val="en-US" w:eastAsia="zh-CN"/>
        </w:rPr>
        <w:t>：2025年6月30日前送货并完成安装调试、验收。</w:t>
      </w:r>
    </w:p>
    <w:p w14:paraId="1A43BF2D">
      <w:pPr>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b/>
          <w:kern w:val="2"/>
          <w:sz w:val="24"/>
          <w:szCs w:val="24"/>
          <w:highlight w:val="none"/>
          <w:lang w:val="en-US" w:eastAsia="zh-CN" w:bidi="ar-SA"/>
        </w:rPr>
        <w:t>4、</w:t>
      </w:r>
      <w:bookmarkEnd w:id="69"/>
      <w:bookmarkEnd w:id="70"/>
      <w:bookmarkEnd w:id="71"/>
      <w:bookmarkEnd w:id="72"/>
      <w:r>
        <w:rPr>
          <w:rFonts w:hint="eastAsia" w:ascii="宋体" w:hAnsi="宋体" w:eastAsia="宋体" w:cs="宋体"/>
          <w:b/>
          <w:kern w:val="2"/>
          <w:sz w:val="24"/>
          <w:szCs w:val="24"/>
          <w:highlight w:val="none"/>
          <w:lang w:val="en-US" w:eastAsia="zh-CN" w:bidi="ar-SA"/>
        </w:rPr>
        <w:t>合格供应商资格要求</w:t>
      </w:r>
    </w:p>
    <w:p w14:paraId="07DBC4DE">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4.1详见第一章“</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公告”中的供应商资格要求。</w:t>
      </w:r>
      <w:bookmarkStart w:id="73" w:name="_Toc233274815"/>
      <w:bookmarkStart w:id="74" w:name="_Toc245897275"/>
      <w:bookmarkStart w:id="75" w:name="_Toc243906315"/>
      <w:bookmarkStart w:id="76" w:name="_Toc243907575"/>
    </w:p>
    <w:p w14:paraId="3C9FDF1A">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4.2单位负责人为同一人或者存在直接控股、管理关系的不同供应商，不得参加同一合同项下的政府采购活动。</w:t>
      </w:r>
    </w:p>
    <w:p w14:paraId="32F63F22">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4.3为采购项目提供整体设计、规范编制或者项目管理、监理、检测等服务的供应商，不得再参加该采购项目的其他采购活动。</w:t>
      </w:r>
    </w:p>
    <w:p w14:paraId="4BD29666">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4.4在单一品目的货物采购采购中，同一品牌同一型号的产品有多家供应商参加</w:t>
      </w:r>
      <w:r>
        <w:rPr>
          <w:rFonts w:hint="eastAsia" w:ascii="宋体" w:hAnsi="宋体" w:cs="宋体"/>
          <w:sz w:val="24"/>
          <w:szCs w:val="24"/>
          <w:highlight w:val="none"/>
          <w:lang w:eastAsia="zh-CN"/>
        </w:rPr>
        <w:t>谈判</w:t>
      </w:r>
      <w:r>
        <w:rPr>
          <w:rFonts w:hint="eastAsia" w:ascii="宋体" w:hAnsi="宋体" w:cs="宋体"/>
          <w:sz w:val="24"/>
          <w:szCs w:val="24"/>
          <w:highlight w:val="none"/>
        </w:rPr>
        <w:t>，只能按照一家供应商计算。</w:t>
      </w:r>
    </w:p>
    <w:p w14:paraId="3DBC075A">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4.5同一分包的货物，制造商参与</w:t>
      </w:r>
      <w:r>
        <w:rPr>
          <w:rFonts w:hint="eastAsia" w:ascii="宋体" w:hAnsi="宋体" w:cs="宋体"/>
          <w:sz w:val="24"/>
          <w:szCs w:val="24"/>
          <w:highlight w:val="none"/>
          <w:lang w:eastAsia="zh-CN"/>
        </w:rPr>
        <w:t>谈判</w:t>
      </w:r>
      <w:r>
        <w:rPr>
          <w:rFonts w:hint="eastAsia" w:ascii="宋体" w:hAnsi="宋体" w:cs="宋体"/>
          <w:sz w:val="24"/>
          <w:szCs w:val="24"/>
          <w:highlight w:val="none"/>
        </w:rPr>
        <w:t>的，不得再委托代理商参与</w:t>
      </w:r>
      <w:r>
        <w:rPr>
          <w:rFonts w:hint="eastAsia" w:ascii="宋体" w:hAnsi="宋体" w:cs="宋体"/>
          <w:sz w:val="24"/>
          <w:szCs w:val="24"/>
          <w:highlight w:val="none"/>
          <w:lang w:eastAsia="zh-CN"/>
        </w:rPr>
        <w:t>谈判</w:t>
      </w:r>
      <w:r>
        <w:rPr>
          <w:rFonts w:hint="eastAsia" w:ascii="宋体" w:hAnsi="宋体" w:cs="宋体"/>
          <w:sz w:val="24"/>
          <w:szCs w:val="24"/>
          <w:highlight w:val="none"/>
        </w:rPr>
        <w:t>。</w:t>
      </w:r>
    </w:p>
    <w:p w14:paraId="629D20C1">
      <w:pPr>
        <w:spacing w:line="360" w:lineRule="auto"/>
        <w:ind w:firstLine="482"/>
        <w:jc w:val="left"/>
        <w:rPr>
          <w:rFonts w:hint="eastAsia" w:ascii="宋体" w:hAnsi="宋体" w:cs="宋体"/>
          <w:b/>
          <w:bCs/>
          <w:sz w:val="24"/>
          <w:szCs w:val="24"/>
          <w:highlight w:val="none"/>
        </w:rPr>
      </w:pPr>
      <w:r>
        <w:rPr>
          <w:rFonts w:hint="eastAsia" w:ascii="宋体" w:hAnsi="宋体" w:cs="宋体"/>
          <w:b/>
          <w:bCs/>
          <w:sz w:val="24"/>
          <w:szCs w:val="24"/>
          <w:highlight w:val="none"/>
        </w:rPr>
        <w:t>5、回避。政府采购活动中，采购人员及相关人员与供应商有下列利害关系之一的，应当回避：</w:t>
      </w:r>
    </w:p>
    <w:p w14:paraId="32829724">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5.1参加采购活动前3年内与供应商存在劳动关系；</w:t>
      </w:r>
    </w:p>
    <w:p w14:paraId="305D9AEA">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5.2参加采购活动前3年内担任供应商的董事、监事；</w:t>
      </w:r>
    </w:p>
    <w:p w14:paraId="2B0D87E9">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5.3参加采购活动前3年内是供应商的控股股东或者实际控制人；</w:t>
      </w:r>
    </w:p>
    <w:p w14:paraId="6C9A5969">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5.4与供应商的法定代表人或者负责人有夫妻、直系血亲、三代以内旁系血亲或者近姻亲关系；</w:t>
      </w:r>
    </w:p>
    <w:p w14:paraId="2317540A">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5.5与供应商有其他可能影响政府采购活动公平、公正进行的关系。</w:t>
      </w:r>
    </w:p>
    <w:p w14:paraId="78BC5340">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宋体" w:hAnsi="宋体" w:cs="宋体"/>
          <w:sz w:val="24"/>
          <w:szCs w:val="24"/>
          <w:highlight w:val="none"/>
          <w:lang w:eastAsia="zh-CN"/>
        </w:rPr>
        <w:t>谈判</w:t>
      </w:r>
      <w:r>
        <w:rPr>
          <w:rFonts w:hint="eastAsia" w:ascii="宋体" w:hAnsi="宋体" w:cs="宋体"/>
          <w:sz w:val="24"/>
          <w:szCs w:val="24"/>
          <w:highlight w:val="none"/>
        </w:rPr>
        <w:t>小组成员。</w:t>
      </w:r>
    </w:p>
    <w:p w14:paraId="0BA909DB">
      <w:pPr>
        <w:spacing w:line="360" w:lineRule="auto"/>
        <w:ind w:firstLine="482"/>
        <w:jc w:val="left"/>
        <w:rPr>
          <w:rFonts w:hint="eastAsia" w:ascii="宋体" w:hAnsi="宋体" w:cs="宋体"/>
          <w:sz w:val="24"/>
          <w:szCs w:val="24"/>
          <w:highlight w:val="none"/>
        </w:rPr>
      </w:pPr>
      <w:r>
        <w:rPr>
          <w:rFonts w:hint="eastAsia" w:ascii="宋体" w:hAnsi="宋体" w:cs="宋体"/>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74C3C2C8">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6、实地考察和费用</w:t>
      </w:r>
      <w:bookmarkEnd w:id="73"/>
      <w:bookmarkEnd w:id="74"/>
      <w:bookmarkEnd w:id="75"/>
      <w:bookmarkEnd w:id="76"/>
    </w:p>
    <w:p w14:paraId="3D31E463">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6.1实地考察</w:t>
      </w:r>
    </w:p>
    <w:p w14:paraId="61BABF96">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不组织统一实地考察。供应商须对采购项目的现场及采购项目所涉及的国家、自治区、克拉玛依地区、相关部门等与此相关的政策进行充分的调查、研究，参观并考察项目情况及其周围环境（包括当地气候条件及自然环境等）以取得所有与准备</w:t>
      </w:r>
      <w:r>
        <w:rPr>
          <w:rFonts w:hint="eastAsia" w:hAnsi="宋体" w:cs="宋体"/>
          <w:sz w:val="24"/>
          <w:szCs w:val="24"/>
          <w:highlight w:val="none"/>
          <w:lang w:eastAsia="zh-CN"/>
        </w:rPr>
        <w:t>谈判</w:t>
      </w:r>
      <w:r>
        <w:rPr>
          <w:rFonts w:hint="eastAsia" w:hAnsi="宋体" w:cs="宋体"/>
          <w:sz w:val="24"/>
          <w:szCs w:val="24"/>
          <w:highlight w:val="none"/>
        </w:rPr>
        <w:t>和实施</w:t>
      </w:r>
      <w:r>
        <w:rPr>
          <w:rFonts w:hint="eastAsia" w:hAnsi="宋体" w:cs="宋体"/>
          <w:sz w:val="24"/>
          <w:szCs w:val="24"/>
          <w:highlight w:val="none"/>
          <w:lang w:eastAsia="zh-CN"/>
        </w:rPr>
        <w:t>谈判</w:t>
      </w:r>
      <w:r>
        <w:rPr>
          <w:rFonts w:hint="eastAsia" w:hAnsi="宋体" w:cs="宋体"/>
          <w:sz w:val="24"/>
          <w:szCs w:val="24"/>
          <w:highlight w:val="none"/>
        </w:rPr>
        <w:t>有关的必要资料及信息。实地考察所发生的任何费用均由供应商自理。</w:t>
      </w:r>
    </w:p>
    <w:p w14:paraId="21C44A3F">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6.2参与</w:t>
      </w:r>
      <w:r>
        <w:rPr>
          <w:rFonts w:hint="eastAsia" w:hAnsi="宋体" w:cs="宋体"/>
          <w:sz w:val="24"/>
          <w:szCs w:val="24"/>
          <w:highlight w:val="none"/>
          <w:lang w:val="en-US" w:eastAsia="zh-CN"/>
        </w:rPr>
        <w:t>谈判</w:t>
      </w:r>
      <w:r>
        <w:rPr>
          <w:rFonts w:hint="eastAsia" w:hAnsi="宋体" w:cs="宋体"/>
          <w:sz w:val="24"/>
          <w:szCs w:val="24"/>
          <w:highlight w:val="none"/>
        </w:rPr>
        <w:t>费用</w:t>
      </w:r>
    </w:p>
    <w:p w14:paraId="4C518876">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6.2.1供应商应承担所有与</w:t>
      </w:r>
      <w:r>
        <w:rPr>
          <w:rFonts w:hint="eastAsia" w:hAnsi="宋体" w:cs="宋体"/>
          <w:sz w:val="24"/>
          <w:szCs w:val="24"/>
          <w:highlight w:val="none"/>
          <w:lang w:eastAsia="zh-CN"/>
        </w:rPr>
        <w:t>谈判</w:t>
      </w:r>
      <w:r>
        <w:rPr>
          <w:rFonts w:hint="eastAsia" w:hAnsi="宋体" w:cs="宋体"/>
          <w:sz w:val="24"/>
          <w:szCs w:val="24"/>
          <w:highlight w:val="none"/>
        </w:rPr>
        <w:t>准备和</w:t>
      </w:r>
      <w:r>
        <w:rPr>
          <w:rFonts w:hint="eastAsia" w:hAnsi="宋体" w:cs="宋体"/>
          <w:sz w:val="24"/>
          <w:szCs w:val="24"/>
          <w:highlight w:val="none"/>
          <w:lang w:eastAsia="zh-CN"/>
        </w:rPr>
        <w:t>谈判</w:t>
      </w:r>
      <w:r>
        <w:rPr>
          <w:rFonts w:hint="eastAsia" w:hAnsi="宋体" w:cs="宋体"/>
          <w:sz w:val="24"/>
          <w:szCs w:val="24"/>
          <w:highlight w:val="none"/>
        </w:rPr>
        <w:t>有关的全部费用，不论</w:t>
      </w:r>
      <w:r>
        <w:rPr>
          <w:rFonts w:hint="eastAsia" w:hAnsi="宋体" w:cs="宋体"/>
          <w:sz w:val="24"/>
          <w:szCs w:val="24"/>
          <w:highlight w:val="none"/>
          <w:lang w:eastAsia="zh-CN"/>
        </w:rPr>
        <w:t>谈判</w:t>
      </w:r>
      <w:r>
        <w:rPr>
          <w:rFonts w:hint="eastAsia" w:hAnsi="宋体" w:cs="宋体"/>
          <w:sz w:val="24"/>
          <w:szCs w:val="24"/>
          <w:highlight w:val="none"/>
        </w:rPr>
        <w:t>结果如何，采购人和采购代理机构无义务和责任承担供应商所发生的一切费用。</w:t>
      </w:r>
    </w:p>
    <w:p w14:paraId="193B2D4D">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6.2.2供应商在</w:t>
      </w:r>
      <w:r>
        <w:rPr>
          <w:rFonts w:hint="eastAsia" w:hAnsi="宋体" w:cs="宋体"/>
          <w:sz w:val="24"/>
          <w:szCs w:val="24"/>
          <w:highlight w:val="none"/>
          <w:lang w:eastAsia="zh-CN"/>
        </w:rPr>
        <w:t>谈判</w:t>
      </w:r>
      <w:r>
        <w:rPr>
          <w:rFonts w:hint="eastAsia" w:hAnsi="宋体" w:cs="宋体"/>
          <w:sz w:val="24"/>
          <w:szCs w:val="24"/>
          <w:highlight w:val="none"/>
        </w:rPr>
        <w:t>准备、实地考察和</w:t>
      </w:r>
      <w:r>
        <w:rPr>
          <w:rFonts w:hint="eastAsia" w:hAnsi="宋体" w:cs="宋体"/>
          <w:sz w:val="24"/>
          <w:szCs w:val="24"/>
          <w:highlight w:val="none"/>
          <w:lang w:eastAsia="zh-CN"/>
        </w:rPr>
        <w:t>谈判</w:t>
      </w:r>
      <w:r>
        <w:rPr>
          <w:rFonts w:hint="eastAsia" w:hAnsi="宋体" w:cs="宋体"/>
          <w:sz w:val="24"/>
          <w:szCs w:val="24"/>
          <w:highlight w:val="none"/>
        </w:rPr>
        <w:t>的全过程中，如果发生人身伤亡、财物或其它任何损失，不论何种原因所造成，均由供应商自行承担全部责任和损失。</w:t>
      </w:r>
    </w:p>
    <w:p w14:paraId="35FF7705">
      <w:pPr>
        <w:pStyle w:val="11"/>
        <w:spacing w:line="360" w:lineRule="auto"/>
        <w:ind w:firstLine="482" w:firstLineChars="200"/>
        <w:outlineLvl w:val="9"/>
        <w:rPr>
          <w:rFonts w:hint="eastAsia" w:hAnsi="宋体" w:cs="宋体"/>
          <w:b/>
          <w:bCs/>
          <w:sz w:val="24"/>
          <w:szCs w:val="24"/>
          <w:highlight w:val="none"/>
        </w:rPr>
      </w:pPr>
      <w:bookmarkStart w:id="77" w:name="_Toc243907576"/>
      <w:bookmarkStart w:id="78" w:name="_Toc11051"/>
      <w:bookmarkStart w:id="79" w:name="_Toc243906316"/>
      <w:bookmarkStart w:id="80" w:name="_Toc233274816"/>
      <w:bookmarkStart w:id="81" w:name="_Toc245897276"/>
      <w:r>
        <w:rPr>
          <w:rFonts w:hint="eastAsia" w:hAnsi="宋体" w:cs="宋体"/>
          <w:b/>
          <w:bCs/>
          <w:sz w:val="24"/>
          <w:szCs w:val="24"/>
          <w:highlight w:val="none"/>
        </w:rPr>
        <w:t>7、法律适用</w:t>
      </w:r>
      <w:bookmarkEnd w:id="77"/>
      <w:bookmarkEnd w:id="78"/>
      <w:bookmarkEnd w:id="79"/>
      <w:bookmarkEnd w:id="80"/>
      <w:bookmarkEnd w:id="81"/>
    </w:p>
    <w:p w14:paraId="2DA5FB45">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7.1本次</w:t>
      </w:r>
      <w:r>
        <w:rPr>
          <w:rFonts w:hint="eastAsia" w:hAnsi="宋体" w:cs="宋体"/>
          <w:sz w:val="24"/>
          <w:szCs w:val="24"/>
          <w:highlight w:val="none"/>
          <w:lang w:eastAsia="zh-CN"/>
        </w:rPr>
        <w:t>谈判</w:t>
      </w:r>
      <w:r>
        <w:rPr>
          <w:rFonts w:hint="eastAsia" w:hAnsi="宋体" w:cs="宋体"/>
          <w:sz w:val="24"/>
          <w:szCs w:val="24"/>
          <w:highlight w:val="none"/>
        </w:rPr>
        <w:t>活动及由本次</w:t>
      </w:r>
      <w:r>
        <w:rPr>
          <w:rFonts w:hint="eastAsia" w:hAnsi="宋体" w:cs="宋体"/>
          <w:sz w:val="24"/>
          <w:szCs w:val="24"/>
          <w:highlight w:val="none"/>
          <w:lang w:eastAsia="zh-CN"/>
        </w:rPr>
        <w:t>谈判</w:t>
      </w:r>
      <w:r>
        <w:rPr>
          <w:rFonts w:hint="eastAsia" w:hAnsi="宋体" w:cs="宋体"/>
          <w:sz w:val="24"/>
          <w:szCs w:val="24"/>
          <w:highlight w:val="none"/>
        </w:rPr>
        <w:t>产生的合同受中国法律制约和保护。</w:t>
      </w:r>
    </w:p>
    <w:p w14:paraId="6CF3EC2C">
      <w:pPr>
        <w:pStyle w:val="11"/>
        <w:spacing w:line="360" w:lineRule="auto"/>
        <w:ind w:firstLine="482" w:firstLineChars="200"/>
        <w:outlineLvl w:val="9"/>
        <w:rPr>
          <w:rFonts w:hint="eastAsia" w:hAnsi="宋体" w:cs="宋体"/>
          <w:b/>
          <w:bCs/>
          <w:sz w:val="24"/>
          <w:szCs w:val="24"/>
          <w:highlight w:val="none"/>
        </w:rPr>
      </w:pPr>
      <w:bookmarkStart w:id="82" w:name="_Toc243906317"/>
      <w:bookmarkStart w:id="83" w:name="_Toc243907577"/>
      <w:bookmarkStart w:id="84" w:name="_Toc1885"/>
      <w:bookmarkStart w:id="85" w:name="_Toc245897277"/>
      <w:bookmarkStart w:id="86" w:name="_Toc233274817"/>
      <w:r>
        <w:rPr>
          <w:rFonts w:hint="eastAsia" w:hAnsi="宋体" w:cs="宋体"/>
          <w:b/>
          <w:bCs/>
          <w:sz w:val="24"/>
          <w:szCs w:val="24"/>
          <w:highlight w:val="none"/>
        </w:rPr>
        <w:t>8、</w:t>
      </w:r>
      <w:r>
        <w:rPr>
          <w:rFonts w:hint="eastAsia" w:hAnsi="宋体" w:cs="宋体"/>
          <w:b/>
          <w:bCs/>
          <w:sz w:val="24"/>
          <w:szCs w:val="24"/>
          <w:highlight w:val="none"/>
          <w:lang w:eastAsia="zh-CN"/>
        </w:rPr>
        <w:t>竞争性谈判</w:t>
      </w:r>
      <w:r>
        <w:rPr>
          <w:rFonts w:hint="eastAsia" w:hAnsi="宋体" w:cs="宋体"/>
          <w:b/>
          <w:bCs/>
          <w:sz w:val="24"/>
          <w:szCs w:val="24"/>
          <w:highlight w:val="none"/>
        </w:rPr>
        <w:t>文件的约束力</w:t>
      </w:r>
      <w:bookmarkEnd w:id="82"/>
      <w:bookmarkEnd w:id="83"/>
      <w:bookmarkEnd w:id="84"/>
      <w:bookmarkEnd w:id="85"/>
      <w:bookmarkEnd w:id="86"/>
    </w:p>
    <w:p w14:paraId="7321656E">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8.1供应商若中标，即被认为接受了本</w:t>
      </w:r>
      <w:r>
        <w:rPr>
          <w:rFonts w:hint="eastAsia" w:hAnsi="宋体" w:cs="宋体"/>
          <w:sz w:val="24"/>
          <w:szCs w:val="24"/>
          <w:highlight w:val="none"/>
          <w:lang w:eastAsia="zh-CN"/>
        </w:rPr>
        <w:t>竞争性谈判</w:t>
      </w:r>
      <w:r>
        <w:rPr>
          <w:rFonts w:hint="eastAsia" w:hAnsi="宋体" w:cs="宋体"/>
          <w:sz w:val="24"/>
          <w:szCs w:val="24"/>
          <w:highlight w:val="none"/>
        </w:rPr>
        <w:t>文件中的所有条件和规定。是采购人与中标供应商签订合同的依据且是合同的组成部分。</w:t>
      </w:r>
    </w:p>
    <w:p w14:paraId="557A5278">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8.2、技术资料</w:t>
      </w:r>
    </w:p>
    <w:p w14:paraId="0D699C39">
      <w:pPr>
        <w:spacing w:line="360" w:lineRule="auto"/>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8.2.1供应商确认采购人提供的技术资料（详见本</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文件第三章）存在缺项、漏项或计算误差，应在</w:t>
      </w:r>
      <w:r>
        <w:rPr>
          <w:rFonts w:hint="eastAsia" w:ascii="宋体" w:hAnsi="宋体" w:cs="宋体"/>
          <w:color w:val="auto"/>
          <w:sz w:val="24"/>
          <w:szCs w:val="24"/>
          <w:highlight w:val="none"/>
        </w:rPr>
        <w:t>前附表</w:t>
      </w:r>
      <w:r>
        <w:rPr>
          <w:rFonts w:hint="eastAsia" w:ascii="宋体" w:hAnsi="宋体" w:cs="宋体"/>
          <w:color w:val="auto"/>
          <w:sz w:val="24"/>
          <w:szCs w:val="24"/>
          <w:highlight w:val="none"/>
          <w:lang w:val="en-US" w:eastAsia="zh-CN"/>
        </w:rPr>
        <w:t>中</w:t>
      </w:r>
      <w:r>
        <w:rPr>
          <w:rFonts w:hint="eastAsia" w:ascii="宋体" w:hAnsi="宋体" w:cs="宋体"/>
          <w:color w:val="auto"/>
          <w:sz w:val="24"/>
          <w:szCs w:val="24"/>
          <w:highlight w:val="none"/>
        </w:rPr>
        <w:t>规定的提</w:t>
      </w:r>
      <w:r>
        <w:rPr>
          <w:rFonts w:hint="eastAsia" w:ascii="宋体" w:hAnsi="宋体" w:cs="宋体"/>
          <w:sz w:val="24"/>
          <w:szCs w:val="24"/>
          <w:highlight w:val="none"/>
        </w:rPr>
        <w:t>问截止时间前，以书面方式向采购人</w:t>
      </w:r>
      <w:r>
        <w:rPr>
          <w:rFonts w:hint="eastAsia" w:ascii="宋体" w:hAnsi="宋体" w:cs="宋体"/>
          <w:sz w:val="24"/>
          <w:szCs w:val="24"/>
          <w:highlight w:val="none"/>
          <w:lang w:val="en-US" w:eastAsia="zh-CN"/>
        </w:rPr>
        <w:t>或采购代理机构</w:t>
      </w:r>
      <w:r>
        <w:rPr>
          <w:rFonts w:hint="eastAsia" w:ascii="宋体" w:hAnsi="宋体" w:cs="宋体"/>
          <w:sz w:val="24"/>
          <w:szCs w:val="24"/>
          <w:highlight w:val="none"/>
        </w:rPr>
        <w:t>提出。供应商未在规定的时间内对采购人</w:t>
      </w:r>
      <w:r>
        <w:rPr>
          <w:rFonts w:hint="eastAsia" w:ascii="宋体" w:hAnsi="宋体" w:cs="宋体"/>
          <w:sz w:val="24"/>
          <w:szCs w:val="24"/>
          <w:highlight w:val="none"/>
          <w:lang w:val="en-US" w:eastAsia="zh-CN"/>
        </w:rPr>
        <w:t>或采购代理机构</w:t>
      </w:r>
      <w:r>
        <w:rPr>
          <w:rFonts w:hint="eastAsia" w:ascii="宋体" w:hAnsi="宋体" w:cs="宋体"/>
          <w:sz w:val="24"/>
          <w:szCs w:val="24"/>
          <w:highlight w:val="none"/>
        </w:rPr>
        <w:t>提供的技术资料提出异议，视为供应商已认可采购人</w:t>
      </w:r>
      <w:r>
        <w:rPr>
          <w:rFonts w:hint="eastAsia" w:ascii="宋体" w:hAnsi="宋体" w:cs="宋体"/>
          <w:sz w:val="24"/>
          <w:szCs w:val="24"/>
          <w:highlight w:val="none"/>
          <w:lang w:val="en-US" w:eastAsia="zh-CN"/>
        </w:rPr>
        <w:t>或采购代理机构</w:t>
      </w:r>
      <w:r>
        <w:rPr>
          <w:rFonts w:hint="eastAsia" w:ascii="宋体" w:hAnsi="宋体" w:cs="宋体"/>
          <w:sz w:val="24"/>
          <w:szCs w:val="24"/>
          <w:highlight w:val="none"/>
        </w:rPr>
        <w:t>提供的资料包含了所需的技术资料全部内容。</w:t>
      </w:r>
    </w:p>
    <w:p w14:paraId="16825F0D">
      <w:pPr>
        <w:spacing w:line="360" w:lineRule="auto"/>
        <w:ind w:firstLine="495"/>
        <w:rPr>
          <w:rFonts w:hint="eastAsia" w:ascii="宋体" w:hAnsi="宋体" w:cs="宋体"/>
          <w:bCs/>
          <w:sz w:val="24"/>
          <w:szCs w:val="24"/>
          <w:highlight w:val="none"/>
        </w:rPr>
      </w:pPr>
      <w:r>
        <w:rPr>
          <w:rFonts w:hint="eastAsia" w:ascii="宋体" w:hAnsi="宋体" w:cs="宋体"/>
          <w:bCs/>
          <w:sz w:val="24"/>
          <w:szCs w:val="24"/>
          <w:highlight w:val="none"/>
        </w:rPr>
        <w:t>8.3、</w:t>
      </w:r>
      <w:r>
        <w:rPr>
          <w:rFonts w:hint="eastAsia" w:ascii="宋体" w:hAnsi="宋体" w:cs="宋体"/>
          <w:bCs/>
          <w:sz w:val="24"/>
          <w:szCs w:val="24"/>
          <w:highlight w:val="none"/>
          <w:lang w:eastAsia="zh-CN"/>
        </w:rPr>
        <w:t>谈判</w:t>
      </w:r>
      <w:r>
        <w:rPr>
          <w:rFonts w:hint="eastAsia" w:ascii="宋体" w:hAnsi="宋体" w:cs="宋体"/>
          <w:bCs/>
          <w:sz w:val="24"/>
          <w:szCs w:val="24"/>
          <w:highlight w:val="none"/>
        </w:rPr>
        <w:t>报价</w:t>
      </w:r>
    </w:p>
    <w:bookmarkEnd w:id="53"/>
    <w:p w14:paraId="21C88406">
      <w:pPr>
        <w:spacing w:line="360" w:lineRule="auto"/>
        <w:ind w:firstLine="495"/>
        <w:rPr>
          <w:rFonts w:hint="eastAsia" w:ascii="宋体" w:hAnsi="宋体" w:cs="宋体"/>
          <w:sz w:val="24"/>
          <w:szCs w:val="24"/>
          <w:highlight w:val="none"/>
        </w:rPr>
      </w:pPr>
      <w:r>
        <w:rPr>
          <w:rFonts w:hint="eastAsia" w:ascii="宋体" w:hAnsi="宋体" w:cs="宋体"/>
          <w:sz w:val="24"/>
          <w:szCs w:val="24"/>
          <w:highlight w:val="none"/>
        </w:rPr>
        <w:t>8.3.1.采购范围、本</w:t>
      </w:r>
      <w:r>
        <w:rPr>
          <w:rFonts w:hint="eastAsia" w:ascii="宋体" w:hAnsi="宋体" w:cs="宋体"/>
          <w:sz w:val="24"/>
          <w:szCs w:val="24"/>
          <w:highlight w:val="none"/>
          <w:lang w:eastAsia="zh-CN"/>
        </w:rPr>
        <w:t>谈判文件</w:t>
      </w:r>
      <w:r>
        <w:rPr>
          <w:rFonts w:hint="eastAsia" w:ascii="宋体" w:hAnsi="宋体" w:cs="宋体"/>
          <w:sz w:val="24"/>
          <w:szCs w:val="24"/>
          <w:highlight w:val="none"/>
        </w:rPr>
        <w:t>及合同约定等完成本采购项目的全部费用（包括：</w:t>
      </w:r>
      <w:r>
        <w:rPr>
          <w:rStyle w:val="25"/>
          <w:rFonts w:hint="eastAsia" w:cs="宋体"/>
          <w:b w:val="0"/>
          <w:bCs/>
          <w:color w:val="auto"/>
          <w:sz w:val="24"/>
          <w:szCs w:val="24"/>
          <w:highlight w:val="none"/>
        </w:rPr>
        <w:t>人工费、</w:t>
      </w:r>
      <w:r>
        <w:rPr>
          <w:rFonts w:hint="eastAsia" w:ascii="宋体" w:hAnsi="宋体" w:cs="宋体"/>
          <w:sz w:val="24"/>
          <w:szCs w:val="24"/>
          <w:highlight w:val="none"/>
        </w:rPr>
        <w:t>调研、勘察、用车、差旅、税金等所有相关费用）。</w:t>
      </w:r>
    </w:p>
    <w:p w14:paraId="4AA1C44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8.3.12供应商认为需包含的其它费用。</w:t>
      </w:r>
    </w:p>
    <w:p w14:paraId="42CCA749">
      <w:pPr>
        <w:pStyle w:val="11"/>
        <w:spacing w:line="360" w:lineRule="auto"/>
        <w:ind w:firstLine="200"/>
        <w:jc w:val="center"/>
        <w:outlineLvl w:val="9"/>
        <w:rPr>
          <w:rFonts w:hint="eastAsia" w:hAnsi="宋体" w:cs="宋体"/>
          <w:b/>
          <w:sz w:val="24"/>
          <w:szCs w:val="24"/>
          <w:highlight w:val="none"/>
        </w:rPr>
      </w:pPr>
      <w:bookmarkStart w:id="87" w:name="_Toc16729"/>
      <w:r>
        <w:rPr>
          <w:rFonts w:hint="eastAsia" w:hAnsi="宋体" w:cs="宋体"/>
          <w:b/>
          <w:bCs/>
          <w:sz w:val="24"/>
          <w:szCs w:val="24"/>
          <w:highlight w:val="none"/>
        </w:rPr>
        <w:t xml:space="preserve">B  </w:t>
      </w:r>
      <w:r>
        <w:rPr>
          <w:rFonts w:hint="eastAsia" w:hAnsi="宋体" w:cs="宋体"/>
          <w:b/>
          <w:bCs/>
          <w:sz w:val="24"/>
          <w:szCs w:val="24"/>
          <w:highlight w:val="none"/>
          <w:lang w:val="en-US" w:eastAsia="zh-CN"/>
        </w:rPr>
        <w:t>谈 判</w:t>
      </w:r>
      <w:r>
        <w:rPr>
          <w:rFonts w:hint="eastAsia" w:hAnsi="宋体" w:cs="宋体"/>
          <w:b/>
          <w:bCs/>
          <w:sz w:val="24"/>
          <w:szCs w:val="24"/>
          <w:highlight w:val="none"/>
        </w:rPr>
        <w:t xml:space="preserve"> 文 件</w:t>
      </w:r>
      <w:bookmarkEnd w:id="87"/>
    </w:p>
    <w:p w14:paraId="62D4EB1C">
      <w:pPr>
        <w:pStyle w:val="11"/>
        <w:spacing w:line="360" w:lineRule="auto"/>
        <w:ind w:firstLine="482" w:firstLineChars="200"/>
        <w:outlineLvl w:val="9"/>
        <w:rPr>
          <w:rFonts w:hint="eastAsia" w:hAnsi="宋体" w:cs="宋体"/>
          <w:b/>
          <w:bCs/>
          <w:sz w:val="24"/>
          <w:szCs w:val="24"/>
          <w:highlight w:val="none"/>
        </w:rPr>
      </w:pPr>
      <w:bookmarkStart w:id="88" w:name="_Toc246216188"/>
      <w:bookmarkStart w:id="89" w:name="_Toc243906319"/>
      <w:bookmarkStart w:id="90" w:name="_Toc243907579"/>
      <w:bookmarkStart w:id="91" w:name="_Toc17888"/>
      <w:bookmarkStart w:id="92" w:name="_Toc233274819"/>
      <w:r>
        <w:rPr>
          <w:rFonts w:hint="eastAsia" w:hAnsi="宋体" w:cs="宋体"/>
          <w:b/>
          <w:bCs/>
          <w:sz w:val="24"/>
          <w:szCs w:val="24"/>
          <w:highlight w:val="none"/>
        </w:rPr>
        <w:t>9、</w:t>
      </w:r>
      <w:r>
        <w:rPr>
          <w:rFonts w:hint="eastAsia" w:hAnsi="宋体" w:cs="宋体"/>
          <w:b/>
          <w:bCs/>
          <w:sz w:val="24"/>
          <w:szCs w:val="24"/>
          <w:highlight w:val="none"/>
          <w:lang w:eastAsia="zh-CN"/>
        </w:rPr>
        <w:t>竞争性谈判</w:t>
      </w:r>
      <w:r>
        <w:rPr>
          <w:rFonts w:hint="eastAsia" w:hAnsi="宋体" w:cs="宋体"/>
          <w:b/>
          <w:bCs/>
          <w:sz w:val="24"/>
          <w:szCs w:val="24"/>
          <w:highlight w:val="none"/>
        </w:rPr>
        <w:t>文件的组成</w:t>
      </w:r>
      <w:bookmarkEnd w:id="88"/>
      <w:bookmarkEnd w:id="89"/>
      <w:bookmarkEnd w:id="90"/>
      <w:bookmarkEnd w:id="91"/>
      <w:bookmarkEnd w:id="92"/>
    </w:p>
    <w:p w14:paraId="03452A6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9.1 本</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文件是对</w:t>
      </w:r>
      <w:r>
        <w:rPr>
          <w:rFonts w:hint="eastAsia" w:ascii="宋体" w:hAnsi="宋体" w:cs="宋体"/>
          <w:sz w:val="24"/>
          <w:szCs w:val="24"/>
          <w:highlight w:val="none"/>
          <w:lang w:eastAsia="zh-CN"/>
        </w:rPr>
        <w:t>气象服务保障经费谈判</w:t>
      </w:r>
      <w:r>
        <w:rPr>
          <w:rFonts w:hint="eastAsia" w:ascii="宋体" w:hAnsi="宋体" w:cs="宋体"/>
          <w:sz w:val="24"/>
          <w:szCs w:val="24"/>
          <w:highlight w:val="none"/>
        </w:rPr>
        <w:t>程序、合同条款进行说明。</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文件包括下列内容：</w:t>
      </w:r>
    </w:p>
    <w:p w14:paraId="78027117">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第一章  </w:t>
      </w:r>
      <w:r>
        <w:rPr>
          <w:rFonts w:hint="eastAsia" w:hAnsi="宋体" w:cs="宋体"/>
          <w:sz w:val="24"/>
          <w:szCs w:val="24"/>
          <w:highlight w:val="none"/>
          <w:lang w:eastAsia="zh-CN"/>
        </w:rPr>
        <w:t>竞争性谈判</w:t>
      </w:r>
      <w:r>
        <w:rPr>
          <w:rFonts w:hint="eastAsia" w:hAnsi="宋体" w:cs="宋体"/>
          <w:sz w:val="24"/>
          <w:szCs w:val="24"/>
          <w:highlight w:val="none"/>
        </w:rPr>
        <w:t>公告</w:t>
      </w:r>
    </w:p>
    <w:p w14:paraId="4FE3B761">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第二章  供应商须知</w:t>
      </w:r>
    </w:p>
    <w:p w14:paraId="5CB9ACF1">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第三章  项目采购需求</w:t>
      </w:r>
    </w:p>
    <w:p w14:paraId="51EC390B">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第四章  合同条款</w:t>
      </w:r>
    </w:p>
    <w:p w14:paraId="6779B107">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第五章  响应文件格式</w:t>
      </w:r>
    </w:p>
    <w:p w14:paraId="387FA135">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第六章  评审标准（</w:t>
      </w:r>
      <w:r>
        <w:rPr>
          <w:rFonts w:hint="eastAsia" w:hAnsi="宋体" w:cs="宋体"/>
          <w:sz w:val="24"/>
          <w:szCs w:val="24"/>
          <w:highlight w:val="none"/>
          <w:lang w:eastAsia="zh-CN"/>
        </w:rPr>
        <w:t>最低评标价法</w:t>
      </w:r>
      <w:r>
        <w:rPr>
          <w:rFonts w:hint="eastAsia" w:hAnsi="宋体" w:cs="宋体"/>
          <w:sz w:val="24"/>
          <w:szCs w:val="24"/>
          <w:highlight w:val="none"/>
        </w:rPr>
        <w:t>）</w:t>
      </w:r>
    </w:p>
    <w:p w14:paraId="2BF6DDAB">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9.2 </w:t>
      </w:r>
      <w:r>
        <w:rPr>
          <w:rFonts w:hint="eastAsia" w:hAnsi="宋体" w:cs="宋体"/>
          <w:sz w:val="24"/>
          <w:szCs w:val="24"/>
          <w:highlight w:val="none"/>
          <w:lang w:eastAsia="zh-CN"/>
        </w:rPr>
        <w:t>竞争性谈判</w:t>
      </w:r>
      <w:r>
        <w:rPr>
          <w:rFonts w:hint="eastAsia" w:hAnsi="宋体" w:cs="宋体"/>
          <w:sz w:val="24"/>
          <w:szCs w:val="24"/>
          <w:highlight w:val="none"/>
        </w:rPr>
        <w:t>文件以中文编印，以中文文本为准。</w:t>
      </w:r>
    </w:p>
    <w:p w14:paraId="2AA22837">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9.3 除非有特殊要求，</w:t>
      </w:r>
      <w:r>
        <w:rPr>
          <w:rFonts w:hint="eastAsia" w:hAnsi="宋体" w:cs="宋体"/>
          <w:sz w:val="24"/>
          <w:szCs w:val="24"/>
          <w:highlight w:val="none"/>
          <w:lang w:eastAsia="zh-CN"/>
        </w:rPr>
        <w:t>竞争性谈判</w:t>
      </w:r>
      <w:r>
        <w:rPr>
          <w:rFonts w:hint="eastAsia" w:hAnsi="宋体" w:cs="宋体"/>
          <w:sz w:val="24"/>
          <w:szCs w:val="24"/>
          <w:highlight w:val="none"/>
        </w:rPr>
        <w:t>文件不单独提供采购项目使用地的自然环境、气候条件、劳动力及公用设施等情况，供应商被视为熟悉上述条件或若中标履行合同有关的一切情况。</w:t>
      </w:r>
    </w:p>
    <w:p w14:paraId="6E2B4B13">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9.4采购人向供应商提供的有关数据和资料，是采购人现有的能被供应商利用的资料，供应商对此做出的推论、理解和结论自行负责。</w:t>
      </w:r>
    </w:p>
    <w:p w14:paraId="16C1B028">
      <w:pPr>
        <w:pStyle w:val="11"/>
        <w:spacing w:line="360" w:lineRule="auto"/>
        <w:ind w:firstLine="482" w:firstLineChars="200"/>
        <w:outlineLvl w:val="9"/>
        <w:rPr>
          <w:rFonts w:hint="eastAsia" w:hAnsi="宋体" w:cs="宋体"/>
          <w:b/>
          <w:bCs/>
          <w:sz w:val="24"/>
          <w:szCs w:val="24"/>
          <w:highlight w:val="none"/>
        </w:rPr>
      </w:pPr>
      <w:bookmarkStart w:id="93" w:name="_Toc245897280"/>
      <w:bookmarkStart w:id="94" w:name="_Toc1610"/>
      <w:bookmarkStart w:id="95" w:name="_Toc243907580"/>
      <w:bookmarkStart w:id="96" w:name="_Toc233274820"/>
      <w:bookmarkStart w:id="97" w:name="_Toc243906320"/>
      <w:r>
        <w:rPr>
          <w:rFonts w:hint="eastAsia" w:hAnsi="宋体" w:cs="宋体"/>
          <w:b/>
          <w:bCs/>
          <w:sz w:val="24"/>
          <w:szCs w:val="24"/>
          <w:highlight w:val="none"/>
        </w:rPr>
        <w:t>10、</w:t>
      </w:r>
      <w:r>
        <w:rPr>
          <w:rFonts w:hint="eastAsia" w:hAnsi="宋体" w:cs="宋体"/>
          <w:b/>
          <w:bCs/>
          <w:sz w:val="24"/>
          <w:szCs w:val="24"/>
          <w:highlight w:val="none"/>
          <w:lang w:eastAsia="zh-CN"/>
        </w:rPr>
        <w:t>竞争性谈判</w:t>
      </w:r>
      <w:r>
        <w:rPr>
          <w:rFonts w:hint="eastAsia" w:hAnsi="宋体" w:cs="宋体"/>
          <w:b/>
          <w:bCs/>
          <w:sz w:val="24"/>
          <w:szCs w:val="24"/>
          <w:highlight w:val="none"/>
        </w:rPr>
        <w:t>文件的澄清</w:t>
      </w:r>
      <w:bookmarkEnd w:id="93"/>
      <w:bookmarkEnd w:id="94"/>
      <w:bookmarkEnd w:id="95"/>
      <w:bookmarkEnd w:id="96"/>
      <w:bookmarkEnd w:id="97"/>
    </w:p>
    <w:p w14:paraId="27596C6F">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 供应商对</w:t>
      </w:r>
      <w:r>
        <w:rPr>
          <w:rFonts w:hint="eastAsia" w:hAnsi="宋体" w:cs="宋体"/>
          <w:sz w:val="24"/>
          <w:szCs w:val="24"/>
          <w:highlight w:val="none"/>
          <w:lang w:eastAsia="zh-CN"/>
        </w:rPr>
        <w:t>竞争性谈判</w:t>
      </w:r>
      <w:r>
        <w:rPr>
          <w:rFonts w:hint="eastAsia" w:ascii="宋体" w:hAnsi="宋体" w:eastAsia="宋体" w:cs="宋体"/>
          <w:sz w:val="24"/>
          <w:szCs w:val="24"/>
          <w:highlight w:val="none"/>
        </w:rPr>
        <w:t>文件如有疑问，可要求澄清，应按</w:t>
      </w:r>
      <w:r>
        <w:rPr>
          <w:rFonts w:hint="eastAsia" w:hAnsi="宋体" w:cs="宋体"/>
          <w:sz w:val="24"/>
          <w:szCs w:val="24"/>
          <w:highlight w:val="none"/>
          <w:lang w:eastAsia="zh-CN"/>
        </w:rPr>
        <w:t>竞争性谈判</w:t>
      </w:r>
      <w:r>
        <w:rPr>
          <w:rFonts w:hint="eastAsia" w:ascii="宋体" w:hAnsi="宋体" w:eastAsia="宋体" w:cs="宋体"/>
          <w:sz w:val="24"/>
          <w:szCs w:val="24"/>
          <w:highlight w:val="none"/>
        </w:rPr>
        <w:t>文件“供应商须知前附表</w:t>
      </w:r>
      <w:r>
        <w:rPr>
          <w:rFonts w:hint="eastAsia" w:hAnsi="宋体" w:cs="宋体"/>
          <w:sz w:val="24"/>
          <w:szCs w:val="24"/>
          <w:highlight w:val="none"/>
          <w:lang w:val="en-US" w:eastAsia="zh-CN"/>
        </w:rPr>
        <w:t>中的规定</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以</w:t>
      </w:r>
      <w:r>
        <w:rPr>
          <w:rFonts w:hint="eastAsia" w:cs="宋体"/>
          <w:color w:val="auto"/>
          <w:sz w:val="24"/>
          <w:szCs w:val="24"/>
          <w:highlight w:val="none"/>
        </w:rPr>
        <w:t>书面形式（必须加盖供应商公章）送达至</w:t>
      </w:r>
      <w:r>
        <w:rPr>
          <w:rFonts w:hint="eastAsia" w:cs="宋体"/>
          <w:bCs/>
          <w:color w:val="auto"/>
          <w:sz w:val="24"/>
          <w:szCs w:val="24"/>
          <w:highlight w:val="none"/>
          <w:lang w:val="en-US" w:eastAsia="zh-CN"/>
        </w:rPr>
        <w:t>新疆新咨工程咨询有限公司</w:t>
      </w:r>
      <w:r>
        <w:rPr>
          <w:rFonts w:hint="eastAsia" w:cs="宋体"/>
          <w:color w:val="auto"/>
          <w:sz w:val="24"/>
          <w:szCs w:val="24"/>
          <w:highlight w:val="none"/>
        </w:rPr>
        <w:t>或发至</w:t>
      </w:r>
      <w:r>
        <w:rPr>
          <w:rFonts w:hint="eastAsia" w:ascii="宋体" w:hAnsi="宋体" w:eastAsia="宋体" w:cs="宋体"/>
          <w:sz w:val="24"/>
          <w:szCs w:val="24"/>
          <w:highlight w:val="none"/>
        </w:rPr>
        <w:t>邮箱：</w:t>
      </w:r>
      <w:r>
        <w:rPr>
          <w:rFonts w:hint="eastAsia" w:ascii="宋体" w:hAnsi="宋体" w:eastAsia="宋体" w:cs="宋体"/>
          <w:sz w:val="24"/>
          <w:szCs w:val="24"/>
          <w:highlight w:val="none"/>
          <w:lang w:val="en-US" w:eastAsia="zh-CN"/>
        </w:rPr>
        <w:t>1054615588@qq.com</w:t>
      </w:r>
      <w:r>
        <w:rPr>
          <w:rFonts w:hint="eastAsia" w:ascii="宋体" w:hAnsi="宋体" w:eastAsia="宋体" w:cs="宋体"/>
          <w:sz w:val="24"/>
          <w:szCs w:val="24"/>
          <w:highlight w:val="none"/>
        </w:rPr>
        <w:t xml:space="preserve"> 。采购人和采购代理机构将视情况以书面形式予以答复，并发至新疆政府采购网政采云平台各位供应商自行登录网站查阅。答复中包括所提问题，但不包括问题的来源。</w:t>
      </w:r>
    </w:p>
    <w:p w14:paraId="60EEA52E">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10.2澄清内容包括所有需要回答的问题和答复，各供应商需登陆新疆政府采购网政采云 平台（www.zcygov.cn）进行查看并下载。如果上述答复涉及对</w:t>
      </w:r>
      <w:r>
        <w:rPr>
          <w:rFonts w:hint="eastAsia" w:hAnsi="宋体" w:cs="宋体"/>
          <w:sz w:val="24"/>
          <w:szCs w:val="24"/>
          <w:highlight w:val="none"/>
          <w:lang w:val="en-US" w:eastAsia="zh-CN"/>
        </w:rPr>
        <w:t>谈判文件</w:t>
      </w:r>
      <w:r>
        <w:rPr>
          <w:rFonts w:hint="eastAsia" w:ascii="宋体" w:hAnsi="宋体" w:eastAsia="宋体" w:cs="宋体"/>
          <w:sz w:val="24"/>
          <w:szCs w:val="24"/>
          <w:highlight w:val="none"/>
          <w:lang w:val="en-US" w:eastAsia="zh-CN"/>
        </w:rPr>
        <w:t>的修改或补充，则它将被视为</w:t>
      </w:r>
      <w:r>
        <w:rPr>
          <w:rFonts w:hint="eastAsia" w:hAnsi="宋体" w:cs="宋体"/>
          <w:sz w:val="24"/>
          <w:szCs w:val="24"/>
          <w:highlight w:val="none"/>
          <w:lang w:val="en-US" w:eastAsia="zh-CN"/>
        </w:rPr>
        <w:t>谈判文件</w:t>
      </w:r>
      <w:r>
        <w:rPr>
          <w:rFonts w:hint="eastAsia" w:ascii="宋体" w:hAnsi="宋体" w:eastAsia="宋体" w:cs="宋体"/>
          <w:sz w:val="24"/>
          <w:szCs w:val="24"/>
          <w:highlight w:val="none"/>
          <w:lang w:val="en-US" w:eastAsia="zh-CN"/>
        </w:rPr>
        <w:t>的组成部分。凡原先所发</w:t>
      </w:r>
      <w:r>
        <w:rPr>
          <w:rFonts w:hint="eastAsia" w:hAnsi="宋体" w:cs="宋体"/>
          <w:sz w:val="24"/>
          <w:szCs w:val="24"/>
          <w:highlight w:val="none"/>
          <w:lang w:val="en-US" w:eastAsia="zh-CN"/>
        </w:rPr>
        <w:t>谈判文件</w:t>
      </w:r>
      <w:r>
        <w:rPr>
          <w:rFonts w:hint="eastAsia" w:ascii="宋体" w:hAnsi="宋体" w:eastAsia="宋体" w:cs="宋体"/>
          <w:sz w:val="24"/>
          <w:szCs w:val="24"/>
          <w:highlight w:val="none"/>
          <w:lang w:val="en-US" w:eastAsia="zh-CN"/>
        </w:rPr>
        <w:t>中的内容与答复中的内容不一致之处，以最后书面答复为准。任何电话或口头咨询和答复的意思解释均不具有法律约束力。</w:t>
      </w:r>
    </w:p>
    <w:p w14:paraId="0A8743A6">
      <w:pPr>
        <w:pStyle w:val="11"/>
        <w:spacing w:line="360" w:lineRule="auto"/>
        <w:ind w:firstLine="482" w:firstLineChars="200"/>
        <w:outlineLvl w:val="9"/>
        <w:rPr>
          <w:rFonts w:hint="eastAsia" w:hAnsi="宋体" w:cs="宋体"/>
          <w:b/>
          <w:bCs/>
          <w:sz w:val="24"/>
          <w:szCs w:val="24"/>
          <w:highlight w:val="none"/>
        </w:rPr>
      </w:pPr>
      <w:bookmarkStart w:id="98" w:name="_Toc27323"/>
      <w:bookmarkStart w:id="99" w:name="_Toc245897281"/>
      <w:bookmarkStart w:id="100" w:name="_Toc233274821"/>
      <w:bookmarkStart w:id="101" w:name="_Toc243906321"/>
      <w:bookmarkStart w:id="102" w:name="_Toc243907581"/>
      <w:r>
        <w:rPr>
          <w:rFonts w:hint="eastAsia" w:hAnsi="宋体" w:cs="宋体"/>
          <w:b/>
          <w:bCs/>
          <w:sz w:val="24"/>
          <w:szCs w:val="24"/>
          <w:highlight w:val="none"/>
        </w:rPr>
        <w:t>11、</w:t>
      </w:r>
      <w:r>
        <w:rPr>
          <w:rFonts w:hint="eastAsia" w:hAnsi="宋体" w:cs="宋体"/>
          <w:b/>
          <w:bCs/>
          <w:sz w:val="24"/>
          <w:szCs w:val="24"/>
          <w:highlight w:val="none"/>
          <w:lang w:eastAsia="zh-CN"/>
        </w:rPr>
        <w:t>竞争性谈判</w:t>
      </w:r>
      <w:r>
        <w:rPr>
          <w:rFonts w:hint="eastAsia" w:hAnsi="宋体" w:cs="宋体"/>
          <w:b/>
          <w:bCs/>
          <w:sz w:val="24"/>
          <w:szCs w:val="24"/>
          <w:highlight w:val="none"/>
        </w:rPr>
        <w:t>文件的修改和补充</w:t>
      </w:r>
      <w:bookmarkEnd w:id="98"/>
      <w:bookmarkEnd w:id="99"/>
      <w:bookmarkEnd w:id="100"/>
      <w:bookmarkEnd w:id="101"/>
      <w:bookmarkEnd w:id="102"/>
    </w:p>
    <w:p w14:paraId="7F18A8B1">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11.1在递交响应文件截止日期</w:t>
      </w:r>
      <w:r>
        <w:rPr>
          <w:rFonts w:hint="eastAsia" w:hAnsi="宋体" w:cs="宋体"/>
          <w:sz w:val="24"/>
          <w:szCs w:val="24"/>
          <w:highlight w:val="none"/>
          <w:lang w:val="en-US" w:eastAsia="zh-CN"/>
        </w:rPr>
        <w:t>1</w:t>
      </w:r>
      <w:r>
        <w:rPr>
          <w:rFonts w:hint="eastAsia" w:hAnsi="宋体" w:cs="宋体"/>
          <w:sz w:val="24"/>
          <w:szCs w:val="24"/>
          <w:highlight w:val="none"/>
        </w:rPr>
        <w:t>日前的任何时候，采购人可主动地或依据供应商要求澄清的疑问而修改、补充</w:t>
      </w:r>
      <w:r>
        <w:rPr>
          <w:rFonts w:hint="eastAsia" w:hAnsi="宋体" w:cs="宋体"/>
          <w:sz w:val="24"/>
          <w:szCs w:val="24"/>
          <w:highlight w:val="none"/>
          <w:lang w:eastAsia="zh-CN"/>
        </w:rPr>
        <w:t>竞争性谈判</w:t>
      </w:r>
      <w:r>
        <w:rPr>
          <w:rFonts w:hint="eastAsia" w:hAnsi="宋体" w:cs="宋体"/>
          <w:sz w:val="24"/>
          <w:szCs w:val="24"/>
          <w:highlight w:val="none"/>
        </w:rPr>
        <w:t>文件，采购代理机构将对修改和补充的内容以书面形式发至新疆政府采购网，修改和补充文件将作为</w:t>
      </w:r>
      <w:r>
        <w:rPr>
          <w:rFonts w:hint="eastAsia" w:hAnsi="宋体" w:cs="宋体"/>
          <w:sz w:val="24"/>
          <w:szCs w:val="24"/>
          <w:highlight w:val="none"/>
          <w:lang w:eastAsia="zh-CN"/>
        </w:rPr>
        <w:t>竞争性谈判</w:t>
      </w:r>
      <w:r>
        <w:rPr>
          <w:rFonts w:hint="eastAsia" w:hAnsi="宋体" w:cs="宋体"/>
          <w:sz w:val="24"/>
          <w:szCs w:val="24"/>
          <w:highlight w:val="none"/>
        </w:rPr>
        <w:t>文件的组成部分，对所有供应商具有约束力。</w:t>
      </w:r>
    </w:p>
    <w:p w14:paraId="09A1DC1B">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11.2为使供应商在准备响应文件时有合理的时间考虑</w:t>
      </w:r>
      <w:r>
        <w:rPr>
          <w:rFonts w:hint="eastAsia" w:hAnsi="宋体" w:cs="宋体"/>
          <w:sz w:val="24"/>
          <w:szCs w:val="24"/>
          <w:highlight w:val="none"/>
          <w:lang w:eastAsia="zh-CN"/>
        </w:rPr>
        <w:t>竞争性谈判</w:t>
      </w:r>
      <w:r>
        <w:rPr>
          <w:rFonts w:hint="eastAsia" w:hAnsi="宋体" w:cs="宋体"/>
          <w:sz w:val="24"/>
          <w:szCs w:val="24"/>
          <w:highlight w:val="none"/>
        </w:rPr>
        <w:t>文件的修改和/或补充，采购代理机构可延长递交响应文件截止时间和开启时间，但至少应当在规定的递交响应文件的截止时间</w:t>
      </w:r>
      <w:r>
        <w:rPr>
          <w:rFonts w:hint="eastAsia" w:hAnsi="宋体" w:cs="宋体"/>
          <w:sz w:val="24"/>
          <w:szCs w:val="24"/>
          <w:highlight w:val="none"/>
          <w:u w:val="single"/>
          <w:lang w:val="en-US" w:eastAsia="zh-CN"/>
        </w:rPr>
        <w:t>1</w:t>
      </w:r>
      <w:r>
        <w:rPr>
          <w:rFonts w:hint="eastAsia" w:hAnsi="宋体" w:cs="宋体"/>
          <w:sz w:val="24"/>
          <w:szCs w:val="24"/>
          <w:highlight w:val="none"/>
        </w:rPr>
        <w:t>日前，以书面形式通知所有获取</w:t>
      </w:r>
      <w:r>
        <w:rPr>
          <w:rFonts w:hint="eastAsia" w:hAnsi="宋体" w:cs="宋体"/>
          <w:sz w:val="24"/>
          <w:szCs w:val="24"/>
          <w:highlight w:val="none"/>
          <w:lang w:eastAsia="zh-CN"/>
        </w:rPr>
        <w:t>竞争性谈判</w:t>
      </w:r>
      <w:r>
        <w:rPr>
          <w:rFonts w:hint="eastAsia" w:hAnsi="宋体" w:cs="宋体"/>
          <w:sz w:val="24"/>
          <w:szCs w:val="24"/>
          <w:highlight w:val="none"/>
        </w:rPr>
        <w:t>文件的每位供应商。</w:t>
      </w:r>
    </w:p>
    <w:p w14:paraId="7CCD6ABE">
      <w:pPr>
        <w:pStyle w:val="11"/>
        <w:spacing w:line="360" w:lineRule="auto"/>
        <w:ind w:firstLine="480" w:firstLineChars="200"/>
        <w:rPr>
          <w:rFonts w:hint="eastAsia" w:hAnsi="宋体" w:cs="宋体"/>
          <w:b/>
          <w:bCs/>
          <w:sz w:val="24"/>
          <w:szCs w:val="24"/>
          <w:highlight w:val="none"/>
        </w:rPr>
      </w:pPr>
      <w:r>
        <w:rPr>
          <w:rFonts w:hint="eastAsia" w:hAnsi="宋体" w:cs="宋体"/>
          <w:sz w:val="24"/>
          <w:szCs w:val="24"/>
          <w:highlight w:val="none"/>
        </w:rPr>
        <w:t>11.3</w:t>
      </w:r>
      <w:bookmarkStart w:id="103" w:name="_Toc243906322"/>
      <w:bookmarkStart w:id="104" w:name="_Toc243907582"/>
      <w:bookmarkStart w:id="105" w:name="_Toc246216191"/>
      <w:bookmarkStart w:id="106" w:name="_Toc233274822"/>
      <w:bookmarkStart w:id="107" w:name="_Toc154996580"/>
      <w:r>
        <w:rPr>
          <w:rFonts w:hint="eastAsia" w:hAnsi="宋体" w:cs="宋体"/>
          <w:sz w:val="24"/>
          <w:szCs w:val="24"/>
          <w:highlight w:val="none"/>
        </w:rPr>
        <w:t>采购代理机构对采购文件作出的澄清、修改在政采云平台内进行披露，请供应商及时关注并获取相关资料。因登记有误、线路故障或其它任何意外情形，导致供应商未及时获取的，采购代理机构不因此承担任何责任，且有关的</w:t>
      </w:r>
      <w:r>
        <w:rPr>
          <w:rFonts w:hint="eastAsia" w:hAnsi="宋体" w:cs="宋体"/>
          <w:sz w:val="24"/>
          <w:szCs w:val="24"/>
          <w:highlight w:val="none"/>
          <w:lang w:eastAsia="zh-CN"/>
        </w:rPr>
        <w:t>采购</w:t>
      </w:r>
      <w:r>
        <w:rPr>
          <w:rFonts w:hint="eastAsia" w:hAnsi="宋体" w:cs="宋体"/>
          <w:sz w:val="24"/>
          <w:szCs w:val="24"/>
          <w:highlight w:val="none"/>
        </w:rPr>
        <w:t>活动继续有效进行。当采购文件的澄清、修改及进行其他答复等就同一内容的表述不一致时，以最后发布的内容为准。</w:t>
      </w:r>
    </w:p>
    <w:p w14:paraId="699DE809">
      <w:pPr>
        <w:pStyle w:val="11"/>
        <w:spacing w:line="360" w:lineRule="auto"/>
        <w:ind w:firstLine="200"/>
        <w:jc w:val="center"/>
        <w:outlineLvl w:val="9"/>
        <w:rPr>
          <w:rFonts w:hint="eastAsia" w:hAnsi="宋体" w:cs="宋体"/>
          <w:b/>
          <w:bCs/>
          <w:sz w:val="24"/>
          <w:szCs w:val="24"/>
          <w:highlight w:val="none"/>
        </w:rPr>
      </w:pPr>
      <w:bookmarkStart w:id="108" w:name="_Toc23883"/>
      <w:r>
        <w:rPr>
          <w:rFonts w:hint="eastAsia" w:hAnsi="宋体" w:cs="宋体"/>
          <w:b/>
          <w:bCs/>
          <w:sz w:val="24"/>
          <w:szCs w:val="24"/>
          <w:highlight w:val="none"/>
        </w:rPr>
        <w:t>C   响应文件的编写</w:t>
      </w:r>
      <w:bookmarkEnd w:id="103"/>
      <w:bookmarkEnd w:id="104"/>
      <w:bookmarkEnd w:id="105"/>
      <w:bookmarkEnd w:id="106"/>
      <w:bookmarkEnd w:id="108"/>
    </w:p>
    <w:p w14:paraId="0A4176D3">
      <w:pPr>
        <w:pStyle w:val="11"/>
        <w:spacing w:line="360" w:lineRule="auto"/>
        <w:ind w:firstLine="482" w:firstLineChars="200"/>
        <w:outlineLvl w:val="9"/>
        <w:rPr>
          <w:rFonts w:hint="eastAsia" w:hAnsi="宋体" w:cs="宋体"/>
          <w:b/>
          <w:bCs/>
          <w:sz w:val="24"/>
          <w:szCs w:val="24"/>
          <w:highlight w:val="none"/>
        </w:rPr>
      </w:pPr>
      <w:bookmarkStart w:id="109" w:name="_Toc233274823"/>
      <w:bookmarkStart w:id="110" w:name="_Toc243907583"/>
      <w:bookmarkStart w:id="111" w:name="_Toc243906323"/>
      <w:bookmarkStart w:id="112" w:name="_Toc245897283"/>
      <w:bookmarkStart w:id="113" w:name="_Toc13094"/>
      <w:r>
        <w:rPr>
          <w:rFonts w:hint="eastAsia" w:hAnsi="宋体" w:cs="宋体"/>
          <w:b/>
          <w:bCs/>
          <w:sz w:val="24"/>
          <w:szCs w:val="24"/>
          <w:highlight w:val="none"/>
        </w:rPr>
        <w:t>1</w:t>
      </w:r>
      <w:bookmarkEnd w:id="109"/>
      <w:r>
        <w:rPr>
          <w:rFonts w:hint="eastAsia" w:hAnsi="宋体" w:cs="宋体"/>
          <w:b/>
          <w:bCs/>
          <w:sz w:val="24"/>
          <w:szCs w:val="24"/>
          <w:highlight w:val="none"/>
        </w:rPr>
        <w:t>2、响应文件的编写</w:t>
      </w:r>
      <w:bookmarkEnd w:id="110"/>
      <w:bookmarkEnd w:id="111"/>
      <w:bookmarkEnd w:id="112"/>
      <w:bookmarkEnd w:id="113"/>
    </w:p>
    <w:p w14:paraId="4B5B73A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12.1供应商必须详细阅读</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文件的章、节、条款、格式等所有内容，按</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文件的要求提交响应文件，并保证所提供的全部文件及相关资料的真实性，以使其对</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文件做出实质性响应。供应商应仔细阅读并充分理解</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文件、技术规范及标准、项目采购需求、合同条款后编制响应文件。</w:t>
      </w:r>
    </w:p>
    <w:p w14:paraId="30ADA77E">
      <w:pPr>
        <w:pStyle w:val="11"/>
        <w:spacing w:line="360" w:lineRule="auto"/>
        <w:ind w:firstLine="482" w:firstLineChars="200"/>
        <w:outlineLvl w:val="9"/>
        <w:rPr>
          <w:rFonts w:hint="eastAsia" w:hAnsi="宋体" w:cs="宋体"/>
          <w:b/>
          <w:bCs/>
          <w:sz w:val="24"/>
          <w:szCs w:val="24"/>
          <w:highlight w:val="none"/>
        </w:rPr>
      </w:pPr>
      <w:bookmarkStart w:id="114" w:name="_Toc243907584"/>
      <w:bookmarkStart w:id="115" w:name="_Toc245897284"/>
      <w:bookmarkStart w:id="116" w:name="_Toc233274824"/>
      <w:bookmarkStart w:id="117" w:name="_Toc16737"/>
      <w:bookmarkStart w:id="118" w:name="_Toc243906324"/>
      <w:r>
        <w:rPr>
          <w:rFonts w:hint="eastAsia" w:hAnsi="宋体" w:cs="宋体"/>
          <w:b/>
          <w:bCs/>
          <w:sz w:val="24"/>
          <w:szCs w:val="24"/>
          <w:highlight w:val="none"/>
        </w:rPr>
        <w:t>13、响应文件的语言及计量单位</w:t>
      </w:r>
      <w:bookmarkEnd w:id="114"/>
      <w:bookmarkEnd w:id="115"/>
      <w:bookmarkEnd w:id="116"/>
      <w:bookmarkEnd w:id="117"/>
      <w:bookmarkEnd w:id="118"/>
    </w:p>
    <w:p w14:paraId="55DBA8A9">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13.1 响应文件及供应商和采购人及采购代理机构就有关</w:t>
      </w:r>
      <w:r>
        <w:rPr>
          <w:rFonts w:hint="eastAsia" w:hAnsi="宋体" w:cs="宋体"/>
          <w:sz w:val="24"/>
          <w:szCs w:val="24"/>
          <w:highlight w:val="none"/>
          <w:lang w:eastAsia="zh-CN"/>
        </w:rPr>
        <w:t>谈判</w:t>
      </w:r>
      <w:r>
        <w:rPr>
          <w:rFonts w:hint="eastAsia" w:hAnsi="宋体" w:cs="宋体"/>
          <w:sz w:val="24"/>
          <w:szCs w:val="24"/>
          <w:highlight w:val="none"/>
        </w:rPr>
        <w:t>的所有文件和来往函件，应以中文书写。供应商可以提交用其他语言（原文）打印的资料，但必须翻译成中文，当原文和译文（中文）之间存有差异和/或矛盾时，以中文为准。</w:t>
      </w:r>
    </w:p>
    <w:p w14:paraId="4A9CDFB8">
      <w:pPr>
        <w:pStyle w:val="11"/>
        <w:spacing w:line="360" w:lineRule="auto"/>
        <w:ind w:firstLine="480" w:firstLineChars="200"/>
        <w:rPr>
          <w:rFonts w:hint="eastAsia" w:hAnsi="宋体" w:cs="宋体"/>
          <w:b/>
          <w:bCs/>
          <w:sz w:val="24"/>
          <w:szCs w:val="24"/>
          <w:highlight w:val="none"/>
        </w:rPr>
      </w:pPr>
      <w:r>
        <w:rPr>
          <w:rFonts w:hint="eastAsia" w:hAnsi="宋体" w:cs="宋体"/>
          <w:sz w:val="24"/>
          <w:szCs w:val="24"/>
          <w:highlight w:val="none"/>
        </w:rPr>
        <w:t>13.2 除在</w:t>
      </w:r>
      <w:r>
        <w:rPr>
          <w:rFonts w:hint="eastAsia" w:hAnsi="宋体" w:cs="宋体"/>
          <w:sz w:val="24"/>
          <w:szCs w:val="24"/>
          <w:highlight w:val="none"/>
          <w:lang w:eastAsia="zh-CN"/>
        </w:rPr>
        <w:t>竞争性谈判</w:t>
      </w:r>
      <w:r>
        <w:rPr>
          <w:rFonts w:hint="eastAsia" w:hAnsi="宋体" w:cs="宋体"/>
          <w:sz w:val="24"/>
          <w:szCs w:val="24"/>
          <w:highlight w:val="none"/>
        </w:rPr>
        <w:t>文件的项目采购需求中另有规定外，计量单位应使用中华人民共和国法定计量单位（国际单位制和国家选定的其它计量单位）。如供应商采用其它计量单位，需事先得到采购人的同意。</w:t>
      </w:r>
      <w:r>
        <w:rPr>
          <w:rFonts w:hint="eastAsia" w:hAnsi="宋体" w:cs="宋体"/>
          <w:b/>
          <w:bCs/>
          <w:sz w:val="24"/>
          <w:szCs w:val="24"/>
          <w:highlight w:val="none"/>
        </w:rPr>
        <w:t xml:space="preserve"> </w:t>
      </w:r>
    </w:p>
    <w:p w14:paraId="0627AB23">
      <w:pPr>
        <w:spacing w:line="450" w:lineRule="exact"/>
        <w:ind w:firstLine="482" w:firstLineChars="200"/>
        <w:rPr>
          <w:rFonts w:hint="eastAsia" w:hAnsi="宋体" w:cs="宋体"/>
          <w:b/>
          <w:sz w:val="24"/>
          <w:szCs w:val="24"/>
          <w:highlight w:val="none"/>
        </w:rPr>
      </w:pPr>
      <w:bookmarkStart w:id="119" w:name="_Toc233274825"/>
      <w:bookmarkStart w:id="120" w:name="_Toc243907585"/>
      <w:bookmarkStart w:id="121" w:name="_Toc245897285"/>
      <w:bookmarkStart w:id="122" w:name="_Toc243906325"/>
      <w:bookmarkStart w:id="123" w:name="_Toc24056"/>
      <w:r>
        <w:rPr>
          <w:rFonts w:hint="eastAsia" w:hAnsi="宋体" w:cs="宋体"/>
          <w:b/>
          <w:bCs/>
          <w:sz w:val="24"/>
          <w:szCs w:val="24"/>
          <w:highlight w:val="none"/>
        </w:rPr>
        <w:t>14、</w:t>
      </w:r>
      <w:bookmarkEnd w:id="119"/>
      <w:bookmarkEnd w:id="120"/>
      <w:bookmarkEnd w:id="121"/>
      <w:bookmarkEnd w:id="122"/>
      <w:r>
        <w:rPr>
          <w:rFonts w:hint="eastAsia" w:hAnsi="宋体" w:cs="宋体"/>
          <w:b/>
          <w:bCs/>
          <w:sz w:val="24"/>
          <w:szCs w:val="24"/>
          <w:highlight w:val="none"/>
        </w:rPr>
        <w:t>响应文件</w:t>
      </w:r>
      <w:r>
        <w:rPr>
          <w:rFonts w:hint="eastAsia" w:hAnsi="宋体" w:cs="宋体"/>
          <w:b/>
          <w:sz w:val="24"/>
          <w:szCs w:val="24"/>
          <w:highlight w:val="none"/>
        </w:rPr>
        <w:t>的组成：</w:t>
      </w:r>
      <w:bookmarkEnd w:id="123"/>
      <w:r>
        <w:rPr>
          <w:rFonts w:hint="eastAsia" w:hAnsi="宋体" w:cs="宋体"/>
          <w:b/>
          <w:sz w:val="24"/>
          <w:szCs w:val="24"/>
          <w:highlight w:val="none"/>
        </w:rPr>
        <w:t>（以下响应文件格式详见第五章“响应文件格式”）</w:t>
      </w:r>
    </w:p>
    <w:p w14:paraId="6A803865">
      <w:pPr>
        <w:spacing w:line="450" w:lineRule="exact"/>
        <w:ind w:firstLine="482" w:firstLineChars="200"/>
        <w:rPr>
          <w:rFonts w:hint="eastAsia" w:ascii="宋体" w:hAnsi="宋体" w:cs="宋体"/>
          <w:b w:val="0"/>
          <w:bCs/>
          <w:sz w:val="24"/>
          <w:szCs w:val="24"/>
          <w:highlight w:val="none"/>
        </w:rPr>
      </w:pPr>
      <w:r>
        <w:rPr>
          <w:rFonts w:hint="eastAsia" w:ascii="宋体" w:hAnsi="宋体" w:eastAsia="宋体" w:cs="宋体"/>
          <w:b/>
          <w:bCs/>
          <w:color w:val="auto"/>
          <w:sz w:val="24"/>
          <w:highlight w:val="none"/>
        </w:rPr>
        <w:t>14.1资格证明文件（后续供应商在线制作响应文件时需对资格审查项进行逐一关联响应）</w:t>
      </w:r>
    </w:p>
    <w:bookmarkEnd w:id="107"/>
    <w:p w14:paraId="39DA6379">
      <w:pPr>
        <w:spacing w:line="450" w:lineRule="exact"/>
        <w:ind w:firstLine="720" w:firstLineChars="300"/>
        <w:rPr>
          <w:rFonts w:hint="eastAsia" w:ascii="宋体" w:hAnsi="宋体" w:eastAsia="宋体" w:cs="宋体"/>
          <w:sz w:val="24"/>
          <w:szCs w:val="24"/>
          <w:highlight w:val="none"/>
        </w:rPr>
      </w:pPr>
      <w:bookmarkStart w:id="124" w:name="_Toc246216203"/>
      <w:bookmarkStart w:id="125" w:name="_Toc243907594"/>
      <w:bookmarkStart w:id="126" w:name="_Toc233274834"/>
      <w:bookmarkStart w:id="127" w:name="_Toc243906333"/>
      <w:r>
        <w:rPr>
          <w:rFonts w:hint="eastAsia" w:ascii="宋体" w:hAnsi="宋体" w:cs="宋体"/>
          <w:sz w:val="24"/>
          <w:szCs w:val="24"/>
          <w:highlight w:val="none"/>
        </w:rPr>
        <w:t>资格证明文件应简要客观反映企业面貌，使采购人对其有感性了解，必须如实提供，如发现失</w:t>
      </w:r>
      <w:r>
        <w:rPr>
          <w:rFonts w:hint="eastAsia" w:ascii="宋体" w:hAnsi="宋体" w:eastAsia="宋体" w:cs="宋体"/>
          <w:sz w:val="24"/>
          <w:szCs w:val="24"/>
          <w:highlight w:val="none"/>
        </w:rPr>
        <w:t>实之处将影响其成交。资格证明文件包括但不仅限于以下内容，供应商“第三章、项目采购需求 ”及“第六章、评标标准 ”提供相关的证明资料：</w:t>
      </w:r>
    </w:p>
    <w:p w14:paraId="48B2BDDB">
      <w:pPr>
        <w:numPr>
          <w:ilvl w:val="0"/>
          <w:numId w:val="0"/>
        </w:numPr>
        <w:spacing w:line="450" w:lineRule="exact"/>
        <w:ind w:left="4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封面</w:t>
      </w:r>
    </w:p>
    <w:p w14:paraId="167A623F">
      <w:pPr>
        <w:numPr>
          <w:ilvl w:val="0"/>
          <w:numId w:val="1"/>
        </w:numPr>
        <w:spacing w:line="450" w:lineRule="exact"/>
        <w:ind w:left="0" w:leftChars="0" w:firstLine="40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资格性/符合性自查表（详见文件格式1）；</w:t>
      </w:r>
    </w:p>
    <w:p w14:paraId="5C907E52">
      <w:pPr>
        <w:numPr>
          <w:ilvl w:val="0"/>
          <w:numId w:val="1"/>
        </w:numPr>
        <w:spacing w:line="450" w:lineRule="exact"/>
        <w:ind w:left="0" w:leftChars="0" w:firstLine="40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法定代表人资格证明书（详见格式2）；</w:t>
      </w:r>
    </w:p>
    <w:p w14:paraId="123D86DA">
      <w:pPr>
        <w:numPr>
          <w:ilvl w:val="0"/>
          <w:numId w:val="1"/>
        </w:numPr>
        <w:spacing w:line="450" w:lineRule="exact"/>
        <w:ind w:left="0" w:leftChars="0" w:firstLine="40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法定代表人授权委托书（详见格式3）；</w:t>
      </w:r>
    </w:p>
    <w:p w14:paraId="201AC07C">
      <w:pPr>
        <w:numPr>
          <w:ilvl w:val="0"/>
          <w:numId w:val="1"/>
        </w:numPr>
        <w:spacing w:line="450" w:lineRule="exact"/>
        <w:ind w:left="0" w:leftChars="0" w:firstLine="40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有效期内的三证合一企业营业执照（复印件）；</w:t>
      </w:r>
    </w:p>
    <w:p w14:paraId="4817271C">
      <w:pPr>
        <w:numPr>
          <w:ilvl w:val="0"/>
          <w:numId w:val="1"/>
        </w:numPr>
        <w:spacing w:line="450" w:lineRule="exact"/>
        <w:ind w:left="0" w:leftChars="0" w:firstLine="40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基本情况表（详见格式4）；</w:t>
      </w:r>
    </w:p>
    <w:p w14:paraId="77444CF3">
      <w:pPr>
        <w:numPr>
          <w:ilvl w:val="0"/>
          <w:numId w:val="1"/>
        </w:numPr>
        <w:spacing w:line="450" w:lineRule="exact"/>
        <w:ind w:left="0" w:leftChars="0" w:firstLine="400" w:firstLineChars="0"/>
        <w:rPr>
          <w:rFonts w:hint="eastAsia" w:ascii="宋体" w:hAnsi="宋体" w:eastAsia="宋体" w:cs="宋体"/>
          <w:b w:val="0"/>
          <w:bCs/>
          <w:color w:val="auto"/>
          <w:sz w:val="24"/>
          <w:highlight w:val="none"/>
        </w:rPr>
      </w:pPr>
      <w:r>
        <w:rPr>
          <w:rFonts w:hint="eastAsia" w:ascii="宋体" w:hAnsi="宋体" w:eastAsia="宋体" w:cs="宋体"/>
          <w:sz w:val="24"/>
          <w:szCs w:val="24"/>
          <w:highlight w:val="none"/>
        </w:rPr>
        <w:t>诚信声</w:t>
      </w:r>
      <w:r>
        <w:rPr>
          <w:rFonts w:hint="eastAsia" w:ascii="宋体" w:hAnsi="宋体" w:eastAsia="宋体" w:cs="宋体"/>
          <w:b w:val="0"/>
          <w:bCs/>
          <w:color w:val="auto"/>
          <w:sz w:val="24"/>
          <w:highlight w:val="none"/>
        </w:rPr>
        <w:t>明（详见格式5）；</w:t>
      </w:r>
    </w:p>
    <w:p w14:paraId="3BA4B4E9">
      <w:pPr>
        <w:numPr>
          <w:ilvl w:val="0"/>
          <w:numId w:val="1"/>
        </w:numPr>
        <w:spacing w:line="450" w:lineRule="exact"/>
        <w:ind w:left="0" w:leftChars="0" w:firstLine="400" w:firstLineChars="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无重大违法记录承诺书</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格式6</w:t>
      </w:r>
      <w:r>
        <w:rPr>
          <w:rFonts w:hint="eastAsia" w:ascii="宋体" w:hAnsi="宋体" w:eastAsia="宋体" w:cs="宋体"/>
          <w:b w:val="0"/>
          <w:bCs/>
          <w:color w:val="auto"/>
          <w:sz w:val="24"/>
          <w:highlight w:val="none"/>
          <w:lang w:eastAsia="zh-CN"/>
        </w:rPr>
        <w:t>）；</w:t>
      </w:r>
    </w:p>
    <w:p w14:paraId="0EF367C8">
      <w:pPr>
        <w:numPr>
          <w:ilvl w:val="0"/>
          <w:numId w:val="1"/>
        </w:numPr>
        <w:spacing w:line="450" w:lineRule="exact"/>
        <w:ind w:left="0" w:leftChars="0" w:firstLine="400" w:firstLineChars="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具有履行合同所必需的设备和专业技术能力的承诺书</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格式7</w:t>
      </w:r>
      <w:r>
        <w:rPr>
          <w:rFonts w:hint="eastAsia" w:ascii="宋体" w:hAnsi="宋体" w:eastAsia="宋体" w:cs="宋体"/>
          <w:b w:val="0"/>
          <w:bCs/>
          <w:color w:val="auto"/>
          <w:sz w:val="24"/>
          <w:highlight w:val="none"/>
          <w:lang w:eastAsia="zh-CN"/>
        </w:rPr>
        <w:t>）</w:t>
      </w:r>
    </w:p>
    <w:p w14:paraId="12DBF4CB">
      <w:pPr>
        <w:numPr>
          <w:ilvl w:val="0"/>
          <w:numId w:val="1"/>
        </w:numPr>
        <w:spacing w:line="450" w:lineRule="exact"/>
        <w:ind w:left="0" w:leftChars="0" w:firstLine="400" w:firstLineChars="0"/>
        <w:rPr>
          <w:rFonts w:hint="eastAsia" w:ascii="宋体" w:hAnsi="宋体" w:eastAsia="宋体" w:cs="宋体"/>
          <w:b w:val="0"/>
          <w:bCs/>
          <w:color w:val="auto"/>
          <w:sz w:val="24"/>
          <w:highlight w:val="none"/>
        </w:rPr>
      </w:pPr>
      <w:r>
        <w:rPr>
          <w:rFonts w:hint="eastAsia" w:ascii="宋体" w:hAnsi="宋体" w:cs="宋体"/>
          <w:color w:val="auto"/>
          <w:kern w:val="0"/>
          <w:sz w:val="24"/>
          <w:highlight w:val="none"/>
          <w:lang w:val="zh-CN"/>
        </w:rPr>
        <w:t>提供（202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或202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年度）财务会计报告或企业财务报表（至少包括包资产负债表）或基本开户银行出具的资信证明。供应商注册时间截至响应文件递交截止日不足一年的，也可提供在相关主管部门备案的公司章程复印件</w:t>
      </w:r>
    </w:p>
    <w:p w14:paraId="18F7DE68">
      <w:pPr>
        <w:numPr>
          <w:ilvl w:val="0"/>
          <w:numId w:val="1"/>
        </w:numPr>
        <w:spacing w:line="450" w:lineRule="exact"/>
        <w:ind w:left="0" w:leftChars="0" w:firstLine="400" w:firstLineChars="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提供</w:t>
      </w:r>
      <w:r>
        <w:rPr>
          <w:rFonts w:hint="eastAsia" w:ascii="宋体" w:hAnsi="宋体" w:eastAsia="宋体" w:cs="宋体"/>
          <w:b w:val="0"/>
          <w:bCs/>
          <w:color w:val="auto"/>
          <w:sz w:val="24"/>
          <w:highlight w:val="none"/>
          <w:lang w:eastAsia="zh-CN"/>
        </w:rPr>
        <w:t>投标截止日前六个月任意一个月依法缴纳税收和社会保障资金的良好记录的证明材料（附复印件）</w:t>
      </w:r>
      <w:r>
        <w:rPr>
          <w:rFonts w:hint="eastAsia" w:ascii="宋体" w:hAnsi="宋体" w:eastAsia="宋体" w:cs="宋体"/>
          <w:b w:val="0"/>
          <w:bCs/>
          <w:color w:val="auto"/>
          <w:sz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w:t>
      </w:r>
      <w:r>
        <w:rPr>
          <w:rFonts w:hint="eastAsia" w:ascii="宋体" w:hAnsi="宋体" w:eastAsia="宋体" w:cs="宋体"/>
          <w:b w:val="0"/>
          <w:bCs/>
          <w:color w:val="auto"/>
          <w:sz w:val="24"/>
          <w:highlight w:val="none"/>
          <w:lang w:eastAsia="zh-CN"/>
        </w:rPr>
        <w:t>供应商</w:t>
      </w:r>
      <w:r>
        <w:rPr>
          <w:rFonts w:hint="eastAsia" w:ascii="宋体" w:hAnsi="宋体" w:eastAsia="宋体" w:cs="宋体"/>
          <w:b w:val="0"/>
          <w:bCs/>
          <w:color w:val="auto"/>
          <w:sz w:val="24"/>
          <w:highlight w:val="none"/>
          <w:lang w:val="en-US" w:eastAsia="zh-CN"/>
        </w:rPr>
        <w:t>所在地税务部门出具的相应证明）；</w:t>
      </w:r>
    </w:p>
    <w:p w14:paraId="3C244916">
      <w:pPr>
        <w:spacing w:line="45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14.2 商务部分主要包括但不限于以下内容：</w:t>
      </w:r>
    </w:p>
    <w:p w14:paraId="5A8147E3">
      <w:pPr>
        <w:widowControl w:val="0"/>
        <w:numPr>
          <w:ilvl w:val="0"/>
          <w:numId w:val="2"/>
        </w:numPr>
        <w:tabs>
          <w:tab w:val="left" w:pos="0"/>
        </w:tabs>
        <w:overflowPunct w:val="0"/>
        <w:spacing w:line="450" w:lineRule="exact"/>
        <w:ind w:left="0" w:leftChars="0" w:firstLine="400" w:firstLineChars="0"/>
        <w:jc w:val="both"/>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响应函（详见格式8）；</w:t>
      </w:r>
    </w:p>
    <w:p w14:paraId="2A0F6E9F">
      <w:pPr>
        <w:widowControl w:val="0"/>
        <w:numPr>
          <w:ilvl w:val="0"/>
          <w:numId w:val="2"/>
        </w:numPr>
        <w:tabs>
          <w:tab w:val="left" w:pos="0"/>
        </w:tabs>
        <w:overflowPunct w:val="0"/>
        <w:spacing w:line="450" w:lineRule="exact"/>
        <w:ind w:left="0" w:leftChars="0" w:firstLine="400" w:firstLineChars="0"/>
        <w:jc w:val="both"/>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商务报价一览表（详见格式9）；</w:t>
      </w:r>
      <w:r>
        <w:rPr>
          <w:rFonts w:hint="eastAsia" w:ascii="宋体" w:hAnsi="宋体" w:eastAsia="宋体" w:cs="宋体"/>
          <w:b/>
          <w:bCs w:val="0"/>
          <w:kern w:val="2"/>
          <w:sz w:val="24"/>
          <w:szCs w:val="24"/>
          <w:highlight w:val="none"/>
          <w:lang w:val="en-US" w:eastAsia="zh-CN" w:bidi="ar-SA"/>
        </w:rPr>
        <w:t>经现场评标专家和供应商谈判后由各供应商在开标系统规定时间内填报系统，如未按照系统要求填报或者未在规定时间内上传最终报价的后果由各供应商承担；</w:t>
      </w:r>
    </w:p>
    <w:p w14:paraId="6983455F">
      <w:pPr>
        <w:widowControl w:val="0"/>
        <w:numPr>
          <w:ilvl w:val="0"/>
          <w:numId w:val="2"/>
        </w:numPr>
        <w:tabs>
          <w:tab w:val="left" w:pos="0"/>
        </w:tabs>
        <w:overflowPunct w:val="0"/>
        <w:spacing w:line="450" w:lineRule="exact"/>
        <w:ind w:left="0" w:leftChars="0" w:firstLine="400" w:firstLineChars="0"/>
        <w:jc w:val="both"/>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商务条款偏离表（详见格式10）；</w:t>
      </w:r>
    </w:p>
    <w:p w14:paraId="1F0C17BD">
      <w:pPr>
        <w:widowControl w:val="0"/>
        <w:numPr>
          <w:ilvl w:val="0"/>
          <w:numId w:val="2"/>
        </w:numPr>
        <w:tabs>
          <w:tab w:val="left" w:pos="0"/>
        </w:tabs>
        <w:overflowPunct w:val="0"/>
        <w:spacing w:line="450" w:lineRule="exact"/>
        <w:ind w:left="0" w:leftChars="0" w:firstLine="400" w:firstLineChars="0"/>
        <w:jc w:val="both"/>
        <w:rPr>
          <w:rFonts w:hint="default"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近三年（</w:t>
      </w:r>
      <w:r>
        <w:rPr>
          <w:rFonts w:hint="eastAsia" w:ascii="宋体" w:hAnsi="宋体" w:eastAsia="宋体" w:cs="宋体"/>
          <w:b w:val="0"/>
          <w:bCs/>
          <w:kern w:val="2"/>
          <w:sz w:val="24"/>
          <w:szCs w:val="24"/>
          <w:highlight w:val="none"/>
          <w:lang w:val="zh-CN" w:eastAsia="zh-CN" w:bidi="ar-SA"/>
        </w:rPr>
        <w:t>20</w:t>
      </w:r>
      <w:r>
        <w:rPr>
          <w:rFonts w:hint="eastAsia" w:ascii="宋体" w:hAnsi="宋体" w:eastAsia="宋体" w:cs="宋体"/>
          <w:b w:val="0"/>
          <w:bCs/>
          <w:kern w:val="2"/>
          <w:sz w:val="24"/>
          <w:szCs w:val="24"/>
          <w:highlight w:val="none"/>
          <w:lang w:val="en-US" w:eastAsia="zh-CN" w:bidi="ar-SA"/>
        </w:rPr>
        <w:t>2</w:t>
      </w:r>
      <w:r>
        <w:rPr>
          <w:rFonts w:hint="eastAsia" w:ascii="宋体" w:hAnsi="宋体" w:cs="宋体"/>
          <w:b w:val="0"/>
          <w:bCs/>
          <w:kern w:val="2"/>
          <w:sz w:val="24"/>
          <w:szCs w:val="24"/>
          <w:highlight w:val="none"/>
          <w:lang w:val="en-US" w:eastAsia="zh-CN" w:bidi="ar-SA"/>
        </w:rPr>
        <w:t>2</w:t>
      </w:r>
      <w:r>
        <w:rPr>
          <w:rFonts w:hint="eastAsia" w:ascii="宋体" w:hAnsi="宋体" w:eastAsia="宋体" w:cs="宋体"/>
          <w:b w:val="0"/>
          <w:bCs/>
          <w:kern w:val="2"/>
          <w:sz w:val="24"/>
          <w:szCs w:val="24"/>
          <w:highlight w:val="none"/>
          <w:lang w:val="zh-CN" w:eastAsia="zh-CN" w:bidi="ar-SA"/>
        </w:rPr>
        <w:t>年1月1日至今</w:t>
      </w:r>
      <w:r>
        <w:rPr>
          <w:rFonts w:hint="eastAsia" w:ascii="宋体" w:hAnsi="宋体" w:eastAsia="宋体" w:cs="宋体"/>
          <w:b w:val="0"/>
          <w:bCs/>
          <w:kern w:val="2"/>
          <w:sz w:val="24"/>
          <w:szCs w:val="24"/>
          <w:highlight w:val="none"/>
          <w:lang w:val="en-US" w:eastAsia="zh-CN" w:bidi="ar-SA"/>
        </w:rPr>
        <w:t>）同类项目业绩表（详见格式11）；</w:t>
      </w:r>
    </w:p>
    <w:p w14:paraId="6D347BAA">
      <w:pPr>
        <w:widowControl w:val="0"/>
        <w:numPr>
          <w:ilvl w:val="0"/>
          <w:numId w:val="0"/>
        </w:numPr>
        <w:tabs>
          <w:tab w:val="left" w:pos="0"/>
        </w:tabs>
        <w:overflowPunct w:val="0"/>
        <w:spacing w:line="450" w:lineRule="exact"/>
        <w:ind w:left="400" w:leftChars="0"/>
        <w:jc w:val="both"/>
        <w:rPr>
          <w:rFonts w:hint="default"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5.</w:t>
      </w:r>
      <w:r>
        <w:rPr>
          <w:rFonts w:hint="eastAsia" w:ascii="宋体" w:hAnsi="宋体" w:eastAsia="宋体" w:cs="宋体"/>
          <w:b w:val="0"/>
          <w:bCs/>
          <w:kern w:val="2"/>
          <w:sz w:val="24"/>
          <w:szCs w:val="24"/>
          <w:highlight w:val="none"/>
          <w:lang w:val="en-US" w:eastAsia="zh-CN" w:bidi="ar-SA"/>
        </w:rPr>
        <w:t>中小企业声明函（格式13）</w:t>
      </w:r>
    </w:p>
    <w:p w14:paraId="1A7FD7C2">
      <w:pPr>
        <w:widowControl w:val="0"/>
        <w:numPr>
          <w:ilvl w:val="0"/>
          <w:numId w:val="0"/>
        </w:numPr>
        <w:tabs>
          <w:tab w:val="left" w:pos="0"/>
        </w:tabs>
        <w:overflowPunct w:val="0"/>
        <w:spacing w:line="450" w:lineRule="exact"/>
        <w:ind w:left="400" w:leftChars="0"/>
        <w:jc w:val="both"/>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6.</w:t>
      </w:r>
      <w:r>
        <w:rPr>
          <w:rFonts w:hint="eastAsia" w:ascii="宋体" w:hAnsi="宋体" w:eastAsia="宋体" w:cs="宋体"/>
          <w:b w:val="0"/>
          <w:bCs/>
          <w:kern w:val="2"/>
          <w:sz w:val="24"/>
          <w:szCs w:val="24"/>
          <w:highlight w:val="none"/>
          <w:lang w:val="en-US" w:eastAsia="zh-CN" w:bidi="ar-SA"/>
        </w:rPr>
        <w:t>供应商认为有必要提供的声明及文件资料</w:t>
      </w:r>
    </w:p>
    <w:p w14:paraId="642D48BE">
      <w:pPr>
        <w:spacing w:line="450" w:lineRule="exact"/>
        <w:ind w:firstLine="482" w:firstLineChars="200"/>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bCs/>
          <w:color w:val="auto"/>
          <w:sz w:val="24"/>
          <w:highlight w:val="none"/>
        </w:rPr>
        <w:t>14.3技术部分主要包括但不限于以下内容：</w:t>
      </w:r>
    </w:p>
    <w:p w14:paraId="27B2EA4C">
      <w:pPr>
        <w:numPr>
          <w:ilvl w:val="0"/>
          <w:numId w:val="0"/>
        </w:numPr>
        <w:spacing w:line="360" w:lineRule="auto"/>
        <w:ind w:left="400" w:left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产品的详细技术参数说明</w:t>
      </w:r>
    </w:p>
    <w:p w14:paraId="2C0AD88E">
      <w:pPr>
        <w:numPr>
          <w:ilvl w:val="0"/>
          <w:numId w:val="0"/>
        </w:numPr>
        <w:spacing w:line="360" w:lineRule="auto"/>
        <w:ind w:left="400" w:leftChars="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售后服务能力情况；</w:t>
      </w:r>
    </w:p>
    <w:p w14:paraId="57C101E5">
      <w:pPr>
        <w:numPr>
          <w:ilvl w:val="0"/>
          <w:numId w:val="0"/>
        </w:numPr>
        <w:spacing w:line="360" w:lineRule="auto"/>
        <w:ind w:left="400" w:leftChars="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技术规格响应偏离表（详见格式1</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w:t>
      </w:r>
    </w:p>
    <w:p w14:paraId="65553C84">
      <w:pPr>
        <w:numPr>
          <w:ilvl w:val="0"/>
          <w:numId w:val="0"/>
        </w:numPr>
        <w:spacing w:line="360" w:lineRule="auto"/>
        <w:ind w:left="400" w:leftChars="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备品备件及专用工具清单</w:t>
      </w:r>
      <w:r>
        <w:rPr>
          <w:rFonts w:hint="eastAsia" w:asciiTheme="minorEastAsia" w:hAnsiTheme="minorEastAsia" w:eastAsiaTheme="minorEastAsia" w:cstheme="minorEastAsia"/>
          <w:color w:val="auto"/>
          <w:sz w:val="24"/>
          <w:lang w:eastAsia="zh-CN"/>
        </w:rPr>
        <w:t>；</w:t>
      </w:r>
    </w:p>
    <w:p w14:paraId="2A79CCF6">
      <w:pPr>
        <w:numPr>
          <w:ilvl w:val="0"/>
          <w:numId w:val="0"/>
        </w:numPr>
        <w:spacing w:line="360" w:lineRule="auto"/>
        <w:ind w:left="400" w:leftChars="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产品样册、说明书、图纸技术资料、投标货物的试(检)验报告、鉴定证书（复印件）、执行的制造、验收标准等内容</w:t>
      </w:r>
      <w:r>
        <w:rPr>
          <w:rFonts w:hint="eastAsia" w:asciiTheme="minorEastAsia" w:hAnsiTheme="minorEastAsia" w:eastAsiaTheme="minorEastAsia" w:cstheme="minorEastAsia"/>
          <w:color w:val="auto"/>
          <w:sz w:val="24"/>
          <w:lang w:eastAsia="zh-CN"/>
        </w:rPr>
        <w:t>；</w:t>
      </w:r>
    </w:p>
    <w:p w14:paraId="7EF355CD">
      <w:pPr>
        <w:numPr>
          <w:ilvl w:val="0"/>
          <w:numId w:val="0"/>
        </w:numPr>
        <w:spacing w:line="360" w:lineRule="auto"/>
        <w:ind w:left="400" w:leftChars="0"/>
        <w:rPr>
          <w:rFonts w:hint="eastAsia" w:ascii="宋体" w:hAnsi="宋体" w:cs="宋体" w:eastAsiaTheme="minorEastAsia"/>
          <w:b w:val="0"/>
          <w:bCs/>
          <w:kern w:val="2"/>
          <w:sz w:val="24"/>
          <w:szCs w:val="24"/>
          <w:highlight w:val="none"/>
          <w:lang w:val="en-US" w:eastAsia="zh-CN" w:bidi="ar-SA"/>
        </w:rPr>
      </w:pPr>
      <w:r>
        <w:rPr>
          <w:rFonts w:hint="eastAsia" w:asciiTheme="minorEastAsia" w:hAnsiTheme="minorEastAsia" w:eastAsiaTheme="minorEastAsia" w:cstheme="minorEastAsia"/>
          <w:sz w:val="24"/>
          <w:lang w:val="en-US" w:eastAsia="zh-CN"/>
        </w:rPr>
        <w:t>6.供应商</w:t>
      </w:r>
      <w:r>
        <w:rPr>
          <w:rFonts w:hint="eastAsia" w:asciiTheme="minorEastAsia" w:hAnsiTheme="minorEastAsia" w:eastAsiaTheme="minorEastAsia" w:cstheme="minorEastAsia"/>
          <w:sz w:val="24"/>
        </w:rPr>
        <w:t>认为有必要提供的声明及文件资料</w:t>
      </w:r>
      <w:r>
        <w:rPr>
          <w:rFonts w:hint="eastAsia" w:asciiTheme="minorEastAsia" w:hAnsiTheme="minorEastAsia" w:eastAsiaTheme="minorEastAsia" w:cstheme="minorEastAsia"/>
          <w:sz w:val="24"/>
          <w:lang w:eastAsia="zh-CN"/>
        </w:rPr>
        <w:t>。</w:t>
      </w:r>
    </w:p>
    <w:p w14:paraId="10907C0E">
      <w:pPr>
        <w:pStyle w:val="19"/>
        <w:spacing w:before="75" w:beforeAutospacing="0" w:after="75" w:afterAutospacing="0" w:line="360" w:lineRule="auto"/>
        <w:ind w:firstLine="482" w:firstLineChars="200"/>
        <w:rPr>
          <w:rFonts w:hint="eastAsia" w:hAnsi="宋体" w:cs="宋体"/>
          <w:b/>
          <w:sz w:val="24"/>
          <w:szCs w:val="24"/>
          <w:highlight w:val="none"/>
        </w:rPr>
      </w:pPr>
      <w:r>
        <w:rPr>
          <w:rFonts w:hint="eastAsia" w:hAnsi="宋体" w:cs="宋体"/>
          <w:b/>
          <w:sz w:val="24"/>
          <w:szCs w:val="24"/>
          <w:highlight w:val="none"/>
        </w:rPr>
        <w:t>特别说明：</w:t>
      </w:r>
    </w:p>
    <w:p w14:paraId="4300E5C1">
      <w:pPr>
        <w:pStyle w:val="19"/>
        <w:spacing w:before="75" w:beforeAutospacing="0" w:after="75" w:afterAutospacing="0" w:line="360" w:lineRule="auto"/>
        <w:ind w:firstLine="482" w:firstLineChars="200"/>
        <w:rPr>
          <w:rStyle w:val="25"/>
          <w:rFonts w:cs="宋体"/>
          <w:color w:val="auto"/>
          <w:sz w:val="24"/>
          <w:szCs w:val="24"/>
          <w:highlight w:val="none"/>
        </w:rPr>
      </w:pPr>
      <w:r>
        <w:rPr>
          <w:rStyle w:val="25"/>
          <w:rFonts w:hint="eastAsia" w:cs="宋体"/>
          <w:color w:val="auto"/>
          <w:sz w:val="24"/>
          <w:szCs w:val="24"/>
          <w:highlight w:val="none"/>
        </w:rPr>
        <w:t>①上述各种证件、证书复印件须加盖供应商公章。如未按要求加盖供应商公章者，可能导致其响应文件无效。</w:t>
      </w:r>
    </w:p>
    <w:p w14:paraId="08D89B94">
      <w:pPr>
        <w:pStyle w:val="19"/>
        <w:spacing w:before="75" w:beforeAutospacing="0" w:after="75" w:afterAutospacing="0" w:line="360" w:lineRule="auto"/>
        <w:ind w:firstLine="482" w:firstLineChars="200"/>
        <w:rPr>
          <w:rStyle w:val="25"/>
          <w:rFonts w:cs="宋体"/>
          <w:color w:val="auto"/>
          <w:sz w:val="24"/>
          <w:szCs w:val="24"/>
          <w:highlight w:val="none"/>
        </w:rPr>
      </w:pPr>
      <w:r>
        <w:rPr>
          <w:rStyle w:val="25"/>
          <w:rFonts w:hint="eastAsia" w:cs="宋体"/>
          <w:color w:val="auto"/>
          <w:sz w:val="24"/>
          <w:szCs w:val="24"/>
          <w:highlight w:val="none"/>
        </w:rPr>
        <w:t>②供应商应如实提供资料，并保证真实可靠，不得弄虚作假。如供应商隐瞒事实真相、弄虚作假，一经查实，取消该供应商的投标资格，若中标的，取消其中标资格。</w:t>
      </w:r>
    </w:p>
    <w:p w14:paraId="4AA16BE8">
      <w:pPr>
        <w:pStyle w:val="19"/>
        <w:spacing w:before="75" w:beforeAutospacing="0" w:after="75" w:afterAutospacing="0" w:line="360" w:lineRule="auto"/>
        <w:ind w:firstLine="482" w:firstLineChars="200"/>
        <w:rPr>
          <w:rFonts w:hint="eastAsia" w:hAnsi="宋体" w:cs="宋体"/>
          <w:sz w:val="24"/>
          <w:szCs w:val="24"/>
          <w:highlight w:val="none"/>
        </w:rPr>
      </w:pPr>
      <w:r>
        <w:rPr>
          <w:rStyle w:val="25"/>
          <w:rFonts w:hint="eastAsia" w:cs="宋体"/>
          <w:color w:val="auto"/>
          <w:sz w:val="24"/>
          <w:szCs w:val="24"/>
          <w:highlight w:val="none"/>
        </w:rPr>
        <w:t>③响应文件包括但不限于以上内容，各供应商应对照“第三章 项目采购需求”及“第六章 评审标准”提供相关的证明资料。</w:t>
      </w:r>
    </w:p>
    <w:p w14:paraId="7D802165">
      <w:pPr>
        <w:pStyle w:val="11"/>
        <w:spacing w:line="360" w:lineRule="auto"/>
        <w:ind w:firstLine="482" w:firstLineChars="200"/>
        <w:rPr>
          <w:rFonts w:hint="eastAsia" w:hAnsi="宋体" w:cs="宋体"/>
          <w:sz w:val="24"/>
          <w:szCs w:val="24"/>
          <w:highlight w:val="none"/>
        </w:rPr>
      </w:pPr>
      <w:r>
        <w:rPr>
          <w:rFonts w:hint="eastAsia" w:hAnsi="宋体" w:cs="宋体"/>
          <w:b/>
          <w:bCs/>
          <w:sz w:val="24"/>
          <w:szCs w:val="24"/>
          <w:highlight w:val="none"/>
        </w:rPr>
        <w:t>15、响应文件格式</w:t>
      </w:r>
    </w:p>
    <w:p w14:paraId="701774CD">
      <w:pPr>
        <w:pStyle w:val="11"/>
        <w:spacing w:line="360" w:lineRule="auto"/>
        <w:ind w:firstLine="480" w:firstLineChars="200"/>
        <w:rPr>
          <w:rFonts w:hint="eastAsia" w:ascii="宋体" w:hAnsi="宋体" w:eastAsia="宋体" w:cs="宋体"/>
          <w:color w:val="auto"/>
          <w:sz w:val="24"/>
          <w:szCs w:val="24"/>
          <w:highlight w:val="none"/>
        </w:rPr>
      </w:pPr>
      <w:bookmarkStart w:id="128" w:name="_Toc3663"/>
      <w:r>
        <w:rPr>
          <w:rFonts w:hint="eastAsia" w:ascii="宋体" w:hAnsi="宋体" w:eastAsia="宋体" w:cs="宋体"/>
          <w:color w:val="auto"/>
          <w:sz w:val="24"/>
          <w:szCs w:val="24"/>
          <w:highlight w:val="none"/>
        </w:rPr>
        <w:t>供应商应按本章“1</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、响应文件的组成”中的要求提供响应文件，文件格式可参考第五</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“响应文件格式”。若表格的栏目设计不够，供应商可按照同一格式自制表格填写；未提出的格式，供应商应自行拟定格式佐证响应。</w:t>
      </w:r>
    </w:p>
    <w:p w14:paraId="28297EB9">
      <w:pPr>
        <w:pStyle w:val="11"/>
        <w:spacing w:line="360" w:lineRule="auto"/>
        <w:ind w:firstLine="482" w:firstLineChars="200"/>
        <w:outlineLvl w:val="9"/>
        <w:rPr>
          <w:rFonts w:hint="eastAsia" w:hAnsi="宋体" w:cs="宋体"/>
          <w:b/>
          <w:bCs/>
          <w:sz w:val="24"/>
          <w:szCs w:val="24"/>
          <w:highlight w:val="none"/>
        </w:rPr>
      </w:pPr>
      <w:r>
        <w:rPr>
          <w:rFonts w:hint="eastAsia" w:hAnsi="宋体" w:cs="宋体"/>
          <w:b/>
          <w:bCs/>
          <w:sz w:val="24"/>
          <w:szCs w:val="24"/>
          <w:highlight w:val="none"/>
        </w:rPr>
        <w:t>16、商务报价</w:t>
      </w:r>
      <w:bookmarkEnd w:id="128"/>
    </w:p>
    <w:p w14:paraId="68FDE33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16.1供应商的商务报价应是为采购人提供全部</w:t>
      </w:r>
      <w:r>
        <w:rPr>
          <w:rFonts w:hint="eastAsia" w:ascii="宋体" w:hAnsi="宋体" w:cs="宋体"/>
          <w:sz w:val="24"/>
          <w:szCs w:val="24"/>
          <w:highlight w:val="none"/>
          <w:lang w:val="en-US" w:eastAsia="zh-CN"/>
        </w:rPr>
        <w:t>货物及</w:t>
      </w:r>
      <w:r>
        <w:rPr>
          <w:rFonts w:hint="eastAsia" w:ascii="宋体" w:hAnsi="宋体" w:cs="宋体"/>
          <w:sz w:val="24"/>
          <w:szCs w:val="24"/>
          <w:highlight w:val="none"/>
        </w:rPr>
        <w:t>服务，以及合同条款、技术规范及标准、项目采购需求、本</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文件约定的所有费用的总和。</w:t>
      </w:r>
    </w:p>
    <w:p w14:paraId="6E64805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任何因供应商忽视或误解采购范围、技术规范及标准、项目采购需求、合同条款和项目现场情况，若中标，采购人将不予批准由此而产生的索赔或供货期延长申请。</w:t>
      </w:r>
    </w:p>
    <w:p w14:paraId="444DF82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商务报价中不得包含合同条款、技术规范及标准、项目采购需求、本</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文件要求以外的其他内容。</w:t>
      </w:r>
    </w:p>
    <w:p w14:paraId="471F5DB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16.2商务报价总价应包括的内容和计价因素</w:t>
      </w:r>
    </w:p>
    <w:p w14:paraId="5C50547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（1）完成</w:t>
      </w:r>
      <w:r>
        <w:rPr>
          <w:rFonts w:hint="eastAsia" w:ascii="宋体" w:hAnsi="宋体" w:cs="宋体"/>
          <w:sz w:val="24"/>
          <w:szCs w:val="24"/>
          <w:highlight w:val="none"/>
          <w:lang w:eastAsia="zh-CN"/>
        </w:rPr>
        <w:t>气象服务保障经费</w:t>
      </w:r>
      <w:r>
        <w:rPr>
          <w:rFonts w:hint="eastAsia" w:ascii="宋体" w:hAnsi="宋体" w:cs="宋体"/>
          <w:sz w:val="24"/>
          <w:szCs w:val="24"/>
          <w:highlight w:val="none"/>
        </w:rPr>
        <w:t>的采购应承担的所有工作，合同条款、技术规范及标准、项目采购需求、采购文件约定的全部内容及责任和义务。</w:t>
      </w:r>
    </w:p>
    <w:p w14:paraId="2DB303E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（2）供应商根据对本</w:t>
      </w:r>
      <w:r>
        <w:rPr>
          <w:rFonts w:hint="eastAsia" w:ascii="宋体" w:hAnsi="宋体" w:cs="宋体"/>
          <w:sz w:val="24"/>
          <w:szCs w:val="24"/>
          <w:highlight w:val="none"/>
          <w:lang w:eastAsia="zh-CN"/>
        </w:rPr>
        <w:t>谈判文件</w:t>
      </w:r>
      <w:r>
        <w:rPr>
          <w:rFonts w:hint="eastAsia" w:ascii="宋体" w:hAnsi="宋体" w:cs="宋体"/>
          <w:sz w:val="24"/>
          <w:szCs w:val="24"/>
          <w:highlight w:val="none"/>
        </w:rPr>
        <w:t>、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14:paraId="1E26A196">
      <w:pPr>
        <w:spacing w:line="360" w:lineRule="auto"/>
        <w:ind w:firstLine="480" w:firstLineChars="200"/>
        <w:rPr>
          <w:rFonts w:hint="eastAsia" w:ascii="宋体" w:hAnsi="宋体" w:cs="宋体"/>
          <w:sz w:val="24"/>
          <w:szCs w:val="24"/>
          <w:highlight w:val="none"/>
        </w:rPr>
      </w:pPr>
      <w:bookmarkStart w:id="129" w:name="_Toc243906327"/>
      <w:bookmarkStart w:id="130" w:name="_Toc233274828"/>
      <w:bookmarkStart w:id="131" w:name="_Toc243907588"/>
      <w:bookmarkStart w:id="132" w:name="_Toc246216197"/>
      <w:r>
        <w:rPr>
          <w:rFonts w:hint="eastAsia" w:ascii="宋体" w:hAnsi="宋体" w:cs="宋体"/>
          <w:sz w:val="24"/>
          <w:szCs w:val="24"/>
          <w:highlight w:val="none"/>
        </w:rPr>
        <w:t>16.3供应商应按照</w:t>
      </w:r>
      <w:r>
        <w:rPr>
          <w:rFonts w:hint="eastAsia" w:ascii="宋体" w:hAnsi="宋体" w:cs="宋体"/>
          <w:sz w:val="24"/>
          <w:szCs w:val="24"/>
          <w:highlight w:val="none"/>
          <w:lang w:eastAsia="zh-CN"/>
        </w:rPr>
        <w:t>谈判文件</w:t>
      </w:r>
      <w:r>
        <w:rPr>
          <w:rFonts w:hint="eastAsia" w:ascii="宋体" w:hAnsi="宋体" w:cs="宋体"/>
          <w:sz w:val="24"/>
          <w:szCs w:val="24"/>
          <w:highlight w:val="none"/>
        </w:rPr>
        <w:t>所附的格式完整地填写商务报价一览表。供应商应对采购范围内的全部内容进行报价。</w:t>
      </w:r>
    </w:p>
    <w:p w14:paraId="4D5EC04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16.4供应商若中标，不得以任何理由在合同执行期间予以价格调整。任何包含价格调整的要求将被认为是非响应而予以拒绝。</w:t>
      </w:r>
    </w:p>
    <w:bookmarkEnd w:id="129"/>
    <w:bookmarkEnd w:id="130"/>
    <w:bookmarkEnd w:id="131"/>
    <w:bookmarkEnd w:id="132"/>
    <w:p w14:paraId="6C2472B1">
      <w:pPr>
        <w:pStyle w:val="11"/>
        <w:spacing w:line="360" w:lineRule="auto"/>
        <w:ind w:firstLine="482" w:firstLineChars="200"/>
        <w:outlineLvl w:val="9"/>
        <w:rPr>
          <w:rFonts w:hint="eastAsia" w:hAnsi="宋体" w:cs="宋体"/>
          <w:b/>
          <w:bCs/>
          <w:sz w:val="24"/>
          <w:szCs w:val="24"/>
          <w:highlight w:val="none"/>
        </w:rPr>
      </w:pPr>
      <w:bookmarkStart w:id="133" w:name="_Toc5922"/>
      <w:bookmarkStart w:id="134" w:name="_Toc245897288"/>
      <w:r>
        <w:rPr>
          <w:rFonts w:hint="eastAsia" w:hAnsi="宋体" w:cs="宋体"/>
          <w:b/>
          <w:bCs/>
          <w:sz w:val="24"/>
          <w:szCs w:val="24"/>
          <w:highlight w:val="none"/>
        </w:rPr>
        <w:t>17、商务报价货币</w:t>
      </w:r>
      <w:bookmarkEnd w:id="133"/>
      <w:bookmarkEnd w:id="134"/>
    </w:p>
    <w:p w14:paraId="60647BD9">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17.1商务报价一览表和响应文件中的所有报价一律使用人民币（RMB）填报。</w:t>
      </w:r>
    </w:p>
    <w:p w14:paraId="4D012371">
      <w:pPr>
        <w:pStyle w:val="11"/>
        <w:spacing w:line="360" w:lineRule="auto"/>
        <w:ind w:firstLine="482" w:firstLineChars="200"/>
        <w:outlineLvl w:val="9"/>
        <w:rPr>
          <w:rFonts w:hint="eastAsia" w:hAnsi="宋体" w:cs="宋体"/>
          <w:b/>
          <w:bCs/>
          <w:sz w:val="24"/>
          <w:szCs w:val="24"/>
          <w:highlight w:val="none"/>
        </w:rPr>
      </w:pPr>
      <w:bookmarkStart w:id="135" w:name="_Toc27281"/>
      <w:bookmarkStart w:id="136" w:name="_Toc245897289"/>
      <w:bookmarkStart w:id="137" w:name="_Toc243907589"/>
      <w:bookmarkStart w:id="138" w:name="_Toc243906328"/>
      <w:bookmarkStart w:id="139" w:name="_Toc233274829"/>
      <w:r>
        <w:rPr>
          <w:rFonts w:hint="eastAsia" w:hAnsi="宋体" w:cs="宋体"/>
          <w:b/>
          <w:bCs/>
          <w:sz w:val="24"/>
          <w:szCs w:val="24"/>
          <w:highlight w:val="none"/>
        </w:rPr>
        <w:t>18、供应商资格证明文件</w:t>
      </w:r>
      <w:bookmarkEnd w:id="135"/>
      <w:bookmarkEnd w:id="136"/>
      <w:bookmarkEnd w:id="137"/>
      <w:bookmarkEnd w:id="138"/>
      <w:bookmarkEnd w:id="139"/>
    </w:p>
    <w:p w14:paraId="017D5B4E">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18.1 供应商必须提交证明其有资格参加</w:t>
      </w:r>
      <w:r>
        <w:rPr>
          <w:rFonts w:hint="eastAsia" w:hAnsi="宋体" w:cs="宋体"/>
          <w:sz w:val="24"/>
          <w:szCs w:val="24"/>
          <w:highlight w:val="none"/>
          <w:lang w:eastAsia="zh-CN"/>
        </w:rPr>
        <w:t>谈判</w:t>
      </w:r>
      <w:r>
        <w:rPr>
          <w:rFonts w:hint="eastAsia" w:hAnsi="宋体" w:cs="宋体"/>
          <w:sz w:val="24"/>
          <w:szCs w:val="24"/>
          <w:highlight w:val="none"/>
        </w:rPr>
        <w:t>和中标后有能力履行合同的文件。</w:t>
      </w:r>
    </w:p>
    <w:p w14:paraId="3B33A69A">
      <w:pPr>
        <w:pStyle w:val="11"/>
        <w:spacing w:line="360" w:lineRule="auto"/>
        <w:ind w:firstLine="482" w:firstLineChars="200"/>
        <w:outlineLvl w:val="9"/>
        <w:rPr>
          <w:rFonts w:hint="eastAsia" w:hAnsi="宋体" w:cs="宋体"/>
          <w:b/>
          <w:bCs/>
          <w:sz w:val="24"/>
          <w:szCs w:val="24"/>
          <w:highlight w:val="none"/>
        </w:rPr>
      </w:pPr>
      <w:bookmarkStart w:id="140" w:name="_Toc243906329"/>
      <w:bookmarkStart w:id="141" w:name="_Toc233274830"/>
      <w:bookmarkStart w:id="142" w:name="_Toc13375"/>
      <w:bookmarkStart w:id="143" w:name="_Toc245897290"/>
      <w:bookmarkStart w:id="144" w:name="_Toc243907590"/>
      <w:r>
        <w:rPr>
          <w:rFonts w:hint="eastAsia" w:hAnsi="宋体" w:cs="宋体"/>
          <w:b/>
          <w:bCs/>
          <w:sz w:val="24"/>
          <w:szCs w:val="24"/>
          <w:highlight w:val="none"/>
        </w:rPr>
        <w:t>19、提供的服务符合</w:t>
      </w:r>
      <w:r>
        <w:rPr>
          <w:rFonts w:hint="eastAsia" w:hAnsi="宋体" w:cs="宋体"/>
          <w:b/>
          <w:bCs/>
          <w:sz w:val="24"/>
          <w:szCs w:val="24"/>
          <w:highlight w:val="none"/>
          <w:lang w:eastAsia="zh-CN"/>
        </w:rPr>
        <w:t>竞争性谈判</w:t>
      </w:r>
      <w:r>
        <w:rPr>
          <w:rFonts w:hint="eastAsia" w:hAnsi="宋体" w:cs="宋体"/>
          <w:b/>
          <w:bCs/>
          <w:sz w:val="24"/>
          <w:szCs w:val="24"/>
          <w:highlight w:val="none"/>
        </w:rPr>
        <w:t>文件规定的技术响应文件</w:t>
      </w:r>
      <w:bookmarkEnd w:id="140"/>
      <w:bookmarkEnd w:id="141"/>
      <w:bookmarkEnd w:id="142"/>
      <w:bookmarkEnd w:id="143"/>
      <w:bookmarkEnd w:id="144"/>
    </w:p>
    <w:p w14:paraId="03AF5F08">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19.1 供应商须提交证明其拟供服务符合</w:t>
      </w:r>
      <w:r>
        <w:rPr>
          <w:rFonts w:hint="eastAsia" w:hAnsi="宋体" w:cs="宋体"/>
          <w:sz w:val="24"/>
          <w:szCs w:val="24"/>
          <w:highlight w:val="none"/>
          <w:lang w:eastAsia="zh-CN"/>
        </w:rPr>
        <w:t>竞争性谈判</w:t>
      </w:r>
      <w:r>
        <w:rPr>
          <w:rFonts w:hint="eastAsia" w:hAnsi="宋体" w:cs="宋体"/>
          <w:sz w:val="24"/>
          <w:szCs w:val="24"/>
          <w:highlight w:val="none"/>
        </w:rPr>
        <w:t>文件、技术规范及标准、项目采购需求规定的技术响应文件，作为响应文件的一部分；</w:t>
      </w:r>
    </w:p>
    <w:p w14:paraId="39E15AC5">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19.2上述文件可以是文字资料、图纸和数据，并须提供主要技术性能的详细描述及设备清单和所提供服务的详细说明；</w:t>
      </w:r>
    </w:p>
    <w:p w14:paraId="6334BB7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19.3供应商应逐条对</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文件、项目采购需求、合同条款等进行仔细阅读，提出自己提供的服务是否对其做出了实质性的响应。</w:t>
      </w:r>
    </w:p>
    <w:p w14:paraId="6720F00C">
      <w:pPr>
        <w:pStyle w:val="11"/>
        <w:spacing w:line="360" w:lineRule="auto"/>
        <w:ind w:firstLine="482" w:firstLineChars="200"/>
        <w:outlineLvl w:val="9"/>
        <w:rPr>
          <w:rFonts w:hint="eastAsia" w:hAnsi="宋体" w:cs="宋体"/>
          <w:b/>
          <w:bCs/>
          <w:sz w:val="24"/>
          <w:szCs w:val="24"/>
          <w:highlight w:val="none"/>
        </w:rPr>
      </w:pPr>
      <w:bookmarkStart w:id="145" w:name="_Toc8762"/>
      <w:bookmarkStart w:id="146" w:name="_Toc243906330"/>
      <w:bookmarkStart w:id="147" w:name="_Toc243907591"/>
      <w:bookmarkStart w:id="148" w:name="_Toc245897291"/>
      <w:bookmarkStart w:id="149" w:name="_Toc233274831"/>
      <w:r>
        <w:rPr>
          <w:rFonts w:hint="eastAsia" w:hAnsi="宋体" w:cs="宋体"/>
          <w:b/>
          <w:bCs/>
          <w:sz w:val="24"/>
          <w:szCs w:val="24"/>
          <w:highlight w:val="none"/>
        </w:rPr>
        <w:t>20、响应文件有效期</w:t>
      </w:r>
      <w:bookmarkEnd w:id="145"/>
      <w:bookmarkEnd w:id="146"/>
      <w:bookmarkEnd w:id="147"/>
      <w:bookmarkEnd w:id="148"/>
      <w:bookmarkEnd w:id="149"/>
    </w:p>
    <w:p w14:paraId="114BE74F">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20.1响应文件有效期为递交响应文件截止之日起</w:t>
      </w:r>
      <w:r>
        <w:rPr>
          <w:rFonts w:hint="eastAsia" w:hAnsi="宋体" w:cs="宋体"/>
          <w:sz w:val="24"/>
          <w:szCs w:val="24"/>
          <w:highlight w:val="none"/>
          <w:lang w:val="en-US" w:eastAsia="zh-CN"/>
        </w:rPr>
        <w:t>90</w:t>
      </w:r>
      <w:r>
        <w:rPr>
          <w:rFonts w:hint="eastAsia" w:hAnsi="宋体" w:cs="宋体"/>
          <w:sz w:val="24"/>
          <w:szCs w:val="24"/>
          <w:highlight w:val="none"/>
        </w:rPr>
        <w:t>天（日历日）。供应商的响应文件有效期比规定的有效期短的，将被视为非响应而予以拒绝。</w:t>
      </w:r>
    </w:p>
    <w:p w14:paraId="6F8CE1DD">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20.2 特殊情况下，在原有效期届满之前，采购人可征得供应商的同意延长其有效期，这种要求与答复均应以书面形式。供应商拒绝延长的，其响应文件失效。同意延长有效期的供应商，既不要求也不允许其修改响应文件。</w:t>
      </w:r>
    </w:p>
    <w:p w14:paraId="6A408FAC">
      <w:pPr>
        <w:pStyle w:val="11"/>
        <w:spacing w:line="360" w:lineRule="auto"/>
        <w:ind w:firstLine="482" w:firstLineChars="200"/>
        <w:outlineLvl w:val="9"/>
        <w:rPr>
          <w:rFonts w:hint="eastAsia" w:hAnsi="宋体" w:cs="宋体"/>
          <w:b/>
          <w:bCs/>
          <w:sz w:val="24"/>
          <w:szCs w:val="24"/>
          <w:highlight w:val="none"/>
        </w:rPr>
      </w:pPr>
      <w:bookmarkStart w:id="150" w:name="_Toc243906331"/>
      <w:bookmarkStart w:id="151" w:name="_Toc243907592"/>
      <w:bookmarkStart w:id="152" w:name="_Toc29290"/>
      <w:bookmarkStart w:id="153" w:name="_Toc245897292"/>
      <w:bookmarkStart w:id="154" w:name="_Toc233274832"/>
      <w:r>
        <w:rPr>
          <w:rFonts w:hint="eastAsia" w:hAnsi="宋体" w:cs="宋体"/>
          <w:b/>
          <w:bCs/>
          <w:sz w:val="24"/>
          <w:szCs w:val="24"/>
          <w:highlight w:val="none"/>
        </w:rPr>
        <w:t>21、响应文件的签署及规定</w:t>
      </w:r>
      <w:bookmarkEnd w:id="150"/>
      <w:bookmarkEnd w:id="151"/>
      <w:bookmarkEnd w:id="152"/>
      <w:bookmarkEnd w:id="153"/>
      <w:bookmarkEnd w:id="154"/>
    </w:p>
    <w:p w14:paraId="52050D9F">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响应文件采用电</w:t>
      </w:r>
      <w:r>
        <w:rPr>
          <w:rFonts w:hint="eastAsia" w:ascii="宋体" w:hAnsi="宋体" w:eastAsia="宋体" w:cs="宋体"/>
          <w:color w:val="auto"/>
          <w:sz w:val="24"/>
          <w:szCs w:val="24"/>
          <w:highlight w:val="none"/>
        </w:rPr>
        <w:t>子文档。响应文件中应按照采购文件第五章响应文件格式中规定签字、盖章的地方必须按其规定签字、盖章。</w:t>
      </w:r>
    </w:p>
    <w:p w14:paraId="756FE49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若供应商对响应文件做必要修改或澄清，则应在修改或澄清处加盖供应商公章或由法定代表人或法定代表人授权代表签字确认。</w:t>
      </w:r>
    </w:p>
    <w:p w14:paraId="5CDD4ED5">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在响应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082F1458">
      <w:pPr>
        <w:pStyle w:val="11"/>
        <w:spacing w:line="360" w:lineRule="auto"/>
        <w:ind w:firstLine="482" w:firstLineChars="200"/>
        <w:jc w:val="center"/>
        <w:rPr>
          <w:rFonts w:hint="eastAsia" w:hAnsi="宋体" w:cs="宋体"/>
          <w:b/>
          <w:bCs/>
          <w:sz w:val="24"/>
          <w:szCs w:val="24"/>
          <w:highlight w:val="none"/>
        </w:rPr>
      </w:pPr>
      <w:r>
        <w:rPr>
          <w:rFonts w:hint="eastAsia" w:hAnsi="宋体" w:cs="宋体"/>
          <w:b/>
          <w:bCs/>
          <w:sz w:val="24"/>
          <w:szCs w:val="24"/>
          <w:highlight w:val="none"/>
        </w:rPr>
        <w:t>D  响应文件的递交、修改和撤回</w:t>
      </w:r>
      <w:bookmarkEnd w:id="124"/>
      <w:bookmarkEnd w:id="125"/>
      <w:bookmarkEnd w:id="126"/>
      <w:bookmarkEnd w:id="127"/>
    </w:p>
    <w:p w14:paraId="02BB8A4F">
      <w:pPr>
        <w:widowControl/>
        <w:spacing w:line="360" w:lineRule="auto"/>
        <w:ind w:firstLine="482" w:firstLineChars="200"/>
        <w:rPr>
          <w:rFonts w:hint="eastAsia" w:ascii="宋体" w:hAnsi="宋体" w:eastAsia="宋体" w:cs="宋体"/>
          <w:b/>
          <w:bCs/>
          <w:kern w:val="2"/>
          <w:sz w:val="24"/>
          <w:szCs w:val="24"/>
          <w:highlight w:val="none"/>
          <w:lang w:val="en-US" w:eastAsia="zh-CN" w:bidi="ar-SA"/>
        </w:rPr>
      </w:pPr>
      <w:bookmarkStart w:id="155" w:name="_Toc246216209"/>
      <w:bookmarkStart w:id="156" w:name="_Toc243907600"/>
      <w:bookmarkStart w:id="157" w:name="_Toc243906339"/>
      <w:bookmarkStart w:id="158" w:name="_Toc233274840"/>
      <w:r>
        <w:rPr>
          <w:rFonts w:hint="eastAsia" w:ascii="宋体" w:hAnsi="宋体" w:cs="宋体"/>
          <w:b/>
          <w:bCs/>
          <w:kern w:val="2"/>
          <w:sz w:val="24"/>
          <w:szCs w:val="24"/>
          <w:highlight w:val="none"/>
          <w:lang w:val="en-US" w:eastAsia="zh-CN" w:bidi="ar-SA"/>
        </w:rPr>
        <w:t>22</w:t>
      </w:r>
      <w:r>
        <w:rPr>
          <w:rFonts w:hint="eastAsia" w:ascii="宋体" w:hAnsi="宋体" w:eastAsia="宋体" w:cs="宋体"/>
          <w:b/>
          <w:bCs/>
          <w:kern w:val="2"/>
          <w:sz w:val="24"/>
          <w:szCs w:val="24"/>
          <w:highlight w:val="none"/>
          <w:lang w:val="en-US" w:eastAsia="zh-CN" w:bidi="ar-SA"/>
        </w:rPr>
        <w:t>、响应文件递交的方式</w:t>
      </w:r>
    </w:p>
    <w:p w14:paraId="509B711E">
      <w:pPr>
        <w:widowControl/>
        <w:spacing w:line="360" w:lineRule="auto"/>
        <w:ind w:firstLine="480" w:firstLineChars="200"/>
        <w:rPr>
          <w:rFonts w:ascii="宋体" w:hAnsi="宋体" w:cs="宋体"/>
          <w:b w:val="0"/>
          <w:bCs/>
          <w:color w:val="auto"/>
          <w:kern w:val="0"/>
          <w:sz w:val="24"/>
          <w:highlight w:val="none"/>
        </w:rPr>
      </w:pPr>
      <w:r>
        <w:rPr>
          <w:rFonts w:hint="eastAsia" w:ascii="宋体" w:hAnsi="宋体" w:cs="宋体"/>
          <w:b w:val="0"/>
          <w:bCs/>
          <w:color w:val="auto"/>
          <w:kern w:val="0"/>
          <w:sz w:val="24"/>
          <w:highlight w:val="none"/>
        </w:rPr>
        <w:t>响应文件制作完成并生成加密标书，在投标截止时间前，供应商需将加密的响应文件上传至政采云平台。（详见第二章“供应商须知前附表”）</w:t>
      </w:r>
    </w:p>
    <w:p w14:paraId="78452D19">
      <w:pPr>
        <w:widowControl/>
        <w:spacing w:line="360" w:lineRule="auto"/>
        <w:ind w:firstLine="480" w:firstLineChars="200"/>
        <w:rPr>
          <w:rFonts w:ascii="宋体" w:hAnsi="宋体" w:cs="宋体"/>
          <w:b w:val="0"/>
          <w:bCs/>
          <w:color w:val="auto"/>
          <w:kern w:val="0"/>
          <w:sz w:val="24"/>
          <w:highlight w:val="none"/>
        </w:rPr>
      </w:pPr>
      <w:r>
        <w:rPr>
          <w:rFonts w:hint="eastAsia" w:ascii="宋体" w:hAnsi="宋体" w:cs="宋体"/>
          <w:b w:val="0"/>
          <w:bCs/>
          <w:color w:val="auto"/>
          <w:kern w:val="0"/>
          <w:sz w:val="24"/>
          <w:highlight w:val="none"/>
        </w:rPr>
        <w:t>投标截止时间以平台显示的时间为准，逾期系统将自动关闭，未完成上传的响应文件视为逾期送达，将被拒绝。</w:t>
      </w:r>
    </w:p>
    <w:p w14:paraId="7D108726">
      <w:pPr>
        <w:widowControl/>
        <w:spacing w:line="360" w:lineRule="auto"/>
        <w:ind w:firstLine="480" w:firstLineChars="200"/>
        <w:rPr>
          <w:b w:val="0"/>
          <w:bCs/>
          <w:color w:val="auto"/>
          <w:highlight w:val="none"/>
        </w:rPr>
      </w:pPr>
      <w:r>
        <w:rPr>
          <w:rFonts w:hint="eastAsia" w:ascii="宋体" w:hAnsi="宋体" w:cs="宋体"/>
          <w:b w:val="0"/>
          <w:bCs/>
          <w:color w:val="auto"/>
          <w:kern w:val="0"/>
          <w:sz w:val="24"/>
          <w:highlight w:val="none"/>
        </w:rPr>
        <w:t>供应商成功上传电子加密响应文件后，可自行打印响应文件接收回执。</w:t>
      </w:r>
    </w:p>
    <w:p w14:paraId="629ABEC1">
      <w:pPr>
        <w:pStyle w:val="19"/>
        <w:spacing w:before="75" w:beforeAutospacing="0" w:after="75" w:afterAutospacing="0"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159" w:name="_Toc245897297"/>
      <w:bookmarkStart w:id="160" w:name="_Toc233274837"/>
      <w:bookmarkStart w:id="161" w:name="_Toc243907597"/>
      <w:bookmarkStart w:id="162" w:name="_Toc243906336"/>
      <w:r>
        <w:rPr>
          <w:rFonts w:hint="eastAsia" w:ascii="宋体" w:hAnsi="宋体" w:eastAsia="宋体" w:cs="宋体"/>
          <w:b/>
          <w:bCs/>
          <w:color w:val="auto"/>
          <w:kern w:val="2"/>
          <w:sz w:val="24"/>
          <w:szCs w:val="24"/>
          <w:highlight w:val="none"/>
          <w:lang w:val="en-US" w:eastAsia="zh-CN" w:bidi="ar-SA"/>
        </w:rPr>
        <w:t>23、迟交的</w:t>
      </w:r>
      <w:bookmarkEnd w:id="159"/>
      <w:bookmarkEnd w:id="160"/>
      <w:bookmarkEnd w:id="161"/>
      <w:bookmarkEnd w:id="162"/>
      <w:r>
        <w:rPr>
          <w:rFonts w:hint="eastAsia" w:ascii="宋体" w:hAnsi="宋体" w:eastAsia="宋体" w:cs="宋体"/>
          <w:b/>
          <w:bCs/>
          <w:color w:val="auto"/>
          <w:kern w:val="2"/>
          <w:sz w:val="24"/>
          <w:szCs w:val="24"/>
          <w:highlight w:val="none"/>
          <w:lang w:val="en-US" w:eastAsia="zh-CN" w:bidi="ar-SA"/>
        </w:rPr>
        <w:t>响应文件</w:t>
      </w:r>
    </w:p>
    <w:p w14:paraId="00E62219">
      <w:pPr>
        <w:widowControl/>
        <w:spacing w:line="360" w:lineRule="auto"/>
        <w:ind w:firstLine="480"/>
        <w:rPr>
          <w:rFonts w:ascii="宋体" w:hAnsi="宋体" w:cs="宋体"/>
          <w:b w:val="0"/>
          <w:bCs/>
          <w:color w:val="auto"/>
          <w:kern w:val="0"/>
          <w:sz w:val="24"/>
          <w:highlight w:val="none"/>
        </w:rPr>
      </w:pPr>
      <w:bookmarkStart w:id="163" w:name="_Toc243907598"/>
      <w:bookmarkStart w:id="164" w:name="_Toc243906337"/>
      <w:bookmarkStart w:id="165" w:name="_Toc245897298"/>
      <w:bookmarkStart w:id="166" w:name="_Toc233274838"/>
      <w:r>
        <w:rPr>
          <w:rFonts w:hint="eastAsia" w:ascii="宋体" w:hAnsi="宋体" w:cs="宋体"/>
          <w:b w:val="0"/>
          <w:bCs/>
          <w:color w:val="auto"/>
          <w:kern w:val="0"/>
          <w:sz w:val="24"/>
          <w:highlight w:val="none"/>
        </w:rPr>
        <w:t>拒绝接收在规定的响应文件接收截止时间后递交的任何响应文件。</w:t>
      </w:r>
      <w:bookmarkStart w:id="167" w:name="_Toc213839733"/>
      <w:bookmarkEnd w:id="167"/>
    </w:p>
    <w:p w14:paraId="2715BFAF">
      <w:pPr>
        <w:pStyle w:val="19"/>
        <w:spacing w:before="75" w:beforeAutospacing="0" w:after="75" w:afterAutospacing="0"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、响应文件的修改和撤回</w:t>
      </w:r>
      <w:bookmarkEnd w:id="163"/>
      <w:bookmarkEnd w:id="164"/>
      <w:bookmarkEnd w:id="165"/>
      <w:bookmarkEnd w:id="166"/>
    </w:p>
    <w:p w14:paraId="7E275FC5">
      <w:pPr>
        <w:pStyle w:val="37"/>
        <w:spacing w:line="360" w:lineRule="auto"/>
        <w:ind w:firstLine="48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b w:val="0"/>
          <w:bCs/>
          <w:color w:val="auto"/>
          <w:sz w:val="24"/>
          <w:szCs w:val="22"/>
          <w:highlight w:val="none"/>
        </w:rPr>
        <w:t>供应商在投标截止时间前，可以对其所递交的响应文件进行修改并重新上传，但以投标截止时间前最后一次上传的响应文件为有效响应文件。在投标截止时间后，供应商不得要求修改或撤回其响应文件。</w:t>
      </w:r>
    </w:p>
    <w:p w14:paraId="29BB1560">
      <w:pPr>
        <w:spacing w:line="360" w:lineRule="auto"/>
        <w:ind w:firstLine="482" w:firstLineChars="200"/>
        <w:jc w:val="center"/>
        <w:rPr>
          <w:rFonts w:hint="eastAsia" w:ascii="宋体" w:hAnsi="宋体" w:cs="宋体"/>
          <w:b/>
          <w:bCs/>
          <w:sz w:val="24"/>
          <w:szCs w:val="24"/>
          <w:highlight w:val="none"/>
        </w:rPr>
      </w:pPr>
      <w:r>
        <w:rPr>
          <w:rFonts w:hint="eastAsia" w:ascii="宋体" w:hAnsi="宋体" w:cs="宋体"/>
          <w:b/>
          <w:bCs/>
          <w:sz w:val="24"/>
          <w:szCs w:val="24"/>
          <w:highlight w:val="none"/>
        </w:rPr>
        <w:t xml:space="preserve">E  </w:t>
      </w:r>
      <w:r>
        <w:rPr>
          <w:rFonts w:hint="eastAsia" w:ascii="宋体" w:hAnsi="宋体" w:cs="宋体"/>
          <w:b/>
          <w:bCs/>
          <w:sz w:val="24"/>
          <w:szCs w:val="24"/>
          <w:highlight w:val="none"/>
          <w:lang w:eastAsia="zh-CN"/>
        </w:rPr>
        <w:t>谈判</w:t>
      </w:r>
      <w:r>
        <w:rPr>
          <w:rFonts w:hint="eastAsia" w:ascii="宋体" w:hAnsi="宋体" w:cs="宋体"/>
          <w:b/>
          <w:bCs/>
          <w:sz w:val="24"/>
          <w:szCs w:val="24"/>
          <w:highlight w:val="none"/>
        </w:rPr>
        <w:t>、评审、</w:t>
      </w:r>
      <w:bookmarkEnd w:id="155"/>
      <w:bookmarkEnd w:id="156"/>
      <w:bookmarkEnd w:id="157"/>
      <w:bookmarkEnd w:id="158"/>
      <w:r>
        <w:rPr>
          <w:rFonts w:hint="eastAsia" w:ascii="宋体" w:hAnsi="宋体" w:cs="宋体"/>
          <w:b/>
          <w:bCs/>
          <w:sz w:val="24"/>
          <w:szCs w:val="24"/>
          <w:highlight w:val="none"/>
        </w:rPr>
        <w:t>确定中标供应商</w:t>
      </w:r>
    </w:p>
    <w:p w14:paraId="753BC4E0">
      <w:pPr>
        <w:spacing w:line="450" w:lineRule="exact"/>
        <w:ind w:firstLine="482" w:firstLineChars="200"/>
        <w:outlineLvl w:val="9"/>
        <w:rPr>
          <w:rFonts w:hint="eastAsia" w:ascii="宋体" w:hAnsi="宋体" w:eastAsia="宋体" w:cs="宋体"/>
          <w:b/>
          <w:bCs/>
          <w:sz w:val="24"/>
          <w:szCs w:val="24"/>
          <w:highlight w:val="none"/>
          <w:lang w:val="en-US" w:eastAsia="zh-CN"/>
        </w:rPr>
      </w:pPr>
      <w:bookmarkStart w:id="168" w:name="_Toc243906340"/>
      <w:bookmarkStart w:id="169" w:name="_Toc245897301"/>
      <w:bookmarkStart w:id="170" w:name="_Toc233274841"/>
      <w:bookmarkStart w:id="171" w:name="_Toc243907601"/>
      <w:bookmarkStart w:id="172" w:name="_Toc21048"/>
      <w:bookmarkStart w:id="173" w:name="_Toc243906341"/>
      <w:bookmarkStart w:id="174" w:name="_Toc245897302"/>
      <w:bookmarkStart w:id="175" w:name="_Toc233274842"/>
      <w:bookmarkStart w:id="176" w:name="_Toc243907602"/>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w:t>
      </w:r>
      <w:bookmarkEnd w:id="168"/>
      <w:bookmarkEnd w:id="169"/>
      <w:bookmarkEnd w:id="170"/>
      <w:bookmarkEnd w:id="171"/>
      <w:r>
        <w:rPr>
          <w:rFonts w:hint="eastAsia" w:ascii="宋体" w:hAnsi="宋体" w:cs="宋体"/>
          <w:b/>
          <w:bCs/>
          <w:sz w:val="24"/>
          <w:szCs w:val="24"/>
          <w:highlight w:val="none"/>
          <w:lang w:eastAsia="zh-CN"/>
        </w:rPr>
        <w:t>谈判</w:t>
      </w:r>
      <w:r>
        <w:rPr>
          <w:rFonts w:hint="eastAsia" w:ascii="宋体" w:hAnsi="宋体" w:cs="宋体"/>
          <w:b/>
          <w:bCs/>
          <w:sz w:val="24"/>
          <w:szCs w:val="24"/>
          <w:highlight w:val="none"/>
        </w:rPr>
        <w:t>会议</w:t>
      </w:r>
      <w:bookmarkEnd w:id="172"/>
      <w:r>
        <w:rPr>
          <w:rFonts w:hint="eastAsia" w:ascii="宋体" w:hAnsi="宋体" w:cs="宋体"/>
          <w:b/>
          <w:bCs/>
          <w:sz w:val="24"/>
          <w:szCs w:val="24"/>
          <w:highlight w:val="none"/>
          <w:lang w:eastAsia="zh-CN"/>
        </w:rPr>
        <w:t>及谈判小组</w:t>
      </w:r>
    </w:p>
    <w:p w14:paraId="037778ED">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.1采购人在本供应商须知前附表规定的时间和地点组织</w:t>
      </w:r>
      <w:r>
        <w:rPr>
          <w:rFonts w:hint="eastAsia" w:ascii="宋体" w:hAnsi="宋体" w:cs="宋体"/>
          <w:sz w:val="24"/>
          <w:szCs w:val="24"/>
          <w:highlight w:val="none"/>
          <w:lang w:eastAsia="zh-CN"/>
        </w:rPr>
        <w:t>谈判</w:t>
      </w:r>
      <w:r>
        <w:rPr>
          <w:rFonts w:hint="eastAsia" w:ascii="宋体" w:hAnsi="宋体" w:cs="宋体"/>
          <w:sz w:val="24"/>
          <w:szCs w:val="24"/>
          <w:highlight w:val="none"/>
        </w:rPr>
        <w:t>会议。</w:t>
      </w:r>
    </w:p>
    <w:p w14:paraId="772FFF01">
      <w:pPr>
        <w:spacing w:line="45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.2开标由</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代理机构主持，财政部门和有关监督部门可视情况派员现场监督。</w:t>
      </w:r>
    </w:p>
    <w:p w14:paraId="7F884E30">
      <w:pPr>
        <w:spacing w:line="45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.3本次采用不见面开标方式，在规定的投标截止时间（开标时间）和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须知前附表规定的地点开标。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的法定代表人或其委托代理人无需到达开标现场，仅需在任意地点通过政采云不见面开标系统，使用CA密钥完成远程解密、提疑澄清、开标唱标、结果公布等交互环节。</w:t>
      </w:r>
    </w:p>
    <w:p w14:paraId="1D9942CD">
      <w:pPr>
        <w:spacing w:line="45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开标前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完成设备测试，保证摄像头及麦克风正常使用。自开标时间起至评标结束，</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须登录新疆政府采购平台并保持网络畅通，随时答复评标委员会的疑问。若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未在规定时间内答复的，由此产生的后果将由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w:t>
      </w:r>
    </w:p>
    <w:p w14:paraId="771FF5FE">
      <w:pPr>
        <w:spacing w:line="45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法定代表人或法定代表人授权委托人参与远程交互，中途不得更换，在废标、澄清、提疑、传送文件等特殊情况下需要交互时，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一端参与交互的人员将均被视为是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的授权委托人或法人代表，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不得以不承认交互人员的资格或身份等为借口推脱，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自行承担随意更换人员所导致的一切后果。</w:t>
      </w:r>
    </w:p>
    <w:bookmarkEnd w:id="173"/>
    <w:bookmarkEnd w:id="174"/>
    <w:bookmarkEnd w:id="175"/>
    <w:bookmarkEnd w:id="176"/>
    <w:p w14:paraId="66F664E4">
      <w:pPr>
        <w:spacing w:line="45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小组成员组成：按照《中华人民共和国政府采购法》、</w:t>
      </w:r>
      <w:r>
        <w:rPr>
          <w:rFonts w:hint="eastAsia" w:ascii="宋体" w:hAnsi="宋体" w:eastAsia="宋体" w:cs="宋体"/>
          <w:sz w:val="24"/>
          <w:szCs w:val="24"/>
          <w:highlight w:val="none"/>
          <w:lang w:val="en-US" w:eastAsia="zh-CN"/>
        </w:rPr>
        <w:t>《中华人民共和国政府采购法实施条例》、《政府采购非招标采购方式管理暂行办法》</w:t>
      </w:r>
      <w:r>
        <w:rPr>
          <w:rFonts w:hint="eastAsia" w:ascii="宋体" w:hAnsi="宋体" w:eastAsia="宋体" w:cs="宋体"/>
          <w:sz w:val="24"/>
          <w:szCs w:val="24"/>
          <w:highlight w:val="none"/>
        </w:rPr>
        <w:t>及相关法律、法规规定组建，由采购人代表和评审专家组成。</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小组将负责对供应商提交的响应文件进行</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、评审，确保</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、评审过程公正、合法、保密，并向采购人推荐中标供应商。</w:t>
      </w:r>
    </w:p>
    <w:p w14:paraId="1C64B7C1">
      <w:pPr>
        <w:widowControl/>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26</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谈判</w:t>
      </w:r>
    </w:p>
    <w:p w14:paraId="522ECD77">
      <w:pPr>
        <w:widowControl/>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26</w:t>
      </w:r>
      <w:r>
        <w:rPr>
          <w:rFonts w:hint="eastAsia" w:ascii="宋体" w:hAnsi="宋体" w:cs="宋体"/>
          <w:sz w:val="24"/>
          <w:szCs w:val="24"/>
          <w:highlight w:val="none"/>
        </w:rPr>
        <w:t>.1</w:t>
      </w:r>
      <w:r>
        <w:rPr>
          <w:rFonts w:hint="eastAsia" w:ascii="宋体" w:hAnsi="宋体" w:cs="宋体"/>
          <w:sz w:val="24"/>
          <w:szCs w:val="24"/>
          <w:highlight w:val="none"/>
          <w:lang w:eastAsia="zh-CN"/>
        </w:rPr>
        <w:t>谈判</w:t>
      </w:r>
      <w:r>
        <w:rPr>
          <w:rFonts w:hint="eastAsia" w:ascii="宋体" w:hAnsi="宋体" w:cs="宋体"/>
          <w:sz w:val="24"/>
          <w:szCs w:val="24"/>
          <w:highlight w:val="none"/>
        </w:rPr>
        <w:t>小组所有成员集中与单一供应商分别进行</w:t>
      </w:r>
      <w:r>
        <w:rPr>
          <w:rFonts w:hint="eastAsia" w:ascii="宋体" w:hAnsi="宋体" w:cs="宋体"/>
          <w:sz w:val="24"/>
          <w:szCs w:val="24"/>
          <w:highlight w:val="none"/>
          <w:lang w:eastAsia="zh-CN"/>
        </w:rPr>
        <w:t>谈判</w:t>
      </w:r>
      <w:r>
        <w:rPr>
          <w:rFonts w:hint="eastAsia" w:ascii="宋体" w:hAnsi="宋体" w:cs="宋体"/>
          <w:sz w:val="24"/>
          <w:szCs w:val="24"/>
          <w:highlight w:val="none"/>
        </w:rPr>
        <w:t>。供应商应由法定代表人或法定代表人授权的供应商代表及专业技术人员参与</w:t>
      </w:r>
      <w:r>
        <w:rPr>
          <w:rFonts w:hint="eastAsia" w:ascii="宋体" w:hAnsi="宋体" w:cs="宋体"/>
          <w:sz w:val="24"/>
          <w:szCs w:val="24"/>
          <w:highlight w:val="none"/>
          <w:lang w:eastAsia="zh-CN"/>
        </w:rPr>
        <w:t>谈判</w:t>
      </w:r>
      <w:r>
        <w:rPr>
          <w:rFonts w:hint="eastAsia" w:ascii="宋体" w:hAnsi="宋体" w:cs="宋体"/>
          <w:sz w:val="24"/>
          <w:szCs w:val="24"/>
          <w:highlight w:val="none"/>
        </w:rPr>
        <w:t>。供应商所作的重要答复均应以书面形式予以补充，并经法定代表人或授权人签署，作为响应文件的一部分，对供应商具有约束力，但不得对</w:t>
      </w:r>
      <w:r>
        <w:rPr>
          <w:rFonts w:hint="eastAsia" w:ascii="宋体" w:hAnsi="宋体" w:cs="宋体"/>
          <w:sz w:val="24"/>
          <w:szCs w:val="24"/>
          <w:highlight w:val="none"/>
          <w:lang w:eastAsia="zh-CN"/>
        </w:rPr>
        <w:t>谈判</w:t>
      </w:r>
      <w:r>
        <w:rPr>
          <w:rFonts w:hint="eastAsia" w:ascii="宋体" w:hAnsi="宋体" w:cs="宋体"/>
          <w:sz w:val="24"/>
          <w:szCs w:val="24"/>
          <w:highlight w:val="none"/>
        </w:rPr>
        <w:t>内容进行实质性修改。在</w:t>
      </w:r>
      <w:r>
        <w:rPr>
          <w:rFonts w:hint="eastAsia" w:ascii="宋体" w:hAnsi="宋体" w:cs="宋体"/>
          <w:sz w:val="24"/>
          <w:szCs w:val="24"/>
          <w:highlight w:val="none"/>
          <w:lang w:eastAsia="zh-CN"/>
        </w:rPr>
        <w:t>谈判</w:t>
      </w:r>
      <w:r>
        <w:rPr>
          <w:rFonts w:hint="eastAsia" w:ascii="宋体" w:hAnsi="宋体" w:cs="宋体"/>
          <w:sz w:val="24"/>
          <w:szCs w:val="24"/>
          <w:highlight w:val="none"/>
        </w:rPr>
        <w:t>中，</w:t>
      </w:r>
      <w:r>
        <w:rPr>
          <w:rFonts w:hint="eastAsia" w:ascii="宋体" w:hAnsi="宋体" w:cs="宋体"/>
          <w:sz w:val="24"/>
          <w:szCs w:val="24"/>
          <w:highlight w:val="none"/>
          <w:lang w:eastAsia="zh-CN"/>
        </w:rPr>
        <w:t>谈判</w:t>
      </w:r>
      <w:r>
        <w:rPr>
          <w:rFonts w:hint="eastAsia" w:ascii="宋体" w:hAnsi="宋体" w:cs="宋体"/>
          <w:sz w:val="24"/>
          <w:szCs w:val="24"/>
          <w:highlight w:val="none"/>
        </w:rPr>
        <w:t>的任何一方不得透露与</w:t>
      </w:r>
      <w:r>
        <w:rPr>
          <w:rFonts w:hint="eastAsia" w:ascii="宋体" w:hAnsi="宋体" w:cs="宋体"/>
          <w:sz w:val="24"/>
          <w:szCs w:val="24"/>
          <w:highlight w:val="none"/>
          <w:lang w:eastAsia="zh-CN"/>
        </w:rPr>
        <w:t>谈判</w:t>
      </w:r>
      <w:r>
        <w:rPr>
          <w:rFonts w:hint="eastAsia" w:ascii="宋体" w:hAnsi="宋体" w:cs="宋体"/>
          <w:sz w:val="24"/>
          <w:szCs w:val="24"/>
          <w:highlight w:val="none"/>
        </w:rPr>
        <w:t>有关的其他供应商的技术资料和其他信息。</w:t>
      </w:r>
    </w:p>
    <w:p w14:paraId="4F4FDAB3">
      <w:pPr>
        <w:widowControl/>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26</w:t>
      </w:r>
      <w:r>
        <w:rPr>
          <w:rFonts w:hint="eastAsia" w:ascii="宋体" w:hAnsi="宋体" w:cs="宋体"/>
          <w:sz w:val="24"/>
          <w:szCs w:val="24"/>
          <w:highlight w:val="none"/>
        </w:rPr>
        <w:t>.2在</w:t>
      </w:r>
      <w:r>
        <w:rPr>
          <w:rFonts w:hint="eastAsia" w:ascii="宋体" w:hAnsi="宋体" w:cs="宋体"/>
          <w:sz w:val="24"/>
          <w:szCs w:val="24"/>
          <w:highlight w:val="none"/>
          <w:lang w:eastAsia="zh-CN"/>
        </w:rPr>
        <w:t>谈判</w:t>
      </w:r>
      <w:r>
        <w:rPr>
          <w:rFonts w:hint="eastAsia" w:ascii="宋体" w:hAnsi="宋体" w:cs="宋体"/>
          <w:sz w:val="24"/>
          <w:szCs w:val="24"/>
          <w:highlight w:val="none"/>
        </w:rPr>
        <w:t>小组与各供应商进行了相同轮次的</w:t>
      </w:r>
      <w:r>
        <w:rPr>
          <w:rFonts w:hint="eastAsia" w:ascii="宋体" w:hAnsi="宋体" w:cs="宋体"/>
          <w:sz w:val="24"/>
          <w:szCs w:val="24"/>
          <w:highlight w:val="none"/>
          <w:lang w:eastAsia="zh-CN"/>
        </w:rPr>
        <w:t>谈判</w:t>
      </w:r>
      <w:r>
        <w:rPr>
          <w:rFonts w:hint="eastAsia" w:ascii="宋体" w:hAnsi="宋体" w:cs="宋体"/>
          <w:sz w:val="24"/>
          <w:szCs w:val="24"/>
          <w:highlight w:val="none"/>
        </w:rPr>
        <w:t>后，为了更好地实现采购目标，</w:t>
      </w:r>
      <w:r>
        <w:rPr>
          <w:rFonts w:hint="eastAsia" w:ascii="宋体" w:hAnsi="宋体" w:cs="宋体"/>
          <w:sz w:val="24"/>
          <w:szCs w:val="24"/>
          <w:highlight w:val="none"/>
          <w:lang w:eastAsia="zh-CN"/>
        </w:rPr>
        <w:t>谈判</w:t>
      </w:r>
      <w:r>
        <w:rPr>
          <w:rFonts w:hint="eastAsia" w:ascii="宋体" w:hAnsi="宋体" w:cs="宋体"/>
          <w:sz w:val="24"/>
          <w:szCs w:val="24"/>
          <w:highlight w:val="none"/>
        </w:rPr>
        <w:t>小组可以修改</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文件，但涉及实质性变动的，将以书面形式通知所有参加</w:t>
      </w:r>
      <w:r>
        <w:rPr>
          <w:rFonts w:hint="eastAsia" w:ascii="宋体" w:hAnsi="宋体" w:cs="宋体"/>
          <w:sz w:val="24"/>
          <w:szCs w:val="24"/>
          <w:highlight w:val="none"/>
          <w:lang w:eastAsia="zh-CN"/>
        </w:rPr>
        <w:t>谈判</w:t>
      </w:r>
      <w:r>
        <w:rPr>
          <w:rFonts w:hint="eastAsia" w:ascii="宋体" w:hAnsi="宋体" w:cs="宋体"/>
          <w:sz w:val="24"/>
          <w:szCs w:val="24"/>
          <w:highlight w:val="none"/>
        </w:rPr>
        <w:t>的供应商。供应商收到修改</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文件的通知后，可以决定是否继续参加</w:t>
      </w:r>
      <w:r>
        <w:rPr>
          <w:rFonts w:hint="eastAsia" w:ascii="宋体" w:hAnsi="宋体" w:cs="宋体"/>
          <w:sz w:val="24"/>
          <w:szCs w:val="24"/>
          <w:highlight w:val="none"/>
          <w:lang w:eastAsia="zh-CN"/>
        </w:rPr>
        <w:t>谈判</w:t>
      </w:r>
      <w:r>
        <w:rPr>
          <w:rFonts w:hint="eastAsia" w:ascii="宋体" w:hAnsi="宋体" w:cs="宋体"/>
          <w:sz w:val="24"/>
          <w:szCs w:val="24"/>
          <w:highlight w:val="none"/>
        </w:rPr>
        <w:t>活动。</w:t>
      </w:r>
    </w:p>
    <w:p w14:paraId="7FAAE1F8">
      <w:pPr>
        <w:widowControl/>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26</w:t>
      </w:r>
      <w:r>
        <w:rPr>
          <w:rFonts w:hint="eastAsia" w:ascii="宋体" w:hAnsi="宋体" w:cs="宋体"/>
          <w:sz w:val="24"/>
          <w:szCs w:val="24"/>
          <w:highlight w:val="none"/>
        </w:rPr>
        <w:t>.3供应商应当按照</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文件的变动情况和</w:t>
      </w:r>
      <w:r>
        <w:rPr>
          <w:rFonts w:hint="eastAsia" w:ascii="宋体" w:hAnsi="宋体" w:cs="宋体"/>
          <w:sz w:val="24"/>
          <w:szCs w:val="24"/>
          <w:highlight w:val="none"/>
          <w:lang w:eastAsia="zh-CN"/>
        </w:rPr>
        <w:t>谈判</w:t>
      </w:r>
      <w:r>
        <w:rPr>
          <w:rFonts w:hint="eastAsia" w:ascii="宋体" w:hAnsi="宋体" w:cs="宋体"/>
          <w:sz w:val="24"/>
          <w:szCs w:val="24"/>
          <w:highlight w:val="none"/>
        </w:rPr>
        <w:t>小组的要求重新提交响应文件，并由其法定代表人或委托代理人签字或者加盖公章。由委托代理人签字的，应当附法定代表人授权书。</w:t>
      </w:r>
    </w:p>
    <w:p w14:paraId="70CE7CF8">
      <w:pPr>
        <w:widowControl/>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26</w:t>
      </w:r>
      <w:r>
        <w:rPr>
          <w:rFonts w:hint="eastAsia" w:ascii="宋体" w:hAnsi="宋体" w:cs="宋体"/>
          <w:sz w:val="24"/>
          <w:szCs w:val="24"/>
          <w:highlight w:val="none"/>
        </w:rPr>
        <w:t>.4</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文件能够详细列明采购标的的技术、服务要求的，</w:t>
      </w:r>
      <w:r>
        <w:rPr>
          <w:rFonts w:hint="eastAsia" w:ascii="宋体" w:hAnsi="宋体" w:cs="宋体"/>
          <w:sz w:val="24"/>
          <w:szCs w:val="24"/>
          <w:highlight w:val="none"/>
          <w:lang w:eastAsia="zh-CN"/>
        </w:rPr>
        <w:t>谈判</w:t>
      </w:r>
      <w:r>
        <w:rPr>
          <w:rFonts w:hint="eastAsia" w:ascii="宋体" w:hAnsi="宋体" w:cs="宋体"/>
          <w:sz w:val="24"/>
          <w:szCs w:val="24"/>
          <w:highlight w:val="none"/>
        </w:rPr>
        <w:t>小组在</w:t>
      </w:r>
      <w:r>
        <w:rPr>
          <w:rFonts w:hint="eastAsia" w:ascii="宋体" w:hAnsi="宋体" w:cs="宋体"/>
          <w:sz w:val="24"/>
          <w:szCs w:val="24"/>
          <w:highlight w:val="none"/>
          <w:lang w:eastAsia="zh-CN"/>
        </w:rPr>
        <w:t>谈判</w:t>
      </w:r>
      <w:r>
        <w:rPr>
          <w:rFonts w:hint="eastAsia" w:ascii="宋体" w:hAnsi="宋体" w:cs="宋体"/>
          <w:sz w:val="24"/>
          <w:szCs w:val="24"/>
          <w:highlight w:val="none"/>
        </w:rPr>
        <w:t>结束后，</w:t>
      </w:r>
      <w:r>
        <w:rPr>
          <w:rFonts w:hint="eastAsia" w:ascii="宋体" w:hAnsi="宋体" w:cs="宋体"/>
          <w:sz w:val="24"/>
          <w:szCs w:val="24"/>
          <w:highlight w:val="none"/>
          <w:lang w:eastAsia="zh-CN"/>
        </w:rPr>
        <w:t>谈判</w:t>
      </w:r>
      <w:r>
        <w:rPr>
          <w:rFonts w:hint="eastAsia" w:ascii="宋体" w:hAnsi="宋体" w:cs="宋体"/>
          <w:sz w:val="24"/>
          <w:szCs w:val="24"/>
          <w:highlight w:val="none"/>
        </w:rPr>
        <w:t>小组应当要求所有实质性响应的供应商在规定时间内提交最后报价，最后报价是供应商响应文件的有效组成部分。</w:t>
      </w:r>
    </w:p>
    <w:p w14:paraId="0E80886A">
      <w:pPr>
        <w:widowControl/>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26</w:t>
      </w:r>
      <w:r>
        <w:rPr>
          <w:rFonts w:hint="eastAsia" w:ascii="宋体" w:hAnsi="宋体" w:cs="宋体"/>
          <w:sz w:val="24"/>
          <w:szCs w:val="24"/>
          <w:highlight w:val="none"/>
        </w:rPr>
        <w:t>.5</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文件不能详细列明采购标的的技术、服务要求，需经</w:t>
      </w:r>
      <w:r>
        <w:rPr>
          <w:rFonts w:hint="eastAsia" w:ascii="宋体" w:hAnsi="宋体" w:cs="宋体"/>
          <w:sz w:val="24"/>
          <w:szCs w:val="24"/>
          <w:highlight w:val="none"/>
          <w:lang w:eastAsia="zh-CN"/>
        </w:rPr>
        <w:t>谈判</w:t>
      </w:r>
      <w:r>
        <w:rPr>
          <w:rFonts w:hint="eastAsia" w:ascii="宋体" w:hAnsi="宋体" w:cs="宋体"/>
          <w:sz w:val="24"/>
          <w:szCs w:val="24"/>
          <w:highlight w:val="none"/>
        </w:rPr>
        <w:t>由供应商提供最终整修方案或解决方案的，</w:t>
      </w:r>
      <w:r>
        <w:rPr>
          <w:rFonts w:hint="eastAsia" w:ascii="宋体" w:hAnsi="宋体" w:cs="宋体"/>
          <w:sz w:val="24"/>
          <w:szCs w:val="24"/>
          <w:highlight w:val="none"/>
          <w:lang w:eastAsia="zh-CN"/>
        </w:rPr>
        <w:t>谈判</w:t>
      </w:r>
      <w:r>
        <w:rPr>
          <w:rFonts w:hint="eastAsia" w:ascii="宋体" w:hAnsi="宋体" w:cs="宋体"/>
          <w:sz w:val="24"/>
          <w:szCs w:val="24"/>
          <w:highlight w:val="none"/>
        </w:rPr>
        <w:t>结束后，</w:t>
      </w:r>
      <w:r>
        <w:rPr>
          <w:rFonts w:hint="eastAsia" w:ascii="宋体" w:hAnsi="宋体" w:cs="宋体"/>
          <w:sz w:val="24"/>
          <w:szCs w:val="24"/>
          <w:highlight w:val="none"/>
          <w:lang w:eastAsia="zh-CN"/>
        </w:rPr>
        <w:t>谈判</w:t>
      </w:r>
      <w:r>
        <w:rPr>
          <w:rFonts w:hint="eastAsia" w:ascii="宋体" w:hAnsi="宋体" w:cs="宋体"/>
          <w:sz w:val="24"/>
          <w:szCs w:val="24"/>
          <w:highlight w:val="none"/>
        </w:rPr>
        <w:t>小组应当按照少数服从多数的原则投票推荐3家以上供应商的整修方案或者解决方案，并要求其在规定时间内提交最后报价。</w:t>
      </w:r>
    </w:p>
    <w:p w14:paraId="6E02AD08">
      <w:pPr>
        <w:widowControl/>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26</w:t>
      </w:r>
      <w:r>
        <w:rPr>
          <w:rFonts w:hint="eastAsia" w:ascii="宋体" w:hAnsi="宋体" w:cs="宋体"/>
          <w:sz w:val="24"/>
          <w:szCs w:val="24"/>
          <w:highlight w:val="none"/>
        </w:rPr>
        <w:t>.6已提交响应文件的供应商，在提交最后报价之前，可以根据</w:t>
      </w:r>
      <w:r>
        <w:rPr>
          <w:rFonts w:hint="eastAsia" w:ascii="宋体" w:hAnsi="宋体" w:cs="宋体"/>
          <w:sz w:val="24"/>
          <w:szCs w:val="24"/>
          <w:highlight w:val="none"/>
          <w:lang w:eastAsia="zh-CN"/>
        </w:rPr>
        <w:t>谈判</w:t>
      </w:r>
      <w:r>
        <w:rPr>
          <w:rFonts w:hint="eastAsia" w:ascii="宋体" w:hAnsi="宋体" w:cs="宋体"/>
          <w:sz w:val="24"/>
          <w:szCs w:val="24"/>
          <w:highlight w:val="none"/>
        </w:rPr>
        <w:t>情况退出</w:t>
      </w:r>
      <w:r>
        <w:rPr>
          <w:rFonts w:hint="eastAsia" w:ascii="宋体" w:hAnsi="宋体" w:cs="宋体"/>
          <w:sz w:val="24"/>
          <w:szCs w:val="24"/>
          <w:highlight w:val="none"/>
          <w:lang w:eastAsia="zh-CN"/>
        </w:rPr>
        <w:t>谈判</w:t>
      </w:r>
      <w:r>
        <w:rPr>
          <w:rFonts w:hint="eastAsia" w:ascii="宋体" w:hAnsi="宋体" w:cs="宋体"/>
          <w:sz w:val="24"/>
          <w:szCs w:val="24"/>
          <w:highlight w:val="none"/>
        </w:rPr>
        <w:t>。</w:t>
      </w:r>
    </w:p>
    <w:p w14:paraId="2A1404F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26</w:t>
      </w:r>
      <w:r>
        <w:rPr>
          <w:rFonts w:hint="eastAsia" w:ascii="宋体" w:hAnsi="宋体" w:cs="宋体"/>
          <w:sz w:val="24"/>
          <w:szCs w:val="24"/>
          <w:highlight w:val="none"/>
        </w:rPr>
        <w:t>.7</w:t>
      </w:r>
      <w:r>
        <w:rPr>
          <w:rFonts w:hint="eastAsia" w:ascii="宋体" w:hAnsi="宋体" w:cs="宋体"/>
          <w:sz w:val="24"/>
          <w:szCs w:val="24"/>
          <w:highlight w:val="none"/>
          <w:lang w:eastAsia="zh-CN"/>
        </w:rPr>
        <w:t>谈判</w:t>
      </w:r>
      <w:r>
        <w:rPr>
          <w:rFonts w:hint="eastAsia" w:ascii="宋体" w:hAnsi="宋体" w:cs="宋体"/>
          <w:sz w:val="24"/>
          <w:szCs w:val="24"/>
          <w:highlight w:val="none"/>
        </w:rPr>
        <w:t>小组判断响应文件的响应性仅基于响应文件本身而不依靠任何外部证据，但响应文件有不真实、不正确的内容除外。</w:t>
      </w:r>
    </w:p>
    <w:p w14:paraId="5986BE9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26</w:t>
      </w:r>
      <w:r>
        <w:rPr>
          <w:rFonts w:hint="eastAsia" w:ascii="宋体" w:hAnsi="宋体" w:cs="宋体"/>
          <w:sz w:val="24"/>
          <w:szCs w:val="24"/>
          <w:highlight w:val="none"/>
        </w:rPr>
        <w:t>.8如果响应文件实质上没有响应</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文件的要求，</w:t>
      </w:r>
      <w:r>
        <w:rPr>
          <w:rFonts w:hint="eastAsia" w:ascii="宋体" w:hAnsi="宋体" w:cs="宋体"/>
          <w:sz w:val="24"/>
          <w:szCs w:val="24"/>
          <w:highlight w:val="none"/>
          <w:lang w:eastAsia="zh-CN"/>
        </w:rPr>
        <w:t>谈判</w:t>
      </w:r>
      <w:r>
        <w:rPr>
          <w:rFonts w:hint="eastAsia" w:ascii="宋体" w:hAnsi="宋体" w:cs="宋体"/>
          <w:sz w:val="24"/>
          <w:szCs w:val="24"/>
          <w:highlight w:val="none"/>
        </w:rPr>
        <w:t>小组将予以拒绝，供应商不得通过修正或撤消不符合要求的偏离或保留，而使其成为实质上响应。</w:t>
      </w:r>
    </w:p>
    <w:p w14:paraId="626DB2F4">
      <w:pPr>
        <w:spacing w:line="360" w:lineRule="auto"/>
        <w:ind w:firstLine="482" w:firstLineChars="200"/>
        <w:outlineLvl w:val="9"/>
        <w:rPr>
          <w:rFonts w:hint="eastAsia" w:ascii="宋体" w:hAnsi="宋体" w:cs="宋体"/>
          <w:b/>
          <w:bCs/>
          <w:sz w:val="24"/>
          <w:szCs w:val="24"/>
          <w:highlight w:val="none"/>
        </w:rPr>
      </w:pPr>
      <w:bookmarkStart w:id="177" w:name="_Toc31800"/>
      <w:bookmarkStart w:id="178" w:name="_Toc233274843"/>
      <w:bookmarkStart w:id="179" w:name="_Toc243906344"/>
      <w:bookmarkStart w:id="180" w:name="_Toc243907605"/>
      <w:bookmarkStart w:id="181" w:name="_Toc245897304"/>
      <w:r>
        <w:rPr>
          <w:rFonts w:hint="eastAsia" w:ascii="宋体" w:hAnsi="宋体" w:cs="宋体"/>
          <w:b/>
          <w:bCs/>
          <w:sz w:val="24"/>
          <w:szCs w:val="24"/>
          <w:highlight w:val="none"/>
          <w:lang w:eastAsia="zh-CN"/>
        </w:rPr>
        <w:t>27</w:t>
      </w:r>
      <w:r>
        <w:rPr>
          <w:rFonts w:hint="eastAsia" w:ascii="宋体" w:hAnsi="宋体" w:cs="宋体"/>
          <w:b/>
          <w:bCs/>
          <w:sz w:val="24"/>
          <w:szCs w:val="24"/>
          <w:highlight w:val="none"/>
        </w:rPr>
        <w:t>、评审</w:t>
      </w:r>
      <w:bookmarkEnd w:id="177"/>
      <w:bookmarkEnd w:id="178"/>
      <w:bookmarkEnd w:id="179"/>
      <w:bookmarkEnd w:id="180"/>
      <w:bookmarkEnd w:id="181"/>
    </w:p>
    <w:p w14:paraId="495AB41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27</w:t>
      </w:r>
      <w:r>
        <w:rPr>
          <w:rFonts w:hint="eastAsia" w:ascii="宋体" w:hAnsi="宋体" w:cs="宋体"/>
          <w:sz w:val="24"/>
          <w:szCs w:val="24"/>
          <w:highlight w:val="none"/>
        </w:rPr>
        <w:t>.1经</w:t>
      </w:r>
      <w:r>
        <w:rPr>
          <w:rFonts w:hint="eastAsia" w:ascii="宋体" w:hAnsi="宋体" w:cs="宋体"/>
          <w:sz w:val="24"/>
          <w:szCs w:val="24"/>
          <w:highlight w:val="none"/>
          <w:lang w:eastAsia="zh-CN"/>
        </w:rPr>
        <w:t>谈判</w:t>
      </w:r>
      <w:r>
        <w:rPr>
          <w:rFonts w:hint="eastAsia" w:ascii="宋体" w:hAnsi="宋体" w:cs="宋体"/>
          <w:sz w:val="24"/>
          <w:szCs w:val="24"/>
          <w:highlight w:val="none"/>
        </w:rPr>
        <w:t>确定最终采购需求和提交最后报价的供应商后，由</w:t>
      </w:r>
      <w:r>
        <w:rPr>
          <w:rFonts w:hint="eastAsia" w:ascii="宋体" w:hAnsi="宋体" w:cs="宋体"/>
          <w:sz w:val="24"/>
          <w:szCs w:val="24"/>
          <w:highlight w:val="none"/>
          <w:lang w:eastAsia="zh-CN"/>
        </w:rPr>
        <w:t>谈判</w:t>
      </w:r>
      <w:r>
        <w:rPr>
          <w:rFonts w:hint="eastAsia" w:ascii="宋体" w:hAnsi="宋体" w:cs="宋体"/>
          <w:sz w:val="24"/>
          <w:szCs w:val="24"/>
          <w:highlight w:val="none"/>
        </w:rPr>
        <w:t>小组采用</w:t>
      </w:r>
      <w:r>
        <w:rPr>
          <w:rFonts w:hint="eastAsia" w:ascii="宋体" w:hAnsi="宋体" w:cs="宋体"/>
          <w:sz w:val="24"/>
          <w:szCs w:val="24"/>
          <w:highlight w:val="none"/>
          <w:lang w:eastAsia="zh-CN"/>
        </w:rPr>
        <w:t>最低评标价法</w:t>
      </w:r>
      <w:r>
        <w:rPr>
          <w:rFonts w:hint="eastAsia" w:ascii="宋体" w:hAnsi="宋体" w:cs="宋体"/>
          <w:sz w:val="24"/>
          <w:szCs w:val="24"/>
          <w:highlight w:val="none"/>
        </w:rPr>
        <w:t>进行</w:t>
      </w:r>
      <w:r>
        <w:rPr>
          <w:rFonts w:hint="eastAsia" w:ascii="宋体" w:hAnsi="宋体" w:cs="宋体"/>
          <w:sz w:val="24"/>
          <w:szCs w:val="24"/>
          <w:highlight w:val="none"/>
          <w:lang w:val="en-US" w:eastAsia="zh-CN"/>
        </w:rPr>
        <w:t>评审</w:t>
      </w:r>
      <w:r>
        <w:rPr>
          <w:rFonts w:hint="eastAsia" w:ascii="宋体" w:hAnsi="宋体" w:cs="宋体"/>
          <w:sz w:val="24"/>
          <w:szCs w:val="24"/>
          <w:highlight w:val="none"/>
        </w:rPr>
        <w:t>。</w:t>
      </w:r>
    </w:p>
    <w:p w14:paraId="1A473DA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27</w:t>
      </w:r>
      <w:r>
        <w:rPr>
          <w:rFonts w:hint="eastAsia" w:ascii="宋体" w:hAnsi="宋体" w:cs="宋体"/>
          <w:sz w:val="24"/>
          <w:szCs w:val="24"/>
          <w:highlight w:val="none"/>
        </w:rPr>
        <w:t>.2</w:t>
      </w:r>
      <w:r>
        <w:rPr>
          <w:rFonts w:hint="eastAsia" w:ascii="宋体" w:hAnsi="宋体" w:cs="宋体"/>
          <w:sz w:val="24"/>
          <w:szCs w:val="24"/>
          <w:highlight w:val="none"/>
          <w:lang w:eastAsia="zh-CN"/>
        </w:rPr>
        <w:t>谈判</w:t>
      </w:r>
      <w:r>
        <w:rPr>
          <w:rFonts w:hint="eastAsia" w:ascii="宋体" w:hAnsi="宋体" w:cs="宋体"/>
          <w:sz w:val="24"/>
          <w:szCs w:val="24"/>
          <w:highlight w:val="none"/>
        </w:rPr>
        <w:t>小组将对实质性响应</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文件的响应文件进行详细评审和比较。对技术要求、价格等进行比较，并与</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文件、项目采购需求和采购人的实际需要进行比较和评价。</w:t>
      </w:r>
    </w:p>
    <w:p w14:paraId="5CC406A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27</w:t>
      </w:r>
      <w:r>
        <w:rPr>
          <w:rFonts w:hint="eastAsia" w:ascii="宋体" w:hAnsi="宋体" w:cs="宋体"/>
          <w:sz w:val="24"/>
          <w:szCs w:val="24"/>
          <w:highlight w:val="none"/>
        </w:rPr>
        <w:t>.3商务报价错误的修正</w:t>
      </w:r>
    </w:p>
    <w:p w14:paraId="17AA643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如果发现商务报价存在计算或表达上错误，则按下列原则进行修正：</w:t>
      </w:r>
    </w:p>
    <w:p w14:paraId="5D99F4A6">
      <w:pPr>
        <w:spacing w:line="360" w:lineRule="auto"/>
        <w:ind w:firstLine="480" w:firstLineChars="200"/>
        <w:rPr>
          <w:rFonts w:hint="eastAsia" w:ascii="宋体" w:hAnsi="宋体" w:cs="宋体"/>
          <w:sz w:val="24"/>
          <w:szCs w:val="24"/>
          <w:highlight w:val="none"/>
        </w:rPr>
      </w:pPr>
      <w:bookmarkStart w:id="182" w:name="_Toc224622928"/>
      <w:bookmarkStart w:id="183" w:name="_Toc224620071"/>
      <w:bookmarkStart w:id="184" w:name="_Toc245897305"/>
      <w:bookmarkStart w:id="185" w:name="_Toc224624488"/>
      <w:bookmarkStart w:id="186" w:name="_Toc243906345"/>
      <w:bookmarkStart w:id="187" w:name="_Toc224623557"/>
      <w:bookmarkStart w:id="188" w:name="_Toc224624628"/>
      <w:bookmarkStart w:id="189" w:name="_Toc224624767"/>
      <w:bookmarkStart w:id="190" w:name="_Toc224623663"/>
      <w:bookmarkStart w:id="191" w:name="_Toc243907606"/>
      <w:bookmarkStart w:id="192" w:name="_Toc224620150"/>
      <w:bookmarkStart w:id="193" w:name="_Toc224623451"/>
      <w:r>
        <w:rPr>
          <w:rFonts w:hint="eastAsia" w:ascii="宋体" w:hAnsi="宋体" w:cs="宋体"/>
          <w:sz w:val="24"/>
          <w:szCs w:val="24"/>
          <w:highlight w:val="none"/>
        </w:rPr>
        <w:t>（1）用数字表示的数额与用文字表示的数额不一致时，以文字数额为准；</w:t>
      </w:r>
    </w:p>
    <w:p w14:paraId="34FDD46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（2）单价与工程量的乘积与总价之间不一致时，以单价为准。若单价有明显</w:t>
      </w:r>
      <w:r>
        <w:rPr>
          <w:rFonts w:hint="eastAsia" w:ascii="宋体" w:hAnsi="宋体" w:cs="宋体"/>
          <w:sz w:val="24"/>
          <w:szCs w:val="24"/>
          <w:highlight w:val="none"/>
          <w:lang w:val="en-US" w:eastAsia="zh-CN"/>
        </w:rPr>
        <w:t>3</w:t>
      </w:r>
      <w:r>
        <w:rPr>
          <w:rFonts w:hint="eastAsia" w:ascii="宋体" w:hAnsi="宋体" w:cs="宋体"/>
          <w:sz w:val="24"/>
          <w:szCs w:val="24"/>
          <w:highlight w:val="none"/>
        </w:rPr>
        <w:t>小数点错位，应以总价为准，并修改单价。</w:t>
      </w:r>
    </w:p>
    <w:p w14:paraId="11C3069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27</w:t>
      </w:r>
      <w:r>
        <w:rPr>
          <w:rFonts w:hint="eastAsia" w:ascii="宋体" w:hAnsi="宋体" w:cs="宋体"/>
          <w:sz w:val="24"/>
          <w:szCs w:val="24"/>
          <w:highlight w:val="none"/>
        </w:rPr>
        <w:t>.4</w:t>
      </w:r>
      <w:r>
        <w:rPr>
          <w:rFonts w:hint="eastAsia" w:ascii="宋体" w:hAnsi="宋体" w:cs="宋体"/>
          <w:sz w:val="24"/>
          <w:szCs w:val="24"/>
          <w:highlight w:val="none"/>
          <w:lang w:eastAsia="zh-CN"/>
        </w:rPr>
        <w:t>谈判</w:t>
      </w:r>
      <w:r>
        <w:rPr>
          <w:rFonts w:hint="eastAsia" w:ascii="宋体" w:hAnsi="宋体" w:cs="宋体"/>
          <w:sz w:val="24"/>
          <w:szCs w:val="24"/>
          <w:highlight w:val="none"/>
        </w:rPr>
        <w:t>小组将按第</w:t>
      </w:r>
      <w:r>
        <w:rPr>
          <w:rFonts w:hint="eastAsia" w:ascii="宋体" w:hAnsi="宋体" w:cs="宋体"/>
          <w:sz w:val="24"/>
          <w:szCs w:val="24"/>
          <w:highlight w:val="none"/>
          <w:lang w:eastAsia="zh-CN"/>
        </w:rPr>
        <w:t>27</w:t>
      </w:r>
      <w:r>
        <w:rPr>
          <w:rFonts w:hint="eastAsia" w:ascii="宋体" w:hAnsi="宋体" w:cs="宋体"/>
          <w:sz w:val="24"/>
          <w:szCs w:val="24"/>
          <w:highlight w:val="none"/>
        </w:rPr>
        <w:t>.3条原则修正商务报价，并要求供应商进行确认。确认后的报价和文件将对供应商具有约束力。并以修正后的报价作为评审的依据。</w:t>
      </w:r>
    </w:p>
    <w:p w14:paraId="768DE31C">
      <w:pPr>
        <w:spacing w:line="360" w:lineRule="auto"/>
        <w:ind w:firstLine="482" w:firstLineChars="200"/>
        <w:outlineLvl w:val="9"/>
        <w:rPr>
          <w:rFonts w:hint="eastAsia" w:ascii="宋体" w:hAnsi="宋体" w:cs="宋体"/>
          <w:b/>
          <w:bCs/>
          <w:sz w:val="24"/>
          <w:szCs w:val="24"/>
          <w:highlight w:val="none"/>
        </w:rPr>
      </w:pPr>
      <w:bookmarkStart w:id="194" w:name="_Toc24366"/>
      <w:r>
        <w:rPr>
          <w:rFonts w:hint="eastAsia" w:ascii="宋体" w:hAnsi="宋体" w:cs="宋体"/>
          <w:b/>
          <w:bCs/>
          <w:sz w:val="24"/>
          <w:szCs w:val="24"/>
          <w:highlight w:val="none"/>
          <w:lang w:eastAsia="zh-CN"/>
        </w:rPr>
        <w:t>28</w:t>
      </w:r>
      <w:r>
        <w:rPr>
          <w:rFonts w:hint="eastAsia" w:ascii="宋体" w:hAnsi="宋体" w:cs="宋体"/>
          <w:b/>
          <w:bCs/>
          <w:sz w:val="24"/>
          <w:szCs w:val="24"/>
          <w:highlight w:val="none"/>
        </w:rPr>
        <w:t>、响应文件的澄清</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248A509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28</w:t>
      </w:r>
      <w:r>
        <w:rPr>
          <w:rFonts w:hint="eastAsia" w:ascii="宋体" w:hAnsi="宋体" w:cs="宋体"/>
          <w:sz w:val="24"/>
          <w:szCs w:val="24"/>
          <w:highlight w:val="none"/>
        </w:rPr>
        <w:t>.1为有助于对响应文件的审查、评价和比较，</w:t>
      </w:r>
      <w:r>
        <w:rPr>
          <w:rFonts w:hint="eastAsia" w:ascii="宋体" w:hAnsi="宋体" w:cs="宋体"/>
          <w:sz w:val="24"/>
          <w:szCs w:val="24"/>
          <w:highlight w:val="none"/>
          <w:lang w:eastAsia="zh-CN"/>
        </w:rPr>
        <w:t>谈判</w:t>
      </w:r>
      <w:r>
        <w:rPr>
          <w:rFonts w:hint="eastAsia" w:ascii="宋体" w:hAnsi="宋体" w:cs="宋体"/>
          <w:sz w:val="24"/>
          <w:szCs w:val="24"/>
          <w:highlight w:val="none"/>
        </w:rPr>
        <w:t>小组在评审过程中有权随时请供应商对其响应文件进行澄清，有关澄清的要求和答复应以书面形式提交，供应商对澄清问题的书面答复应有法定代表人或委托代理人签字或盖章，但不得寻求、提供或允许对最后报价或响应文件中的其他实质性内容做任何更改。</w:t>
      </w:r>
    </w:p>
    <w:p w14:paraId="70398DB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28</w:t>
      </w:r>
      <w:r>
        <w:rPr>
          <w:rFonts w:hint="eastAsia" w:ascii="宋体" w:hAnsi="宋体" w:cs="宋体"/>
          <w:sz w:val="24"/>
          <w:szCs w:val="24"/>
          <w:highlight w:val="none"/>
        </w:rPr>
        <w:t>.2供应商法定代表人或委托代理人在评审过程中应保证随时接受</w:t>
      </w:r>
      <w:r>
        <w:rPr>
          <w:rFonts w:hint="eastAsia" w:ascii="宋体" w:hAnsi="宋体" w:cs="宋体"/>
          <w:sz w:val="24"/>
          <w:szCs w:val="24"/>
          <w:highlight w:val="none"/>
          <w:lang w:eastAsia="zh-CN"/>
        </w:rPr>
        <w:t>谈判</w:t>
      </w:r>
      <w:r>
        <w:rPr>
          <w:rFonts w:hint="eastAsia" w:ascii="宋体" w:hAnsi="宋体" w:cs="宋体"/>
          <w:sz w:val="24"/>
          <w:szCs w:val="24"/>
          <w:highlight w:val="none"/>
        </w:rPr>
        <w:t>小组质询。若供应商法定代表人或委托代理人因故不能接受质询，其响应文件仍有效，但应视为供应商已默认</w:t>
      </w:r>
      <w:r>
        <w:rPr>
          <w:rFonts w:hint="eastAsia" w:ascii="宋体" w:hAnsi="宋体" w:cs="宋体"/>
          <w:sz w:val="24"/>
          <w:szCs w:val="24"/>
          <w:highlight w:val="none"/>
          <w:lang w:eastAsia="zh-CN"/>
        </w:rPr>
        <w:t>谈判</w:t>
      </w:r>
      <w:r>
        <w:rPr>
          <w:rFonts w:hint="eastAsia" w:ascii="宋体" w:hAnsi="宋体" w:cs="宋体"/>
          <w:sz w:val="24"/>
          <w:szCs w:val="24"/>
          <w:highlight w:val="none"/>
        </w:rPr>
        <w:t>小组对缺席的质询所作出的结论。</w:t>
      </w:r>
    </w:p>
    <w:p w14:paraId="287301A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28</w:t>
      </w:r>
      <w:r>
        <w:rPr>
          <w:rFonts w:hint="eastAsia" w:ascii="宋体" w:hAnsi="宋体" w:cs="宋体"/>
          <w:sz w:val="24"/>
          <w:szCs w:val="24"/>
          <w:highlight w:val="none"/>
        </w:rPr>
        <w:t xml:space="preserve">.3 </w:t>
      </w:r>
      <w:r>
        <w:rPr>
          <w:rFonts w:hint="eastAsia" w:ascii="宋体" w:hAnsi="宋体" w:cs="宋体"/>
          <w:sz w:val="24"/>
          <w:szCs w:val="24"/>
          <w:highlight w:val="none"/>
          <w:lang w:eastAsia="zh-CN"/>
        </w:rPr>
        <w:t>谈判</w:t>
      </w:r>
      <w:r>
        <w:rPr>
          <w:rFonts w:hint="eastAsia" w:ascii="宋体" w:hAnsi="宋体" w:cs="宋体"/>
          <w:sz w:val="24"/>
          <w:szCs w:val="24"/>
          <w:highlight w:val="none"/>
        </w:rPr>
        <w:t>小组允许供应商通过澄清答复修正其最后报价中不构成重大偏离的、微小的、非正规的、不一致的或不规范的地方，但这些修正不能影响任何供应商的相关名次排列。</w:t>
      </w:r>
    </w:p>
    <w:p w14:paraId="181E1A8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28</w:t>
      </w:r>
      <w:r>
        <w:rPr>
          <w:rFonts w:hint="eastAsia" w:ascii="宋体" w:hAnsi="宋体" w:cs="宋体"/>
          <w:sz w:val="24"/>
          <w:szCs w:val="24"/>
          <w:highlight w:val="none"/>
        </w:rPr>
        <w:t>.4如果供应商在响应文件中未对</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文件、技术规格及标准、项目采购需求、合同条款等提出偏离意见或澄清，将视同供应商同意上述文件的全部条款和要求。</w:t>
      </w:r>
    </w:p>
    <w:p w14:paraId="336A1FE9">
      <w:pPr>
        <w:spacing w:line="360" w:lineRule="auto"/>
        <w:ind w:firstLine="482" w:firstLineChars="200"/>
        <w:rPr>
          <w:rFonts w:hint="eastAsia" w:ascii="宋体" w:hAnsi="宋体" w:cs="宋体"/>
          <w:b/>
          <w:bCs/>
          <w:sz w:val="24"/>
          <w:szCs w:val="24"/>
          <w:highlight w:val="none"/>
        </w:rPr>
      </w:pPr>
      <w:bookmarkStart w:id="195" w:name="_Toc245897306"/>
      <w:bookmarkStart w:id="196" w:name="_Toc233274845"/>
      <w:bookmarkStart w:id="197" w:name="_Toc243907607"/>
      <w:bookmarkStart w:id="198" w:name="_Toc243906346"/>
      <w:r>
        <w:rPr>
          <w:rFonts w:hint="eastAsia" w:ascii="宋体" w:hAnsi="宋体" w:cs="宋体"/>
          <w:b/>
          <w:bCs/>
          <w:sz w:val="24"/>
          <w:szCs w:val="24"/>
          <w:highlight w:val="none"/>
          <w:lang w:eastAsia="zh-CN"/>
        </w:rPr>
        <w:t>29</w:t>
      </w:r>
      <w:r>
        <w:rPr>
          <w:rFonts w:hint="eastAsia" w:ascii="宋体" w:hAnsi="宋体" w:cs="宋体"/>
          <w:b/>
          <w:bCs/>
          <w:sz w:val="24"/>
          <w:szCs w:val="24"/>
          <w:highlight w:val="none"/>
        </w:rPr>
        <w:t>、重大偏离</w:t>
      </w:r>
      <w:bookmarkEnd w:id="195"/>
      <w:bookmarkEnd w:id="196"/>
      <w:bookmarkEnd w:id="197"/>
      <w:bookmarkEnd w:id="198"/>
    </w:p>
    <w:p w14:paraId="6CA8FD25">
      <w:pPr>
        <w:spacing w:line="360" w:lineRule="auto"/>
        <w:ind w:firstLine="480" w:firstLineChars="200"/>
        <w:rPr>
          <w:rFonts w:hint="eastAsia" w:ascii="宋体" w:hAnsi="宋体" w:cs="宋体"/>
          <w:sz w:val="24"/>
          <w:szCs w:val="24"/>
          <w:highlight w:val="none"/>
        </w:rPr>
      </w:pPr>
      <w:bookmarkStart w:id="199" w:name="_Toc243907608"/>
      <w:bookmarkStart w:id="200" w:name="_Toc243906347"/>
      <w:bookmarkStart w:id="201" w:name="_Toc233274846"/>
      <w:bookmarkStart w:id="202" w:name="_Toc245897307"/>
      <w:r>
        <w:rPr>
          <w:rFonts w:hint="eastAsia" w:ascii="宋体" w:hAnsi="宋体" w:cs="宋体"/>
          <w:sz w:val="24"/>
          <w:szCs w:val="24"/>
          <w:highlight w:val="none"/>
        </w:rPr>
        <w:t>重大偏离是指实质上影响合同的采购范围、服务期、质量和性能等，或者实质上不满足</w:t>
      </w:r>
      <w:r>
        <w:rPr>
          <w:rFonts w:hint="eastAsia" w:ascii="宋体" w:hAnsi="宋体" w:cs="宋体"/>
          <w:sz w:val="24"/>
          <w:szCs w:val="24"/>
          <w:highlight w:val="none"/>
          <w:lang w:eastAsia="zh-CN"/>
        </w:rPr>
        <w:t>竞争性谈判文件</w:t>
      </w:r>
      <w:r>
        <w:rPr>
          <w:rFonts w:hint="eastAsia" w:ascii="宋体" w:hAnsi="宋体" w:cs="宋体"/>
          <w:sz w:val="24"/>
          <w:szCs w:val="24"/>
          <w:highlight w:val="none"/>
        </w:rPr>
        <w:t>的要求，而且限制了采购人的权力或减轻了供应商的义务。纠正或承认这些偏离将会对其他实质上响应要求的供应商合理的竞争地位产生不公正的影响。</w:t>
      </w:r>
    </w:p>
    <w:p w14:paraId="37AF39A6">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eastAsia="zh-CN"/>
        </w:rPr>
        <w:t>30</w:t>
      </w:r>
      <w:r>
        <w:rPr>
          <w:rFonts w:hint="eastAsia" w:ascii="宋体" w:hAnsi="宋体" w:cs="宋体"/>
          <w:b/>
          <w:bCs/>
          <w:sz w:val="24"/>
          <w:szCs w:val="24"/>
          <w:highlight w:val="none"/>
        </w:rPr>
        <w:t>、</w:t>
      </w:r>
      <w:bookmarkEnd w:id="199"/>
      <w:bookmarkEnd w:id="200"/>
      <w:bookmarkEnd w:id="201"/>
      <w:bookmarkEnd w:id="202"/>
      <w:r>
        <w:rPr>
          <w:rFonts w:hint="eastAsia" w:ascii="宋体" w:hAnsi="宋体" w:cs="宋体"/>
          <w:b/>
          <w:bCs/>
          <w:sz w:val="24"/>
          <w:szCs w:val="24"/>
          <w:highlight w:val="none"/>
        </w:rPr>
        <w:t>无效响应文件</w:t>
      </w:r>
    </w:p>
    <w:p w14:paraId="794C898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响应文件有下列情形之一的，由</w:t>
      </w:r>
      <w:r>
        <w:rPr>
          <w:rFonts w:hint="eastAsia" w:ascii="宋体" w:hAnsi="宋体" w:cs="宋体"/>
          <w:sz w:val="24"/>
          <w:szCs w:val="24"/>
          <w:highlight w:val="none"/>
          <w:lang w:eastAsia="zh-CN"/>
        </w:rPr>
        <w:t>谈判</w:t>
      </w:r>
      <w:r>
        <w:rPr>
          <w:rFonts w:hint="eastAsia" w:ascii="宋体" w:hAnsi="宋体" w:cs="宋体"/>
          <w:sz w:val="24"/>
          <w:szCs w:val="24"/>
          <w:highlight w:val="none"/>
        </w:rPr>
        <w:t>小组评审后按无效响应文件处理：</w:t>
      </w:r>
    </w:p>
    <w:p w14:paraId="1EEDE9B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30</w:t>
      </w:r>
      <w:r>
        <w:rPr>
          <w:rFonts w:hint="eastAsia" w:ascii="宋体" w:hAnsi="宋体" w:cs="宋体"/>
          <w:sz w:val="24"/>
          <w:szCs w:val="24"/>
          <w:highlight w:val="none"/>
        </w:rPr>
        <w:t>.1供应商的商务报价高于采购项目预算；</w:t>
      </w:r>
    </w:p>
    <w:p w14:paraId="0CE914D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30</w:t>
      </w:r>
      <w:r>
        <w:rPr>
          <w:rFonts w:hint="eastAsia" w:ascii="宋体" w:hAnsi="宋体" w:cs="宋体"/>
          <w:sz w:val="24"/>
          <w:szCs w:val="24"/>
          <w:highlight w:val="none"/>
        </w:rPr>
        <w:t>.2响应文件附有采购人不能接受条件的；</w:t>
      </w:r>
    </w:p>
    <w:p w14:paraId="18D1CFAA">
      <w:pPr>
        <w:widowControl/>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30</w:t>
      </w:r>
      <w:r>
        <w:rPr>
          <w:rFonts w:hint="eastAsia" w:ascii="宋体" w:hAnsi="宋体" w:cs="宋体"/>
          <w:sz w:val="24"/>
          <w:szCs w:val="24"/>
          <w:highlight w:val="none"/>
        </w:rPr>
        <w:t>.3出现重大偏离的；</w:t>
      </w:r>
    </w:p>
    <w:p w14:paraId="5F19CF02">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30</w:t>
      </w:r>
      <w:r>
        <w:rPr>
          <w:rFonts w:hint="eastAsia" w:ascii="宋体" w:hAnsi="宋体" w:cs="宋体"/>
          <w:sz w:val="24"/>
          <w:szCs w:val="24"/>
          <w:highlight w:val="none"/>
        </w:rPr>
        <w:t>.4对</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文件提出的实质</w:t>
      </w:r>
      <w:r>
        <w:rPr>
          <w:rFonts w:hint="eastAsia" w:ascii="宋体" w:hAnsi="宋体" w:eastAsia="宋体" w:cs="宋体"/>
          <w:sz w:val="24"/>
          <w:szCs w:val="24"/>
          <w:highlight w:val="none"/>
        </w:rPr>
        <w:t>性要求和条件未能实质性响应；</w:t>
      </w:r>
    </w:p>
    <w:p w14:paraId="48BA7E78">
      <w:pPr>
        <w:widowControl/>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30.5</w:t>
      </w:r>
      <w:r>
        <w:rPr>
          <w:rFonts w:hint="eastAsia" w:ascii="宋体" w:hAnsi="宋体" w:eastAsia="宋体" w:cs="宋体"/>
          <w:sz w:val="24"/>
          <w:szCs w:val="24"/>
          <w:highlight w:val="none"/>
        </w:rPr>
        <w:t>因供应商自身原因造成响应文件无法解密的</w:t>
      </w:r>
      <w:r>
        <w:rPr>
          <w:rFonts w:hint="eastAsia" w:ascii="宋体" w:hAnsi="宋体" w:eastAsia="宋体" w:cs="宋体"/>
          <w:sz w:val="24"/>
          <w:szCs w:val="24"/>
          <w:highlight w:val="none"/>
          <w:lang w:eastAsia="zh-CN"/>
        </w:rPr>
        <w:t>；</w:t>
      </w:r>
    </w:p>
    <w:p w14:paraId="17292F83">
      <w:pPr>
        <w:widowControl/>
        <w:spacing w:line="360" w:lineRule="auto"/>
        <w:ind w:firstLine="480" w:firstLineChars="200"/>
        <w:rPr>
          <w:rFonts w:hint="eastAsia" w:ascii="宋体" w:hAnsi="宋体" w:cs="宋体"/>
          <w:sz w:val="24"/>
          <w:szCs w:val="24"/>
          <w:highlight w:val="none"/>
        </w:rPr>
      </w:pPr>
      <w:r>
        <w:rPr>
          <w:rFonts w:hint="eastAsia" w:ascii="宋体" w:hAnsi="宋体" w:eastAsia="宋体" w:cs="宋体"/>
          <w:sz w:val="24"/>
          <w:szCs w:val="24"/>
          <w:highlight w:val="none"/>
          <w:lang w:eastAsia="zh-CN"/>
        </w:rPr>
        <w:t>30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6《中华人民共和国政府采购法》、《中华人民共和国政府采购法实施条例》、《政府采购非招标采购方式管理暂行办法》（中华人民</w:t>
      </w:r>
      <w:r>
        <w:rPr>
          <w:rFonts w:hint="eastAsia" w:ascii="宋体" w:hAnsi="宋体" w:cs="宋体"/>
          <w:sz w:val="24"/>
          <w:szCs w:val="24"/>
          <w:highlight w:val="none"/>
          <w:lang w:val="en-US" w:eastAsia="zh-CN"/>
        </w:rPr>
        <w:t>共和国财政部令第74号）</w:t>
      </w:r>
      <w:r>
        <w:rPr>
          <w:rFonts w:hint="eastAsia" w:ascii="宋体" w:hAnsi="宋体" w:cs="宋体"/>
          <w:sz w:val="24"/>
          <w:szCs w:val="24"/>
          <w:highlight w:val="none"/>
        </w:rPr>
        <w:t>及相关法律法规及竞争性</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文件明确规定可以作无效响应的其他情形。</w:t>
      </w:r>
    </w:p>
    <w:p w14:paraId="7B66D2B5">
      <w:pPr>
        <w:spacing w:line="360" w:lineRule="auto"/>
        <w:ind w:firstLine="482" w:firstLineChars="200"/>
        <w:outlineLvl w:val="9"/>
        <w:rPr>
          <w:rFonts w:hint="eastAsia" w:ascii="宋体" w:hAnsi="宋体" w:cs="宋体"/>
          <w:b/>
          <w:sz w:val="24"/>
          <w:szCs w:val="24"/>
          <w:highlight w:val="none"/>
        </w:rPr>
      </w:pPr>
      <w:bookmarkStart w:id="203" w:name="_Toc243907609"/>
      <w:bookmarkStart w:id="204" w:name="_Toc245897308"/>
      <w:bookmarkStart w:id="205" w:name="_Toc243906348"/>
      <w:bookmarkStart w:id="206" w:name="_Toc233274847"/>
      <w:bookmarkStart w:id="207" w:name="_Toc13958"/>
      <w:r>
        <w:rPr>
          <w:rFonts w:hint="eastAsia" w:ascii="宋体" w:hAnsi="宋体" w:cs="宋体"/>
          <w:b/>
          <w:sz w:val="24"/>
          <w:szCs w:val="24"/>
          <w:highlight w:val="none"/>
          <w:lang w:eastAsia="zh-CN"/>
        </w:rPr>
        <w:t>31</w:t>
      </w:r>
      <w:r>
        <w:rPr>
          <w:rFonts w:hint="eastAsia" w:ascii="宋体" w:hAnsi="宋体" w:cs="宋体"/>
          <w:b/>
          <w:sz w:val="24"/>
          <w:szCs w:val="24"/>
          <w:highlight w:val="none"/>
        </w:rPr>
        <w:t>、评审</w:t>
      </w:r>
      <w:bookmarkEnd w:id="203"/>
      <w:bookmarkEnd w:id="204"/>
      <w:bookmarkEnd w:id="205"/>
      <w:bookmarkEnd w:id="206"/>
      <w:r>
        <w:rPr>
          <w:rFonts w:hint="eastAsia" w:ascii="宋体" w:hAnsi="宋体" w:cs="宋体"/>
          <w:b/>
          <w:sz w:val="24"/>
          <w:szCs w:val="24"/>
          <w:highlight w:val="none"/>
        </w:rPr>
        <w:t>标准</w:t>
      </w:r>
      <w:bookmarkEnd w:id="207"/>
    </w:p>
    <w:p w14:paraId="74543C5C">
      <w:pPr>
        <w:spacing w:line="360" w:lineRule="auto"/>
        <w:ind w:firstLine="480" w:firstLineChars="200"/>
        <w:outlineLvl w:val="9"/>
        <w:rPr>
          <w:rFonts w:hint="eastAsia" w:ascii="宋体" w:hAnsi="宋体" w:cs="宋体"/>
          <w:bCs/>
          <w:sz w:val="24"/>
          <w:szCs w:val="24"/>
          <w:highlight w:val="none"/>
        </w:rPr>
      </w:pPr>
      <w:bookmarkStart w:id="208" w:name="_Toc6083"/>
      <w:bookmarkStart w:id="209" w:name="_Toc233274848"/>
      <w:bookmarkStart w:id="210" w:name="_Toc243906349"/>
      <w:bookmarkStart w:id="211" w:name="_Toc245897309"/>
      <w:bookmarkStart w:id="212" w:name="_Toc243907610"/>
      <w:r>
        <w:rPr>
          <w:rFonts w:hint="eastAsia" w:ascii="宋体" w:hAnsi="宋体" w:cs="宋体"/>
          <w:bCs/>
          <w:sz w:val="24"/>
          <w:szCs w:val="24"/>
          <w:highlight w:val="none"/>
          <w:lang w:eastAsia="zh-CN"/>
        </w:rPr>
        <w:t>31</w:t>
      </w:r>
      <w:r>
        <w:rPr>
          <w:rFonts w:hint="eastAsia" w:ascii="宋体" w:hAnsi="宋体" w:cs="宋体"/>
          <w:bCs/>
          <w:sz w:val="24"/>
          <w:szCs w:val="24"/>
          <w:highlight w:val="none"/>
        </w:rPr>
        <w:t>.1本项目评审严格按照</w:t>
      </w:r>
      <w:r>
        <w:rPr>
          <w:rFonts w:hint="eastAsia" w:ascii="宋体" w:hAnsi="宋体" w:cs="宋体"/>
          <w:bCs/>
          <w:sz w:val="24"/>
          <w:szCs w:val="24"/>
          <w:highlight w:val="none"/>
          <w:lang w:eastAsia="zh-CN"/>
        </w:rPr>
        <w:t>竞争性谈判</w:t>
      </w:r>
      <w:r>
        <w:rPr>
          <w:rFonts w:hint="eastAsia" w:ascii="宋体" w:hAnsi="宋体" w:cs="宋体"/>
          <w:bCs/>
          <w:sz w:val="24"/>
          <w:szCs w:val="24"/>
          <w:highlight w:val="none"/>
        </w:rPr>
        <w:t>文件的要求和条件进行。</w:t>
      </w:r>
      <w:bookmarkEnd w:id="208"/>
    </w:p>
    <w:p w14:paraId="1EA06548">
      <w:pPr>
        <w:spacing w:line="360" w:lineRule="auto"/>
        <w:ind w:firstLine="480" w:firstLineChars="200"/>
        <w:outlineLvl w:val="9"/>
        <w:rPr>
          <w:rFonts w:hint="eastAsia" w:ascii="宋体" w:hAnsi="宋体" w:cs="宋体"/>
          <w:bCs/>
          <w:sz w:val="24"/>
          <w:szCs w:val="24"/>
          <w:highlight w:val="none"/>
        </w:rPr>
      </w:pPr>
      <w:bookmarkStart w:id="213" w:name="_Toc18030"/>
      <w:r>
        <w:rPr>
          <w:rFonts w:hint="eastAsia" w:ascii="宋体" w:hAnsi="宋体" w:cs="宋体"/>
          <w:bCs/>
          <w:sz w:val="24"/>
          <w:szCs w:val="24"/>
          <w:highlight w:val="none"/>
          <w:lang w:eastAsia="zh-CN"/>
        </w:rPr>
        <w:t>31</w:t>
      </w:r>
      <w:r>
        <w:rPr>
          <w:rFonts w:hint="eastAsia" w:ascii="宋体" w:hAnsi="宋体" w:cs="宋体"/>
          <w:bCs/>
          <w:sz w:val="24"/>
          <w:szCs w:val="24"/>
          <w:highlight w:val="none"/>
        </w:rPr>
        <w:t>.2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bookmarkEnd w:id="213"/>
    </w:p>
    <w:p w14:paraId="0B0CC6E7">
      <w:pPr>
        <w:spacing w:line="360" w:lineRule="auto"/>
        <w:ind w:firstLine="480" w:firstLineChars="200"/>
        <w:outlineLvl w:val="9"/>
        <w:rPr>
          <w:rFonts w:hint="eastAsia" w:ascii="宋体" w:hAnsi="宋体" w:cs="宋体"/>
          <w:bCs/>
          <w:sz w:val="24"/>
          <w:szCs w:val="24"/>
          <w:highlight w:val="none"/>
        </w:rPr>
      </w:pPr>
      <w:bookmarkStart w:id="214" w:name="_Toc27318"/>
      <w:r>
        <w:rPr>
          <w:rFonts w:hint="eastAsia" w:ascii="宋体" w:hAnsi="宋体" w:cs="宋体"/>
          <w:bCs/>
          <w:sz w:val="24"/>
          <w:szCs w:val="24"/>
          <w:highlight w:val="none"/>
          <w:lang w:eastAsia="zh-CN"/>
        </w:rPr>
        <w:t>31</w:t>
      </w:r>
      <w:r>
        <w:rPr>
          <w:rFonts w:hint="eastAsia" w:ascii="宋体" w:hAnsi="宋体" w:cs="宋体"/>
          <w:bCs/>
          <w:sz w:val="24"/>
          <w:szCs w:val="24"/>
          <w:highlight w:val="none"/>
        </w:rPr>
        <w:t>.2.1登录“中国执行信息公开网”（网址：shixin.court.gov.cn）失信被执行人名单库查询。（如查询到该公司信息，说明该公司为失信被执行人），拒绝参与政府采购活动，同时对信用信息查询记录和证据进行打印存档。</w:t>
      </w:r>
      <w:bookmarkEnd w:id="214"/>
    </w:p>
    <w:p w14:paraId="40D4A677">
      <w:pPr>
        <w:spacing w:line="360" w:lineRule="auto"/>
        <w:ind w:firstLine="480" w:firstLineChars="200"/>
        <w:outlineLvl w:val="9"/>
        <w:rPr>
          <w:rFonts w:hint="eastAsia" w:ascii="宋体" w:hAnsi="宋体" w:cs="宋体"/>
          <w:bCs/>
          <w:sz w:val="24"/>
          <w:szCs w:val="24"/>
          <w:highlight w:val="none"/>
        </w:rPr>
      </w:pPr>
      <w:bookmarkStart w:id="215" w:name="_Toc14009"/>
      <w:r>
        <w:rPr>
          <w:rFonts w:hint="eastAsia" w:ascii="宋体" w:hAnsi="宋体" w:cs="宋体"/>
          <w:bCs/>
          <w:sz w:val="24"/>
          <w:szCs w:val="24"/>
          <w:highlight w:val="none"/>
          <w:lang w:eastAsia="zh-CN"/>
        </w:rPr>
        <w:t>31</w:t>
      </w:r>
      <w:r>
        <w:rPr>
          <w:rFonts w:hint="eastAsia" w:ascii="宋体" w:hAnsi="宋体" w:cs="宋体"/>
          <w:bCs/>
          <w:sz w:val="24"/>
          <w:szCs w:val="24"/>
          <w:highlight w:val="none"/>
        </w:rPr>
        <w:t>.3响应文件初审。初审分为资格性审查和符合性审查。响应文件初审由谈判小组根据 各供应商响应文件进行评审，初审内容详见第六章，未通过初审的供应商其响应文件按照无效响应文件处理。</w:t>
      </w:r>
      <w:bookmarkEnd w:id="215"/>
    </w:p>
    <w:p w14:paraId="69740E8E">
      <w:pPr>
        <w:spacing w:line="360" w:lineRule="auto"/>
        <w:ind w:firstLine="480" w:firstLineChars="200"/>
        <w:outlineLvl w:val="9"/>
        <w:rPr>
          <w:rFonts w:hint="eastAsia" w:ascii="宋体" w:hAnsi="宋体" w:cs="宋体"/>
          <w:bCs/>
          <w:sz w:val="24"/>
          <w:szCs w:val="24"/>
          <w:highlight w:val="none"/>
        </w:rPr>
      </w:pPr>
      <w:bookmarkStart w:id="216" w:name="_Toc2827"/>
      <w:r>
        <w:rPr>
          <w:rFonts w:hint="eastAsia" w:ascii="宋体" w:hAnsi="宋体" w:cs="宋体"/>
          <w:bCs/>
          <w:sz w:val="24"/>
          <w:szCs w:val="24"/>
          <w:highlight w:val="none"/>
          <w:lang w:eastAsia="zh-CN"/>
        </w:rPr>
        <w:t>31</w:t>
      </w:r>
      <w:r>
        <w:rPr>
          <w:rFonts w:hint="eastAsia" w:ascii="宋体" w:hAnsi="宋体" w:cs="宋体"/>
          <w:bCs/>
          <w:sz w:val="24"/>
          <w:szCs w:val="24"/>
          <w:highlight w:val="none"/>
        </w:rPr>
        <w:t>.3.1资格性检查。依据法律法规和</w:t>
      </w:r>
      <w:r>
        <w:rPr>
          <w:rFonts w:hint="eastAsia" w:ascii="宋体" w:hAnsi="宋体" w:cs="宋体"/>
          <w:bCs/>
          <w:sz w:val="24"/>
          <w:szCs w:val="24"/>
          <w:highlight w:val="none"/>
          <w:lang w:eastAsia="zh-CN"/>
        </w:rPr>
        <w:t>竞争性谈判</w:t>
      </w:r>
      <w:r>
        <w:rPr>
          <w:rFonts w:hint="eastAsia" w:ascii="宋体" w:hAnsi="宋体" w:cs="宋体"/>
          <w:bCs/>
          <w:sz w:val="24"/>
          <w:szCs w:val="24"/>
          <w:highlight w:val="none"/>
        </w:rPr>
        <w:t>文件的规定，对响应文件中的资格条件等进行审查，以确定供应商是否具备</w:t>
      </w:r>
      <w:r>
        <w:rPr>
          <w:rFonts w:hint="eastAsia" w:ascii="宋体" w:hAnsi="宋体" w:cs="宋体"/>
          <w:bCs/>
          <w:sz w:val="24"/>
          <w:szCs w:val="24"/>
          <w:highlight w:val="none"/>
          <w:lang w:eastAsia="zh-CN"/>
        </w:rPr>
        <w:t>谈判</w:t>
      </w:r>
      <w:r>
        <w:rPr>
          <w:rFonts w:hint="eastAsia" w:ascii="宋体" w:hAnsi="宋体" w:cs="宋体"/>
          <w:bCs/>
          <w:sz w:val="24"/>
          <w:szCs w:val="24"/>
          <w:highlight w:val="none"/>
        </w:rPr>
        <w:t>资格。</w:t>
      </w:r>
      <w:bookmarkEnd w:id="216"/>
    </w:p>
    <w:p w14:paraId="421ACC3A">
      <w:pPr>
        <w:spacing w:line="360" w:lineRule="auto"/>
        <w:ind w:firstLine="480" w:firstLineChars="200"/>
        <w:outlineLvl w:val="9"/>
        <w:rPr>
          <w:rFonts w:hint="eastAsia" w:ascii="宋体" w:hAnsi="宋体" w:cs="宋体"/>
          <w:bCs/>
          <w:sz w:val="24"/>
          <w:szCs w:val="24"/>
          <w:highlight w:val="none"/>
        </w:rPr>
      </w:pPr>
      <w:bookmarkStart w:id="217" w:name="_Toc31794"/>
      <w:r>
        <w:rPr>
          <w:rFonts w:hint="eastAsia" w:ascii="宋体" w:hAnsi="宋体" w:cs="宋体"/>
          <w:bCs/>
          <w:sz w:val="24"/>
          <w:szCs w:val="24"/>
          <w:highlight w:val="none"/>
          <w:lang w:eastAsia="zh-CN"/>
        </w:rPr>
        <w:t>31</w:t>
      </w:r>
      <w:r>
        <w:rPr>
          <w:rFonts w:hint="eastAsia" w:ascii="宋体" w:hAnsi="宋体" w:cs="宋体"/>
          <w:bCs/>
          <w:sz w:val="24"/>
          <w:szCs w:val="24"/>
          <w:highlight w:val="none"/>
        </w:rPr>
        <w:t>.3.2符合性检查。依据</w:t>
      </w:r>
      <w:r>
        <w:rPr>
          <w:rFonts w:hint="eastAsia" w:ascii="宋体" w:hAnsi="宋体" w:cs="宋体"/>
          <w:bCs/>
          <w:sz w:val="24"/>
          <w:szCs w:val="24"/>
          <w:highlight w:val="none"/>
          <w:lang w:eastAsia="zh-CN"/>
        </w:rPr>
        <w:t>竞争性谈判</w:t>
      </w:r>
      <w:r>
        <w:rPr>
          <w:rFonts w:hint="eastAsia" w:ascii="宋体" w:hAnsi="宋体" w:cs="宋体"/>
          <w:bCs/>
          <w:sz w:val="24"/>
          <w:szCs w:val="24"/>
          <w:highlight w:val="none"/>
        </w:rPr>
        <w:t>文件的规定，从响应文件的有效性、完整性和对</w:t>
      </w:r>
      <w:r>
        <w:rPr>
          <w:rFonts w:hint="eastAsia" w:ascii="宋体" w:hAnsi="宋体" w:cs="宋体"/>
          <w:bCs/>
          <w:sz w:val="24"/>
          <w:szCs w:val="24"/>
          <w:highlight w:val="none"/>
          <w:lang w:eastAsia="zh-CN"/>
        </w:rPr>
        <w:t>竞争性谈判</w:t>
      </w:r>
      <w:r>
        <w:rPr>
          <w:rFonts w:hint="eastAsia" w:ascii="宋体" w:hAnsi="宋体" w:cs="宋体"/>
          <w:bCs/>
          <w:sz w:val="24"/>
          <w:szCs w:val="24"/>
          <w:highlight w:val="none"/>
        </w:rPr>
        <w:t>文件的响应程度进行审查，以确定是否对</w:t>
      </w:r>
      <w:r>
        <w:rPr>
          <w:rFonts w:hint="eastAsia" w:ascii="宋体" w:hAnsi="宋体" w:cs="宋体"/>
          <w:bCs/>
          <w:sz w:val="24"/>
          <w:szCs w:val="24"/>
          <w:highlight w:val="none"/>
          <w:lang w:eastAsia="zh-CN"/>
        </w:rPr>
        <w:t>竞争性谈判</w:t>
      </w:r>
      <w:r>
        <w:rPr>
          <w:rFonts w:hint="eastAsia" w:ascii="宋体" w:hAnsi="宋体" w:cs="宋体"/>
          <w:bCs/>
          <w:sz w:val="24"/>
          <w:szCs w:val="24"/>
          <w:highlight w:val="none"/>
        </w:rPr>
        <w:t>文件的实质性要求作出响应。</w:t>
      </w:r>
      <w:bookmarkEnd w:id="217"/>
    </w:p>
    <w:p w14:paraId="121DDA44">
      <w:pPr>
        <w:spacing w:line="360" w:lineRule="auto"/>
        <w:ind w:firstLine="480" w:firstLineChars="200"/>
        <w:outlineLvl w:val="9"/>
        <w:rPr>
          <w:rFonts w:hint="eastAsia" w:ascii="宋体" w:hAnsi="宋体" w:cs="宋体"/>
          <w:bCs/>
          <w:sz w:val="24"/>
          <w:szCs w:val="24"/>
          <w:highlight w:val="none"/>
        </w:rPr>
      </w:pPr>
      <w:bookmarkStart w:id="218" w:name="_Toc22746"/>
      <w:r>
        <w:rPr>
          <w:rFonts w:hint="eastAsia" w:ascii="宋体" w:hAnsi="宋体" w:cs="宋体"/>
          <w:bCs/>
          <w:sz w:val="24"/>
          <w:szCs w:val="24"/>
          <w:highlight w:val="none"/>
          <w:lang w:eastAsia="zh-CN"/>
        </w:rPr>
        <w:t>31</w:t>
      </w:r>
      <w:r>
        <w:rPr>
          <w:rFonts w:hint="eastAsia" w:ascii="宋体" w:hAnsi="宋体" w:cs="宋体"/>
          <w:bCs/>
          <w:sz w:val="24"/>
          <w:szCs w:val="24"/>
          <w:highlight w:val="none"/>
        </w:rPr>
        <w:t>.3.3澄清有关问题。对响应文件中含义不明确、同类问题表述不一致或者有明显文字和计算错误的内容，</w:t>
      </w:r>
      <w:r>
        <w:rPr>
          <w:rFonts w:hint="eastAsia" w:ascii="宋体" w:hAnsi="宋体" w:cs="宋体"/>
          <w:bCs/>
          <w:sz w:val="24"/>
          <w:szCs w:val="24"/>
          <w:highlight w:val="none"/>
          <w:lang w:eastAsia="zh-CN"/>
        </w:rPr>
        <w:t>谈判</w:t>
      </w:r>
      <w:r>
        <w:rPr>
          <w:rFonts w:hint="eastAsia" w:ascii="宋体" w:hAnsi="宋体" w:cs="宋体"/>
          <w:bCs/>
          <w:sz w:val="24"/>
          <w:szCs w:val="24"/>
          <w:highlight w:val="none"/>
        </w:rPr>
        <w:t>小组可以书面形式要求供应商作出必要的澄清、说明或者纠正。供应商的澄清、说明或者补正应当采用书面形式，由其授权的代表签字，并不得超出响应文件的范围或者改变响应文件的实质性内容。</w:t>
      </w:r>
      <w:bookmarkEnd w:id="218"/>
    </w:p>
    <w:p w14:paraId="6EB09666">
      <w:pPr>
        <w:spacing w:line="360" w:lineRule="auto"/>
        <w:ind w:firstLine="480" w:firstLineChars="200"/>
        <w:outlineLvl w:val="9"/>
        <w:rPr>
          <w:rFonts w:hint="eastAsia" w:ascii="宋体" w:hAnsi="宋体" w:cs="宋体"/>
          <w:bCs/>
          <w:sz w:val="24"/>
          <w:szCs w:val="24"/>
          <w:highlight w:val="none"/>
        </w:rPr>
      </w:pPr>
      <w:bookmarkStart w:id="219" w:name="_Toc827"/>
      <w:r>
        <w:rPr>
          <w:rFonts w:hint="eastAsia" w:ascii="宋体" w:hAnsi="宋体" w:cs="宋体"/>
          <w:bCs/>
          <w:sz w:val="24"/>
          <w:szCs w:val="24"/>
          <w:highlight w:val="none"/>
          <w:lang w:eastAsia="zh-CN"/>
        </w:rPr>
        <w:t>31</w:t>
      </w:r>
      <w:r>
        <w:rPr>
          <w:rFonts w:hint="eastAsia" w:ascii="宋体" w:hAnsi="宋体" w:cs="宋体"/>
          <w:bCs/>
          <w:sz w:val="24"/>
          <w:szCs w:val="24"/>
          <w:highlight w:val="none"/>
        </w:rPr>
        <w:t>.3.4比较与评价。</w:t>
      </w:r>
      <w:r>
        <w:rPr>
          <w:rFonts w:hint="eastAsia" w:ascii="宋体" w:hAnsi="宋体" w:cs="宋体"/>
          <w:bCs/>
          <w:sz w:val="24"/>
          <w:szCs w:val="24"/>
          <w:highlight w:val="none"/>
          <w:lang w:eastAsia="zh-CN"/>
        </w:rPr>
        <w:t>谈判</w:t>
      </w:r>
      <w:r>
        <w:rPr>
          <w:rFonts w:hint="eastAsia" w:ascii="宋体" w:hAnsi="宋体" w:cs="宋体"/>
          <w:bCs/>
          <w:sz w:val="24"/>
          <w:szCs w:val="24"/>
          <w:highlight w:val="none"/>
        </w:rPr>
        <w:t>小组按</w:t>
      </w:r>
      <w:r>
        <w:rPr>
          <w:rFonts w:hint="eastAsia" w:ascii="宋体" w:hAnsi="宋体" w:cs="宋体"/>
          <w:bCs/>
          <w:sz w:val="24"/>
          <w:szCs w:val="24"/>
          <w:highlight w:val="none"/>
          <w:lang w:eastAsia="zh-CN"/>
        </w:rPr>
        <w:t>谈判文件</w:t>
      </w:r>
      <w:r>
        <w:rPr>
          <w:rFonts w:hint="eastAsia" w:ascii="宋体" w:hAnsi="宋体" w:cs="宋体"/>
          <w:bCs/>
          <w:sz w:val="24"/>
          <w:szCs w:val="24"/>
          <w:highlight w:val="none"/>
        </w:rPr>
        <w:t>中规定的评审方法和标准，对资格性审查和符合性审查均合格的响应文件进行</w:t>
      </w:r>
      <w:r>
        <w:rPr>
          <w:rFonts w:hint="eastAsia" w:ascii="宋体" w:hAnsi="宋体" w:cs="宋体"/>
          <w:bCs/>
          <w:sz w:val="24"/>
          <w:szCs w:val="24"/>
          <w:highlight w:val="none"/>
          <w:lang w:val="en-US" w:eastAsia="zh-CN"/>
        </w:rPr>
        <w:t>评审</w:t>
      </w:r>
      <w:r>
        <w:rPr>
          <w:rFonts w:hint="eastAsia" w:ascii="宋体" w:hAnsi="宋体" w:cs="宋体"/>
          <w:bCs/>
          <w:sz w:val="24"/>
          <w:szCs w:val="24"/>
          <w:highlight w:val="none"/>
        </w:rPr>
        <w:t>。</w:t>
      </w:r>
      <w:bookmarkEnd w:id="219"/>
    </w:p>
    <w:p w14:paraId="0A6CFD70">
      <w:pPr>
        <w:spacing w:line="360" w:lineRule="auto"/>
        <w:ind w:firstLine="480" w:firstLineChars="200"/>
        <w:outlineLvl w:val="9"/>
        <w:rPr>
          <w:rFonts w:hint="eastAsia" w:ascii="宋体" w:hAnsi="宋体" w:cs="宋体"/>
          <w:bCs/>
          <w:sz w:val="24"/>
          <w:szCs w:val="24"/>
          <w:highlight w:val="none"/>
        </w:rPr>
      </w:pPr>
      <w:bookmarkStart w:id="220" w:name="_Toc4343"/>
      <w:r>
        <w:rPr>
          <w:rFonts w:hint="eastAsia" w:ascii="宋体" w:hAnsi="宋体" w:cs="宋体"/>
          <w:bCs/>
          <w:sz w:val="24"/>
          <w:szCs w:val="24"/>
          <w:highlight w:val="none"/>
          <w:lang w:eastAsia="zh-CN"/>
        </w:rPr>
        <w:t>31</w:t>
      </w:r>
      <w:r>
        <w:rPr>
          <w:rFonts w:hint="eastAsia" w:ascii="宋体" w:hAnsi="宋体" w:cs="宋体"/>
          <w:bCs/>
          <w:sz w:val="24"/>
          <w:szCs w:val="24"/>
          <w:highlight w:val="none"/>
        </w:rPr>
        <w:t>.3.5</w:t>
      </w:r>
      <w:r>
        <w:rPr>
          <w:rFonts w:hint="eastAsia" w:ascii="宋体" w:hAnsi="宋体" w:cs="宋体"/>
          <w:bCs/>
          <w:sz w:val="24"/>
          <w:szCs w:val="24"/>
          <w:highlight w:val="none"/>
          <w:lang w:eastAsia="zh-CN"/>
        </w:rPr>
        <w:t>谈判</w:t>
      </w:r>
      <w:r>
        <w:rPr>
          <w:rFonts w:hint="eastAsia" w:ascii="宋体" w:hAnsi="宋体" w:cs="宋体"/>
          <w:bCs/>
          <w:sz w:val="24"/>
          <w:szCs w:val="24"/>
          <w:highlight w:val="none"/>
        </w:rPr>
        <w:t>结束后，</w:t>
      </w:r>
      <w:bookmarkEnd w:id="220"/>
      <w:r>
        <w:rPr>
          <w:rFonts w:hint="eastAsia" w:ascii="宋体" w:hAnsi="宋体" w:cs="宋体"/>
          <w:bCs/>
          <w:sz w:val="24"/>
          <w:szCs w:val="24"/>
          <w:highlight w:val="none"/>
          <w:lang w:val="zh-CN"/>
        </w:rPr>
        <w:t>谈判双方均认为准确、完全表达了自身的谈判意向。经此过程后，对于仍不能满足用户需求的供应商将被淘汰，未被淘汰的被认定为候选供应商。</w:t>
      </w:r>
    </w:p>
    <w:p w14:paraId="17671D74">
      <w:pPr>
        <w:spacing w:line="360" w:lineRule="auto"/>
        <w:ind w:firstLine="480" w:firstLineChars="200"/>
        <w:outlineLvl w:val="9"/>
        <w:rPr>
          <w:rFonts w:hint="eastAsia" w:ascii="宋体" w:hAnsi="宋体" w:cs="宋体"/>
          <w:bCs/>
          <w:sz w:val="24"/>
          <w:szCs w:val="24"/>
          <w:highlight w:val="none"/>
        </w:rPr>
      </w:pPr>
      <w:bookmarkStart w:id="221" w:name="_Toc5972"/>
      <w:r>
        <w:rPr>
          <w:rFonts w:hint="eastAsia" w:ascii="宋体" w:hAnsi="宋体" w:cs="宋体"/>
          <w:bCs/>
          <w:sz w:val="24"/>
          <w:szCs w:val="24"/>
          <w:highlight w:val="none"/>
          <w:lang w:eastAsia="zh-CN"/>
        </w:rPr>
        <w:t>31</w:t>
      </w:r>
      <w:r>
        <w:rPr>
          <w:rFonts w:hint="eastAsia" w:ascii="宋体" w:hAnsi="宋体" w:cs="宋体"/>
          <w:bCs/>
          <w:sz w:val="24"/>
          <w:szCs w:val="24"/>
          <w:highlight w:val="none"/>
        </w:rPr>
        <w:t>.4本项目评审采用</w:t>
      </w:r>
      <w:r>
        <w:rPr>
          <w:rFonts w:hint="eastAsia" w:ascii="宋体" w:hAnsi="宋体" w:cs="宋体"/>
          <w:bCs/>
          <w:sz w:val="24"/>
          <w:szCs w:val="24"/>
          <w:highlight w:val="none"/>
          <w:lang w:eastAsia="zh-CN"/>
        </w:rPr>
        <w:t>最低评标价法</w:t>
      </w:r>
      <w:r>
        <w:rPr>
          <w:rFonts w:hint="eastAsia" w:ascii="宋体" w:hAnsi="宋体" w:cs="宋体"/>
          <w:bCs/>
          <w:sz w:val="24"/>
          <w:szCs w:val="24"/>
          <w:highlight w:val="none"/>
        </w:rPr>
        <w:t>，严格按照</w:t>
      </w:r>
      <w:r>
        <w:rPr>
          <w:rFonts w:hint="eastAsia" w:ascii="宋体" w:hAnsi="宋体" w:cs="宋体"/>
          <w:bCs/>
          <w:sz w:val="24"/>
          <w:szCs w:val="24"/>
          <w:highlight w:val="none"/>
          <w:lang w:eastAsia="zh-CN"/>
        </w:rPr>
        <w:t>竞争性谈判</w:t>
      </w:r>
      <w:r>
        <w:rPr>
          <w:rFonts w:hint="eastAsia" w:ascii="宋体" w:hAnsi="宋体" w:cs="宋体"/>
          <w:bCs/>
          <w:sz w:val="24"/>
          <w:szCs w:val="24"/>
          <w:highlight w:val="none"/>
        </w:rPr>
        <w:t>文件的要求和条件进行。</w:t>
      </w:r>
      <w:bookmarkEnd w:id="221"/>
    </w:p>
    <w:p w14:paraId="1C20438F">
      <w:pPr>
        <w:spacing w:line="360" w:lineRule="auto"/>
        <w:ind w:firstLine="480" w:firstLineChars="200"/>
        <w:outlineLvl w:val="9"/>
        <w:rPr>
          <w:rFonts w:hint="eastAsia" w:ascii="宋体" w:hAnsi="宋体" w:cs="宋体"/>
          <w:b w:val="0"/>
          <w:bCs/>
          <w:sz w:val="24"/>
          <w:szCs w:val="24"/>
          <w:highlight w:val="none"/>
        </w:rPr>
      </w:pPr>
      <w:bookmarkStart w:id="222" w:name="_Toc13053"/>
      <w:r>
        <w:rPr>
          <w:rFonts w:hint="eastAsia" w:ascii="宋体" w:hAnsi="宋体" w:cs="宋体"/>
          <w:b w:val="0"/>
          <w:bCs/>
          <w:sz w:val="24"/>
          <w:szCs w:val="24"/>
          <w:highlight w:val="none"/>
          <w:lang w:eastAsia="zh-CN"/>
        </w:rPr>
        <w:t>31</w:t>
      </w:r>
      <w:r>
        <w:rPr>
          <w:rFonts w:hint="eastAsia" w:ascii="宋体" w:hAnsi="宋体" w:cs="宋体"/>
          <w:b w:val="0"/>
          <w:bCs/>
          <w:sz w:val="24"/>
          <w:szCs w:val="24"/>
          <w:highlight w:val="none"/>
        </w:rPr>
        <w:t>.5评审分值：</w:t>
      </w:r>
      <w:bookmarkEnd w:id="222"/>
      <w:bookmarkStart w:id="223" w:name="_Toc23415"/>
      <w:r>
        <w:rPr>
          <w:rFonts w:hint="eastAsia" w:ascii="宋体" w:hAnsi="宋体" w:cs="宋体"/>
          <w:b w:val="0"/>
          <w:bCs/>
          <w:sz w:val="24"/>
          <w:szCs w:val="24"/>
          <w:highlight w:val="none"/>
        </w:rPr>
        <w:t>具体评标方法详本</w:t>
      </w:r>
      <w:r>
        <w:rPr>
          <w:rFonts w:hint="eastAsia" w:ascii="宋体" w:hAnsi="宋体" w:cs="宋体"/>
          <w:b w:val="0"/>
          <w:bCs/>
          <w:sz w:val="24"/>
          <w:szCs w:val="24"/>
          <w:highlight w:val="none"/>
          <w:lang w:eastAsia="zh-CN"/>
        </w:rPr>
        <w:t>竞争性谈判</w:t>
      </w:r>
      <w:r>
        <w:rPr>
          <w:rFonts w:hint="eastAsia" w:ascii="宋体" w:hAnsi="宋体" w:cs="宋体"/>
          <w:b w:val="0"/>
          <w:bCs/>
          <w:sz w:val="24"/>
          <w:szCs w:val="24"/>
          <w:highlight w:val="none"/>
        </w:rPr>
        <w:t>文件第六章“评标方法（</w:t>
      </w:r>
      <w:r>
        <w:rPr>
          <w:rFonts w:hint="eastAsia" w:ascii="宋体" w:hAnsi="宋体" w:cs="宋体"/>
          <w:b w:val="0"/>
          <w:bCs/>
          <w:sz w:val="24"/>
          <w:szCs w:val="24"/>
          <w:highlight w:val="none"/>
          <w:lang w:eastAsia="zh-CN"/>
        </w:rPr>
        <w:t>最低评标价法</w:t>
      </w:r>
      <w:r>
        <w:rPr>
          <w:rFonts w:hint="eastAsia" w:ascii="宋体" w:hAnsi="宋体" w:cs="宋体"/>
          <w:b w:val="0"/>
          <w:bCs/>
          <w:sz w:val="24"/>
          <w:szCs w:val="24"/>
          <w:highlight w:val="none"/>
        </w:rPr>
        <w:t>）”</w:t>
      </w:r>
    </w:p>
    <w:p w14:paraId="73928228">
      <w:pPr>
        <w:spacing w:line="360" w:lineRule="auto"/>
        <w:ind w:firstLine="480" w:firstLineChars="200"/>
        <w:outlineLvl w:val="9"/>
        <w:rPr>
          <w:rFonts w:hint="eastAsia" w:ascii="宋体" w:hAnsi="宋体" w:cs="宋体"/>
          <w:bCs/>
          <w:sz w:val="24"/>
          <w:szCs w:val="24"/>
          <w:highlight w:val="none"/>
        </w:rPr>
      </w:pPr>
      <w:r>
        <w:rPr>
          <w:rFonts w:hint="eastAsia" w:ascii="宋体" w:hAnsi="宋体" w:cs="宋体"/>
          <w:bCs/>
          <w:sz w:val="24"/>
          <w:szCs w:val="24"/>
          <w:highlight w:val="none"/>
          <w:lang w:eastAsia="zh-CN"/>
        </w:rPr>
        <w:t>31</w:t>
      </w:r>
      <w:r>
        <w:rPr>
          <w:rFonts w:hint="eastAsia" w:ascii="宋体" w:hAnsi="宋体" w:cs="宋体"/>
          <w:bCs/>
          <w:sz w:val="24"/>
          <w:szCs w:val="24"/>
          <w:highlight w:val="none"/>
        </w:rPr>
        <w:t>.6推荐中标候选供应商</w:t>
      </w:r>
      <w:bookmarkEnd w:id="223"/>
    </w:p>
    <w:p w14:paraId="42E7D52F">
      <w:pPr>
        <w:spacing w:line="360" w:lineRule="auto"/>
        <w:ind w:firstLine="480" w:firstLineChars="200"/>
        <w:outlineLvl w:val="9"/>
        <w:rPr>
          <w:rFonts w:hint="eastAsia" w:ascii="宋体" w:hAnsi="宋体" w:cs="宋体"/>
          <w:bCs/>
          <w:sz w:val="24"/>
          <w:szCs w:val="24"/>
          <w:highlight w:val="none"/>
        </w:rPr>
      </w:pPr>
      <w:bookmarkStart w:id="224" w:name="_Toc6296"/>
      <w:r>
        <w:rPr>
          <w:rFonts w:hint="eastAsia" w:ascii="宋体" w:hAnsi="宋体" w:cs="宋体"/>
          <w:bCs/>
          <w:sz w:val="24"/>
          <w:szCs w:val="24"/>
          <w:highlight w:val="none"/>
          <w:lang w:eastAsia="zh-CN"/>
        </w:rPr>
        <w:t>31</w:t>
      </w:r>
      <w:r>
        <w:rPr>
          <w:rFonts w:hint="eastAsia" w:ascii="宋体" w:hAnsi="宋体" w:cs="宋体"/>
          <w:bCs/>
          <w:sz w:val="24"/>
          <w:szCs w:val="24"/>
          <w:highlight w:val="none"/>
        </w:rPr>
        <w:t>.6.1各供应商的</w:t>
      </w:r>
      <w:r>
        <w:rPr>
          <w:rFonts w:hint="eastAsia" w:ascii="宋体" w:hAnsi="宋体" w:cs="宋体"/>
          <w:bCs/>
          <w:sz w:val="24"/>
          <w:szCs w:val="24"/>
          <w:highlight w:val="none"/>
          <w:lang w:val="en-US" w:eastAsia="zh-CN"/>
        </w:rPr>
        <w:t>投标报价</w:t>
      </w:r>
      <w:r>
        <w:rPr>
          <w:rFonts w:hint="eastAsia" w:ascii="宋体" w:hAnsi="宋体" w:cs="宋体"/>
          <w:bCs/>
          <w:sz w:val="24"/>
          <w:szCs w:val="24"/>
          <w:highlight w:val="none"/>
        </w:rPr>
        <w:t>由</w:t>
      </w:r>
      <w:r>
        <w:rPr>
          <w:rFonts w:hint="eastAsia" w:ascii="宋体" w:hAnsi="宋体" w:cs="宋体"/>
          <w:bCs/>
          <w:sz w:val="24"/>
          <w:szCs w:val="24"/>
          <w:highlight w:val="none"/>
          <w:lang w:val="en-US" w:eastAsia="zh-CN"/>
        </w:rPr>
        <w:t>低</w:t>
      </w:r>
      <w:r>
        <w:rPr>
          <w:rFonts w:hint="eastAsia" w:ascii="宋体" w:hAnsi="宋体" w:cs="宋体"/>
          <w:bCs/>
          <w:sz w:val="24"/>
          <w:szCs w:val="24"/>
          <w:highlight w:val="none"/>
        </w:rPr>
        <w:t>至</w:t>
      </w:r>
      <w:r>
        <w:rPr>
          <w:rFonts w:hint="eastAsia" w:ascii="宋体" w:hAnsi="宋体" w:cs="宋体"/>
          <w:bCs/>
          <w:sz w:val="24"/>
          <w:szCs w:val="24"/>
          <w:highlight w:val="none"/>
          <w:lang w:val="en-US" w:eastAsia="zh-CN"/>
        </w:rPr>
        <w:t>高</w:t>
      </w:r>
      <w:r>
        <w:rPr>
          <w:rFonts w:hint="eastAsia" w:ascii="宋体" w:hAnsi="宋体" w:cs="宋体"/>
          <w:bCs/>
          <w:sz w:val="24"/>
          <w:szCs w:val="24"/>
          <w:highlight w:val="none"/>
        </w:rPr>
        <w:t>排序，评审排列前3名的供应商被推荐为中标候选供应商。</w:t>
      </w:r>
      <w:r>
        <w:rPr>
          <w:rFonts w:hint="eastAsia" w:ascii="宋体" w:hAnsi="宋体" w:cs="宋体"/>
          <w:bCs/>
          <w:sz w:val="24"/>
          <w:szCs w:val="24"/>
          <w:highlight w:val="none"/>
          <w:lang w:val="en-US" w:eastAsia="zh-CN"/>
        </w:rPr>
        <w:t>如报价相同，则按照技术指标优劣顺序推荐，并编写评审报告</w:t>
      </w:r>
      <w:r>
        <w:rPr>
          <w:rFonts w:hint="eastAsia" w:ascii="宋体" w:hAnsi="宋体" w:cs="宋体"/>
          <w:bCs/>
          <w:sz w:val="24"/>
          <w:szCs w:val="24"/>
          <w:highlight w:val="none"/>
        </w:rPr>
        <w:t>。</w:t>
      </w:r>
      <w:bookmarkEnd w:id="224"/>
    </w:p>
    <w:p w14:paraId="69B3A82E">
      <w:pPr>
        <w:spacing w:line="360" w:lineRule="auto"/>
        <w:ind w:firstLine="480" w:firstLineChars="200"/>
        <w:outlineLvl w:val="9"/>
        <w:rPr>
          <w:rFonts w:hint="eastAsia" w:ascii="宋体" w:hAnsi="宋体" w:cs="宋体"/>
          <w:bCs/>
          <w:sz w:val="24"/>
          <w:szCs w:val="24"/>
          <w:highlight w:val="none"/>
        </w:rPr>
      </w:pPr>
      <w:bookmarkStart w:id="225" w:name="_Toc696"/>
      <w:r>
        <w:rPr>
          <w:rFonts w:hint="eastAsia" w:ascii="宋体" w:hAnsi="宋体" w:cs="宋体"/>
          <w:bCs/>
          <w:sz w:val="24"/>
          <w:szCs w:val="24"/>
          <w:highlight w:val="none"/>
          <w:lang w:eastAsia="zh-CN"/>
        </w:rPr>
        <w:t>31</w:t>
      </w:r>
      <w:r>
        <w:rPr>
          <w:rFonts w:hint="eastAsia" w:ascii="宋体" w:hAnsi="宋体" w:cs="宋体"/>
          <w:bCs/>
          <w:sz w:val="24"/>
          <w:szCs w:val="24"/>
          <w:highlight w:val="none"/>
        </w:rPr>
        <w:t>.6.2评分计算结果保留两位小数，第三位小数四舍五入。</w:t>
      </w:r>
      <w:bookmarkEnd w:id="225"/>
    </w:p>
    <w:p w14:paraId="44AB7A7E">
      <w:pPr>
        <w:spacing w:line="360" w:lineRule="auto"/>
        <w:ind w:firstLine="480" w:firstLineChars="200"/>
        <w:outlineLvl w:val="9"/>
        <w:rPr>
          <w:rFonts w:hint="eastAsia" w:ascii="宋体" w:hAnsi="宋体" w:cs="宋体"/>
          <w:bCs/>
          <w:sz w:val="24"/>
          <w:szCs w:val="24"/>
          <w:highlight w:val="none"/>
        </w:rPr>
      </w:pPr>
      <w:bookmarkStart w:id="226" w:name="_Toc20547"/>
      <w:r>
        <w:rPr>
          <w:rFonts w:hint="eastAsia" w:ascii="宋体" w:hAnsi="宋体" w:cs="宋体"/>
          <w:bCs/>
          <w:sz w:val="24"/>
          <w:szCs w:val="24"/>
          <w:highlight w:val="none"/>
          <w:lang w:eastAsia="zh-CN"/>
        </w:rPr>
        <w:t>31</w:t>
      </w:r>
      <w:r>
        <w:rPr>
          <w:rFonts w:hint="eastAsia" w:ascii="宋体" w:hAnsi="宋体" w:cs="宋体"/>
          <w:bCs/>
          <w:sz w:val="24"/>
          <w:szCs w:val="24"/>
          <w:highlight w:val="none"/>
        </w:rPr>
        <w:t>.7</w:t>
      </w:r>
      <w:r>
        <w:rPr>
          <w:rFonts w:hint="eastAsia" w:ascii="宋体" w:hAnsi="宋体" w:cs="宋体"/>
          <w:bCs/>
          <w:sz w:val="24"/>
          <w:szCs w:val="24"/>
          <w:highlight w:val="none"/>
          <w:lang w:eastAsia="zh-CN"/>
        </w:rPr>
        <w:t>谈判</w:t>
      </w:r>
      <w:r>
        <w:rPr>
          <w:rFonts w:hint="eastAsia" w:ascii="宋体" w:hAnsi="宋体" w:cs="宋体"/>
          <w:bCs/>
          <w:sz w:val="24"/>
          <w:szCs w:val="24"/>
          <w:highlight w:val="none"/>
        </w:rPr>
        <w:t>小组复核。</w:t>
      </w:r>
      <w:r>
        <w:rPr>
          <w:rFonts w:hint="eastAsia" w:ascii="宋体" w:hAnsi="宋体" w:cs="宋体"/>
          <w:bCs/>
          <w:sz w:val="24"/>
          <w:szCs w:val="24"/>
          <w:highlight w:val="none"/>
          <w:lang w:eastAsia="zh-CN"/>
        </w:rPr>
        <w:t>谈判</w:t>
      </w:r>
      <w:r>
        <w:rPr>
          <w:rFonts w:hint="eastAsia" w:ascii="宋体" w:hAnsi="宋体" w:cs="宋体"/>
          <w:bCs/>
          <w:sz w:val="24"/>
          <w:szCs w:val="24"/>
          <w:highlight w:val="none"/>
        </w:rPr>
        <w:t>小组评分汇总结束后，</w:t>
      </w:r>
      <w:r>
        <w:rPr>
          <w:rFonts w:hint="eastAsia" w:ascii="宋体" w:hAnsi="宋体" w:cs="宋体"/>
          <w:bCs/>
          <w:sz w:val="24"/>
          <w:szCs w:val="24"/>
          <w:highlight w:val="none"/>
          <w:lang w:eastAsia="zh-CN"/>
        </w:rPr>
        <w:t>谈判</w:t>
      </w:r>
      <w:r>
        <w:rPr>
          <w:rFonts w:hint="eastAsia" w:ascii="宋体" w:hAnsi="宋体" w:cs="宋体"/>
          <w:bCs/>
          <w:sz w:val="24"/>
          <w:szCs w:val="24"/>
          <w:highlight w:val="none"/>
        </w:rPr>
        <w:t>小组应当进行评审复核，对拟推荐为中标候选供应商的、报价最低的、供应商资格审查未通过的、供应商响应文件作无效处理的重点复核。</w:t>
      </w:r>
      <w:bookmarkEnd w:id="226"/>
    </w:p>
    <w:p w14:paraId="349F825B">
      <w:pPr>
        <w:spacing w:line="360" w:lineRule="auto"/>
        <w:ind w:firstLine="480" w:firstLineChars="200"/>
        <w:outlineLvl w:val="9"/>
        <w:rPr>
          <w:rFonts w:hint="eastAsia" w:ascii="宋体" w:hAnsi="宋体" w:cs="宋体"/>
          <w:bCs/>
          <w:sz w:val="24"/>
          <w:szCs w:val="24"/>
          <w:highlight w:val="none"/>
        </w:rPr>
      </w:pPr>
      <w:bookmarkStart w:id="227" w:name="_Toc12942"/>
      <w:r>
        <w:rPr>
          <w:rFonts w:hint="eastAsia" w:ascii="宋体" w:hAnsi="宋体" w:cs="宋体"/>
          <w:bCs/>
          <w:sz w:val="24"/>
          <w:szCs w:val="24"/>
          <w:highlight w:val="none"/>
          <w:lang w:eastAsia="zh-CN"/>
        </w:rPr>
        <w:t>31</w:t>
      </w:r>
      <w:r>
        <w:rPr>
          <w:rFonts w:hint="eastAsia" w:ascii="宋体" w:hAnsi="宋体" w:cs="宋体"/>
          <w:bCs/>
          <w:sz w:val="24"/>
          <w:szCs w:val="24"/>
          <w:highlight w:val="none"/>
        </w:rPr>
        <w:t>.8采购人根据</w:t>
      </w:r>
      <w:r>
        <w:rPr>
          <w:rFonts w:hint="eastAsia" w:ascii="宋体" w:hAnsi="宋体" w:cs="宋体"/>
          <w:bCs/>
          <w:sz w:val="24"/>
          <w:szCs w:val="24"/>
          <w:highlight w:val="none"/>
          <w:lang w:eastAsia="zh-CN"/>
        </w:rPr>
        <w:t>谈判</w:t>
      </w:r>
      <w:r>
        <w:rPr>
          <w:rFonts w:hint="eastAsia" w:ascii="宋体" w:hAnsi="宋体" w:cs="宋体"/>
          <w:bCs/>
          <w:sz w:val="24"/>
          <w:szCs w:val="24"/>
          <w:highlight w:val="none"/>
        </w:rPr>
        <w:t>小组推荐的中标候选供应商及有关规定确定第一名为中标供应商。</w:t>
      </w:r>
      <w:bookmarkEnd w:id="227"/>
    </w:p>
    <w:p w14:paraId="17C8B2A6">
      <w:pPr>
        <w:spacing w:line="360" w:lineRule="auto"/>
        <w:ind w:firstLine="482" w:firstLineChars="200"/>
        <w:outlineLvl w:val="9"/>
        <w:rPr>
          <w:rFonts w:hint="eastAsia" w:ascii="宋体" w:hAnsi="宋体" w:cs="宋体"/>
          <w:b/>
          <w:sz w:val="24"/>
          <w:szCs w:val="24"/>
          <w:highlight w:val="none"/>
        </w:rPr>
      </w:pPr>
      <w:bookmarkStart w:id="228" w:name="_Toc1194"/>
      <w:r>
        <w:rPr>
          <w:rFonts w:hint="eastAsia" w:ascii="宋体" w:hAnsi="宋体" w:cs="宋体"/>
          <w:b/>
          <w:sz w:val="24"/>
          <w:szCs w:val="24"/>
          <w:highlight w:val="none"/>
          <w:lang w:val="en-US" w:eastAsia="zh-CN"/>
        </w:rPr>
        <w:t>32</w:t>
      </w:r>
      <w:r>
        <w:rPr>
          <w:rFonts w:hint="eastAsia" w:ascii="宋体" w:hAnsi="宋体" w:cs="宋体"/>
          <w:b/>
          <w:sz w:val="24"/>
          <w:szCs w:val="24"/>
          <w:highlight w:val="none"/>
        </w:rPr>
        <w:t>、采购人依法接受和拒绝任一或所有供应商的权力</w:t>
      </w:r>
      <w:bookmarkEnd w:id="228"/>
    </w:p>
    <w:p w14:paraId="541A6228">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采购人保留确定中标供应商之前的任何时候依法接受或拒绝任一或所有供应商的权力，对受影响的供应商不承担任何责任，也无义务向受影响的供应商解释采取这一行动的理由。</w:t>
      </w:r>
    </w:p>
    <w:p w14:paraId="70A9A7AE">
      <w:pPr>
        <w:spacing w:line="360" w:lineRule="auto"/>
        <w:ind w:firstLine="482" w:firstLineChars="200"/>
        <w:outlineLvl w:val="9"/>
        <w:rPr>
          <w:rFonts w:hint="eastAsia" w:ascii="宋体" w:hAnsi="宋体" w:cs="宋体"/>
          <w:b/>
          <w:sz w:val="24"/>
          <w:szCs w:val="24"/>
          <w:highlight w:val="none"/>
        </w:rPr>
      </w:pPr>
      <w:bookmarkStart w:id="229" w:name="_Toc26264"/>
      <w:r>
        <w:rPr>
          <w:rFonts w:hint="eastAsia" w:ascii="宋体" w:hAnsi="宋体" w:cs="宋体"/>
          <w:b/>
          <w:sz w:val="24"/>
          <w:szCs w:val="24"/>
          <w:highlight w:val="none"/>
        </w:rPr>
        <w:t>3</w:t>
      </w:r>
      <w:r>
        <w:rPr>
          <w:rFonts w:hint="eastAsia" w:ascii="宋体" w:hAnsi="宋体" w:cs="宋体"/>
          <w:b/>
          <w:sz w:val="24"/>
          <w:szCs w:val="24"/>
          <w:highlight w:val="none"/>
          <w:lang w:val="en-US" w:eastAsia="zh-CN"/>
        </w:rPr>
        <w:t>3</w:t>
      </w:r>
      <w:r>
        <w:rPr>
          <w:rFonts w:hint="eastAsia" w:ascii="宋体" w:hAnsi="宋体" w:cs="宋体"/>
          <w:b/>
          <w:sz w:val="24"/>
          <w:szCs w:val="24"/>
          <w:highlight w:val="none"/>
        </w:rPr>
        <w:t>、中标通知</w:t>
      </w:r>
      <w:bookmarkEnd w:id="209"/>
      <w:bookmarkEnd w:id="210"/>
      <w:bookmarkEnd w:id="211"/>
      <w:bookmarkEnd w:id="212"/>
      <w:r>
        <w:rPr>
          <w:rFonts w:hint="eastAsia" w:ascii="宋体" w:hAnsi="宋体" w:cs="宋体"/>
          <w:b/>
          <w:sz w:val="24"/>
          <w:szCs w:val="24"/>
          <w:highlight w:val="none"/>
        </w:rPr>
        <w:t>书</w:t>
      </w:r>
      <w:bookmarkEnd w:id="229"/>
    </w:p>
    <w:p w14:paraId="380CB80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3</w:t>
      </w:r>
      <w:r>
        <w:rPr>
          <w:rFonts w:hint="eastAsia" w:ascii="宋体" w:hAnsi="宋体" w:cs="宋体"/>
          <w:sz w:val="24"/>
          <w:szCs w:val="24"/>
          <w:highlight w:val="none"/>
        </w:rPr>
        <w:t>.1采购人确定中标供应商后，及时通知采购代理机构，采购代理机构将按程序公告中标结果，同时向中标供应商发出中标通知书，中标通知书一经发出即发生法律效力。</w:t>
      </w:r>
    </w:p>
    <w:p w14:paraId="7F6F11A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3</w:t>
      </w:r>
      <w:r>
        <w:rPr>
          <w:rFonts w:hint="eastAsia" w:ascii="宋体" w:hAnsi="宋体" w:cs="宋体"/>
          <w:sz w:val="24"/>
          <w:szCs w:val="24"/>
          <w:highlight w:val="none"/>
        </w:rPr>
        <w:t>.2《中标通知书》将是合同的组成部分。</w:t>
      </w:r>
    </w:p>
    <w:p w14:paraId="450AFD0A">
      <w:pPr>
        <w:spacing w:line="360" w:lineRule="auto"/>
        <w:ind w:firstLine="482" w:firstLineChars="200"/>
        <w:outlineLvl w:val="9"/>
        <w:rPr>
          <w:rFonts w:hint="eastAsia" w:ascii="宋体" w:hAnsi="宋体" w:cs="宋体"/>
          <w:b/>
          <w:bCs/>
          <w:sz w:val="24"/>
          <w:szCs w:val="24"/>
          <w:highlight w:val="none"/>
        </w:rPr>
      </w:pPr>
      <w:bookmarkStart w:id="230" w:name="_Toc243907611"/>
      <w:bookmarkStart w:id="231" w:name="_Toc233274849"/>
      <w:bookmarkStart w:id="232" w:name="_Toc3148"/>
      <w:bookmarkStart w:id="233" w:name="_Toc243906350"/>
      <w:bookmarkStart w:id="234" w:name="_Toc245897310"/>
      <w:r>
        <w:rPr>
          <w:rFonts w:hint="eastAsia" w:ascii="宋体" w:hAnsi="宋体" w:cs="宋体"/>
          <w:b/>
          <w:bCs/>
          <w:sz w:val="24"/>
          <w:szCs w:val="24"/>
          <w:highlight w:val="none"/>
        </w:rPr>
        <w:t>3</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、纪律与保密事项</w:t>
      </w:r>
      <w:bookmarkEnd w:id="230"/>
      <w:bookmarkEnd w:id="231"/>
      <w:bookmarkEnd w:id="232"/>
      <w:bookmarkEnd w:id="233"/>
      <w:bookmarkEnd w:id="234"/>
    </w:p>
    <w:p w14:paraId="7A772B7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4</w:t>
      </w:r>
      <w:r>
        <w:rPr>
          <w:rFonts w:hint="eastAsia" w:ascii="宋体" w:hAnsi="宋体" w:cs="宋体"/>
          <w:sz w:val="24"/>
          <w:szCs w:val="24"/>
          <w:highlight w:val="none"/>
        </w:rPr>
        <w:t>.1凡参与</w:t>
      </w:r>
      <w:r>
        <w:rPr>
          <w:rFonts w:hint="eastAsia" w:ascii="宋体" w:hAnsi="宋体" w:cs="宋体"/>
          <w:sz w:val="24"/>
          <w:szCs w:val="24"/>
          <w:highlight w:val="none"/>
          <w:lang w:eastAsia="zh-CN"/>
        </w:rPr>
        <w:t>谈判</w:t>
      </w:r>
      <w:r>
        <w:rPr>
          <w:rFonts w:hint="eastAsia" w:ascii="宋体" w:hAnsi="宋体" w:cs="宋体"/>
          <w:sz w:val="24"/>
          <w:szCs w:val="24"/>
          <w:highlight w:val="none"/>
        </w:rPr>
        <w:t>工作的有关人员均应自觉接受有关主管部门的监督，不得向他人透露可能影响公平竞争的有关</w:t>
      </w:r>
      <w:r>
        <w:rPr>
          <w:rFonts w:hint="eastAsia" w:ascii="宋体" w:hAnsi="宋体" w:cs="宋体"/>
          <w:sz w:val="24"/>
          <w:szCs w:val="24"/>
          <w:highlight w:val="none"/>
          <w:lang w:eastAsia="zh-CN"/>
        </w:rPr>
        <w:t>谈判</w:t>
      </w:r>
      <w:r>
        <w:rPr>
          <w:rFonts w:hint="eastAsia" w:ascii="宋体" w:hAnsi="宋体" w:cs="宋体"/>
          <w:sz w:val="24"/>
          <w:szCs w:val="24"/>
          <w:highlight w:val="none"/>
        </w:rPr>
        <w:t>的其他情况。</w:t>
      </w:r>
    </w:p>
    <w:p w14:paraId="7707AC8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4</w:t>
      </w:r>
      <w:r>
        <w:rPr>
          <w:rFonts w:hint="eastAsia" w:ascii="宋体" w:hAnsi="宋体" w:cs="宋体"/>
          <w:sz w:val="24"/>
          <w:szCs w:val="24"/>
          <w:highlight w:val="none"/>
        </w:rPr>
        <w:t>.2领取本</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文件及其它相关资料者，应对文件进行保密，不得用作本次</w:t>
      </w:r>
      <w:r>
        <w:rPr>
          <w:rFonts w:hint="eastAsia" w:ascii="宋体" w:hAnsi="宋体" w:cs="宋体"/>
          <w:sz w:val="24"/>
          <w:szCs w:val="24"/>
          <w:highlight w:val="none"/>
          <w:lang w:eastAsia="zh-CN"/>
        </w:rPr>
        <w:t>谈判</w:t>
      </w:r>
      <w:r>
        <w:rPr>
          <w:rFonts w:hint="eastAsia" w:ascii="宋体" w:hAnsi="宋体" w:cs="宋体"/>
          <w:sz w:val="24"/>
          <w:szCs w:val="24"/>
          <w:highlight w:val="none"/>
        </w:rPr>
        <w:t>以外的任何用途。由采购人向供应商提供的图纸、技术资料和所有其它资料，均视为保密资料，除非得到采购人的同意，不得向第三方透露。</w:t>
      </w:r>
    </w:p>
    <w:p w14:paraId="5929399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34</w:t>
      </w:r>
      <w:r>
        <w:rPr>
          <w:rFonts w:hint="eastAsia" w:ascii="宋体" w:hAnsi="宋体" w:cs="宋体"/>
          <w:sz w:val="24"/>
          <w:szCs w:val="24"/>
          <w:highlight w:val="none"/>
        </w:rPr>
        <w:t>.3供应商不得与采购人串通</w:t>
      </w:r>
      <w:r>
        <w:rPr>
          <w:rFonts w:hint="eastAsia" w:ascii="宋体" w:hAnsi="宋体" w:cs="宋体"/>
          <w:sz w:val="24"/>
          <w:szCs w:val="24"/>
          <w:highlight w:val="none"/>
          <w:lang w:eastAsia="zh-CN"/>
        </w:rPr>
        <w:t>谈判</w:t>
      </w:r>
      <w:r>
        <w:rPr>
          <w:rFonts w:hint="eastAsia" w:ascii="宋体" w:hAnsi="宋体" w:cs="宋体"/>
          <w:sz w:val="24"/>
          <w:szCs w:val="24"/>
          <w:highlight w:val="none"/>
        </w:rPr>
        <w:t>，不得向采购人或者</w:t>
      </w:r>
      <w:r>
        <w:rPr>
          <w:rFonts w:hint="eastAsia" w:ascii="宋体" w:hAnsi="宋体" w:cs="宋体"/>
          <w:sz w:val="24"/>
          <w:szCs w:val="24"/>
          <w:highlight w:val="none"/>
          <w:lang w:eastAsia="zh-CN"/>
        </w:rPr>
        <w:t>谈判</w:t>
      </w:r>
      <w:r>
        <w:rPr>
          <w:rFonts w:hint="eastAsia" w:ascii="宋体" w:hAnsi="宋体" w:cs="宋体"/>
          <w:sz w:val="24"/>
          <w:szCs w:val="24"/>
          <w:highlight w:val="none"/>
        </w:rPr>
        <w:t>小组成员行贿谋取中标，不得以他人名义参与</w:t>
      </w:r>
      <w:r>
        <w:rPr>
          <w:rFonts w:hint="eastAsia" w:ascii="宋体" w:hAnsi="宋体" w:cs="宋体"/>
          <w:sz w:val="24"/>
          <w:szCs w:val="24"/>
          <w:highlight w:val="none"/>
          <w:lang w:eastAsia="zh-CN"/>
        </w:rPr>
        <w:t>谈判</w:t>
      </w:r>
      <w:r>
        <w:rPr>
          <w:rFonts w:hint="eastAsia" w:ascii="宋体" w:hAnsi="宋体" w:cs="宋体"/>
          <w:sz w:val="24"/>
          <w:szCs w:val="24"/>
          <w:highlight w:val="none"/>
        </w:rPr>
        <w:t>或者以其它任何方式弄虚作假骗取参与</w:t>
      </w:r>
      <w:r>
        <w:rPr>
          <w:rFonts w:hint="eastAsia" w:ascii="宋体" w:hAnsi="宋体" w:cs="宋体"/>
          <w:sz w:val="24"/>
          <w:szCs w:val="24"/>
          <w:highlight w:val="none"/>
          <w:lang w:eastAsia="zh-CN"/>
        </w:rPr>
        <w:t>谈判</w:t>
      </w:r>
      <w:r>
        <w:rPr>
          <w:rFonts w:hint="eastAsia" w:ascii="宋体" w:hAnsi="宋体" w:cs="宋体"/>
          <w:sz w:val="24"/>
          <w:szCs w:val="24"/>
          <w:highlight w:val="none"/>
        </w:rPr>
        <w:t>；供应商不得以任何方式干扰、影响评审工作。如果供应商或者其他利害关系人通过捏造事实、伪造证明材料等方式提出质疑，干扰政府采购活动正常进行的，属于严重不良行为，采购人、采购代理机构将提请财政部门将其列入不良行为记录名单，并依法予以处罚。</w:t>
      </w:r>
    </w:p>
    <w:p w14:paraId="3C0CC1A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34</w:t>
      </w:r>
      <w:r>
        <w:rPr>
          <w:rFonts w:hint="eastAsia" w:ascii="宋体" w:hAnsi="宋体" w:cs="宋体"/>
          <w:sz w:val="24"/>
          <w:szCs w:val="24"/>
          <w:highlight w:val="none"/>
        </w:rPr>
        <w:t>.4供应商不得在</w:t>
      </w:r>
      <w:r>
        <w:rPr>
          <w:rFonts w:hint="eastAsia" w:ascii="宋体" w:hAnsi="宋体" w:cs="宋体"/>
          <w:sz w:val="24"/>
          <w:szCs w:val="24"/>
          <w:highlight w:val="none"/>
          <w:lang w:eastAsia="zh-CN"/>
        </w:rPr>
        <w:t>谈判</w:t>
      </w:r>
      <w:r>
        <w:rPr>
          <w:rFonts w:hint="eastAsia" w:ascii="宋体" w:hAnsi="宋体" w:cs="宋体"/>
          <w:sz w:val="24"/>
          <w:szCs w:val="24"/>
          <w:highlight w:val="none"/>
        </w:rPr>
        <w:t>过程中互相串通、结盟、损害</w:t>
      </w:r>
      <w:r>
        <w:rPr>
          <w:rFonts w:hint="eastAsia" w:ascii="宋体" w:hAnsi="宋体" w:cs="宋体"/>
          <w:sz w:val="24"/>
          <w:szCs w:val="24"/>
          <w:highlight w:val="none"/>
          <w:lang w:eastAsia="zh-CN"/>
        </w:rPr>
        <w:t>谈判</w:t>
      </w:r>
      <w:r>
        <w:rPr>
          <w:rFonts w:hint="eastAsia" w:ascii="宋体" w:hAnsi="宋体" w:cs="宋体"/>
          <w:sz w:val="24"/>
          <w:szCs w:val="24"/>
          <w:highlight w:val="none"/>
        </w:rPr>
        <w:t>的公正性和竞争性，或以任何方式影响其他供应商参与正当</w:t>
      </w:r>
      <w:r>
        <w:rPr>
          <w:rFonts w:hint="eastAsia" w:ascii="宋体" w:hAnsi="宋体" w:cs="宋体"/>
          <w:sz w:val="24"/>
          <w:szCs w:val="24"/>
          <w:highlight w:val="none"/>
          <w:lang w:eastAsia="zh-CN"/>
        </w:rPr>
        <w:t>谈判</w:t>
      </w:r>
      <w:r>
        <w:rPr>
          <w:rFonts w:hint="eastAsia" w:ascii="宋体" w:hAnsi="宋体" w:cs="宋体"/>
          <w:sz w:val="24"/>
          <w:szCs w:val="24"/>
          <w:highlight w:val="none"/>
        </w:rPr>
        <w:t>。扰乱</w:t>
      </w:r>
      <w:r>
        <w:rPr>
          <w:rFonts w:hint="eastAsia" w:ascii="宋体" w:hAnsi="宋体" w:cs="宋体"/>
          <w:sz w:val="24"/>
          <w:szCs w:val="24"/>
          <w:highlight w:val="none"/>
          <w:lang w:eastAsia="zh-CN"/>
        </w:rPr>
        <w:t>谈判</w:t>
      </w:r>
      <w:r>
        <w:rPr>
          <w:rFonts w:hint="eastAsia" w:ascii="宋体" w:hAnsi="宋体" w:cs="宋体"/>
          <w:sz w:val="24"/>
          <w:szCs w:val="24"/>
          <w:highlight w:val="none"/>
        </w:rPr>
        <w:t>市场，破坏公平竞争原则。如供应商在</w:t>
      </w:r>
      <w:r>
        <w:rPr>
          <w:rFonts w:hint="eastAsia" w:ascii="宋体" w:hAnsi="宋体" w:cs="宋体"/>
          <w:sz w:val="24"/>
          <w:szCs w:val="24"/>
          <w:highlight w:val="none"/>
          <w:lang w:eastAsia="zh-CN"/>
        </w:rPr>
        <w:t>谈判</w:t>
      </w:r>
      <w:r>
        <w:rPr>
          <w:rFonts w:hint="eastAsia" w:ascii="宋体" w:hAnsi="宋体" w:cs="宋体"/>
          <w:sz w:val="24"/>
          <w:szCs w:val="24"/>
          <w:highlight w:val="none"/>
        </w:rPr>
        <w:t>过程中互相串通，一经查实，将取消</w:t>
      </w:r>
      <w:r>
        <w:rPr>
          <w:rFonts w:hint="eastAsia" w:ascii="宋体" w:hAnsi="宋体" w:cs="宋体"/>
          <w:sz w:val="24"/>
          <w:szCs w:val="24"/>
          <w:highlight w:val="none"/>
          <w:lang w:eastAsia="zh-CN"/>
        </w:rPr>
        <w:t>谈判</w:t>
      </w:r>
      <w:r>
        <w:rPr>
          <w:rFonts w:hint="eastAsia" w:ascii="宋体" w:hAnsi="宋体" w:cs="宋体"/>
          <w:sz w:val="24"/>
          <w:szCs w:val="24"/>
          <w:highlight w:val="none"/>
        </w:rPr>
        <w:t>资格。</w:t>
      </w:r>
    </w:p>
    <w:p w14:paraId="642AADB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34</w:t>
      </w:r>
      <w:r>
        <w:rPr>
          <w:rFonts w:hint="eastAsia" w:ascii="宋体" w:hAnsi="宋体" w:cs="宋体"/>
          <w:sz w:val="24"/>
          <w:szCs w:val="24"/>
          <w:highlight w:val="none"/>
        </w:rPr>
        <w:t xml:space="preserve">.5 </w:t>
      </w:r>
      <w:r>
        <w:rPr>
          <w:rFonts w:hint="eastAsia" w:ascii="宋体" w:hAnsi="宋体" w:cs="宋体"/>
          <w:sz w:val="24"/>
          <w:szCs w:val="24"/>
          <w:highlight w:val="none"/>
          <w:lang w:eastAsia="zh-CN"/>
        </w:rPr>
        <w:t>谈判</w:t>
      </w:r>
      <w:r>
        <w:rPr>
          <w:rFonts w:hint="eastAsia" w:ascii="宋体" w:hAnsi="宋体" w:cs="宋体"/>
          <w:sz w:val="24"/>
          <w:szCs w:val="24"/>
          <w:highlight w:val="none"/>
        </w:rPr>
        <w:t>之日起直至授予中标供应商合同为止，凡属于对响应文件的审查、澄清、评价、比较有关的资料和中标供应商的推荐情况及与评审有关的其他任何情况均严格保密。</w:t>
      </w:r>
    </w:p>
    <w:p w14:paraId="138BF6F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34</w:t>
      </w:r>
      <w:r>
        <w:rPr>
          <w:rFonts w:hint="eastAsia" w:ascii="宋体" w:hAnsi="宋体" w:cs="宋体"/>
          <w:sz w:val="24"/>
          <w:szCs w:val="24"/>
          <w:highlight w:val="none"/>
        </w:rPr>
        <w:t>.6从</w:t>
      </w:r>
      <w:r>
        <w:rPr>
          <w:rFonts w:hint="eastAsia" w:ascii="宋体" w:hAnsi="宋体" w:cs="宋体"/>
          <w:sz w:val="24"/>
          <w:szCs w:val="24"/>
          <w:highlight w:val="none"/>
          <w:lang w:eastAsia="zh-CN"/>
        </w:rPr>
        <w:t>谈判</w:t>
      </w:r>
      <w:r>
        <w:rPr>
          <w:rFonts w:hint="eastAsia" w:ascii="宋体" w:hAnsi="宋体" w:cs="宋体"/>
          <w:sz w:val="24"/>
          <w:szCs w:val="24"/>
          <w:highlight w:val="none"/>
        </w:rPr>
        <w:t>之日起至授予合同期间，供应商试图向</w:t>
      </w:r>
      <w:r>
        <w:rPr>
          <w:rFonts w:hint="eastAsia" w:ascii="宋体" w:hAnsi="宋体" w:cs="宋体"/>
          <w:sz w:val="24"/>
          <w:szCs w:val="24"/>
          <w:highlight w:val="none"/>
          <w:lang w:eastAsia="zh-CN"/>
        </w:rPr>
        <w:t>谈判</w:t>
      </w:r>
      <w:r>
        <w:rPr>
          <w:rFonts w:hint="eastAsia" w:ascii="宋体" w:hAnsi="宋体" w:cs="宋体"/>
          <w:sz w:val="24"/>
          <w:szCs w:val="24"/>
          <w:highlight w:val="none"/>
        </w:rPr>
        <w:t>小组、采购代理机构施加任何影响或对采购人的比较及授予合同的决定进行影响，都可能导致其响应文件被拒绝。</w:t>
      </w:r>
    </w:p>
    <w:p w14:paraId="5B60781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34</w:t>
      </w:r>
      <w:r>
        <w:rPr>
          <w:rFonts w:hint="eastAsia" w:ascii="宋体" w:hAnsi="宋体" w:cs="宋体"/>
          <w:sz w:val="24"/>
          <w:szCs w:val="24"/>
          <w:highlight w:val="none"/>
        </w:rPr>
        <w:t>.7除供应商被要求对响应文件进行澄清外，从</w:t>
      </w:r>
      <w:r>
        <w:rPr>
          <w:rFonts w:hint="eastAsia" w:ascii="宋体" w:hAnsi="宋体" w:cs="宋体"/>
          <w:sz w:val="24"/>
          <w:szCs w:val="24"/>
          <w:highlight w:val="none"/>
          <w:lang w:eastAsia="zh-CN"/>
        </w:rPr>
        <w:t>谈判</w:t>
      </w:r>
      <w:r>
        <w:rPr>
          <w:rFonts w:hint="eastAsia" w:ascii="宋体" w:hAnsi="宋体" w:cs="宋体"/>
          <w:sz w:val="24"/>
          <w:szCs w:val="24"/>
          <w:highlight w:val="none"/>
        </w:rPr>
        <w:t>之时起至授予合同期间，供应商不得就与其响应文件有关的事项主动与</w:t>
      </w:r>
      <w:r>
        <w:rPr>
          <w:rFonts w:hint="eastAsia" w:ascii="宋体" w:hAnsi="宋体" w:cs="宋体"/>
          <w:sz w:val="24"/>
          <w:szCs w:val="24"/>
          <w:highlight w:val="none"/>
          <w:lang w:eastAsia="zh-CN"/>
        </w:rPr>
        <w:t>谈判</w:t>
      </w:r>
      <w:r>
        <w:rPr>
          <w:rFonts w:hint="eastAsia" w:ascii="宋体" w:hAnsi="宋体" w:cs="宋体"/>
          <w:sz w:val="24"/>
          <w:szCs w:val="24"/>
          <w:highlight w:val="none"/>
        </w:rPr>
        <w:t>小组、采购代理机构以及采购人联系。</w:t>
      </w:r>
    </w:p>
    <w:p w14:paraId="359E0E8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34</w:t>
      </w:r>
      <w:r>
        <w:rPr>
          <w:rFonts w:hint="eastAsia" w:ascii="宋体" w:hAnsi="宋体" w:cs="宋体"/>
          <w:sz w:val="24"/>
          <w:szCs w:val="24"/>
          <w:highlight w:val="none"/>
        </w:rPr>
        <w:t>.8中标供应商确定后，采购人不对未中标供应商就评审过程以及未能中标原因作出任何解释，未中标供应商不得向</w:t>
      </w:r>
      <w:r>
        <w:rPr>
          <w:rFonts w:hint="eastAsia" w:ascii="宋体" w:hAnsi="宋体" w:cs="宋体"/>
          <w:sz w:val="24"/>
          <w:szCs w:val="24"/>
          <w:highlight w:val="none"/>
          <w:lang w:eastAsia="zh-CN"/>
        </w:rPr>
        <w:t>谈判</w:t>
      </w:r>
      <w:r>
        <w:rPr>
          <w:rFonts w:hint="eastAsia" w:ascii="宋体" w:hAnsi="宋体" w:cs="宋体"/>
          <w:sz w:val="24"/>
          <w:szCs w:val="24"/>
          <w:highlight w:val="none"/>
        </w:rPr>
        <w:t>小组或其他有关人员询问评审过程的情况和索取评审过程的资料。</w:t>
      </w:r>
    </w:p>
    <w:p w14:paraId="733DD6B0">
      <w:pPr>
        <w:pStyle w:val="11"/>
        <w:spacing w:line="360" w:lineRule="auto"/>
        <w:ind w:firstLine="482" w:firstLineChars="200"/>
        <w:jc w:val="center"/>
        <w:outlineLvl w:val="9"/>
        <w:rPr>
          <w:rFonts w:hint="eastAsia" w:hAnsi="宋体" w:cs="宋体"/>
          <w:b/>
          <w:bCs/>
          <w:sz w:val="24"/>
          <w:szCs w:val="24"/>
          <w:highlight w:val="none"/>
        </w:rPr>
      </w:pPr>
      <w:bookmarkStart w:id="235" w:name="_Toc26532"/>
      <w:r>
        <w:rPr>
          <w:rFonts w:hint="eastAsia" w:hAnsi="宋体" w:cs="宋体"/>
          <w:b/>
          <w:bCs/>
          <w:sz w:val="24"/>
          <w:szCs w:val="24"/>
          <w:highlight w:val="none"/>
        </w:rPr>
        <w:t>F   授予合同</w:t>
      </w:r>
      <w:bookmarkEnd w:id="235"/>
      <w:bookmarkStart w:id="236" w:name="_Toc233274853"/>
      <w:bookmarkStart w:id="237" w:name="_Toc243906355"/>
      <w:bookmarkStart w:id="238" w:name="_Toc245897315"/>
      <w:bookmarkStart w:id="239" w:name="_Toc243907618"/>
    </w:p>
    <w:bookmarkEnd w:id="236"/>
    <w:bookmarkEnd w:id="237"/>
    <w:bookmarkEnd w:id="238"/>
    <w:bookmarkEnd w:id="239"/>
    <w:p w14:paraId="5C8F9ACD">
      <w:pPr>
        <w:pStyle w:val="11"/>
        <w:spacing w:line="360" w:lineRule="auto"/>
        <w:ind w:firstLine="482" w:firstLineChars="200"/>
        <w:outlineLvl w:val="9"/>
        <w:rPr>
          <w:rFonts w:hint="eastAsia" w:hAnsi="宋体" w:cs="宋体"/>
          <w:b/>
          <w:color w:val="auto"/>
          <w:sz w:val="24"/>
          <w:szCs w:val="24"/>
          <w:highlight w:val="none"/>
        </w:rPr>
      </w:pPr>
      <w:bookmarkStart w:id="240" w:name="_Toc9074"/>
      <w:bookmarkStart w:id="241" w:name="_Toc245897318"/>
      <w:bookmarkStart w:id="242" w:name="_Toc9818"/>
      <w:bookmarkStart w:id="243" w:name="_Toc243907621"/>
      <w:r>
        <w:rPr>
          <w:rFonts w:hint="eastAsia" w:hAnsi="宋体" w:cs="宋体"/>
          <w:b/>
          <w:color w:val="auto"/>
          <w:sz w:val="24"/>
          <w:szCs w:val="24"/>
          <w:highlight w:val="none"/>
          <w:lang w:val="en-US" w:eastAsia="zh-CN"/>
        </w:rPr>
        <w:t>35</w:t>
      </w:r>
      <w:r>
        <w:rPr>
          <w:rFonts w:hint="eastAsia" w:hAnsi="宋体" w:cs="宋体"/>
          <w:b/>
          <w:color w:val="auto"/>
          <w:sz w:val="24"/>
          <w:szCs w:val="24"/>
          <w:highlight w:val="none"/>
        </w:rPr>
        <w:t>、授予合同标准</w:t>
      </w:r>
      <w:bookmarkEnd w:id="240"/>
    </w:p>
    <w:p w14:paraId="3F54E5AB">
      <w:pPr>
        <w:pStyle w:val="11"/>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lang w:val="en-US" w:eastAsia="zh-CN"/>
        </w:rPr>
        <w:t>35</w:t>
      </w:r>
      <w:r>
        <w:rPr>
          <w:rFonts w:hint="eastAsia" w:hAnsi="宋体" w:cs="宋体"/>
          <w:bCs/>
          <w:color w:val="auto"/>
          <w:sz w:val="24"/>
          <w:szCs w:val="24"/>
          <w:highlight w:val="none"/>
        </w:rPr>
        <w:t>.1本采购项目的采购合同将授予按本须知第</w:t>
      </w:r>
      <w:r>
        <w:rPr>
          <w:rFonts w:hint="eastAsia" w:hAnsi="宋体" w:cs="宋体"/>
          <w:bCs/>
          <w:color w:val="auto"/>
          <w:sz w:val="24"/>
          <w:szCs w:val="24"/>
          <w:highlight w:val="none"/>
          <w:lang w:eastAsia="zh-CN"/>
        </w:rPr>
        <w:t>31</w:t>
      </w:r>
      <w:r>
        <w:rPr>
          <w:rFonts w:hint="eastAsia" w:hAnsi="宋体" w:cs="宋体"/>
          <w:bCs/>
          <w:color w:val="auto"/>
          <w:sz w:val="24"/>
          <w:szCs w:val="24"/>
          <w:highlight w:val="none"/>
        </w:rPr>
        <w:t>条所确定</w:t>
      </w:r>
      <w:r>
        <w:rPr>
          <w:rFonts w:hint="eastAsia" w:hAnsi="宋体" w:cs="宋体"/>
          <w:color w:val="auto"/>
          <w:sz w:val="24"/>
          <w:szCs w:val="24"/>
          <w:highlight w:val="none"/>
        </w:rPr>
        <w:t>中标</w:t>
      </w:r>
      <w:r>
        <w:rPr>
          <w:rFonts w:hint="eastAsia" w:hAnsi="宋体" w:cs="宋体"/>
          <w:bCs/>
          <w:color w:val="auto"/>
          <w:sz w:val="24"/>
          <w:szCs w:val="24"/>
          <w:highlight w:val="none"/>
        </w:rPr>
        <w:t>供应商。</w:t>
      </w:r>
    </w:p>
    <w:p w14:paraId="39C842CA">
      <w:pPr>
        <w:pStyle w:val="11"/>
        <w:spacing w:line="360" w:lineRule="auto"/>
        <w:ind w:firstLine="482" w:firstLineChars="200"/>
        <w:outlineLvl w:val="9"/>
        <w:rPr>
          <w:rFonts w:hint="eastAsia" w:hAnsi="宋体" w:cs="宋体"/>
          <w:b/>
          <w:bCs/>
          <w:color w:val="auto"/>
          <w:sz w:val="24"/>
          <w:szCs w:val="24"/>
          <w:highlight w:val="none"/>
        </w:rPr>
      </w:pPr>
      <w:bookmarkStart w:id="244" w:name="_Toc11509"/>
      <w:bookmarkStart w:id="245" w:name="_Toc243906357"/>
      <w:bookmarkStart w:id="246" w:name="_Toc245897317"/>
      <w:bookmarkStart w:id="247" w:name="_Toc233274855"/>
      <w:bookmarkStart w:id="248" w:name="_Toc243907620"/>
      <w:r>
        <w:rPr>
          <w:rFonts w:hint="eastAsia" w:hAnsi="宋体" w:cs="宋体"/>
          <w:b/>
          <w:bCs/>
          <w:color w:val="auto"/>
          <w:sz w:val="24"/>
          <w:szCs w:val="24"/>
          <w:highlight w:val="none"/>
          <w:lang w:eastAsia="zh-CN"/>
        </w:rPr>
        <w:t>36</w:t>
      </w:r>
      <w:r>
        <w:rPr>
          <w:rFonts w:hint="eastAsia" w:hAnsi="宋体" w:cs="宋体"/>
          <w:b/>
          <w:bCs/>
          <w:color w:val="auto"/>
          <w:sz w:val="24"/>
          <w:szCs w:val="24"/>
          <w:highlight w:val="none"/>
        </w:rPr>
        <w:t>、签订合同</w:t>
      </w:r>
      <w:bookmarkEnd w:id="244"/>
      <w:bookmarkEnd w:id="245"/>
      <w:bookmarkEnd w:id="246"/>
      <w:bookmarkEnd w:id="247"/>
      <w:bookmarkEnd w:id="248"/>
    </w:p>
    <w:p w14:paraId="5EC080CB">
      <w:pPr>
        <w:pStyle w:val="11"/>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36</w:t>
      </w:r>
      <w:r>
        <w:rPr>
          <w:rFonts w:hint="eastAsia" w:hAnsi="宋体" w:cs="宋体"/>
          <w:color w:val="auto"/>
          <w:sz w:val="24"/>
          <w:szCs w:val="24"/>
          <w:highlight w:val="none"/>
        </w:rPr>
        <w:t>.1中标供应商应当自中标通知书发出</w:t>
      </w:r>
      <w:r>
        <w:rPr>
          <w:rFonts w:hint="eastAsia" w:hAnsi="宋体" w:cs="宋体"/>
          <w:color w:val="auto"/>
          <w:sz w:val="24"/>
          <w:szCs w:val="24"/>
          <w:highlight w:val="none"/>
          <w:lang w:val="en-US" w:eastAsia="zh-CN"/>
        </w:rPr>
        <w:t>当日</w:t>
      </w:r>
      <w:r>
        <w:rPr>
          <w:rFonts w:hint="eastAsia" w:hAnsi="宋体" w:cs="宋体"/>
          <w:color w:val="auto"/>
          <w:sz w:val="24"/>
          <w:szCs w:val="24"/>
          <w:highlight w:val="none"/>
        </w:rPr>
        <w:t>，按照</w:t>
      </w:r>
      <w:r>
        <w:rPr>
          <w:rFonts w:hint="eastAsia" w:hAnsi="宋体" w:cs="宋体"/>
          <w:color w:val="auto"/>
          <w:sz w:val="24"/>
          <w:szCs w:val="24"/>
          <w:highlight w:val="none"/>
          <w:lang w:eastAsia="zh-CN"/>
        </w:rPr>
        <w:t>竞争性谈判</w:t>
      </w:r>
      <w:r>
        <w:rPr>
          <w:rFonts w:hint="eastAsia" w:hAnsi="宋体" w:cs="宋体"/>
          <w:color w:val="auto"/>
          <w:sz w:val="24"/>
          <w:szCs w:val="24"/>
          <w:highlight w:val="none"/>
        </w:rPr>
        <w:t>文件和中标供应商的响应文件</w:t>
      </w:r>
      <w:r>
        <w:rPr>
          <w:rFonts w:hint="eastAsia" w:hAnsi="宋体" w:cs="宋体"/>
          <w:color w:val="auto"/>
          <w:sz w:val="24"/>
          <w:szCs w:val="24"/>
          <w:highlight w:val="none"/>
          <w:lang w:val="en-US" w:eastAsia="zh-CN"/>
        </w:rPr>
        <w:t>签订</w:t>
      </w:r>
      <w:r>
        <w:rPr>
          <w:rFonts w:hint="eastAsia" w:hAnsi="宋体" w:cs="宋体"/>
          <w:color w:val="auto"/>
          <w:sz w:val="24"/>
          <w:szCs w:val="24"/>
          <w:highlight w:val="none"/>
        </w:rPr>
        <w:t>书面合同。中标供应商不得要求</w:t>
      </w:r>
      <w:r>
        <w:rPr>
          <w:rFonts w:hint="eastAsia" w:hAnsi="宋体" w:cs="宋体"/>
          <w:color w:val="auto"/>
          <w:sz w:val="24"/>
          <w:szCs w:val="24"/>
          <w:highlight w:val="none"/>
          <w:lang w:val="en-US" w:eastAsia="zh-CN"/>
        </w:rPr>
        <w:t>签订</w:t>
      </w:r>
      <w:r>
        <w:rPr>
          <w:rFonts w:hint="eastAsia" w:hAnsi="宋体" w:cs="宋体"/>
          <w:color w:val="auto"/>
          <w:sz w:val="24"/>
          <w:szCs w:val="24"/>
          <w:highlight w:val="none"/>
        </w:rPr>
        <w:t>背离本</w:t>
      </w:r>
      <w:r>
        <w:rPr>
          <w:rFonts w:hint="eastAsia" w:hAnsi="宋体" w:cs="宋体"/>
          <w:color w:val="auto"/>
          <w:sz w:val="24"/>
          <w:szCs w:val="24"/>
          <w:highlight w:val="none"/>
          <w:lang w:val="en-US" w:eastAsia="zh-CN"/>
        </w:rPr>
        <w:t>谈判文件</w:t>
      </w:r>
      <w:r>
        <w:rPr>
          <w:rFonts w:hint="eastAsia" w:hAnsi="宋体" w:cs="宋体"/>
          <w:color w:val="auto"/>
          <w:sz w:val="24"/>
          <w:szCs w:val="24"/>
          <w:highlight w:val="none"/>
        </w:rPr>
        <w:t>合同条款等响应文件实质性内容的其他协议。</w:t>
      </w:r>
    </w:p>
    <w:p w14:paraId="5B8CFC16">
      <w:pPr>
        <w:pStyle w:val="11"/>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36</w:t>
      </w:r>
      <w:r>
        <w:rPr>
          <w:rFonts w:hint="eastAsia" w:hAnsi="宋体" w:cs="宋体"/>
          <w:color w:val="auto"/>
          <w:sz w:val="24"/>
          <w:szCs w:val="24"/>
          <w:highlight w:val="none"/>
        </w:rPr>
        <w:t>.2 中标通知书、中标供应商的响应文件及其澄清文件、技术规范及标准、项目采购需求、本</w:t>
      </w:r>
      <w:r>
        <w:rPr>
          <w:rFonts w:hint="eastAsia" w:hAnsi="宋体" w:cs="宋体"/>
          <w:color w:val="auto"/>
          <w:sz w:val="24"/>
          <w:szCs w:val="24"/>
          <w:highlight w:val="none"/>
          <w:lang w:eastAsia="zh-CN"/>
        </w:rPr>
        <w:t>竞争性谈判</w:t>
      </w:r>
      <w:r>
        <w:rPr>
          <w:rFonts w:hint="eastAsia" w:hAnsi="宋体" w:cs="宋体"/>
          <w:color w:val="auto"/>
          <w:sz w:val="24"/>
          <w:szCs w:val="24"/>
          <w:highlight w:val="none"/>
        </w:rPr>
        <w:t>文件（含修改文件或补充文件）及答疑纪要等，均为签订合同的依据。</w:t>
      </w:r>
    </w:p>
    <w:p w14:paraId="3461A1D1">
      <w:pPr>
        <w:pStyle w:val="11"/>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36</w:t>
      </w:r>
      <w:r>
        <w:rPr>
          <w:rFonts w:hint="eastAsia" w:hAnsi="宋体" w:cs="宋体"/>
          <w:color w:val="auto"/>
          <w:sz w:val="24"/>
          <w:szCs w:val="24"/>
          <w:highlight w:val="none"/>
        </w:rPr>
        <w:t>.3采购人如不按本须知</w:t>
      </w:r>
      <w:r>
        <w:rPr>
          <w:rFonts w:hint="eastAsia" w:hAnsi="宋体" w:cs="宋体"/>
          <w:color w:val="auto"/>
          <w:sz w:val="24"/>
          <w:szCs w:val="24"/>
          <w:highlight w:val="none"/>
          <w:lang w:eastAsia="zh-CN"/>
        </w:rPr>
        <w:t>36</w:t>
      </w:r>
      <w:r>
        <w:rPr>
          <w:rFonts w:hint="eastAsia" w:hAnsi="宋体" w:cs="宋体"/>
          <w:color w:val="auto"/>
          <w:sz w:val="24"/>
          <w:szCs w:val="24"/>
          <w:highlight w:val="none"/>
        </w:rPr>
        <w:t>.1条规定与中标供应商签订合同，或者采购人、中标供应商签订背离合同实质性内容的协议，由监督管理部门责令其改正。</w:t>
      </w:r>
    </w:p>
    <w:p w14:paraId="0A051305">
      <w:pPr>
        <w:pStyle w:val="11"/>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36</w:t>
      </w:r>
      <w:r>
        <w:rPr>
          <w:rFonts w:hint="eastAsia" w:hAnsi="宋体" w:cs="宋体"/>
          <w:color w:val="auto"/>
          <w:sz w:val="24"/>
          <w:szCs w:val="24"/>
          <w:highlight w:val="none"/>
        </w:rPr>
        <w:t>.4中标供应商如不按本须知</w:t>
      </w:r>
      <w:r>
        <w:rPr>
          <w:rFonts w:hint="eastAsia" w:hAnsi="宋体" w:cs="宋体"/>
          <w:color w:val="auto"/>
          <w:sz w:val="24"/>
          <w:szCs w:val="24"/>
          <w:highlight w:val="none"/>
          <w:lang w:eastAsia="zh-CN"/>
        </w:rPr>
        <w:t>36</w:t>
      </w:r>
      <w:r>
        <w:rPr>
          <w:rFonts w:hint="eastAsia" w:hAnsi="宋体" w:cs="宋体"/>
          <w:color w:val="auto"/>
          <w:sz w:val="24"/>
          <w:szCs w:val="24"/>
          <w:highlight w:val="none"/>
        </w:rPr>
        <w:t>.1条规定与采购人签订合同，则按违约处理，采购人将有权取消中标供应商资格，给采购人造成损失，还应当予以赔偿，同时依法承担相应的法律责任。</w:t>
      </w:r>
    </w:p>
    <w:p w14:paraId="634A3889">
      <w:pPr>
        <w:spacing w:line="360" w:lineRule="auto"/>
        <w:ind w:firstLine="480" w:firstLineChars="20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36</w:t>
      </w:r>
      <w:r>
        <w:rPr>
          <w:rFonts w:hint="eastAsia" w:ascii="宋体" w:hAnsi="宋体" w:cs="宋体"/>
          <w:color w:val="auto"/>
          <w:kern w:val="0"/>
          <w:sz w:val="24"/>
          <w:szCs w:val="24"/>
          <w:highlight w:val="none"/>
        </w:rPr>
        <w:t>.5中标或者成交供应商拒绝与采购人签订合同的，采购人可以按照评审报告推荐的中标或者成交候选人名单排序，确定下一候选人为中标或者成交供应商，也可以重新开展政府采购活动。</w:t>
      </w:r>
    </w:p>
    <w:p w14:paraId="5FF5D51D">
      <w:pPr>
        <w:spacing w:line="360" w:lineRule="auto"/>
        <w:ind w:firstLine="482" w:firstLineChars="200"/>
        <w:outlineLvl w:val="9"/>
        <w:rPr>
          <w:rFonts w:hint="eastAsia" w:ascii="宋体" w:hAnsi="宋体" w:cs="宋体"/>
          <w:b/>
          <w:bCs/>
          <w:kern w:val="0"/>
          <w:sz w:val="24"/>
          <w:szCs w:val="24"/>
          <w:highlight w:val="none"/>
        </w:rPr>
      </w:pPr>
      <w:r>
        <w:rPr>
          <w:rFonts w:hint="eastAsia" w:ascii="宋体" w:hAnsi="宋体" w:cs="宋体"/>
          <w:b/>
          <w:bCs/>
          <w:kern w:val="0"/>
          <w:sz w:val="24"/>
          <w:szCs w:val="24"/>
          <w:highlight w:val="none"/>
          <w:lang w:eastAsia="zh-CN"/>
        </w:rPr>
        <w:t>37</w:t>
      </w:r>
      <w:r>
        <w:rPr>
          <w:rFonts w:hint="eastAsia" w:ascii="宋体" w:hAnsi="宋体" w:cs="宋体"/>
          <w:b/>
          <w:bCs/>
          <w:kern w:val="0"/>
          <w:sz w:val="24"/>
          <w:szCs w:val="24"/>
          <w:highlight w:val="none"/>
        </w:rPr>
        <w:t>、合同的签订准则</w:t>
      </w:r>
      <w:bookmarkEnd w:id="241"/>
      <w:bookmarkEnd w:id="242"/>
      <w:bookmarkEnd w:id="243"/>
    </w:p>
    <w:p w14:paraId="3855C6DA">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eastAsia="zh-CN"/>
        </w:rPr>
        <w:t>37</w:t>
      </w:r>
      <w:r>
        <w:rPr>
          <w:rFonts w:hint="eastAsia" w:ascii="宋体" w:hAnsi="宋体" w:cs="宋体"/>
          <w:kern w:val="0"/>
          <w:sz w:val="24"/>
          <w:szCs w:val="24"/>
          <w:highlight w:val="none"/>
        </w:rPr>
        <w:t>.1合同签订必须由采购人、中标供应商双方法定代表人或其委托代理人签署并加盖法人公章后方能生效。</w:t>
      </w:r>
    </w:p>
    <w:p w14:paraId="4E3944EC">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eastAsia="zh-CN"/>
        </w:rPr>
        <w:t>37</w:t>
      </w:r>
      <w:r>
        <w:rPr>
          <w:rFonts w:hint="eastAsia" w:ascii="宋体" w:hAnsi="宋体" w:cs="宋体"/>
          <w:kern w:val="0"/>
          <w:sz w:val="24"/>
          <w:szCs w:val="24"/>
          <w:highlight w:val="none"/>
        </w:rPr>
        <w:t>.2合同转包（实质性要求）</w:t>
      </w:r>
    </w:p>
    <w:p w14:paraId="625B7781">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本采购项目严禁中标供应商将任何政府采购合同义务转包。本项目所称转包，是指中标供应商将政府采购合同义务转让给第三人，并退出现有政府采购合同当事人双方的权利义务关系，受让人（即第三人）成为政府采购合同的另一方当事人的行为。</w:t>
      </w:r>
    </w:p>
    <w:p w14:paraId="1A604E8D">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中标供应商转包的，视同拒绝履行政府采购合同义务，将依法追究法律责任。</w:t>
      </w:r>
    </w:p>
    <w:p w14:paraId="2F6D5C0D">
      <w:pPr>
        <w:spacing w:line="360" w:lineRule="auto"/>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lang w:eastAsia="zh-CN"/>
        </w:rPr>
        <w:t>38</w:t>
      </w:r>
      <w:r>
        <w:rPr>
          <w:rFonts w:hint="eastAsia" w:ascii="宋体" w:hAnsi="宋体" w:cs="宋体"/>
          <w:b/>
          <w:bCs/>
          <w:kern w:val="0"/>
          <w:sz w:val="24"/>
          <w:szCs w:val="24"/>
          <w:highlight w:val="none"/>
        </w:rPr>
        <w:t>、验收</w:t>
      </w:r>
    </w:p>
    <w:p w14:paraId="43F806F1">
      <w:pPr>
        <w:spacing w:line="360" w:lineRule="auto"/>
        <w:ind w:firstLine="480" w:firstLineChars="200"/>
        <w:rPr>
          <w:rFonts w:hint="eastAsia" w:ascii="宋体" w:hAnsi="宋体" w:cs="宋体"/>
          <w:b/>
          <w:bCs/>
          <w:sz w:val="24"/>
          <w:szCs w:val="24"/>
          <w:highlight w:val="none"/>
        </w:rPr>
      </w:pPr>
      <w:r>
        <w:rPr>
          <w:rFonts w:hint="eastAsia" w:ascii="宋体" w:hAnsi="宋体" w:cs="宋体"/>
          <w:kern w:val="0"/>
          <w:sz w:val="24"/>
          <w:szCs w:val="24"/>
          <w:highlight w:val="none"/>
          <w:lang w:eastAsia="zh-CN"/>
        </w:rPr>
        <w:t>38</w:t>
      </w:r>
      <w:r>
        <w:rPr>
          <w:rFonts w:hint="eastAsia" w:ascii="宋体" w:hAnsi="宋体" w:cs="宋体"/>
          <w:kern w:val="0"/>
          <w:sz w:val="24"/>
          <w:szCs w:val="24"/>
          <w:highlight w:val="none"/>
        </w:rPr>
        <w:t>.1本项目采购人将严格按照政府采购相关法律法规以及《克拉玛依市政府采购项目需求论证和履约验收管理办法》（克财发〔2016〕9号）的要求进行验收。</w:t>
      </w:r>
    </w:p>
    <w:p w14:paraId="01DA86FB">
      <w:pPr>
        <w:snapToGrid w:val="0"/>
        <w:spacing w:line="360" w:lineRule="auto"/>
        <w:ind w:firstLine="482" w:firstLineChars="200"/>
        <w:jc w:val="center"/>
        <w:rPr>
          <w:rFonts w:hint="eastAsia" w:ascii="宋体" w:hAnsi="宋体" w:cs="宋体"/>
          <w:b/>
          <w:bCs/>
          <w:kern w:val="0"/>
          <w:sz w:val="24"/>
          <w:szCs w:val="24"/>
          <w:highlight w:val="none"/>
        </w:rPr>
      </w:pPr>
    </w:p>
    <w:p w14:paraId="79D6B5A7">
      <w:pPr>
        <w:snapToGrid w:val="0"/>
        <w:spacing w:line="360" w:lineRule="auto"/>
        <w:ind w:firstLine="482" w:firstLineChars="200"/>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G  询问、质疑、投诉</w:t>
      </w:r>
    </w:p>
    <w:p w14:paraId="3FC93CEC">
      <w:pPr>
        <w:snapToGri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lang w:eastAsia="zh-CN"/>
        </w:rPr>
        <w:t>39</w:t>
      </w:r>
      <w:r>
        <w:rPr>
          <w:rFonts w:hint="eastAsia" w:ascii="宋体" w:hAnsi="宋体" w:cs="宋体"/>
          <w:b/>
          <w:bCs/>
          <w:sz w:val="24"/>
          <w:szCs w:val="24"/>
          <w:highlight w:val="none"/>
        </w:rPr>
        <w:t>、询问</w:t>
      </w:r>
    </w:p>
    <w:p w14:paraId="17F4847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39</w:t>
      </w:r>
      <w:r>
        <w:rPr>
          <w:rFonts w:hint="eastAsia" w:ascii="宋体" w:hAnsi="宋体" w:cs="宋体"/>
          <w:sz w:val="24"/>
          <w:szCs w:val="24"/>
          <w:highlight w:val="none"/>
        </w:rPr>
        <w:t>.1供应商对采购活动事项有疑问的，可以向采购人或采购代理机构提出询问，采购人或采购代理机构应当在三个工作日内对供应商依法提出的询问作出答复，但答复的内容不得涉及商业秘密。</w:t>
      </w:r>
    </w:p>
    <w:p w14:paraId="201FDB06">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eastAsia="zh-CN"/>
        </w:rPr>
        <w:t>40</w:t>
      </w:r>
      <w:r>
        <w:rPr>
          <w:rFonts w:hint="eastAsia" w:ascii="宋体" w:hAnsi="宋体" w:cs="宋体"/>
          <w:b/>
          <w:sz w:val="24"/>
          <w:szCs w:val="24"/>
          <w:highlight w:val="none"/>
        </w:rPr>
        <w:t>、质疑</w:t>
      </w:r>
    </w:p>
    <w:p w14:paraId="64F4B1E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40</w:t>
      </w:r>
      <w:r>
        <w:rPr>
          <w:rFonts w:hint="eastAsia" w:ascii="宋体" w:hAnsi="宋体" w:cs="宋体"/>
          <w:sz w:val="24"/>
          <w:szCs w:val="24"/>
          <w:highlight w:val="none"/>
        </w:rPr>
        <w:t>.1供应商认为</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文件、采购过程和中标结果使自己的合法权益受到损害的，可以在知道或者应知其权益受到损害之日起七个工作日内，将质疑文件原件和必要的证明材料书面送达采购人或采购代理机构。</w:t>
      </w:r>
    </w:p>
    <w:p w14:paraId="0C1BF89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40</w:t>
      </w:r>
      <w:r>
        <w:rPr>
          <w:rFonts w:hint="eastAsia" w:ascii="宋体" w:hAnsi="宋体" w:cs="宋体"/>
          <w:sz w:val="24"/>
          <w:szCs w:val="24"/>
          <w:highlight w:val="none"/>
        </w:rPr>
        <w:t>.2供应商如对</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技术指标、参数、评分标准有质疑，向采购人提出，由采购人按相关规定做出答复或委托采购代理机构代为答复。供应商如对采购过程和采购结果有质疑，向采购代理机构提出，由采购代理机构按相关规定作出答复。</w:t>
      </w:r>
    </w:p>
    <w:p w14:paraId="4479F5B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40</w:t>
      </w:r>
      <w:r>
        <w:rPr>
          <w:rFonts w:hint="eastAsia" w:ascii="宋体" w:hAnsi="宋体" w:cs="宋体"/>
          <w:sz w:val="24"/>
          <w:szCs w:val="24"/>
          <w:highlight w:val="none"/>
        </w:rPr>
        <w:t xml:space="preserve">.3上述应知其权益受到损害之日是指： </w:t>
      </w:r>
    </w:p>
    <w:p w14:paraId="0A79BA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（1）对</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文件提出质疑的，为</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 xml:space="preserve">文件公告期限届满之日起计算； </w:t>
      </w:r>
    </w:p>
    <w:p w14:paraId="6F78B44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（2）对采购过程提出质疑的，自采购程序环节结束之日起计算；</w:t>
      </w:r>
    </w:p>
    <w:p w14:paraId="04A70DD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（3）对中标结果提出质疑的，自中标结果公告期限届满之日起计算。</w:t>
      </w:r>
    </w:p>
    <w:p w14:paraId="0E162DD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40</w:t>
      </w:r>
      <w:r>
        <w:rPr>
          <w:rFonts w:hint="eastAsia" w:ascii="宋体" w:hAnsi="宋体" w:cs="宋体"/>
          <w:sz w:val="24"/>
          <w:szCs w:val="24"/>
          <w:highlight w:val="none"/>
        </w:rPr>
        <w:t>.4质疑供应商在法定质疑期内应当一次性提出针对同一采购环节提出质疑。</w:t>
      </w:r>
    </w:p>
    <w:p w14:paraId="7E02CF5F">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40</w:t>
      </w:r>
      <w:r>
        <w:rPr>
          <w:rFonts w:hint="eastAsia" w:ascii="宋体" w:hAnsi="宋体" w:eastAsia="宋体" w:cs="宋体"/>
          <w:sz w:val="24"/>
          <w:szCs w:val="24"/>
          <w:highlight w:val="none"/>
        </w:rPr>
        <w:t>.5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14:paraId="73690D7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（1）供应商的姓名或者名称、地址、邮编、联系人及联系电话（包括座机、手机、传真号码等）； </w:t>
      </w:r>
    </w:p>
    <w:p w14:paraId="3D8EAB9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（2）质疑项目的名称、项目编号、包号、采购公告发布时间、递交响应文件或响应文件截止时间； </w:t>
      </w:r>
    </w:p>
    <w:p w14:paraId="72BE080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（3）具体、明确的质疑事项和与质疑事项相关的请求； </w:t>
      </w:r>
    </w:p>
    <w:p w14:paraId="7E7A6EE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（4）事实依据（具体条款，认为自己合法权益受到损害或可能受到损害的相关证据材料。如涉及到产品功能或技术指标的，应出具相关制造商的证明文件）； </w:t>
      </w:r>
    </w:p>
    <w:p w14:paraId="202457B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（5）必要的法律依据； </w:t>
      </w:r>
    </w:p>
    <w:p w14:paraId="49F8D6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（6）提起质疑的日期；</w:t>
      </w:r>
    </w:p>
    <w:p w14:paraId="39547EA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（7）质疑文件应当署名，质疑人为自然人的，应当由本人签字并附有效身份证明；质疑人为法人或其他组织的，应当由法定代表人签字并加盖单位公章；</w:t>
      </w:r>
    </w:p>
    <w:p w14:paraId="2E32177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（8）供应商委托代理质疑的，应当提交授权委托书，并载明代理人的姓名或者名称、代理事项、 具体权限、期限和相关事项。</w:t>
      </w:r>
    </w:p>
    <w:p w14:paraId="5899E97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40</w:t>
      </w:r>
      <w:r>
        <w:rPr>
          <w:rFonts w:hint="eastAsia" w:ascii="宋体" w:hAnsi="宋体" w:cs="宋体"/>
          <w:sz w:val="24"/>
          <w:szCs w:val="24"/>
          <w:highlight w:val="none"/>
        </w:rPr>
        <w:t>.6质疑供应商是指直接参加本项目采购活动的供应商，未参加政府采购活动的供应商或在采购活动中自身权益未受到损害的供应商所提出的质疑不予受理。</w:t>
      </w:r>
    </w:p>
    <w:p w14:paraId="5B1958F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40</w:t>
      </w:r>
      <w:r>
        <w:rPr>
          <w:rFonts w:hint="eastAsia" w:ascii="宋体" w:hAnsi="宋体" w:cs="宋体"/>
          <w:sz w:val="24"/>
          <w:szCs w:val="24"/>
          <w:highlight w:val="none"/>
        </w:rPr>
        <w:t>.7采购人、采购代理机构在收到供应商的书面质疑后将及时组织调查核实，在七个工作日内作出答复，并以书面形式通知质疑供应商和其他有关供应商，答复的内容不涉及商业秘密。</w:t>
      </w:r>
    </w:p>
    <w:p w14:paraId="44DC8023">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eastAsia="zh-CN"/>
        </w:rPr>
        <w:t>41</w:t>
      </w:r>
      <w:r>
        <w:rPr>
          <w:rFonts w:hint="eastAsia" w:ascii="宋体" w:hAnsi="宋体" w:cs="宋体"/>
          <w:b/>
          <w:sz w:val="24"/>
          <w:szCs w:val="24"/>
          <w:highlight w:val="none"/>
        </w:rPr>
        <w:t>、投诉</w:t>
      </w:r>
    </w:p>
    <w:p w14:paraId="6119385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41</w:t>
      </w:r>
      <w:r>
        <w:rPr>
          <w:rFonts w:hint="eastAsia" w:ascii="宋体" w:hAnsi="宋体" w:cs="宋体"/>
          <w:sz w:val="24"/>
          <w:szCs w:val="24"/>
          <w:highlight w:val="none"/>
        </w:rPr>
        <w:t>.1 质疑供应商对采购人、采购代理机构的答复不满意，或采购人、采购代理机构未在规定的时间内作出答复的，可以在答复期满后十五个工作日内向采购项目同级财政部门提起投诉。</w:t>
      </w:r>
    </w:p>
    <w:p w14:paraId="42CB2FD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41</w:t>
      </w:r>
      <w:r>
        <w:rPr>
          <w:rFonts w:hint="eastAsia" w:ascii="宋体" w:hAnsi="宋体" w:cs="宋体"/>
          <w:sz w:val="24"/>
          <w:szCs w:val="24"/>
          <w:highlight w:val="none"/>
        </w:rPr>
        <w:t>.2供应商投诉的事项不得超出已质疑事项的范围，但基于质疑答复内容提出的投诉事项除外。</w:t>
      </w:r>
    </w:p>
    <w:p w14:paraId="6FAC7A57">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eastAsia="zh-CN"/>
        </w:rPr>
        <w:t>42</w:t>
      </w:r>
      <w:r>
        <w:rPr>
          <w:rFonts w:hint="eastAsia" w:ascii="宋体" w:hAnsi="宋体" w:cs="宋体"/>
          <w:b/>
          <w:sz w:val="24"/>
          <w:szCs w:val="24"/>
          <w:highlight w:val="none"/>
        </w:rPr>
        <w:t>、诚实信用</w:t>
      </w:r>
    </w:p>
    <w:p w14:paraId="13B4A04E">
      <w:pPr>
        <w:spacing w:line="360" w:lineRule="auto"/>
        <w:ind w:firstLine="480" w:firstLineChars="200"/>
        <w:rPr>
          <w:rFonts w:hint="eastAsia" w:ascii="宋体" w:hAnsi="宋体" w:cs="宋体"/>
          <w:b/>
          <w:bCs/>
          <w:kern w:val="0"/>
          <w:sz w:val="24"/>
          <w:szCs w:val="24"/>
          <w:highlight w:val="none"/>
        </w:rPr>
      </w:pPr>
      <w:r>
        <w:rPr>
          <w:rFonts w:hint="eastAsia" w:ascii="宋体" w:hAnsi="宋体" w:cs="宋体"/>
          <w:sz w:val="24"/>
          <w:szCs w:val="24"/>
          <w:highlight w:val="none"/>
          <w:lang w:eastAsia="zh-CN"/>
        </w:rPr>
        <w:t>42</w:t>
      </w:r>
      <w:r>
        <w:rPr>
          <w:rFonts w:hint="eastAsia" w:ascii="宋体" w:hAnsi="宋体" w:cs="宋体"/>
          <w:sz w:val="24"/>
          <w:szCs w:val="24"/>
          <w:highlight w:val="none"/>
        </w:rPr>
        <w:t>.1 供应商不得虚假承诺，否则，按照提供虚假材料谋取中标处理。</w:t>
      </w:r>
    </w:p>
    <w:p w14:paraId="0FA3E182">
      <w:pPr>
        <w:snapToGrid w:val="0"/>
        <w:spacing w:line="360" w:lineRule="auto"/>
        <w:ind w:firstLine="482" w:firstLineChars="200"/>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H   义务、工作纪律</w:t>
      </w:r>
    </w:p>
    <w:p w14:paraId="5F912640">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43</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谈判</w:t>
      </w:r>
      <w:r>
        <w:rPr>
          <w:rFonts w:hint="eastAsia" w:ascii="宋体" w:hAnsi="宋体" w:cs="宋体"/>
          <w:b/>
          <w:bCs/>
          <w:sz w:val="24"/>
          <w:szCs w:val="24"/>
          <w:highlight w:val="none"/>
        </w:rPr>
        <w:t>小组在政府采购活动中承担以下义务：</w:t>
      </w:r>
    </w:p>
    <w:p w14:paraId="67E57EA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（一）遵守评审工作纪律；</w:t>
      </w:r>
    </w:p>
    <w:p w14:paraId="0773779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（二）按照客观、公正、审慎的原则，根据</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文件规定的评审程序、评审方法和评审标准进行独立评审；</w:t>
      </w:r>
    </w:p>
    <w:p w14:paraId="1E181DF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（三）不得泄露评审文件、评审情况和在评审过程中获悉的商业秘密；</w:t>
      </w:r>
    </w:p>
    <w:p w14:paraId="2FA5669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（四）及时向财政部门报告评审过程中发现的采购人、采购代理机构向评审专家做倾向性、误导性的解释或者说明，以及供应商行贿、提供虚假材料或者串通等违法行为；</w:t>
      </w:r>
    </w:p>
    <w:p w14:paraId="5E7D756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（五）发现</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文件内容违反国家有关强制性规定或者</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文件存在歧义、重大缺陷导致评审工作无法进行时，停止评审并向采购人或者采购代理机构书面说明情况；</w:t>
      </w:r>
    </w:p>
    <w:p w14:paraId="6DFB7FE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（六）及时向财政、监察等部门举报在评审过程中受到非法干预的情况；</w:t>
      </w:r>
    </w:p>
    <w:p w14:paraId="6EC0EEA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（七）配合答复处理供应商的询问、质疑和投诉等事项；</w:t>
      </w:r>
    </w:p>
    <w:p w14:paraId="2000036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（八）法律、法规和规章规定的其他义务。</w:t>
      </w:r>
    </w:p>
    <w:p w14:paraId="71CF532A">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谈判</w:t>
      </w:r>
      <w:r>
        <w:rPr>
          <w:rFonts w:hint="eastAsia" w:ascii="宋体" w:hAnsi="宋体" w:cs="宋体"/>
          <w:b/>
          <w:bCs/>
          <w:sz w:val="24"/>
          <w:szCs w:val="24"/>
          <w:highlight w:val="none"/>
        </w:rPr>
        <w:t>小组在政府采购活动中应当遵守以下工作纪律：</w:t>
      </w:r>
    </w:p>
    <w:p w14:paraId="71351F1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（一）不得参加与自己有《中华人民共和国政府采购法实施条例》第九条规定的利害关系的政府采购项目的评标活动。发现参加了与自己有利害关系的评审活动，须主动提出回避，退出评审；</w:t>
      </w:r>
    </w:p>
    <w:p w14:paraId="6377B40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（二）评审前，应当将通讯工具或者相关电子设备交由采购代理机构统一保管；</w:t>
      </w:r>
    </w:p>
    <w:p w14:paraId="4F7B604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（三）评审过程中，不得与外界联系，因发生不可预见情况，确实需要与外界联系的，应当在监督人员监督之下办理；</w:t>
      </w:r>
    </w:p>
    <w:p w14:paraId="383B9E3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（四）评审过程中，不得发表影响评审公正的倾向性、歧视性言论，不得征询或者接受采购人的倾向性意见，不得明示或暗示供应商在澄清时表达与其响应文件原义不同的意见，不得以</w:t>
      </w:r>
      <w:r>
        <w:rPr>
          <w:rFonts w:hint="eastAsia" w:ascii="宋体" w:hAnsi="宋体" w:cs="宋体"/>
          <w:sz w:val="24"/>
          <w:szCs w:val="24"/>
          <w:highlight w:val="none"/>
          <w:lang w:eastAsia="zh-CN"/>
        </w:rPr>
        <w:t>竞争性谈判</w:t>
      </w:r>
      <w:r>
        <w:rPr>
          <w:rFonts w:hint="eastAsia" w:ascii="宋体" w:hAnsi="宋体" w:cs="宋体"/>
          <w:sz w:val="24"/>
          <w:szCs w:val="24"/>
          <w:highlight w:val="none"/>
        </w:rPr>
        <w:t>文件没有规定的评审方法和标准作为评审的依据，不得修改或者细化评审程序、评审方法、评审因素和评审标准，不得违规撰写评审意见，不得拒绝对自己的评审意见签字确认；</w:t>
      </w:r>
    </w:p>
    <w:p w14:paraId="6775545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（五）在评审过程中和评审结束后，不得记录、复制或带走任何评审资料，不得向外界透露评审内容；</w:t>
      </w:r>
    </w:p>
    <w:p w14:paraId="2930FDF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（六）评审现场服从采购代理机构工作人员的管理，接受现场监督人员的合法监督；</w:t>
      </w:r>
    </w:p>
    <w:p w14:paraId="3F6E4738">
      <w:pPr>
        <w:spacing w:line="360" w:lineRule="auto"/>
        <w:ind w:firstLine="480" w:firstLineChars="200"/>
        <w:rPr>
          <w:rStyle w:val="27"/>
          <w:rFonts w:hint="eastAsia" w:ascii="宋体" w:hAnsi="宋体" w:eastAsia="宋体" w:cs="宋体"/>
          <w:sz w:val="44"/>
          <w:highlight w:val="none"/>
          <w:lang w:val="en-US" w:eastAsia="zh-CN"/>
        </w:rPr>
      </w:pPr>
      <w:r>
        <w:rPr>
          <w:rFonts w:hint="eastAsia" w:ascii="宋体" w:hAnsi="宋体" w:cs="宋体"/>
          <w:sz w:val="24"/>
          <w:szCs w:val="24"/>
          <w:highlight w:val="none"/>
        </w:rPr>
        <w:t>（七）遵守有关廉洁自律规定，不得私下接触供应商，不得收受供应商及有关业务单位和个人的财物或好处，不得接受采购代理机构的请托。</w:t>
      </w:r>
      <w:bookmarkStart w:id="249" w:name="_Toc747"/>
      <w:bookmarkStart w:id="250" w:name="_Toc26948"/>
      <w:bookmarkStart w:id="251" w:name="_Toc10597"/>
      <w:bookmarkStart w:id="252" w:name="_Toc21073"/>
    </w:p>
    <w:p w14:paraId="05123B07">
      <w:pPr>
        <w:numPr>
          <w:ilvl w:val="0"/>
          <w:numId w:val="0"/>
        </w:numPr>
        <w:spacing w:line="360" w:lineRule="auto"/>
        <w:jc w:val="both"/>
        <w:rPr>
          <w:rFonts w:hint="eastAsia" w:ascii="宋体" w:hAnsi="宋体" w:eastAsia="宋体" w:cs="宋体"/>
          <w:b/>
          <w:bCs/>
          <w:kern w:val="0"/>
          <w:sz w:val="36"/>
          <w:szCs w:val="36"/>
          <w:highlight w:val="none"/>
          <w:lang w:val="en-US" w:eastAsia="zh-CN" w:bidi="ar-SA"/>
        </w:rPr>
      </w:pPr>
    </w:p>
    <w:p w14:paraId="5E83FACA">
      <w:pPr>
        <w:rPr>
          <w:rFonts w:hint="eastAsia"/>
          <w:highlight w:val="yellow"/>
          <w:lang w:val="en-US" w:eastAsia="zh-CN"/>
        </w:rPr>
      </w:pPr>
      <w:r>
        <w:rPr>
          <w:rFonts w:hint="eastAsia"/>
          <w:highlight w:val="yellow"/>
          <w:lang w:val="en-US" w:eastAsia="zh-CN"/>
        </w:rPr>
        <w:br w:type="page"/>
      </w:r>
    </w:p>
    <w:p w14:paraId="6FED6DE5">
      <w:pPr>
        <w:pStyle w:val="2"/>
        <w:bidi w:val="0"/>
        <w:rPr>
          <w:rFonts w:hint="eastAsia"/>
          <w:highlight w:val="none"/>
          <w:lang w:val="en-US" w:eastAsia="zh-CN"/>
        </w:rPr>
      </w:pPr>
      <w:bookmarkStart w:id="253" w:name="_Toc1256"/>
      <w:r>
        <w:rPr>
          <w:rFonts w:hint="eastAsia"/>
          <w:highlight w:val="none"/>
          <w:lang w:val="en-US" w:eastAsia="zh-CN"/>
        </w:rPr>
        <w:t>第三章、项目采购需求</w:t>
      </w:r>
      <w:bookmarkEnd w:id="249"/>
      <w:bookmarkEnd w:id="250"/>
      <w:bookmarkEnd w:id="251"/>
      <w:bookmarkEnd w:id="252"/>
      <w:bookmarkEnd w:id="253"/>
      <w:bookmarkStart w:id="254" w:name="_Toc6481"/>
      <w:bookmarkStart w:id="255" w:name="_Toc490672253"/>
      <w:bookmarkStart w:id="256" w:name="_Toc15242"/>
      <w:bookmarkStart w:id="257" w:name="_Toc13200"/>
      <w:bookmarkStart w:id="258" w:name="_Toc14376"/>
    </w:p>
    <w:bookmarkEnd w:id="254"/>
    <w:bookmarkEnd w:id="255"/>
    <w:bookmarkEnd w:id="256"/>
    <w:bookmarkEnd w:id="257"/>
    <w:bookmarkEnd w:id="258"/>
    <w:p w14:paraId="4A4AD0F0">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259" w:name="_Toc1699"/>
      <w:bookmarkStart w:id="260" w:name="_Toc29406"/>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总则</w:t>
      </w:r>
    </w:p>
    <w:p w14:paraId="12AB5C6D">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1.1本章条款仅限于</w:t>
      </w:r>
      <w:r>
        <w:rPr>
          <w:rFonts w:hint="eastAsia" w:ascii="宋体" w:hAnsi="宋体" w:cs="宋体"/>
          <w:color w:val="auto"/>
          <w:sz w:val="24"/>
          <w:highlight w:val="none"/>
          <w:lang w:eastAsia="zh-CN"/>
        </w:rPr>
        <w:t>气象服务保障经费</w:t>
      </w:r>
      <w:r>
        <w:rPr>
          <w:rFonts w:hint="eastAsia" w:ascii="宋体" w:hAnsi="宋体" w:eastAsia="宋体" w:cs="宋体"/>
          <w:color w:val="auto"/>
          <w:sz w:val="24"/>
          <w:highlight w:val="none"/>
        </w:rPr>
        <w:t>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w:t>
      </w:r>
    </w:p>
    <w:p w14:paraId="4399A751">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1.2本章条款提出的是最低限度的技术要求，并未对一切技术细节做出规定，也未引述有关规范条文，</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不得以本文件未提出要求为理由而规避国家和行业强制规范、标准的规定，</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应保证提供符合本章条款和相关标准的服务。</w:t>
      </w:r>
    </w:p>
    <w:p w14:paraId="3BC9E04F">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1.3如果</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没有以书面形式对本章条款提出异议，</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就可以认为</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提供的成果符合本章条款的要求。</w:t>
      </w:r>
    </w:p>
    <w:p w14:paraId="2FE31B5F">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rPr>
        <w:t>中，应对</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rPr>
        <w:t>中的服务进行详细的说明。</w:t>
      </w:r>
    </w:p>
    <w:p w14:paraId="33D60936">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1.5在签订合同之后，</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有权提出因规范标准有变化而产生的一些补充要求。</w:t>
      </w:r>
    </w:p>
    <w:p w14:paraId="1B04290C">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1.6本章条款使用标准如与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所执行标准发生矛盾时，按较高标准执行。</w:t>
      </w:r>
    </w:p>
    <w:p w14:paraId="71055C92">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261" w:name="_Toc3375"/>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执行的规范和标准</w:t>
      </w:r>
      <w:bookmarkEnd w:id="261"/>
    </w:p>
    <w:p w14:paraId="70A6FC5C">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本项目必须遵循国家规范和标准并应按最新版本执行，若标准、规范出现矛盾时，以最新、最高标准规范执行。</w:t>
      </w:r>
    </w:p>
    <w:p w14:paraId="549D2C52">
      <w:pPr>
        <w:pageBreakBefore w:val="0"/>
        <w:numPr>
          <w:ilvl w:val="0"/>
          <w:numId w:val="3"/>
        </w:numPr>
        <w:kinsoku/>
        <w:wordWrap/>
        <w:overflowPunct/>
        <w:topLinePunct w:val="0"/>
        <w:bidi w:val="0"/>
        <w:adjustRightInd/>
        <w:snapToGrid/>
        <w:spacing w:line="360" w:lineRule="auto"/>
        <w:textAlignment w:val="auto"/>
        <w:rPr>
          <w:rFonts w:hint="eastAsia" w:ascii="宋体" w:hAnsi="宋体" w:eastAsia="宋体" w:cs="宋体"/>
          <w:i w:val="0"/>
          <w:iCs w:val="0"/>
          <w:color w:val="auto"/>
          <w:kern w:val="2"/>
          <w:sz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采购需求</w:t>
      </w:r>
    </w:p>
    <w:p w14:paraId="4D764856">
      <w:pPr>
        <w:keepNext w:val="0"/>
        <w:keepLines w:val="0"/>
        <w:pageBreakBefore w:val="0"/>
        <w:widowControl w:val="0"/>
        <w:kinsoku/>
        <w:wordWrap/>
        <w:overflowPunct/>
        <w:topLinePunct w:val="0"/>
        <w:autoSpaceDE/>
        <w:autoSpaceDN/>
        <w:bidi/>
        <w:adjustRightInd/>
        <w:snapToGrid/>
        <w:spacing w:line="360" w:lineRule="auto"/>
        <w:ind w:left="479" w:leftChars="228" w:firstLine="1200" w:firstLineChars="500"/>
        <w:jc w:val="right"/>
        <w:textAlignment w:val="auto"/>
        <w:rPr>
          <w:rFonts w:hint="eastAsia" w:ascii="宋体" w:hAnsi="宋体" w:cs="宋体"/>
          <w:color w:val="auto"/>
          <w:sz w:val="24"/>
        </w:rPr>
      </w:pPr>
      <w:r>
        <w:rPr>
          <w:rFonts w:hint="eastAsia" w:ascii="宋体" w:hAnsi="宋体" w:cs="宋体"/>
          <w:color w:val="auto"/>
          <w:sz w:val="24"/>
        </w:rPr>
        <w:t xml:space="preserve">3.1采购需求名称：闪电定位仪  </w:t>
      </w:r>
    </w:p>
    <w:p w14:paraId="12550024">
      <w:pPr>
        <w:bidi/>
        <w:spacing w:line="360" w:lineRule="auto"/>
        <w:ind w:left="479" w:leftChars="228"/>
        <w:jc w:val="right"/>
        <w:rPr>
          <w:rFonts w:hint="eastAsia" w:ascii="宋体" w:hAnsi="宋体" w:cs="宋体"/>
          <w:color w:val="auto"/>
          <w:sz w:val="24"/>
        </w:rPr>
      </w:pPr>
      <w:r>
        <w:rPr>
          <w:rFonts w:hint="eastAsia" w:ascii="宋体" w:hAnsi="宋体" w:cs="宋体"/>
          <w:color w:val="auto"/>
          <w:sz w:val="24"/>
        </w:rPr>
        <w:t>3.2采购需求数量：3套</w:t>
      </w:r>
      <w:r>
        <w:rPr>
          <w:rFonts w:hint="eastAsia" w:ascii="宋体" w:hAnsi="宋体" w:cs="宋体"/>
          <w:color w:val="auto"/>
          <w:sz w:val="24"/>
        </w:rPr>
        <w:br w:type="textWrapping"/>
      </w:r>
      <w:r>
        <w:rPr>
          <w:rFonts w:hint="eastAsia" w:ascii="宋体" w:hAnsi="宋体" w:cs="宋体"/>
          <w:color w:val="auto"/>
          <w:sz w:val="24"/>
        </w:rPr>
        <w:t>3.3采购需求功能或目标：在新疆克拉玛依建</w:t>
      </w:r>
      <w:r>
        <w:rPr>
          <w:rFonts w:hint="eastAsia" w:ascii="宋体" w:hAnsi="宋体" w:cs="宋体"/>
          <w:color w:val="auto"/>
          <w:sz w:val="24"/>
          <w:lang w:eastAsia="zh-CN"/>
        </w:rPr>
        <w:t>设</w:t>
      </w:r>
      <w:r>
        <w:rPr>
          <w:rFonts w:hint="eastAsia" w:ascii="宋体" w:hAnsi="宋体" w:cs="宋体"/>
          <w:color w:val="auto"/>
          <w:sz w:val="24"/>
        </w:rPr>
        <w:t>3套全波形三维闪电仪，对现有克拉玛依雷电预警系统进行站网补充，</w:t>
      </w:r>
      <w:r>
        <w:rPr>
          <w:rFonts w:hint="eastAsia" w:ascii="宋体" w:hAnsi="宋体" w:cs="宋体"/>
          <w:color w:val="auto"/>
          <w:sz w:val="24"/>
          <w:lang w:eastAsia="zh-CN"/>
        </w:rPr>
        <w:t>能与</w:t>
      </w:r>
      <w:r>
        <w:rPr>
          <w:rFonts w:hint="eastAsia" w:ascii="宋体" w:hAnsi="宋体" w:cs="宋体"/>
          <w:color w:val="auto"/>
          <w:sz w:val="24"/>
          <w:lang w:val="en-US" w:eastAsia="zh-CN"/>
        </w:rPr>
        <w:t>现有雷电预警系统进行匹配使用，</w:t>
      </w:r>
      <w:r>
        <w:rPr>
          <w:rFonts w:hint="eastAsia" w:ascii="宋体" w:hAnsi="宋体" w:cs="宋体"/>
          <w:color w:val="auto"/>
          <w:sz w:val="24"/>
        </w:rPr>
        <w:t>能</w:t>
      </w:r>
      <w:r>
        <w:rPr>
          <w:rFonts w:hint="eastAsia" w:ascii="宋体" w:hAnsi="宋体" w:cs="宋体"/>
          <w:color w:val="auto"/>
          <w:sz w:val="24"/>
          <w:lang w:eastAsia="zh-CN"/>
        </w:rPr>
        <w:t>达成</w:t>
      </w:r>
      <w:r>
        <w:rPr>
          <w:rFonts w:hint="eastAsia" w:ascii="宋体" w:hAnsi="宋体" w:cs="宋体"/>
          <w:color w:val="auto"/>
          <w:sz w:val="24"/>
        </w:rPr>
        <w:t>组网应用</w:t>
      </w:r>
      <w:r>
        <w:rPr>
          <w:rFonts w:hint="eastAsia" w:ascii="宋体" w:hAnsi="宋体" w:cs="宋体"/>
          <w:color w:val="auto"/>
          <w:sz w:val="24"/>
          <w:lang w:eastAsia="zh-CN"/>
        </w:rPr>
        <w:t>效果</w:t>
      </w:r>
      <w:r>
        <w:rPr>
          <w:rFonts w:hint="eastAsia" w:ascii="宋体" w:hAnsi="宋体" w:cs="宋体"/>
          <w:color w:val="auto"/>
          <w:sz w:val="24"/>
        </w:rPr>
        <w:t>，精准定位，实现人工影响天气工作过程中，通过对对流性天气中包含的雷电活动的监测，判断降水发生的时间、落区和演变趋势，从而有效提升人工影响天气的效能，节省人力物力和财力的损耗。</w:t>
      </w:r>
      <w:r>
        <w:rPr>
          <w:rFonts w:hint="eastAsia" w:ascii="宋体" w:hAnsi="宋体" w:cs="宋体"/>
          <w:color w:val="auto"/>
          <w:sz w:val="24"/>
        </w:rPr>
        <w:br w:type="textWrapping"/>
      </w:r>
      <w:r>
        <w:rPr>
          <w:rFonts w:hint="eastAsia" w:ascii="宋体" w:hAnsi="宋体" w:cs="宋体"/>
          <w:color w:val="auto"/>
          <w:sz w:val="24"/>
          <w:lang w:val="en-US" w:eastAsia="zh-CN"/>
        </w:rPr>
        <w:t>3.4</w:t>
      </w:r>
      <w:r>
        <w:rPr>
          <w:rFonts w:hint="eastAsia" w:ascii="宋体" w:hAnsi="宋体" w:cs="宋体"/>
          <w:color w:val="auto"/>
          <w:sz w:val="24"/>
        </w:rPr>
        <w:t>需满足的要求：本次采购的全波形三维闪电定位仪设备</w:t>
      </w:r>
      <w:r>
        <w:rPr>
          <w:rFonts w:hint="eastAsia" w:ascii="宋体" w:hAnsi="宋体" w:cs="宋体"/>
          <w:color w:val="auto"/>
          <w:sz w:val="24"/>
          <w:lang w:eastAsia="zh-CN"/>
        </w:rPr>
        <w:t>必须</w:t>
      </w:r>
      <w:r>
        <w:rPr>
          <w:rFonts w:hint="eastAsia" w:ascii="宋体" w:hAnsi="宋体" w:cs="宋体"/>
          <w:color w:val="auto"/>
          <w:sz w:val="24"/>
        </w:rPr>
        <w:t>包含实现数据接收、处理和存贮</w:t>
      </w:r>
      <w:r>
        <w:rPr>
          <w:rFonts w:hint="eastAsia" w:ascii="宋体" w:hAnsi="宋体" w:cs="宋体"/>
          <w:color w:val="auto"/>
          <w:sz w:val="24"/>
          <w:lang w:eastAsia="zh-CN"/>
        </w:rPr>
        <w:t>、并开发可视化、互动式平台，所开发的平台必须能实现和克拉玛依现有的闪电定位仪</w:t>
      </w:r>
      <w:r>
        <w:rPr>
          <w:rFonts w:hint="eastAsia" w:ascii="宋体" w:hAnsi="宋体" w:cs="宋体"/>
          <w:color w:val="auto"/>
          <w:sz w:val="24"/>
        </w:rPr>
        <w:t>监测</w:t>
      </w:r>
      <w:r>
        <w:rPr>
          <w:rFonts w:hint="eastAsia" w:ascii="宋体" w:hAnsi="宋体" w:cs="宋体"/>
          <w:color w:val="auto"/>
          <w:sz w:val="24"/>
          <w:lang w:eastAsia="zh-CN"/>
        </w:rPr>
        <w:t>系统兼容，能同平台显示涵盖</w:t>
      </w:r>
      <w:r>
        <w:rPr>
          <w:rFonts w:hint="eastAsia" w:ascii="宋体" w:hAnsi="宋体" w:cs="宋体"/>
          <w:color w:val="auto"/>
          <w:sz w:val="24"/>
        </w:rPr>
        <w:t>准噶尔盆地</w:t>
      </w:r>
      <w:r>
        <w:rPr>
          <w:rFonts w:hint="eastAsia" w:ascii="宋体" w:hAnsi="宋体" w:cs="宋体"/>
          <w:color w:val="auto"/>
          <w:sz w:val="24"/>
          <w:lang w:eastAsia="zh-CN"/>
        </w:rPr>
        <w:t>全境的闪电定位仪和大气电场仪的探测情况</w:t>
      </w:r>
      <w:r>
        <w:rPr>
          <w:rFonts w:hint="eastAsia" w:ascii="宋体" w:hAnsi="宋体" w:cs="宋体"/>
          <w:color w:val="auto"/>
          <w:sz w:val="24"/>
        </w:rPr>
        <w:t>，能实现</w:t>
      </w:r>
      <w:r>
        <w:rPr>
          <w:rFonts w:hint="eastAsia" w:ascii="宋体" w:hAnsi="宋体" w:cs="宋体"/>
          <w:color w:val="auto"/>
          <w:sz w:val="24"/>
          <w:lang w:eastAsia="zh-CN"/>
        </w:rPr>
        <w:t>准噶尔盆地</w:t>
      </w:r>
      <w:r>
        <w:rPr>
          <w:rFonts w:hint="eastAsia" w:ascii="宋体" w:hAnsi="宋体" w:cs="宋体"/>
          <w:color w:val="auto"/>
          <w:sz w:val="24"/>
        </w:rPr>
        <w:t>区域的雷电发生</w:t>
      </w:r>
      <w:r>
        <w:rPr>
          <w:rFonts w:hint="eastAsia" w:ascii="宋体" w:hAnsi="宋体" w:cs="宋体"/>
          <w:color w:val="auto"/>
          <w:sz w:val="24"/>
          <w:lang w:eastAsia="zh-CN"/>
        </w:rPr>
        <w:t>时对雷电的精准定位和</w:t>
      </w:r>
      <w:r>
        <w:rPr>
          <w:rFonts w:hint="eastAsia" w:ascii="宋体" w:hAnsi="宋体" w:cs="宋体"/>
          <w:color w:val="auto"/>
          <w:sz w:val="24"/>
        </w:rPr>
        <w:t>实时</w:t>
      </w:r>
      <w:r>
        <w:rPr>
          <w:rFonts w:hint="eastAsia" w:ascii="宋体" w:hAnsi="宋体" w:cs="宋体"/>
          <w:color w:val="auto"/>
          <w:sz w:val="24"/>
          <w:lang w:eastAsia="zh-CN"/>
        </w:rPr>
        <w:t>报警，同时全套组网探测</w:t>
      </w:r>
      <w:r>
        <w:rPr>
          <w:rFonts w:hint="eastAsia" w:ascii="宋体" w:hAnsi="宋体" w:cs="宋体"/>
          <w:color w:val="auto"/>
          <w:sz w:val="24"/>
        </w:rPr>
        <w:t>数据必须通过专用网络和服务器安全、实时的写入克拉玛依市气象局</w:t>
      </w:r>
      <w:r>
        <w:rPr>
          <w:rFonts w:hint="eastAsia" w:ascii="宋体" w:hAnsi="宋体" w:cs="宋体"/>
          <w:color w:val="auto"/>
          <w:sz w:val="24"/>
          <w:lang w:eastAsia="zh-CN"/>
        </w:rPr>
        <w:t>雷电预警系统的</w:t>
      </w:r>
      <w:r>
        <w:rPr>
          <w:rFonts w:hint="eastAsia" w:ascii="宋体" w:hAnsi="宋体" w:cs="宋体"/>
          <w:color w:val="auto"/>
          <w:sz w:val="24"/>
        </w:rPr>
        <w:t>数据库。</w:t>
      </w:r>
    </w:p>
    <w:p w14:paraId="5C34A6CE">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3.5</w:t>
      </w:r>
      <w:r>
        <w:rPr>
          <w:rFonts w:hint="eastAsia" w:ascii="宋体" w:hAnsi="宋体" w:cs="宋体"/>
          <w:color w:val="auto"/>
          <w:sz w:val="24"/>
        </w:rPr>
        <w:t>技术参数：部署中心站数据库服务器，</w:t>
      </w:r>
      <w:r>
        <w:rPr>
          <w:rFonts w:hint="eastAsia" w:ascii="宋体" w:hAnsi="宋体" w:cs="宋体"/>
          <w:color w:val="auto"/>
          <w:sz w:val="24"/>
          <w:lang w:eastAsia="zh-CN"/>
        </w:rPr>
        <w:t>覆盖准噶尔盆地的</w:t>
      </w:r>
      <w:r>
        <w:rPr>
          <w:rFonts w:hint="eastAsia" w:ascii="宋体" w:hAnsi="宋体" w:cs="宋体"/>
          <w:color w:val="auto"/>
          <w:sz w:val="24"/>
        </w:rPr>
        <w:t>闪电定位数据本地落地；升级原有的雷电预警系统软件，</w:t>
      </w:r>
      <w:r>
        <w:rPr>
          <w:rFonts w:hint="eastAsia" w:ascii="宋体" w:hAnsi="宋体" w:cs="宋体"/>
          <w:color w:val="auto"/>
          <w:sz w:val="24"/>
          <w:lang w:eastAsia="zh-CN"/>
        </w:rPr>
        <w:t>或者开发新的能实现包含闪电定位仪、大气电场仪、多普勒雷达等监测资料共同显示的交互式显示平台</w:t>
      </w:r>
      <w:r>
        <w:rPr>
          <w:rFonts w:hint="eastAsia" w:ascii="宋体" w:hAnsi="宋体" w:cs="宋体"/>
          <w:color w:val="auto"/>
          <w:sz w:val="24"/>
        </w:rPr>
        <w:t>，实现雷电综合预警；接入大风、沙尘等资料预警信号及软件展示，具有数据存储</w:t>
      </w:r>
      <w:r>
        <w:rPr>
          <w:rFonts w:hint="eastAsia" w:ascii="宋体" w:hAnsi="宋体" w:cs="宋体"/>
          <w:color w:val="auto"/>
          <w:sz w:val="24"/>
          <w:lang w:eastAsia="zh-CN"/>
        </w:rPr>
        <w:t>、</w:t>
      </w:r>
      <w:r>
        <w:rPr>
          <w:rFonts w:hint="eastAsia" w:ascii="宋体" w:hAnsi="宋体" w:cs="宋体"/>
          <w:color w:val="auto"/>
          <w:sz w:val="24"/>
        </w:rPr>
        <w:t>查询</w:t>
      </w:r>
      <w:r>
        <w:rPr>
          <w:rFonts w:hint="eastAsia" w:ascii="宋体" w:hAnsi="宋体" w:cs="宋体"/>
          <w:color w:val="auto"/>
          <w:sz w:val="24"/>
          <w:lang w:eastAsia="zh-CN"/>
        </w:rPr>
        <w:t>、统计和</w:t>
      </w:r>
      <w:r>
        <w:rPr>
          <w:rFonts w:hint="eastAsia" w:ascii="宋体" w:hAnsi="宋体" w:cs="宋体"/>
          <w:color w:val="auto"/>
          <w:sz w:val="24"/>
        </w:rPr>
        <w:t>分析功能；接入气象预警装置，能实现平台至专业服务对象之间的可视化硬件告警功能，并开发好第三方接口</w:t>
      </w:r>
      <w:r>
        <w:rPr>
          <w:rFonts w:hint="eastAsia" w:ascii="宋体" w:hAnsi="宋体" w:cs="宋体"/>
          <w:color w:val="auto"/>
          <w:sz w:val="24"/>
          <w:lang w:eastAsia="zh-CN"/>
        </w:rPr>
        <w:t>；设备技术指标如表</w:t>
      </w:r>
      <w:r>
        <w:rPr>
          <w:rFonts w:hint="eastAsia" w:ascii="宋体" w:hAnsi="宋体" w:cs="宋体"/>
          <w:color w:val="auto"/>
          <w:sz w:val="24"/>
          <w:lang w:val="en-US" w:eastAsia="zh-CN"/>
        </w:rPr>
        <w:t>1。</w:t>
      </w:r>
    </w:p>
    <w:p w14:paraId="656FCB35">
      <w:pPr>
        <w:spacing w:line="360" w:lineRule="auto"/>
        <w:jc w:val="center"/>
        <w:rPr>
          <w:rFonts w:hint="eastAsia" w:ascii="宋体" w:hAnsi="宋体" w:cs="宋体"/>
          <w:b/>
          <w:bCs/>
          <w:color w:val="auto"/>
          <w:sz w:val="24"/>
          <w:szCs w:val="24"/>
          <w:lang w:val="zh-CN"/>
        </w:rPr>
      </w:pPr>
      <w:r>
        <w:rPr>
          <w:rFonts w:ascii="宋体" w:hAnsi="宋体" w:cs="宋体"/>
          <w:b/>
          <w:bCs/>
          <w:color w:val="auto"/>
          <w:sz w:val="24"/>
          <w:szCs w:val="24"/>
          <w:lang w:val="zh-CN"/>
        </w:rPr>
        <w:t>表</w:t>
      </w:r>
      <w:r>
        <w:rPr>
          <w:rFonts w:hint="eastAsia" w:ascii="宋体" w:hAnsi="宋体" w:cs="宋体"/>
          <w:b/>
          <w:bCs/>
          <w:color w:val="auto"/>
          <w:sz w:val="24"/>
          <w:szCs w:val="24"/>
          <w:lang w:val="zh-CN"/>
        </w:rPr>
        <w:t>1</w:t>
      </w:r>
      <w:r>
        <w:rPr>
          <w:rFonts w:ascii="宋体" w:hAnsi="宋体" w:cs="宋体"/>
          <w:b/>
          <w:bCs/>
          <w:color w:val="auto"/>
          <w:sz w:val="24"/>
          <w:szCs w:val="24"/>
          <w:lang w:val="zh-CN"/>
        </w:rPr>
        <w:t xml:space="preserve"> </w:t>
      </w:r>
      <w:r>
        <w:rPr>
          <w:b/>
          <w:color w:val="auto"/>
          <w:sz w:val="24"/>
          <w:szCs w:val="24"/>
        </w:rPr>
        <w:t>全波形三维雷电探测站技术指标</w:t>
      </w:r>
    </w:p>
    <w:tbl>
      <w:tblPr>
        <w:tblStyle w:val="22"/>
        <w:tblW w:w="7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5037"/>
      </w:tblGrid>
      <w:tr w14:paraId="2250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67B9A131">
            <w:pPr>
              <w:rPr>
                <w:rFonts w:hint="eastAsia" w:ascii="宋体" w:hAnsi="宋体"/>
                <w:bCs/>
                <w:color w:val="auto"/>
                <w:kern w:val="0"/>
                <w:sz w:val="24"/>
                <w:szCs w:val="21"/>
              </w:rPr>
            </w:pPr>
            <w:r>
              <w:rPr>
                <w:rFonts w:hint="eastAsia" w:ascii="宋体" w:hAnsi="宋体"/>
                <w:bCs/>
                <w:color w:val="auto"/>
                <w:kern w:val="0"/>
                <w:sz w:val="24"/>
                <w:szCs w:val="21"/>
              </w:rPr>
              <w:t>闪电类型</w:t>
            </w:r>
          </w:p>
        </w:tc>
        <w:tc>
          <w:tcPr>
            <w:tcW w:w="5037" w:type="dxa"/>
            <w:shd w:val="clear" w:color="auto" w:fill="auto"/>
            <w:noWrap/>
            <w:vAlign w:val="center"/>
          </w:tcPr>
          <w:p w14:paraId="35070DD5">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云闪、云地闪、袖珍云闪</w:t>
            </w:r>
          </w:p>
        </w:tc>
      </w:tr>
      <w:tr w14:paraId="5E75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56F5D936">
            <w:pPr>
              <w:rPr>
                <w:rFonts w:hint="eastAsia" w:ascii="宋体" w:hAnsi="宋体"/>
                <w:bCs/>
                <w:color w:val="auto"/>
                <w:kern w:val="0"/>
                <w:sz w:val="24"/>
                <w:szCs w:val="21"/>
              </w:rPr>
            </w:pPr>
            <w:r>
              <w:rPr>
                <w:rFonts w:hint="eastAsia" w:ascii="宋体" w:hAnsi="宋体"/>
                <w:bCs/>
                <w:color w:val="auto"/>
                <w:kern w:val="0"/>
                <w:sz w:val="24"/>
                <w:szCs w:val="21"/>
              </w:rPr>
              <w:t>探测效率</w:t>
            </w:r>
          </w:p>
        </w:tc>
        <w:tc>
          <w:tcPr>
            <w:tcW w:w="5037" w:type="dxa"/>
            <w:shd w:val="clear" w:color="auto" w:fill="auto"/>
            <w:noWrap/>
            <w:vAlign w:val="center"/>
          </w:tcPr>
          <w:p w14:paraId="481492A0">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云地闪≥95%，云闪≥70%</w:t>
            </w:r>
          </w:p>
        </w:tc>
      </w:tr>
      <w:tr w14:paraId="0301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35ED1B2C">
            <w:pPr>
              <w:rPr>
                <w:rFonts w:hint="eastAsia" w:ascii="宋体" w:hAnsi="宋体"/>
                <w:bCs/>
                <w:color w:val="auto"/>
                <w:kern w:val="0"/>
                <w:sz w:val="24"/>
                <w:szCs w:val="21"/>
              </w:rPr>
            </w:pPr>
            <w:r>
              <w:rPr>
                <w:rFonts w:hint="eastAsia" w:ascii="宋体" w:hAnsi="宋体"/>
                <w:bCs/>
                <w:color w:val="auto"/>
                <w:kern w:val="0"/>
                <w:sz w:val="24"/>
                <w:szCs w:val="21"/>
              </w:rPr>
              <w:t>定位精度</w:t>
            </w:r>
          </w:p>
        </w:tc>
        <w:tc>
          <w:tcPr>
            <w:tcW w:w="5037" w:type="dxa"/>
            <w:shd w:val="clear" w:color="auto" w:fill="auto"/>
            <w:noWrap/>
            <w:vAlign w:val="center"/>
          </w:tcPr>
          <w:p w14:paraId="1D17EF9D">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与地势相关，平均定位精度500m（无遮挡）</w:t>
            </w:r>
          </w:p>
        </w:tc>
      </w:tr>
      <w:tr w14:paraId="0ED9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2FB3C920">
            <w:pPr>
              <w:rPr>
                <w:rFonts w:hint="eastAsia" w:ascii="宋体" w:hAnsi="宋体"/>
                <w:bCs/>
                <w:color w:val="auto"/>
                <w:kern w:val="0"/>
                <w:sz w:val="24"/>
                <w:szCs w:val="21"/>
              </w:rPr>
            </w:pPr>
            <w:r>
              <w:rPr>
                <w:rFonts w:hint="eastAsia" w:ascii="宋体" w:hAnsi="宋体"/>
                <w:bCs/>
                <w:color w:val="auto"/>
                <w:kern w:val="0"/>
                <w:sz w:val="24"/>
                <w:szCs w:val="21"/>
              </w:rPr>
              <w:t>信号及频率范围</w:t>
            </w:r>
          </w:p>
        </w:tc>
        <w:tc>
          <w:tcPr>
            <w:tcW w:w="5037" w:type="dxa"/>
            <w:shd w:val="clear" w:color="auto" w:fill="auto"/>
            <w:noWrap/>
            <w:vAlign w:val="center"/>
          </w:tcPr>
          <w:p w14:paraId="7BF47F12">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磁场、电场，带宽3kHz～350kHz</w:t>
            </w:r>
          </w:p>
        </w:tc>
      </w:tr>
      <w:tr w14:paraId="79B7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239461AD">
            <w:pPr>
              <w:rPr>
                <w:rFonts w:hint="eastAsia" w:ascii="宋体" w:hAnsi="宋体"/>
                <w:bCs/>
                <w:color w:val="auto"/>
                <w:kern w:val="0"/>
                <w:sz w:val="24"/>
                <w:szCs w:val="21"/>
              </w:rPr>
            </w:pPr>
            <w:r>
              <w:rPr>
                <w:rFonts w:hint="eastAsia" w:ascii="宋体" w:hAnsi="宋体"/>
                <w:bCs/>
                <w:color w:val="auto"/>
                <w:kern w:val="0"/>
                <w:sz w:val="24"/>
                <w:szCs w:val="21"/>
              </w:rPr>
              <w:t>AD采样参数</w:t>
            </w:r>
          </w:p>
        </w:tc>
        <w:tc>
          <w:tcPr>
            <w:tcW w:w="5037" w:type="dxa"/>
            <w:shd w:val="clear" w:color="auto" w:fill="auto"/>
            <w:noWrap/>
            <w:vAlign w:val="center"/>
          </w:tcPr>
          <w:p w14:paraId="3F13D517">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数字分频，最多16通道</w:t>
            </w:r>
          </w:p>
        </w:tc>
      </w:tr>
      <w:tr w14:paraId="46BD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045FB2C0">
            <w:pPr>
              <w:rPr>
                <w:rFonts w:hint="eastAsia" w:ascii="宋体" w:hAnsi="宋体"/>
                <w:bCs/>
                <w:color w:val="auto"/>
                <w:kern w:val="0"/>
                <w:sz w:val="24"/>
                <w:szCs w:val="21"/>
              </w:rPr>
            </w:pPr>
            <w:r>
              <w:rPr>
                <w:rFonts w:hint="eastAsia" w:ascii="宋体" w:hAnsi="宋体"/>
                <w:bCs/>
                <w:color w:val="auto"/>
                <w:kern w:val="0"/>
                <w:sz w:val="24"/>
                <w:szCs w:val="21"/>
              </w:rPr>
              <w:t>采样率</w:t>
            </w:r>
          </w:p>
        </w:tc>
        <w:tc>
          <w:tcPr>
            <w:tcW w:w="5037" w:type="dxa"/>
            <w:shd w:val="clear" w:color="auto" w:fill="auto"/>
            <w:noWrap/>
            <w:vAlign w:val="center"/>
          </w:tcPr>
          <w:p w14:paraId="0FE7ACD6">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≧2Msps</w:t>
            </w:r>
          </w:p>
        </w:tc>
      </w:tr>
      <w:tr w14:paraId="1D6C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0CB4BC94">
            <w:pPr>
              <w:rPr>
                <w:rFonts w:hint="eastAsia" w:ascii="宋体" w:hAnsi="宋体"/>
                <w:bCs/>
                <w:color w:val="auto"/>
                <w:kern w:val="0"/>
                <w:sz w:val="24"/>
                <w:szCs w:val="21"/>
              </w:rPr>
            </w:pPr>
            <w:r>
              <w:rPr>
                <w:rFonts w:hint="eastAsia" w:ascii="宋体" w:hAnsi="宋体"/>
                <w:bCs/>
                <w:color w:val="auto"/>
                <w:kern w:val="0"/>
                <w:sz w:val="24"/>
                <w:szCs w:val="21"/>
              </w:rPr>
              <w:t>采样方式</w:t>
            </w:r>
          </w:p>
        </w:tc>
        <w:tc>
          <w:tcPr>
            <w:tcW w:w="5037" w:type="dxa"/>
            <w:shd w:val="clear" w:color="auto" w:fill="auto"/>
            <w:noWrap/>
            <w:vAlign w:val="center"/>
          </w:tcPr>
          <w:p w14:paraId="7EACB0D2">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连续触发采样</w:t>
            </w:r>
          </w:p>
        </w:tc>
      </w:tr>
      <w:tr w14:paraId="09F0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3CE51EFA">
            <w:pPr>
              <w:rPr>
                <w:rFonts w:hint="eastAsia" w:ascii="宋体" w:hAnsi="宋体"/>
                <w:bCs/>
                <w:color w:val="auto"/>
                <w:kern w:val="0"/>
                <w:sz w:val="24"/>
                <w:szCs w:val="21"/>
              </w:rPr>
            </w:pPr>
            <w:r>
              <w:rPr>
                <w:rFonts w:hint="eastAsia" w:ascii="宋体" w:hAnsi="宋体"/>
                <w:bCs/>
                <w:color w:val="auto"/>
                <w:kern w:val="0"/>
                <w:sz w:val="24"/>
                <w:szCs w:val="21"/>
              </w:rPr>
              <w:t>采样长度</w:t>
            </w:r>
          </w:p>
        </w:tc>
        <w:tc>
          <w:tcPr>
            <w:tcW w:w="5037" w:type="dxa"/>
            <w:shd w:val="clear" w:color="auto" w:fill="auto"/>
            <w:noWrap/>
            <w:vAlign w:val="center"/>
          </w:tcPr>
          <w:p w14:paraId="0E48BEC0">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≧1min</w:t>
            </w:r>
          </w:p>
        </w:tc>
      </w:tr>
      <w:tr w14:paraId="3D82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4B6A700F">
            <w:pPr>
              <w:rPr>
                <w:rFonts w:hint="eastAsia" w:ascii="宋体" w:hAnsi="宋体"/>
                <w:bCs/>
                <w:color w:val="auto"/>
                <w:kern w:val="0"/>
                <w:sz w:val="24"/>
                <w:szCs w:val="21"/>
              </w:rPr>
            </w:pPr>
            <w:r>
              <w:rPr>
                <w:rFonts w:hint="eastAsia" w:ascii="宋体" w:hAnsi="宋体"/>
                <w:bCs/>
                <w:color w:val="auto"/>
                <w:kern w:val="0"/>
                <w:sz w:val="24"/>
                <w:szCs w:val="21"/>
              </w:rPr>
              <w:t>采样位宽</w:t>
            </w:r>
          </w:p>
        </w:tc>
        <w:tc>
          <w:tcPr>
            <w:tcW w:w="5037" w:type="dxa"/>
            <w:shd w:val="clear" w:color="auto" w:fill="auto"/>
            <w:noWrap/>
            <w:vAlign w:val="center"/>
          </w:tcPr>
          <w:p w14:paraId="2835ABDE">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16bit</w:t>
            </w:r>
          </w:p>
        </w:tc>
      </w:tr>
      <w:tr w14:paraId="7CBD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4E025837">
            <w:pPr>
              <w:rPr>
                <w:rFonts w:hint="eastAsia" w:ascii="宋体" w:hAnsi="宋体"/>
                <w:bCs/>
                <w:color w:val="auto"/>
                <w:kern w:val="0"/>
                <w:sz w:val="24"/>
                <w:szCs w:val="21"/>
              </w:rPr>
            </w:pPr>
            <w:r>
              <w:rPr>
                <w:rFonts w:hint="eastAsia" w:ascii="宋体" w:hAnsi="宋体"/>
                <w:bCs/>
                <w:color w:val="auto"/>
                <w:kern w:val="0"/>
                <w:sz w:val="24"/>
                <w:szCs w:val="21"/>
              </w:rPr>
              <w:t>探测仪存储能力</w:t>
            </w:r>
          </w:p>
        </w:tc>
        <w:tc>
          <w:tcPr>
            <w:tcW w:w="5037" w:type="dxa"/>
            <w:shd w:val="clear" w:color="auto" w:fill="auto"/>
            <w:noWrap/>
            <w:vAlign w:val="center"/>
          </w:tcPr>
          <w:p w14:paraId="1A13E927">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本地存储≧250G，SSD</w:t>
            </w:r>
          </w:p>
        </w:tc>
      </w:tr>
      <w:tr w14:paraId="2380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7F7926E7">
            <w:pPr>
              <w:rPr>
                <w:rFonts w:hint="eastAsia" w:ascii="宋体" w:hAnsi="宋体"/>
                <w:bCs/>
                <w:color w:val="auto"/>
                <w:kern w:val="0"/>
                <w:sz w:val="24"/>
                <w:szCs w:val="21"/>
              </w:rPr>
            </w:pPr>
            <w:r>
              <w:rPr>
                <w:rFonts w:hint="eastAsia" w:ascii="宋体" w:hAnsi="宋体"/>
                <w:bCs/>
                <w:color w:val="auto"/>
                <w:kern w:val="0"/>
                <w:sz w:val="24"/>
                <w:szCs w:val="21"/>
              </w:rPr>
              <w:t>时钟精度</w:t>
            </w:r>
          </w:p>
        </w:tc>
        <w:tc>
          <w:tcPr>
            <w:tcW w:w="5037" w:type="dxa"/>
            <w:shd w:val="clear" w:color="auto" w:fill="auto"/>
            <w:noWrap/>
            <w:vAlign w:val="center"/>
          </w:tcPr>
          <w:p w14:paraId="545D11C4">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授时精度≤100ns，稳定度≤20ns，相对精度≤1ns</w:t>
            </w:r>
          </w:p>
        </w:tc>
      </w:tr>
      <w:tr w14:paraId="3E74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707401E6">
            <w:pPr>
              <w:rPr>
                <w:rFonts w:hint="eastAsia" w:ascii="宋体" w:hAnsi="宋体"/>
                <w:bCs/>
                <w:color w:val="auto"/>
                <w:kern w:val="0"/>
                <w:sz w:val="24"/>
                <w:szCs w:val="21"/>
              </w:rPr>
            </w:pPr>
            <w:r>
              <w:rPr>
                <w:rFonts w:hint="eastAsia" w:ascii="宋体" w:hAnsi="宋体"/>
                <w:bCs/>
                <w:color w:val="auto"/>
                <w:kern w:val="0"/>
                <w:sz w:val="24"/>
                <w:szCs w:val="21"/>
              </w:rPr>
              <w:t>抗降水</w:t>
            </w:r>
          </w:p>
        </w:tc>
        <w:tc>
          <w:tcPr>
            <w:tcW w:w="5037" w:type="dxa"/>
            <w:shd w:val="clear" w:color="auto" w:fill="auto"/>
            <w:noWrap/>
            <w:vAlign w:val="center"/>
          </w:tcPr>
          <w:p w14:paraId="175ABF07">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≤300mm/h，正常工作</w:t>
            </w:r>
          </w:p>
        </w:tc>
      </w:tr>
      <w:tr w14:paraId="5A2C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7144CAF9">
            <w:pPr>
              <w:rPr>
                <w:rFonts w:hint="eastAsia" w:ascii="宋体" w:hAnsi="宋体"/>
                <w:bCs/>
                <w:color w:val="auto"/>
                <w:kern w:val="0"/>
                <w:sz w:val="24"/>
                <w:szCs w:val="21"/>
              </w:rPr>
            </w:pPr>
            <w:r>
              <w:rPr>
                <w:rFonts w:hint="eastAsia" w:ascii="宋体" w:hAnsi="宋体"/>
                <w:bCs/>
                <w:color w:val="auto"/>
                <w:kern w:val="0"/>
                <w:sz w:val="24"/>
                <w:szCs w:val="21"/>
              </w:rPr>
              <w:t>抗风</w:t>
            </w:r>
          </w:p>
        </w:tc>
        <w:tc>
          <w:tcPr>
            <w:tcW w:w="5037" w:type="dxa"/>
            <w:shd w:val="clear" w:color="auto" w:fill="auto"/>
            <w:noWrap/>
            <w:vAlign w:val="center"/>
          </w:tcPr>
          <w:p w14:paraId="50A09046">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风速≤35m/s时正常工作、风速≤50m/s（阵风）时室外构件不产生永久变形</w:t>
            </w:r>
          </w:p>
        </w:tc>
      </w:tr>
      <w:tr w14:paraId="301F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06159BE6">
            <w:pPr>
              <w:rPr>
                <w:rFonts w:hint="eastAsia" w:ascii="宋体" w:hAnsi="宋体"/>
                <w:bCs/>
                <w:color w:val="auto"/>
                <w:kern w:val="0"/>
                <w:sz w:val="24"/>
                <w:szCs w:val="21"/>
              </w:rPr>
            </w:pPr>
            <w:r>
              <w:rPr>
                <w:rFonts w:hint="eastAsia" w:ascii="宋体" w:hAnsi="宋体"/>
                <w:bCs/>
                <w:color w:val="auto"/>
                <w:kern w:val="0"/>
                <w:sz w:val="24"/>
                <w:szCs w:val="21"/>
              </w:rPr>
              <w:t>三防</w:t>
            </w:r>
          </w:p>
        </w:tc>
        <w:tc>
          <w:tcPr>
            <w:tcW w:w="5037" w:type="dxa"/>
            <w:shd w:val="clear" w:color="auto" w:fill="auto"/>
            <w:noWrap/>
            <w:vAlign w:val="center"/>
          </w:tcPr>
          <w:p w14:paraId="2DCA84D5">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设备应满足C3或以上等级腐蚀要求，螺栓、垫圈、节点板等连接构件的耐腐蚀性能不应低于主体材料，同时具有防潮、防霉、防盐雾的性能</w:t>
            </w:r>
          </w:p>
        </w:tc>
      </w:tr>
      <w:tr w14:paraId="2E5E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0F12CF69">
            <w:pPr>
              <w:rPr>
                <w:rFonts w:hint="eastAsia" w:ascii="宋体" w:hAnsi="宋体"/>
                <w:bCs/>
                <w:color w:val="auto"/>
                <w:kern w:val="0"/>
                <w:sz w:val="24"/>
                <w:szCs w:val="21"/>
              </w:rPr>
            </w:pPr>
            <w:r>
              <w:rPr>
                <w:rFonts w:hint="eastAsia" w:ascii="宋体" w:hAnsi="宋体"/>
                <w:bCs/>
                <w:color w:val="auto"/>
                <w:kern w:val="0"/>
                <w:sz w:val="24"/>
                <w:szCs w:val="21"/>
              </w:rPr>
              <w:t>通讯类型</w:t>
            </w:r>
          </w:p>
        </w:tc>
        <w:tc>
          <w:tcPr>
            <w:tcW w:w="5037" w:type="dxa"/>
            <w:shd w:val="clear" w:color="auto" w:fill="auto"/>
            <w:noWrap/>
            <w:vAlign w:val="center"/>
          </w:tcPr>
          <w:p w14:paraId="76631BE1">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UDP、TCP/IP，可采用有线网络或4G网络</w:t>
            </w:r>
          </w:p>
        </w:tc>
      </w:tr>
      <w:tr w14:paraId="4A35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57F3AF02">
            <w:pPr>
              <w:rPr>
                <w:rFonts w:hint="eastAsia" w:ascii="宋体" w:hAnsi="宋体"/>
                <w:bCs/>
                <w:color w:val="auto"/>
                <w:kern w:val="0"/>
                <w:sz w:val="24"/>
                <w:szCs w:val="21"/>
              </w:rPr>
            </w:pPr>
            <w:r>
              <w:rPr>
                <w:rFonts w:hint="eastAsia" w:ascii="宋体" w:hAnsi="宋体"/>
                <w:bCs/>
                <w:color w:val="auto"/>
                <w:kern w:val="0"/>
                <w:sz w:val="24"/>
                <w:szCs w:val="21"/>
              </w:rPr>
              <w:t>性能</w:t>
            </w:r>
          </w:p>
        </w:tc>
        <w:tc>
          <w:tcPr>
            <w:tcW w:w="5037" w:type="dxa"/>
            <w:shd w:val="clear" w:color="auto" w:fill="auto"/>
            <w:noWrap/>
            <w:vAlign w:val="center"/>
          </w:tcPr>
          <w:p w14:paraId="7B5A8D65">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全自动系统校准与自检</w:t>
            </w:r>
          </w:p>
        </w:tc>
      </w:tr>
      <w:tr w14:paraId="3022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443356BE">
            <w:pPr>
              <w:rPr>
                <w:rFonts w:hint="eastAsia" w:ascii="宋体" w:hAnsi="宋体"/>
                <w:bCs/>
                <w:color w:val="auto"/>
                <w:kern w:val="0"/>
                <w:sz w:val="24"/>
                <w:szCs w:val="21"/>
              </w:rPr>
            </w:pPr>
            <w:r>
              <w:rPr>
                <w:rFonts w:hint="eastAsia" w:ascii="宋体" w:hAnsi="宋体"/>
                <w:bCs/>
                <w:color w:val="auto"/>
                <w:kern w:val="0"/>
                <w:sz w:val="24"/>
                <w:szCs w:val="21"/>
              </w:rPr>
              <w:t>远程配置</w:t>
            </w:r>
          </w:p>
        </w:tc>
        <w:tc>
          <w:tcPr>
            <w:tcW w:w="5037" w:type="dxa"/>
            <w:shd w:val="clear" w:color="auto" w:fill="auto"/>
            <w:noWrap/>
            <w:vAlign w:val="center"/>
          </w:tcPr>
          <w:p w14:paraId="0EA053EC">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可远程配置操作参数</w:t>
            </w:r>
          </w:p>
        </w:tc>
      </w:tr>
      <w:tr w14:paraId="136D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shd w:val="clear" w:color="auto" w:fill="auto"/>
            <w:noWrap/>
            <w:vAlign w:val="center"/>
          </w:tcPr>
          <w:p w14:paraId="2D3EB47E">
            <w:pPr>
              <w:rPr>
                <w:rFonts w:hint="eastAsia" w:ascii="宋体" w:hAnsi="宋体"/>
                <w:bCs/>
                <w:color w:val="auto"/>
                <w:kern w:val="0"/>
                <w:sz w:val="24"/>
                <w:szCs w:val="21"/>
              </w:rPr>
            </w:pPr>
            <w:r>
              <w:rPr>
                <w:rFonts w:hint="eastAsia" w:ascii="宋体" w:hAnsi="宋体"/>
                <w:bCs/>
                <w:color w:val="auto"/>
                <w:kern w:val="0"/>
                <w:sz w:val="24"/>
                <w:szCs w:val="21"/>
              </w:rPr>
              <w:t>回击分辨率</w:t>
            </w:r>
          </w:p>
        </w:tc>
        <w:tc>
          <w:tcPr>
            <w:tcW w:w="5037" w:type="dxa"/>
            <w:shd w:val="clear" w:color="auto" w:fill="auto"/>
            <w:noWrap/>
            <w:vAlign w:val="center"/>
          </w:tcPr>
          <w:p w14:paraId="1CA2E354">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1ms</w:t>
            </w:r>
          </w:p>
        </w:tc>
      </w:tr>
    </w:tbl>
    <w:p w14:paraId="72169EE9">
      <w:pPr>
        <w:spacing w:before="120" w:beforeLines="50" w:line="360" w:lineRule="auto"/>
        <w:rPr>
          <w:rFonts w:hint="eastAsia" w:eastAsia="宋体"/>
          <w:color w:val="auto"/>
          <w:sz w:val="24"/>
          <w:lang w:val="en-US" w:eastAsia="zh-CN"/>
        </w:rPr>
      </w:pPr>
      <w:r>
        <w:rPr>
          <w:rFonts w:hint="eastAsia"/>
          <w:color w:val="auto"/>
          <w:sz w:val="24"/>
          <w:lang w:val="en-US" w:eastAsia="zh-CN"/>
        </w:rPr>
        <w:t xml:space="preserve"> </w:t>
      </w:r>
    </w:p>
    <w:p w14:paraId="751E07B5">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3.6鉴于气象探测数据需要长期且连续的特性，中标供应商必须在接到设备故障通知或数据传输中断通知后30分钟内排除故障。</w:t>
      </w:r>
    </w:p>
    <w:p w14:paraId="2C29EAE4">
      <w:pPr>
        <w:numPr>
          <w:ilvl w:val="0"/>
          <w:numId w:val="3"/>
        </w:numPr>
        <w:spacing w:line="360" w:lineRule="auto"/>
        <w:rPr>
          <w:rFonts w:hint="eastAsia" w:ascii="宋体" w:hAnsi="宋体" w:cs="宋体"/>
          <w:color w:val="auto"/>
          <w:sz w:val="24"/>
        </w:rPr>
      </w:pPr>
      <w:r>
        <w:rPr>
          <w:rFonts w:hint="eastAsia" w:ascii="宋体" w:hAnsi="宋体" w:cs="宋体"/>
          <w:color w:val="auto"/>
          <w:sz w:val="24"/>
        </w:rPr>
        <w:t>质保期：</w:t>
      </w:r>
      <w:r>
        <w:rPr>
          <w:rFonts w:hint="eastAsia" w:ascii="宋体" w:hAnsi="宋体" w:cs="宋体"/>
          <w:color w:val="auto"/>
          <w:sz w:val="24"/>
          <w:lang w:eastAsia="zh-CN"/>
        </w:rPr>
        <w:t>鉴于气象探测数据需要长期稳定质控，及气象现代化设备及大系统更新周期较长的因素，厂家设备设计使用寿命不得低于15年；同时由于本次采购为一次性采购，故中标单位必须提供终生免费质保服务（包括且不限于软硬件的应急抢修、维护升级等）。</w:t>
      </w:r>
    </w:p>
    <w:p w14:paraId="2E0E5286">
      <w:pPr>
        <w:numPr>
          <w:ilvl w:val="0"/>
          <w:numId w:val="3"/>
        </w:numPr>
        <w:spacing w:line="360" w:lineRule="auto"/>
        <w:rPr>
          <w:rFonts w:hint="eastAsia" w:ascii="宋体" w:hAnsi="宋体" w:cs="宋体"/>
          <w:color w:val="auto"/>
          <w:sz w:val="24"/>
        </w:rPr>
      </w:pPr>
      <w:r>
        <w:rPr>
          <w:rFonts w:hint="eastAsia" w:ascii="宋体" w:hAnsi="宋体" w:cs="宋体"/>
          <w:color w:val="auto"/>
          <w:sz w:val="24"/>
          <w:lang w:val="en-US" w:eastAsia="zh-CN"/>
        </w:rPr>
        <w:t>供</w:t>
      </w:r>
      <w:r>
        <w:rPr>
          <w:rFonts w:hint="eastAsia" w:ascii="宋体" w:hAnsi="宋体" w:cs="宋体"/>
          <w:color w:val="auto"/>
          <w:sz w:val="24"/>
        </w:rPr>
        <w:t>货期：</w:t>
      </w:r>
      <w:r>
        <w:rPr>
          <w:rFonts w:hint="eastAsia" w:ascii="宋体" w:hAnsi="宋体" w:cs="宋体"/>
          <w:color w:val="auto"/>
          <w:sz w:val="24"/>
          <w:lang w:val="en-US" w:eastAsia="zh-CN"/>
        </w:rPr>
        <w:t>2025年6月30日前送货并完成安装调试、验收。</w:t>
      </w:r>
    </w:p>
    <w:p w14:paraId="78CAC256">
      <w:pPr>
        <w:numPr>
          <w:ilvl w:val="0"/>
          <w:numId w:val="3"/>
        </w:numPr>
        <w:spacing w:line="360" w:lineRule="auto"/>
        <w:rPr>
          <w:rFonts w:hint="eastAsia" w:ascii="宋体" w:hAnsi="宋体" w:cs="宋体"/>
          <w:color w:val="auto"/>
          <w:sz w:val="24"/>
        </w:rPr>
      </w:pPr>
      <w:r>
        <w:rPr>
          <w:rFonts w:hint="eastAsia" w:ascii="宋体" w:hAnsi="宋体" w:cs="宋体"/>
          <w:color w:val="auto"/>
          <w:sz w:val="24"/>
        </w:rPr>
        <w:t>付款方式：双方合同内协商执行</w:t>
      </w:r>
      <w:r>
        <w:rPr>
          <w:rFonts w:hint="eastAsia" w:ascii="宋体" w:hAnsi="宋体" w:cs="宋体"/>
          <w:color w:val="auto"/>
          <w:sz w:val="24"/>
          <w:lang w:eastAsia="zh-CN"/>
        </w:rPr>
        <w:t>。</w:t>
      </w:r>
    </w:p>
    <w:p w14:paraId="2A3EBC36">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本项目面向小微企业，货物由小微企业制造，即货物由小微企业生产且使用该小微企业商号或者注册商标。</w:t>
      </w:r>
    </w:p>
    <w:p w14:paraId="60860F58">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br w:type="page"/>
      </w:r>
    </w:p>
    <w:p w14:paraId="225EFABD">
      <w:pPr>
        <w:pStyle w:val="2"/>
        <w:bidi w:val="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第四章、合同条款</w:t>
      </w:r>
      <w:bookmarkEnd w:id="259"/>
    </w:p>
    <w:p w14:paraId="01B16D06">
      <w:pPr>
        <w:rPr>
          <w:rFonts w:hint="eastAsia" w:ascii="宋体" w:hAnsi="宋体" w:cs="宋体"/>
          <w:highlight w:val="none"/>
        </w:rPr>
      </w:pPr>
    </w:p>
    <w:p w14:paraId="49451891">
      <w:pPr>
        <w:pageBreakBefore w:val="0"/>
        <w:kinsoku/>
        <w:wordWrap/>
        <w:overflowPunct/>
        <w:topLinePunct w:val="0"/>
        <w:bidi w:val="0"/>
        <w:snapToGrid/>
        <w:spacing w:line="336" w:lineRule="auto"/>
        <w:ind w:firstLine="472" w:firstLineChars="196"/>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1、定义</w:t>
      </w:r>
    </w:p>
    <w:p w14:paraId="2B1B7BD9">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1.1“合同”系指甲乙双方共同签署的、合同中载明的甲乙双方所达成的协议，包括：</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成交通知书；合同条款；</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及承诺；项目采购</w:t>
      </w:r>
      <w:r>
        <w:rPr>
          <w:rFonts w:hint="eastAsia" w:ascii="宋体" w:hAnsi="宋体" w:eastAsia="宋体" w:cs="宋体"/>
          <w:color w:val="auto"/>
          <w:sz w:val="24"/>
          <w:szCs w:val="24"/>
          <w:highlight w:val="none"/>
          <w:lang w:val="en-US" w:eastAsia="zh-CN"/>
        </w:rPr>
        <w:t>需求；招标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（含补充文件、修改文件）及答疑纪要；双方约定的其他所有文件等构成合同的所有文件的总称。</w:t>
      </w:r>
    </w:p>
    <w:p w14:paraId="7D502139">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1.2“甲方”系指。</w:t>
      </w:r>
    </w:p>
    <w:p w14:paraId="552B0DA5">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1.3“乙方”系指取得成交资格，提供合同服务的</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w:t>
      </w:r>
    </w:p>
    <w:p w14:paraId="21572756">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1.4“合同价款”系指根据合同条款、技术规范及标准、项目采购需求、本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的规定，</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在正确、完整地履行合同义务后，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应支付给</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实际所供合同货物的金额。</w:t>
      </w:r>
    </w:p>
    <w:p w14:paraId="2F7A750B">
      <w:pPr>
        <w:pageBreakBefore w:val="0"/>
        <w:widowControl w:val="0"/>
        <w:kinsoku/>
        <w:wordWrap/>
        <w:overflowPunct/>
        <w:topLinePunct w:val="0"/>
        <w:bidi w:val="0"/>
        <w:snapToGrid/>
        <w:spacing w:line="336"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1.5“合同货物”系指按合同条款、技术规范及标准、项目采购需求、本招标文件规定，中标人须向招标人提供</w:t>
      </w:r>
      <w:r>
        <w:rPr>
          <w:rFonts w:hint="eastAsia" w:ascii="宋体" w:hAnsi="宋体" w:cs="宋体"/>
          <w:color w:val="auto"/>
          <w:kern w:val="2"/>
          <w:sz w:val="24"/>
          <w:szCs w:val="24"/>
          <w:highlight w:val="none"/>
          <w:lang w:val="en-US" w:eastAsia="zh-CN" w:bidi="ar-SA"/>
        </w:rPr>
        <w:t>气象服务保障经费</w:t>
      </w:r>
      <w:r>
        <w:rPr>
          <w:rFonts w:hint="eastAsia" w:ascii="宋体" w:hAnsi="宋体" w:eastAsia="宋体" w:cs="宋体"/>
          <w:color w:val="auto"/>
          <w:kern w:val="2"/>
          <w:sz w:val="24"/>
          <w:szCs w:val="24"/>
          <w:highlight w:val="none"/>
          <w:lang w:val="en-US" w:eastAsia="zh-CN" w:bidi="ar-SA"/>
        </w:rPr>
        <w:t>安装、调试验收合格并正常使用所需的全部设备、材料等（含手册、规范、标准及相关技术资料等）。</w:t>
      </w:r>
    </w:p>
    <w:p w14:paraId="7EC21DE0">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1.6“服务”系指合同条款、技术规范及标准、项目采购需求、本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规定，中标单位为保证</w:t>
      </w:r>
      <w:r>
        <w:rPr>
          <w:rFonts w:hint="eastAsia" w:ascii="宋体" w:hAnsi="宋体" w:eastAsia="宋体" w:cs="宋体"/>
          <w:b w:val="0"/>
          <w:bCs/>
          <w:color w:val="auto"/>
          <w:sz w:val="24"/>
          <w:szCs w:val="24"/>
          <w:highlight w:val="none"/>
          <w:lang w:eastAsia="zh-CN"/>
        </w:rPr>
        <w:t>完成</w:t>
      </w:r>
      <w:r>
        <w:rPr>
          <w:rFonts w:hint="eastAsia" w:ascii="宋体" w:hAnsi="宋体" w:cs="宋体"/>
          <w:b w:val="0"/>
          <w:bCs/>
          <w:color w:val="auto"/>
          <w:sz w:val="24"/>
          <w:szCs w:val="24"/>
          <w:highlight w:val="none"/>
          <w:lang w:eastAsia="zh-CN"/>
        </w:rPr>
        <w:t>气象服务保障经费</w:t>
      </w:r>
      <w:r>
        <w:rPr>
          <w:rFonts w:hint="eastAsia" w:ascii="宋体" w:hAnsi="宋体" w:eastAsia="宋体" w:cs="宋体"/>
          <w:b w:val="0"/>
          <w:bCs/>
          <w:color w:val="auto"/>
          <w:sz w:val="24"/>
          <w:szCs w:val="24"/>
          <w:highlight w:val="none"/>
          <w:lang w:eastAsia="zh-CN"/>
        </w:rPr>
        <w:t>应承担的所有工作，配合招标人完成与此服务相关的合同条款、技术规范及标准、项目采购需求、招标文件约定的全部内容及责任和义务。</w:t>
      </w:r>
    </w:p>
    <w:p w14:paraId="3431DD44">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凡提及的“天、日期、星期、月份和年份”系指公历日历的日历天、日期、星期、月份和年份。</w:t>
      </w:r>
    </w:p>
    <w:p w14:paraId="0E8FCEF8">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62" w:name="_Toc246216233"/>
      <w:r>
        <w:rPr>
          <w:rFonts w:hint="eastAsia" w:ascii="宋体" w:hAnsi="宋体" w:eastAsia="宋体" w:cs="宋体"/>
          <w:b/>
          <w:color w:val="auto"/>
          <w:sz w:val="24"/>
          <w:szCs w:val="24"/>
          <w:highlight w:val="none"/>
        </w:rPr>
        <w:t>2、适用范围</w:t>
      </w:r>
      <w:bookmarkEnd w:id="262"/>
    </w:p>
    <w:p w14:paraId="468FF729">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本合同条款适用于本次</w:t>
      </w:r>
      <w:r>
        <w:rPr>
          <w:rFonts w:hint="eastAsia" w:ascii="宋体" w:hAnsi="宋体" w:cs="宋体"/>
          <w:color w:val="auto"/>
          <w:sz w:val="24"/>
          <w:szCs w:val="24"/>
          <w:highlight w:val="none"/>
          <w:lang w:val="en-US" w:eastAsia="zh-CN"/>
        </w:rPr>
        <w:t>气象服务保障经费</w:t>
      </w:r>
      <w:r>
        <w:rPr>
          <w:rFonts w:hint="eastAsia" w:ascii="宋体" w:hAnsi="宋体" w:eastAsia="宋体" w:cs="宋体"/>
          <w:color w:val="auto"/>
          <w:sz w:val="24"/>
          <w:szCs w:val="24"/>
          <w:highlight w:val="none"/>
        </w:rPr>
        <w:t>。</w:t>
      </w:r>
    </w:p>
    <w:p w14:paraId="3E5B401A">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63" w:name="_Toc246216234"/>
      <w:r>
        <w:rPr>
          <w:rFonts w:hint="eastAsia" w:ascii="宋体" w:hAnsi="宋体" w:eastAsia="宋体" w:cs="宋体"/>
          <w:b/>
          <w:color w:val="auto"/>
          <w:sz w:val="24"/>
          <w:szCs w:val="24"/>
          <w:highlight w:val="none"/>
        </w:rPr>
        <w:t>3、合同价格</w:t>
      </w:r>
      <w:bookmarkEnd w:id="263"/>
    </w:p>
    <w:p w14:paraId="54D76E47">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3.1合同价款为：人民币元(大写：人民币    )。</w:t>
      </w:r>
    </w:p>
    <w:p w14:paraId="053CAE55">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3.2合同价</w:t>
      </w:r>
      <w:r>
        <w:rPr>
          <w:rFonts w:hint="eastAsia" w:ascii="宋体" w:hAnsi="宋体" w:eastAsia="宋体" w:cs="宋体"/>
          <w:b w:val="0"/>
          <w:bCs w:val="0"/>
          <w:color w:val="auto"/>
          <w:sz w:val="24"/>
          <w:szCs w:val="24"/>
          <w:highlight w:val="none"/>
        </w:rPr>
        <w:t>款：</w:t>
      </w:r>
    </w:p>
    <w:p w14:paraId="714A13CC">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64" w:name="_Toc260246971"/>
      <w:bookmarkStart w:id="265" w:name="_Toc260247209"/>
      <w:bookmarkStart w:id="266" w:name="_Toc231451677"/>
      <w:bookmarkStart w:id="267" w:name="_Toc246216237"/>
      <w:bookmarkStart w:id="268" w:name="_Toc260246972"/>
      <w:bookmarkStart w:id="269" w:name="_Toc260247210"/>
      <w:r>
        <w:rPr>
          <w:rFonts w:hint="eastAsia" w:ascii="宋体" w:hAnsi="宋体" w:eastAsia="宋体" w:cs="宋体"/>
          <w:b/>
          <w:color w:val="auto"/>
          <w:sz w:val="24"/>
          <w:szCs w:val="24"/>
          <w:highlight w:val="none"/>
        </w:rPr>
        <w:t>4、支付条款</w:t>
      </w:r>
      <w:bookmarkEnd w:id="264"/>
      <w:bookmarkEnd w:id="265"/>
    </w:p>
    <w:bookmarkEnd w:id="266"/>
    <w:bookmarkEnd w:id="267"/>
    <w:bookmarkEnd w:id="268"/>
    <w:bookmarkEnd w:id="269"/>
    <w:p w14:paraId="63FA3BAF">
      <w:pPr>
        <w:pageBreakBefore w:val="0"/>
        <w:widowControl w:val="0"/>
        <w:kinsoku/>
        <w:wordWrap/>
        <w:overflowPunct/>
        <w:topLinePunct w:val="0"/>
        <w:autoSpaceDE w:val="0"/>
        <w:autoSpaceDN w:val="0"/>
        <w:bidi w:val="0"/>
        <w:adjustRightInd w:val="0"/>
        <w:snapToGrid/>
        <w:spacing w:line="336" w:lineRule="auto"/>
        <w:ind w:firstLine="470" w:firstLineChars="196"/>
        <w:textAlignment w:val="auto"/>
        <w:rPr>
          <w:rFonts w:hint="eastAsia" w:ascii="宋体" w:hAnsi="宋体" w:eastAsia="宋体" w:cs="宋体"/>
          <w:b w:val="0"/>
          <w:bCs/>
          <w:color w:val="auto"/>
          <w:kern w:val="2"/>
          <w:sz w:val="24"/>
          <w:szCs w:val="24"/>
          <w:highlight w:val="none"/>
          <w:lang w:val="en-US" w:eastAsia="zh-CN" w:bidi="ar-SA"/>
        </w:rPr>
      </w:pPr>
      <w:bookmarkStart w:id="270" w:name="_Toc258681731"/>
      <w:r>
        <w:rPr>
          <w:rFonts w:hint="eastAsia" w:ascii="宋体" w:hAnsi="宋体" w:eastAsia="宋体" w:cs="宋体"/>
          <w:b w:val="0"/>
          <w:bCs/>
          <w:color w:val="auto"/>
          <w:kern w:val="2"/>
          <w:sz w:val="24"/>
          <w:szCs w:val="24"/>
          <w:highlight w:val="none"/>
          <w:lang w:val="en-US" w:eastAsia="zh-CN" w:bidi="ar-SA"/>
        </w:rPr>
        <w:t>4.1 本合同的支付币种为人民币。由甲乙双方签订合同时自行约定。</w:t>
      </w:r>
    </w:p>
    <w:p w14:paraId="2F3858F7">
      <w:pPr>
        <w:pageBreakBefore w:val="0"/>
        <w:kinsoku/>
        <w:wordWrap/>
        <w:overflowPunct/>
        <w:topLinePunct w:val="0"/>
        <w:bidi w:val="0"/>
        <w:snapToGrid/>
        <w:spacing w:line="336"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服务期：</w:t>
      </w:r>
    </w:p>
    <w:bookmarkEnd w:id="270"/>
    <w:p w14:paraId="028ED113">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71" w:name="_Toc260247219"/>
      <w:bookmarkStart w:id="272" w:name="_Toc260246981"/>
      <w:r>
        <w:rPr>
          <w:rFonts w:hint="eastAsia" w:ascii="宋体" w:hAnsi="宋体" w:eastAsia="宋体" w:cs="宋体"/>
          <w:b/>
          <w:color w:val="auto"/>
          <w:sz w:val="24"/>
          <w:szCs w:val="24"/>
          <w:highlight w:val="none"/>
        </w:rPr>
        <w:t>6、技术资料</w:t>
      </w:r>
    </w:p>
    <w:p w14:paraId="548373B4">
      <w:pPr>
        <w:pageBreakBefore w:val="0"/>
        <w:kinsoku/>
        <w:wordWrap/>
        <w:overflowPunct/>
        <w:topLinePunct w:val="0"/>
        <w:bidi w:val="0"/>
        <w:snapToGrid/>
        <w:spacing w:line="336" w:lineRule="auto"/>
        <w:ind w:firstLine="481"/>
        <w:textAlignment w:val="auto"/>
        <w:rPr>
          <w:rFonts w:hint="eastAsia" w:ascii="宋体" w:hAnsi="宋体" w:eastAsia="宋体" w:cs="宋体"/>
          <w:color w:val="auto"/>
          <w:sz w:val="24"/>
          <w:szCs w:val="24"/>
          <w:highlight w:val="none"/>
        </w:rPr>
      </w:pPr>
      <w:bookmarkStart w:id="273" w:name="_Toc258681733"/>
      <w:r>
        <w:rPr>
          <w:rFonts w:hint="eastAsia" w:ascii="宋体" w:hAnsi="宋体" w:eastAsia="宋体" w:cs="宋体"/>
          <w:color w:val="auto"/>
          <w:sz w:val="24"/>
          <w:szCs w:val="24"/>
          <w:highlight w:val="none"/>
        </w:rPr>
        <w:t>6.1乙方应准备与服务相符的技术资料，并于合同生效后七日内送（或寄）至甲方，例如：手册、标准和服务手册等。如本条款所述资料有不完整或丢失，乙方应在收到甲方通知后3日内免费另寄（送）。</w:t>
      </w:r>
    </w:p>
    <w:bookmarkEnd w:id="273"/>
    <w:p w14:paraId="0118E5B8">
      <w:pPr>
        <w:pageBreakBefore w:val="0"/>
        <w:kinsoku/>
        <w:wordWrap/>
        <w:overflowPunct/>
        <w:topLinePunct w:val="0"/>
        <w:bidi w:val="0"/>
        <w:snapToGrid/>
        <w:spacing w:line="336" w:lineRule="auto"/>
        <w:ind w:firstLine="48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7、乙方人员</w:t>
      </w:r>
      <w:bookmarkEnd w:id="271"/>
      <w:bookmarkEnd w:id="272"/>
    </w:p>
    <w:p w14:paraId="53BF94AB">
      <w:pPr>
        <w:pageBreakBefore w:val="0"/>
        <w:kinsoku/>
        <w:wordWrap/>
        <w:overflowPunct/>
        <w:topLinePunct w:val="0"/>
        <w:bidi w:val="0"/>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7.1乙方应委派有经验的技术人员进行</w:t>
      </w:r>
      <w:r>
        <w:rPr>
          <w:rFonts w:hint="eastAsia" w:ascii="宋体" w:hAnsi="宋体" w:cs="宋体"/>
          <w:color w:val="auto"/>
          <w:sz w:val="24"/>
          <w:szCs w:val="24"/>
          <w:highlight w:val="none"/>
          <w:lang w:eastAsia="zh-CN"/>
        </w:rPr>
        <w:t>气象服务保障经费</w:t>
      </w:r>
      <w:r>
        <w:rPr>
          <w:rFonts w:hint="eastAsia" w:ascii="宋体" w:hAnsi="宋体" w:eastAsia="宋体" w:cs="宋体"/>
          <w:color w:val="auto"/>
          <w:sz w:val="24"/>
          <w:szCs w:val="24"/>
          <w:highlight w:val="none"/>
        </w:rPr>
        <w:t>相关等服务。乙方应对</w:t>
      </w:r>
      <w:r>
        <w:rPr>
          <w:rFonts w:hint="eastAsia" w:ascii="宋体" w:hAnsi="宋体" w:cs="宋体"/>
          <w:color w:val="auto"/>
          <w:sz w:val="24"/>
          <w:szCs w:val="24"/>
          <w:highlight w:val="none"/>
          <w:lang w:eastAsia="zh-CN"/>
        </w:rPr>
        <w:t>气象服务保障经费</w:t>
      </w:r>
      <w:r>
        <w:rPr>
          <w:rFonts w:hint="eastAsia" w:ascii="宋体" w:hAnsi="宋体" w:eastAsia="宋体" w:cs="宋体"/>
          <w:color w:val="auto"/>
          <w:sz w:val="24"/>
          <w:szCs w:val="24"/>
          <w:highlight w:val="none"/>
        </w:rPr>
        <w:t>相关的质量负责，使其符合技术规范和有关标准的要求。</w:t>
      </w:r>
    </w:p>
    <w:p w14:paraId="09310E43">
      <w:pPr>
        <w:pageBreakBefore w:val="0"/>
        <w:kinsoku/>
        <w:wordWrap/>
        <w:overflowPunct/>
        <w:topLinePunct w:val="0"/>
        <w:bidi w:val="0"/>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7.2如果甲方认为乙方派遣的执行本项目的有关人员不称职，将有权要求乙方更换，乙方对于甲方的此类要求应予以满足。</w:t>
      </w:r>
    </w:p>
    <w:p w14:paraId="68D3FC6C">
      <w:pPr>
        <w:pageBreakBefore w:val="0"/>
        <w:kinsoku/>
        <w:wordWrap/>
        <w:overflowPunct/>
        <w:topLinePunct w:val="0"/>
        <w:bidi w:val="0"/>
        <w:snapToGrid/>
        <w:spacing w:line="336" w:lineRule="auto"/>
        <w:ind w:left="2" w:firstLine="482" w:firstLineChars="200"/>
        <w:textAlignment w:val="auto"/>
        <w:outlineLvl w:val="2"/>
        <w:rPr>
          <w:rFonts w:hint="eastAsia" w:ascii="宋体" w:hAnsi="宋体" w:eastAsia="宋体" w:cs="宋体"/>
          <w:b/>
          <w:color w:val="auto"/>
          <w:sz w:val="24"/>
          <w:szCs w:val="24"/>
          <w:highlight w:val="none"/>
        </w:rPr>
      </w:pPr>
      <w:bookmarkStart w:id="274" w:name="_Toc258681749"/>
      <w:r>
        <w:rPr>
          <w:rFonts w:hint="eastAsia" w:ascii="宋体" w:hAnsi="宋体" w:eastAsia="宋体" w:cs="宋体"/>
          <w:b/>
          <w:color w:val="auto"/>
          <w:sz w:val="24"/>
          <w:szCs w:val="24"/>
          <w:highlight w:val="none"/>
        </w:rPr>
        <w:t>8、乙方履约延误和延期赔偿</w:t>
      </w:r>
      <w:bookmarkEnd w:id="274"/>
    </w:p>
    <w:p w14:paraId="05520B99">
      <w:pPr>
        <w:pageBreakBefore w:val="0"/>
        <w:kinsoku/>
        <w:wordWrap/>
        <w:overflowPunct/>
        <w:topLinePunct w:val="0"/>
        <w:bidi w:val="0"/>
        <w:snapToGrid/>
        <w:spacing w:line="336" w:lineRule="auto"/>
        <w:ind w:lef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如果乙方未能按合同规定的时间按期提供服务，将加收延期赔偿或终止合同。</w:t>
      </w:r>
    </w:p>
    <w:p w14:paraId="45F6ABD9">
      <w:pPr>
        <w:pageBreakBefore w:val="0"/>
        <w:kinsoku/>
        <w:wordWrap/>
        <w:overflowPunct/>
        <w:topLinePunct w:val="0"/>
        <w:bidi w:val="0"/>
        <w:snapToGrid/>
        <w:spacing w:line="336" w:lineRule="auto"/>
        <w:ind w:lef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在履约过程中，如果乙方可能遇到妨碍按时提供服务的情况时，应及时以书面形式将迟延的事实、可能迟延的期限和原因通知甲方。甲方在收到乙方通知后，应尽快对情况进行分析，并确定是否同意延长交货时间以及是否收取误期赔偿费。延期应通过修改合同的方式由乙方认可。如乙方在原定提供服务期限后7天未提供服务，则甲方有权终止合同。</w:t>
      </w:r>
    </w:p>
    <w:p w14:paraId="41693407">
      <w:pPr>
        <w:pageBreakBefore w:val="0"/>
        <w:kinsoku/>
        <w:wordWrap/>
        <w:overflowPunct/>
        <w:topLinePunct w:val="0"/>
        <w:bidi w:val="0"/>
        <w:snapToGrid/>
        <w:spacing w:line="336" w:lineRule="auto"/>
        <w:ind w:lef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如乙方未能就合理提供服务日期达成一致意见，甲方有权将服务价降低到双方同意的水平，并由乙方赔偿由此造成的所有损失。</w:t>
      </w:r>
    </w:p>
    <w:p w14:paraId="27D65A77">
      <w:pPr>
        <w:pageBreakBefore w:val="0"/>
        <w:kinsoku/>
        <w:wordWrap/>
        <w:overflowPunct/>
        <w:topLinePunct w:val="0"/>
        <w:bidi w:val="0"/>
        <w:snapToGrid/>
        <w:spacing w:line="336" w:lineRule="auto"/>
        <w:ind w:firstLine="480"/>
        <w:textAlignment w:val="auto"/>
        <w:outlineLvl w:val="2"/>
        <w:rPr>
          <w:rFonts w:hint="eastAsia" w:ascii="宋体" w:hAnsi="宋体" w:eastAsia="宋体" w:cs="宋体"/>
          <w:b/>
          <w:color w:val="auto"/>
          <w:sz w:val="24"/>
          <w:szCs w:val="24"/>
          <w:highlight w:val="none"/>
        </w:rPr>
      </w:pPr>
      <w:bookmarkStart w:id="275" w:name="_Toc258681751"/>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、违约责任</w:t>
      </w:r>
      <w:bookmarkEnd w:id="275"/>
      <w:bookmarkStart w:id="276" w:name="_Toc258681752"/>
    </w:p>
    <w:p w14:paraId="53451AC1">
      <w:pPr>
        <w:pageBreakBefore w:val="0"/>
        <w:kinsoku/>
        <w:wordWrap/>
        <w:overflowPunct/>
        <w:topLinePunct w:val="0"/>
        <w:bidi w:val="0"/>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rPr>
        <w:t>9</w:t>
      </w:r>
      <w:r>
        <w:rPr>
          <w:rFonts w:hint="eastAsia" w:ascii="宋体" w:hAnsi="宋体" w:eastAsia="宋体" w:cs="宋体"/>
          <w:b/>
          <w:color w:val="auto"/>
          <w:kern w:val="0"/>
          <w:sz w:val="24"/>
          <w:szCs w:val="24"/>
          <w:highlight w:val="none"/>
        </w:rPr>
        <w:t>.1若乙方未按本项目采购需求承担相关工作，由此造成的责任和损失由乙方自行承担。</w:t>
      </w:r>
    </w:p>
    <w:p w14:paraId="2F63391E">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、不可抗力</w:t>
      </w:r>
      <w:bookmarkEnd w:id="276"/>
    </w:p>
    <w:p w14:paraId="41B827DE">
      <w:pPr>
        <w:pageBreakBefore w:val="0"/>
        <w:kinsoku/>
        <w:wordWrap/>
        <w:overflowPunct/>
        <w:topLinePunct w:val="0"/>
        <w:bidi w:val="0"/>
        <w:snapToGrid/>
        <w:spacing w:line="336" w:lineRule="auto"/>
        <w:ind w:firstLine="480"/>
        <w:textAlignment w:val="auto"/>
        <w:rPr>
          <w:rFonts w:hint="eastAsia" w:ascii="宋体" w:hAnsi="宋体" w:eastAsia="宋体" w:cs="宋体"/>
          <w:color w:val="auto"/>
          <w:sz w:val="24"/>
          <w:szCs w:val="24"/>
          <w:highlight w:val="none"/>
        </w:rPr>
      </w:pPr>
      <w:bookmarkStart w:id="277" w:name="_Toc258681753"/>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甲乙双方任一方由于受不可抗力事件的影响而不能履行合同时，履行合同的期限应予以延长，其延长的期限应相当于事件所影响的时间。不可抗力事件系指甲乙双方在缔结合同时所不能预见的，并且它的发生及其后果是无法避免和无法克服的事件，诸如战争、严重火灾、洪水、台风以及其他双方商定的事件。但不包括违约或疏忽。</w:t>
      </w:r>
    </w:p>
    <w:p w14:paraId="6BCF4655">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在不可抗力事件发生后，受不可抗力影响的一方应尽快以书面形式（如电报、传真或电传）将不可抗力的情况和原因通知对方，并于事件发生后14天内将有关当局出具的证明文件用特快专递或挂号信寄给对方审阅确认。除对方书面另行要求外，受不可抗力影响的一方应尽实际可能继续履行合同义务，并积极寻求采取合理的方案履行未受不可抗力影响的其他合同事项。</w:t>
      </w:r>
    </w:p>
    <w:p w14:paraId="1559232C">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.3如果不可抗力事件的影响持续45天以上，双方应通过友好协商在合理的时间内达成进一步履行合同的协议。</w:t>
      </w:r>
    </w:p>
    <w:p w14:paraId="600DC87F">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.4如果因不可抗力而导致合同实施延误或不能履行合同义务的，受不可抗力影响的一方不应承担违约责任。</w:t>
      </w:r>
    </w:p>
    <w:p w14:paraId="705341D5">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、税费</w:t>
      </w:r>
      <w:bookmarkEnd w:id="277"/>
    </w:p>
    <w:p w14:paraId="4AF9876D">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.1根据国家现行税法规定对与本合同有关的一切税费，包括按税法规定应由甲方承担的税费，均已包括在合同总价款之中，甲方不再与乙方另行结算税费。</w:t>
      </w:r>
    </w:p>
    <w:p w14:paraId="43D5C05D">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78" w:name="_Toc243904847"/>
      <w:bookmarkStart w:id="279" w:name="_Toc243905150"/>
      <w:bookmarkStart w:id="280" w:name="_Toc258681754"/>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、争端的解决</w:t>
      </w:r>
      <w:bookmarkEnd w:id="278"/>
      <w:bookmarkEnd w:id="279"/>
      <w:bookmarkEnd w:id="280"/>
    </w:p>
    <w:p w14:paraId="36764924">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.1甲乙双方应通过友好协商，解决在执行本合同过程中所发生的或与本合同有关的一切争端。当事人不愿和解、调解或者和解、调解不成，向项目所在地人民法院提出诉讼。</w:t>
      </w:r>
    </w:p>
    <w:p w14:paraId="195062B7">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在双方之间的争议尚未解决之前，如甲方以书面形式坚持要求乙方按其意见行事，则乙方应按甲方的意见执行，但由此产生的一切不良后果和责任均应有乙方承担。但乙方不能因此而故意采取可能导致不良后果的行为。</w:t>
      </w:r>
    </w:p>
    <w:p w14:paraId="2CE630B7">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81" w:name="_Toc258681755"/>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、违约终止合同</w:t>
      </w:r>
      <w:bookmarkEnd w:id="281"/>
    </w:p>
    <w:p w14:paraId="55D8485E">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.1在甲方对乙方违约而采取的任何补救措施不受影响的情况下，甲方可在下列情况下向乙方发出书面通知书，提出终止部分或全部合同：</w:t>
      </w:r>
    </w:p>
    <w:p w14:paraId="560C4C84">
      <w:pPr>
        <w:pageBreakBefore w:val="0"/>
        <w:kinsoku/>
        <w:wordWrap/>
        <w:overflowPunct/>
        <w:topLinePunct w:val="0"/>
        <w:bidi w:val="0"/>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(1)乙方未能在合同规定的限期或甲方同意延长的限期内提供服务。</w:t>
      </w:r>
    </w:p>
    <w:p w14:paraId="0B0CD456">
      <w:pPr>
        <w:pageBreakBefore w:val="0"/>
        <w:kinsoku/>
        <w:wordWrap/>
        <w:overflowPunct/>
        <w:topLinePunct w:val="0"/>
        <w:bidi w:val="0"/>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(2)乙方未能履行合同规定的其他任何义务。</w:t>
      </w:r>
    </w:p>
    <w:p w14:paraId="64C8775C">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.2如果甲方根据上述第13.1条的规定，终止了部分或全部合同，乙方除应退还终止的部分或全部合同价款外，还应按本合同第9.1条的规定承担的违约责任。同时，乙方仍应继续执行合同中未终止的部分。</w:t>
      </w:r>
    </w:p>
    <w:p w14:paraId="051F047B">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.3在终止合同后，甲方有权按下面方式对乙方进行处置；</w:t>
      </w:r>
    </w:p>
    <w:p w14:paraId="5BD0AA88">
      <w:pPr>
        <w:pageBreakBefore w:val="0"/>
        <w:kinsoku/>
        <w:wordWrap/>
        <w:overflowPunct/>
        <w:topLinePunct w:val="0"/>
        <w:bidi w:val="0"/>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(1)赔偿设备、材料损失和因乙方违约而造成的维护管理期延期的损失；</w:t>
      </w:r>
    </w:p>
    <w:p w14:paraId="7D92EEA8">
      <w:pPr>
        <w:pageBreakBefore w:val="0"/>
        <w:kinsoku/>
        <w:wordWrap/>
        <w:overflowPunct/>
        <w:topLinePunct w:val="0"/>
        <w:bidi w:val="0"/>
        <w:snapToGrid/>
        <w:spacing w:line="336" w:lineRule="auto"/>
        <w:ind w:left="2" w:leftChars="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(2)乙方退场，并向甲方赔偿因乙方违约而造成的维护管理期延期的损失，以及甲方更换新单位所发生的一切费用。</w:t>
      </w:r>
    </w:p>
    <w:p w14:paraId="5F8A7A91">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82" w:name="_Toc258681756"/>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、破产终止合同</w:t>
      </w:r>
      <w:bookmarkEnd w:id="282"/>
    </w:p>
    <w:p w14:paraId="5738B03B">
      <w:pPr>
        <w:pageBreakBefore w:val="0"/>
        <w:kinsoku/>
        <w:wordWrap/>
        <w:overflowPunct/>
        <w:topLinePunct w:val="0"/>
        <w:bidi w:val="0"/>
        <w:snapToGrid/>
        <w:spacing w:line="336" w:lineRule="auto"/>
        <w:ind w:lef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.1当乙方破产或丧失清偿能力，甲方可在任何时候以书面形式通知乙方终止合同而不给乙方补偿。该终止合同的行为将不损害或影响甲方在本合同项下已经或将要采取的任何其他行动或补救措施的权力。</w:t>
      </w:r>
    </w:p>
    <w:p w14:paraId="688511B9">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83" w:name="_Toc258681758"/>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、合同修改</w:t>
      </w:r>
      <w:bookmarkEnd w:id="283"/>
    </w:p>
    <w:p w14:paraId="40082C77">
      <w:pPr>
        <w:pageBreakBefore w:val="0"/>
        <w:kinsoku/>
        <w:wordWrap/>
        <w:overflowPunct/>
        <w:topLinePunct w:val="0"/>
        <w:bidi w:val="0"/>
        <w:snapToGrid/>
        <w:spacing w:line="336" w:lineRule="auto"/>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.1欲对合同条款作出任何改动，均须由甲乙双方签署书面的合同修改书。</w:t>
      </w:r>
    </w:p>
    <w:p w14:paraId="26F6A6C5">
      <w:pPr>
        <w:pageBreakBefore w:val="0"/>
        <w:kinsoku/>
        <w:wordWrap/>
        <w:overflowPunct/>
        <w:topLinePunct w:val="0"/>
        <w:bidi w:val="0"/>
        <w:snapToGrid/>
        <w:spacing w:line="336" w:lineRule="auto"/>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乙方的书面承诺被甲方接受后视作合同附件，与合同具有同等法律效力</w:t>
      </w:r>
      <w:bookmarkStart w:id="284" w:name="_Toc258681759"/>
      <w:r>
        <w:rPr>
          <w:rFonts w:hint="eastAsia" w:ascii="宋体" w:hAnsi="宋体" w:eastAsia="宋体" w:cs="宋体"/>
          <w:color w:val="auto"/>
          <w:sz w:val="24"/>
          <w:szCs w:val="24"/>
          <w:highlight w:val="none"/>
        </w:rPr>
        <w:t>。</w:t>
      </w:r>
    </w:p>
    <w:p w14:paraId="12589AA6">
      <w:pPr>
        <w:pageBreakBefore w:val="0"/>
        <w:kinsoku/>
        <w:wordWrap/>
        <w:overflowPunct/>
        <w:topLinePunct w:val="0"/>
        <w:bidi w:val="0"/>
        <w:snapToGrid/>
        <w:spacing w:line="336" w:lineRule="auto"/>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、转让和分包</w:t>
      </w:r>
      <w:bookmarkEnd w:id="284"/>
    </w:p>
    <w:p w14:paraId="09535796">
      <w:pPr>
        <w:pageBreakBefore w:val="0"/>
        <w:kinsoku/>
        <w:wordWrap/>
        <w:overflowPunct/>
        <w:topLinePunct w:val="0"/>
        <w:bidi w:val="0"/>
        <w:snapToGrid/>
        <w:spacing w:line="336" w:lineRule="auto"/>
        <w:ind w:firstLine="480" w:firstLineChars="200"/>
        <w:textAlignment w:val="auto"/>
        <w:outlineLvl w:val="2"/>
        <w:rPr>
          <w:rFonts w:hint="eastAsia" w:ascii="宋体" w:hAnsi="宋体" w:eastAsia="宋体" w:cs="宋体"/>
          <w:color w:val="auto"/>
          <w:sz w:val="24"/>
          <w:szCs w:val="24"/>
          <w:highlight w:val="none"/>
        </w:rPr>
      </w:pPr>
      <w:bookmarkStart w:id="285" w:name="_Toc258681760"/>
      <w:r>
        <w:rPr>
          <w:rFonts w:hint="eastAsia" w:ascii="宋体" w:hAnsi="宋体" w:eastAsia="宋体" w:cs="宋体"/>
          <w:color w:val="auto"/>
          <w:sz w:val="24"/>
          <w:szCs w:val="24"/>
          <w:highlight w:val="none"/>
        </w:rPr>
        <w:t>16.1本项目不允许以任何形式的转让和分包。</w:t>
      </w:r>
    </w:p>
    <w:bookmarkEnd w:id="285"/>
    <w:p w14:paraId="240241CB">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、适用法律</w:t>
      </w:r>
    </w:p>
    <w:p w14:paraId="20687C75">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.1本合同的适用法律为中华人民共和国的现行法律和地方法规。</w:t>
      </w:r>
    </w:p>
    <w:p w14:paraId="5E6E3A0E">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86" w:name="_Toc258681761"/>
      <w:bookmarkStart w:id="287" w:name="_Toc243905151"/>
      <w:bookmarkStart w:id="288" w:name="_Toc243904848"/>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、适用语言和计量单位</w:t>
      </w:r>
      <w:bookmarkEnd w:id="286"/>
      <w:bookmarkEnd w:id="287"/>
      <w:bookmarkEnd w:id="288"/>
    </w:p>
    <w:p w14:paraId="5A3676B9">
      <w:pPr>
        <w:pageBreakBefore w:val="0"/>
        <w:kinsoku/>
        <w:wordWrap/>
        <w:overflowPunct/>
        <w:topLinePunct w:val="0"/>
        <w:bidi w:val="0"/>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.1本合同的适用语言为中文，所有与本合同有关的来往函件、通知及其他文件均应使用中文。</w:t>
      </w:r>
    </w:p>
    <w:p w14:paraId="672CFA3B">
      <w:pPr>
        <w:pageBreakBefore w:val="0"/>
        <w:kinsoku/>
        <w:wordWrap/>
        <w:overflowPunct/>
        <w:topLinePunct w:val="0"/>
        <w:bidi w:val="0"/>
        <w:snapToGrid/>
        <w:spacing w:line="336" w:lineRule="auto"/>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.2乙方可以提交用其他语言(原文)打印的资料，但必须翻译成中文，当原文和译文(中文)之间存有差异和/或矛盾时，以中文为准。</w:t>
      </w:r>
    </w:p>
    <w:p w14:paraId="5A39FEAC">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.3除“项目采购需求”另有规定外，计量单位应使用国家标准规定的法定计量单位。</w:t>
      </w:r>
    </w:p>
    <w:p w14:paraId="30315DA0">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89" w:name="_Toc258681763"/>
      <w:r>
        <w:rPr>
          <w:rFonts w:hint="eastAsia" w:ascii="宋体" w:hAnsi="宋体" w:eastAsia="宋体" w:cs="宋体"/>
          <w:b/>
          <w:color w:val="auto"/>
          <w:sz w:val="24"/>
          <w:szCs w:val="24"/>
          <w:highlight w:val="none"/>
          <w:lang w:val="en-US" w:eastAsia="zh-CN"/>
        </w:rPr>
        <w:t>19</w:t>
      </w:r>
      <w:r>
        <w:rPr>
          <w:rFonts w:hint="eastAsia" w:ascii="宋体" w:hAnsi="宋体" w:eastAsia="宋体" w:cs="宋体"/>
          <w:b/>
          <w:color w:val="auto"/>
          <w:sz w:val="24"/>
          <w:szCs w:val="24"/>
          <w:highlight w:val="none"/>
        </w:rPr>
        <w:t>、通知</w:t>
      </w:r>
      <w:bookmarkEnd w:id="289"/>
    </w:p>
    <w:p w14:paraId="21C134AA">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.1本合同一方给另一方的通知均应以书面或电报、电传或传真的形式发送，而另一方应以书面形式确认并送到对方明确的地址。</w:t>
      </w:r>
    </w:p>
    <w:p w14:paraId="5238C836">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.2通知以送到日期或通知书的生效日期为生效日期，两者中以晚的一个日期为准。</w:t>
      </w:r>
    </w:p>
    <w:p w14:paraId="5F86DA1B">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90" w:name="_Toc258681764"/>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、合同文件及资料的使用</w:t>
      </w:r>
      <w:bookmarkEnd w:id="290"/>
    </w:p>
    <w:p w14:paraId="455621F6">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除了乙方执行合同人员外，在未经甲方同意的情况下，乙方不得将合同、合同中规定、规格、计划、或乙方为上述内容向甲方提供的资料透露给任何人。乙方须在对外保密的前提下，对其工作人员提供有关情况，所提供情况仅限于执行合同必不可少的范围内。</w:t>
      </w:r>
    </w:p>
    <w:p w14:paraId="392F28CE">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.2除非执行合同需要，在事先未得到甲方书面同意的情况下，乙方不得使用第21.1款所列的任何文件和资料。</w:t>
      </w:r>
    </w:p>
    <w:p w14:paraId="7AA70FC8">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.3除合同本身以外列明的所有资料始终为甲方财产，若甲方要求，乙方应于其合同义务履行完毕后将这些资料（包括所有副本）退还甲方。</w:t>
      </w:r>
    </w:p>
    <w:p w14:paraId="45801B61">
      <w:pPr>
        <w:pageBreakBefore w:val="0"/>
        <w:kinsoku/>
        <w:wordWrap/>
        <w:overflowPunct/>
        <w:topLinePunct w:val="0"/>
        <w:bidi w:val="0"/>
        <w:snapToGrid/>
        <w:spacing w:line="336" w:lineRule="auto"/>
        <w:ind w:firstLine="482" w:firstLineChars="200"/>
        <w:textAlignment w:val="auto"/>
        <w:outlineLvl w:val="2"/>
        <w:rPr>
          <w:rFonts w:hint="eastAsia" w:ascii="宋体" w:hAnsi="宋体" w:eastAsia="宋体" w:cs="宋体"/>
          <w:b/>
          <w:color w:val="auto"/>
          <w:sz w:val="24"/>
          <w:szCs w:val="24"/>
          <w:highlight w:val="none"/>
        </w:rPr>
      </w:pPr>
      <w:bookmarkStart w:id="291" w:name="_Toc258681765"/>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、合同生效及其它</w:t>
      </w:r>
      <w:bookmarkEnd w:id="291"/>
    </w:p>
    <w:p w14:paraId="4AC3F499">
      <w:pPr>
        <w:pageBreakBefore w:val="0"/>
        <w:kinsoku/>
        <w:wordWrap/>
        <w:overflowPunct/>
        <w:topLinePunct w:val="0"/>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.1合同正本一式贰份，甲乙双方各执壹份；副本一式陆份，以满足甲乙双方及相关备案部门的需求。本合同经双方法定代表人或其授权的委托代理人签署并加盖法人公章后生效。</w:t>
      </w:r>
    </w:p>
    <w:p w14:paraId="3A1CCE85">
      <w:pPr>
        <w:pStyle w:val="4"/>
        <w:rPr>
          <w:rFonts w:hint="eastAsia" w:ascii="宋体" w:hAnsi="宋体" w:cs="宋体"/>
          <w:highlight w:val="none"/>
        </w:rPr>
      </w:pPr>
    </w:p>
    <w:p w14:paraId="71F69444">
      <w:pPr>
        <w:rPr>
          <w:rFonts w:hint="eastAsia" w:ascii="宋体" w:hAnsi="宋体" w:cs="宋体"/>
          <w:highlight w:val="none"/>
        </w:rPr>
      </w:pPr>
    </w:p>
    <w:p w14:paraId="5C4254D2">
      <w:pPr>
        <w:rPr>
          <w:rFonts w:hint="eastAsia" w:ascii="宋体" w:hAnsi="宋体" w:eastAsia="宋体" w:cs="宋体"/>
          <w:b/>
          <w:bCs/>
          <w:kern w:val="0"/>
          <w:sz w:val="36"/>
          <w:szCs w:val="36"/>
          <w:highlight w:val="none"/>
          <w:lang w:val="en-US" w:eastAsia="zh-CN" w:bidi="ar-SA"/>
        </w:rPr>
      </w:pPr>
      <w:bookmarkStart w:id="292" w:name="_Toc27037"/>
      <w:bookmarkStart w:id="293" w:name="_Toc16260"/>
      <w:bookmarkStart w:id="294" w:name="_Toc6340"/>
      <w:r>
        <w:rPr>
          <w:rFonts w:hint="eastAsia" w:ascii="宋体" w:hAnsi="宋体" w:eastAsia="宋体" w:cs="宋体"/>
          <w:b/>
          <w:bCs/>
          <w:kern w:val="0"/>
          <w:sz w:val="36"/>
          <w:szCs w:val="36"/>
          <w:highlight w:val="none"/>
          <w:lang w:val="en-US" w:eastAsia="zh-CN" w:bidi="ar-SA"/>
        </w:rPr>
        <w:br w:type="page"/>
      </w:r>
    </w:p>
    <w:p w14:paraId="3893BFBE">
      <w:pPr>
        <w:jc w:val="center"/>
        <w:rPr>
          <w:rFonts w:hint="eastAsia" w:ascii="宋体" w:hAnsi="宋体" w:eastAsia="宋体" w:cs="宋体"/>
          <w:b/>
          <w:bCs/>
          <w:kern w:val="0"/>
          <w:sz w:val="36"/>
          <w:szCs w:val="36"/>
          <w:highlight w:val="none"/>
          <w:lang w:val="en-US" w:eastAsia="zh-CN" w:bidi="ar-SA"/>
        </w:rPr>
      </w:pPr>
      <w:r>
        <w:rPr>
          <w:rFonts w:hint="eastAsia" w:ascii="宋体" w:hAnsi="宋体" w:eastAsia="宋体" w:cs="宋体"/>
          <w:b/>
          <w:bCs/>
          <w:kern w:val="0"/>
          <w:sz w:val="36"/>
          <w:szCs w:val="36"/>
          <w:highlight w:val="none"/>
          <w:lang w:val="en-US" w:eastAsia="zh-CN" w:bidi="ar-SA"/>
        </w:rPr>
        <w:t>第五章、响应文件格式</w:t>
      </w:r>
      <w:bookmarkEnd w:id="260"/>
      <w:bookmarkEnd w:id="292"/>
      <w:bookmarkEnd w:id="293"/>
      <w:bookmarkEnd w:id="294"/>
    </w:p>
    <w:p w14:paraId="5FABA447">
      <w:pPr>
        <w:spacing w:line="360" w:lineRule="auto"/>
        <w:ind w:firstLine="480" w:firstLineChars="200"/>
        <w:rPr>
          <w:rFonts w:hint="eastAsia" w:ascii="宋体" w:hAnsi="宋体" w:cs="宋体"/>
          <w:sz w:val="24"/>
          <w:szCs w:val="24"/>
          <w:highlight w:val="none"/>
        </w:rPr>
      </w:pPr>
    </w:p>
    <w:p w14:paraId="56C6399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格式1   </w:t>
      </w:r>
      <w:r>
        <w:rPr>
          <w:rFonts w:hint="eastAsia" w:ascii="宋体" w:hAnsi="宋体" w:cs="宋体"/>
          <w:bCs/>
          <w:sz w:val="24"/>
          <w:szCs w:val="24"/>
          <w:highlight w:val="none"/>
        </w:rPr>
        <w:t>资格性/符合性自查表</w:t>
      </w:r>
    </w:p>
    <w:p w14:paraId="005FE66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格式2   法定代表人资格证明书</w:t>
      </w:r>
    </w:p>
    <w:p w14:paraId="47FF9AB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格式3   法定代表人授权委托书</w:t>
      </w:r>
    </w:p>
    <w:p w14:paraId="0804C021">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 xml:space="preserve">格式4   </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基本情况表</w:t>
      </w:r>
    </w:p>
    <w:p w14:paraId="3E79280C">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格式5   诚信声明</w:t>
      </w:r>
    </w:p>
    <w:p w14:paraId="50A7817C">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 xml:space="preserve">格式6   </w:t>
      </w:r>
      <w:r>
        <w:rPr>
          <w:rFonts w:hint="eastAsia" w:ascii="宋体" w:hAnsi="宋体" w:cs="宋体"/>
          <w:bCs/>
          <w:sz w:val="24"/>
          <w:szCs w:val="24"/>
          <w:highlight w:val="none"/>
          <w:lang w:eastAsia="zh-CN"/>
        </w:rPr>
        <w:t>无重大违法记录承诺书</w:t>
      </w:r>
    </w:p>
    <w:p w14:paraId="1714F023">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格式7   具有履行合同所必需的设备和专业技术能力的承诺书</w:t>
      </w:r>
    </w:p>
    <w:p w14:paraId="7EB5541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格式8   </w:t>
      </w:r>
      <w:r>
        <w:rPr>
          <w:rFonts w:hint="eastAsia" w:ascii="宋体" w:hAnsi="宋体" w:cs="宋体"/>
          <w:sz w:val="24"/>
          <w:szCs w:val="24"/>
          <w:highlight w:val="none"/>
        </w:rPr>
        <w:t>响应函</w:t>
      </w:r>
    </w:p>
    <w:p w14:paraId="5BD43080">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格式</w:t>
      </w:r>
      <w:r>
        <w:rPr>
          <w:rFonts w:hint="eastAsia" w:ascii="宋体" w:hAnsi="宋体" w:cs="宋体"/>
          <w:bCs/>
          <w:sz w:val="24"/>
          <w:szCs w:val="24"/>
          <w:highlight w:val="none"/>
          <w:lang w:val="en-US" w:eastAsia="zh-CN"/>
        </w:rPr>
        <w:t>9</w:t>
      </w:r>
      <w:r>
        <w:rPr>
          <w:rFonts w:hint="eastAsia" w:ascii="宋体" w:hAnsi="宋体" w:cs="宋体"/>
          <w:bCs/>
          <w:sz w:val="24"/>
          <w:szCs w:val="24"/>
          <w:highlight w:val="none"/>
        </w:rPr>
        <w:t xml:space="preserve">   商务报价一览表</w:t>
      </w:r>
    </w:p>
    <w:p w14:paraId="5ADE68D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格式</w:t>
      </w:r>
      <w:r>
        <w:rPr>
          <w:rFonts w:hint="eastAsia" w:ascii="宋体" w:hAnsi="宋体" w:cs="宋体"/>
          <w:sz w:val="24"/>
          <w:szCs w:val="24"/>
          <w:highlight w:val="none"/>
          <w:lang w:val="en-US" w:eastAsia="zh-CN"/>
        </w:rPr>
        <w:t>10</w:t>
      </w:r>
      <w:r>
        <w:rPr>
          <w:rFonts w:hint="eastAsia" w:ascii="宋体" w:hAnsi="宋体" w:cs="宋体"/>
          <w:sz w:val="24"/>
          <w:szCs w:val="24"/>
          <w:highlight w:val="none"/>
        </w:rPr>
        <w:t xml:space="preserve">  商务条款偏离表</w:t>
      </w:r>
    </w:p>
    <w:p w14:paraId="1D67F6E1">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格式</w:t>
      </w:r>
      <w:r>
        <w:rPr>
          <w:rFonts w:hint="eastAsia" w:ascii="宋体" w:hAnsi="宋体" w:cs="宋体"/>
          <w:bCs/>
          <w:sz w:val="24"/>
          <w:szCs w:val="24"/>
          <w:highlight w:val="none"/>
          <w:lang w:val="en-US" w:eastAsia="zh-CN"/>
        </w:rPr>
        <w:t>11</w:t>
      </w: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近三年（</w:t>
      </w:r>
      <w:r>
        <w:rPr>
          <w:rFonts w:hint="eastAsia" w:ascii="宋体" w:hAnsi="宋体" w:cs="宋体"/>
          <w:bCs/>
          <w:sz w:val="24"/>
          <w:szCs w:val="24"/>
          <w:highlight w:val="none"/>
          <w:lang w:val="zh-CN"/>
        </w:rPr>
        <w:t>20</w:t>
      </w:r>
      <w:r>
        <w:rPr>
          <w:rFonts w:hint="eastAsia" w:ascii="宋体" w:hAnsi="宋体" w:cs="宋体"/>
          <w:bCs/>
          <w:sz w:val="24"/>
          <w:szCs w:val="24"/>
          <w:highlight w:val="none"/>
          <w:lang w:val="en-US" w:eastAsia="zh-CN"/>
        </w:rPr>
        <w:t>22</w:t>
      </w:r>
      <w:r>
        <w:rPr>
          <w:rFonts w:hint="eastAsia" w:ascii="宋体" w:hAnsi="宋体" w:cs="宋体"/>
          <w:bCs/>
          <w:sz w:val="24"/>
          <w:szCs w:val="24"/>
          <w:highlight w:val="none"/>
          <w:lang w:val="zh-CN"/>
        </w:rPr>
        <w:t>年1月1日至今</w:t>
      </w:r>
      <w:r>
        <w:rPr>
          <w:rFonts w:hint="eastAsia" w:ascii="宋体" w:hAnsi="宋体" w:cs="宋体"/>
          <w:bCs/>
          <w:sz w:val="24"/>
          <w:szCs w:val="24"/>
          <w:highlight w:val="none"/>
        </w:rPr>
        <w:t>）同类项目业绩表</w:t>
      </w:r>
    </w:p>
    <w:p w14:paraId="581CF5A0">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格式</w:t>
      </w:r>
      <w:r>
        <w:rPr>
          <w:rFonts w:hint="eastAsia" w:ascii="宋体" w:hAnsi="宋体" w:cs="宋体"/>
          <w:bCs/>
          <w:sz w:val="24"/>
          <w:szCs w:val="24"/>
          <w:highlight w:val="none"/>
          <w:lang w:val="en-US" w:eastAsia="zh-CN"/>
        </w:rPr>
        <w:t>12</w:t>
      </w:r>
      <w:r>
        <w:rPr>
          <w:rFonts w:hint="eastAsia" w:ascii="宋体" w:hAnsi="宋体" w:cs="宋体"/>
          <w:bCs/>
          <w:sz w:val="24"/>
          <w:szCs w:val="24"/>
          <w:highlight w:val="none"/>
        </w:rPr>
        <w:t xml:space="preserve">   技术规格响应偏离表</w:t>
      </w:r>
    </w:p>
    <w:p w14:paraId="6CCE663E">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格式</w:t>
      </w:r>
      <w:r>
        <w:rPr>
          <w:rFonts w:hint="eastAsia" w:ascii="宋体" w:hAnsi="宋体" w:cs="宋体"/>
          <w:bCs/>
          <w:sz w:val="24"/>
          <w:szCs w:val="24"/>
          <w:highlight w:val="none"/>
          <w:lang w:val="en-US" w:eastAsia="zh-CN"/>
        </w:rPr>
        <w:t>13</w:t>
      </w:r>
      <w:r>
        <w:rPr>
          <w:rFonts w:hint="eastAsia" w:ascii="宋体" w:hAnsi="宋体" w:cs="宋体"/>
          <w:bCs/>
          <w:sz w:val="24"/>
          <w:szCs w:val="24"/>
          <w:highlight w:val="none"/>
        </w:rPr>
        <w:t xml:space="preserve">  中小企业声明函</w:t>
      </w:r>
    </w:p>
    <w:p w14:paraId="21495CC3">
      <w:pPr>
        <w:pStyle w:val="8"/>
        <w:rPr>
          <w:rFonts w:hint="eastAsia"/>
          <w:highlight w:val="none"/>
        </w:rPr>
      </w:pPr>
    </w:p>
    <w:p w14:paraId="077DC95D">
      <w:pPr>
        <w:rPr>
          <w:rFonts w:hint="eastAsia" w:ascii="宋体" w:hAnsi="宋体" w:cs="宋体"/>
          <w:highlight w:val="none"/>
        </w:rPr>
      </w:pPr>
    </w:p>
    <w:p w14:paraId="310D2B38">
      <w:pPr>
        <w:rPr>
          <w:rFonts w:hint="eastAsia" w:ascii="宋体" w:hAnsi="宋体" w:cs="宋体"/>
          <w:highlight w:val="none"/>
        </w:rPr>
      </w:pPr>
    </w:p>
    <w:p w14:paraId="2FD6B836">
      <w:pPr>
        <w:rPr>
          <w:rFonts w:hint="eastAsia" w:ascii="宋体" w:hAnsi="宋体" w:cs="宋体"/>
          <w:highlight w:val="none"/>
        </w:rPr>
      </w:pPr>
    </w:p>
    <w:p w14:paraId="52DB8E7B">
      <w:pPr>
        <w:rPr>
          <w:rFonts w:hint="eastAsia" w:ascii="宋体" w:hAnsi="宋体" w:cs="宋体"/>
          <w:highlight w:val="none"/>
        </w:rPr>
      </w:pPr>
    </w:p>
    <w:p w14:paraId="5A143174">
      <w:pPr>
        <w:rPr>
          <w:rFonts w:hint="eastAsia" w:ascii="宋体" w:hAnsi="宋体" w:cs="宋体"/>
          <w:highlight w:val="none"/>
        </w:rPr>
      </w:pPr>
    </w:p>
    <w:p w14:paraId="6EED3092">
      <w:pPr>
        <w:pStyle w:val="11"/>
        <w:spacing w:line="360" w:lineRule="auto"/>
        <w:jc w:val="both"/>
        <w:outlineLvl w:val="9"/>
        <w:rPr>
          <w:rFonts w:hint="eastAsia" w:hAnsi="宋体" w:cs="宋体"/>
          <w:b/>
          <w:bCs/>
          <w:sz w:val="52"/>
          <w:szCs w:val="52"/>
          <w:highlight w:val="none"/>
        </w:rPr>
      </w:pPr>
      <w:r>
        <w:rPr>
          <w:rFonts w:hint="eastAsia" w:hAnsi="宋体" w:cs="宋体"/>
          <w:b/>
          <w:bCs/>
          <w:sz w:val="52"/>
          <w:szCs w:val="52"/>
          <w:highlight w:val="none"/>
        </w:rPr>
        <w:br w:type="page"/>
      </w:r>
    </w:p>
    <w:p w14:paraId="7A5E65BC">
      <w:pPr>
        <w:pStyle w:val="11"/>
        <w:spacing w:line="360" w:lineRule="auto"/>
        <w:jc w:val="center"/>
        <w:outlineLvl w:val="9"/>
        <w:rPr>
          <w:rFonts w:hint="eastAsia" w:hAnsi="宋体" w:cs="宋体"/>
          <w:b/>
          <w:bCs/>
          <w:sz w:val="52"/>
          <w:szCs w:val="52"/>
          <w:highlight w:val="none"/>
        </w:rPr>
      </w:pPr>
    </w:p>
    <w:p w14:paraId="6C76E116">
      <w:pPr>
        <w:pStyle w:val="11"/>
        <w:spacing w:line="360" w:lineRule="auto"/>
        <w:jc w:val="both"/>
        <w:outlineLvl w:val="9"/>
        <w:rPr>
          <w:rFonts w:hint="eastAsia" w:hAnsi="宋体" w:cs="宋体"/>
          <w:b/>
          <w:bCs/>
          <w:sz w:val="52"/>
          <w:szCs w:val="52"/>
          <w:highlight w:val="none"/>
        </w:rPr>
      </w:pPr>
    </w:p>
    <w:p w14:paraId="6133D21C">
      <w:pPr>
        <w:pStyle w:val="11"/>
        <w:spacing w:line="360" w:lineRule="auto"/>
        <w:jc w:val="center"/>
        <w:outlineLvl w:val="9"/>
        <w:rPr>
          <w:rFonts w:hint="eastAsia" w:ascii="宋体" w:hAnsi="宋体" w:eastAsia="宋体" w:cs="宋体"/>
          <w:b/>
          <w:kern w:val="2"/>
          <w:sz w:val="56"/>
          <w:szCs w:val="56"/>
          <w:highlight w:val="none"/>
          <w:lang w:val="en-US" w:eastAsia="zh-CN" w:bidi="ar-SA"/>
        </w:rPr>
      </w:pPr>
      <w:r>
        <w:rPr>
          <w:rFonts w:hint="eastAsia" w:hAnsi="宋体" w:cs="宋体"/>
          <w:b/>
          <w:kern w:val="2"/>
          <w:sz w:val="56"/>
          <w:szCs w:val="56"/>
          <w:highlight w:val="none"/>
          <w:lang w:val="en-US" w:eastAsia="zh-CN" w:bidi="ar-SA"/>
        </w:rPr>
        <w:t>气象服务保障经费</w:t>
      </w:r>
    </w:p>
    <w:p w14:paraId="60D44C4D">
      <w:pPr>
        <w:pStyle w:val="12"/>
        <w:rPr>
          <w:rFonts w:hint="eastAsia"/>
          <w:highlight w:val="none"/>
        </w:rPr>
      </w:pPr>
    </w:p>
    <w:p w14:paraId="2D416F77">
      <w:pPr>
        <w:spacing w:line="360" w:lineRule="auto"/>
        <w:rPr>
          <w:rFonts w:hint="eastAsia" w:ascii="宋体" w:hAnsi="宋体" w:cs="宋体"/>
          <w:sz w:val="32"/>
          <w:szCs w:val="32"/>
          <w:highlight w:val="none"/>
        </w:rPr>
      </w:pPr>
    </w:p>
    <w:p w14:paraId="205779BE">
      <w:pPr>
        <w:jc w:val="center"/>
        <w:rPr>
          <w:rFonts w:hint="eastAsia" w:ascii="宋体" w:hAnsi="宋体" w:cs="宋体"/>
          <w:b/>
          <w:sz w:val="72"/>
          <w:szCs w:val="72"/>
          <w:highlight w:val="none"/>
        </w:rPr>
      </w:pPr>
      <w:r>
        <w:rPr>
          <w:rFonts w:hint="eastAsia" w:ascii="宋体" w:hAnsi="宋体" w:cs="宋体"/>
          <w:b/>
          <w:sz w:val="72"/>
          <w:szCs w:val="72"/>
          <w:highlight w:val="none"/>
        </w:rPr>
        <w:t>响  应  文  件</w:t>
      </w:r>
    </w:p>
    <w:p w14:paraId="460D3392">
      <w:pPr>
        <w:snapToGrid w:val="0"/>
        <w:spacing w:line="374" w:lineRule="atLeast"/>
        <w:jc w:val="center"/>
        <w:rPr>
          <w:rFonts w:hint="eastAsia" w:ascii="宋体" w:hAnsi="宋体" w:cs="宋体"/>
          <w:b/>
          <w:sz w:val="32"/>
          <w:szCs w:val="21"/>
          <w:highlight w:val="none"/>
        </w:rPr>
      </w:pPr>
    </w:p>
    <w:p w14:paraId="3A373254">
      <w:pPr>
        <w:snapToGrid w:val="0"/>
        <w:spacing w:line="374" w:lineRule="atLeast"/>
        <w:jc w:val="center"/>
        <w:rPr>
          <w:rFonts w:hint="eastAsia" w:ascii="宋体" w:hAnsi="宋体" w:cs="宋体"/>
          <w:b/>
          <w:sz w:val="32"/>
          <w:szCs w:val="21"/>
          <w:highlight w:val="none"/>
        </w:rPr>
      </w:pPr>
    </w:p>
    <w:p w14:paraId="68720B82">
      <w:pPr>
        <w:jc w:val="center"/>
        <w:rPr>
          <w:rFonts w:hint="eastAsia" w:ascii="宋体" w:hAnsi="宋体" w:eastAsia="宋体" w:cs="宋体"/>
          <w:highlight w:val="none"/>
          <w:lang w:val="en-US" w:eastAsia="zh-CN"/>
        </w:rPr>
      </w:pPr>
      <w:r>
        <w:rPr>
          <w:rFonts w:hint="eastAsia" w:ascii="宋体" w:hAnsi="宋体" w:cs="宋体"/>
          <w:b/>
          <w:sz w:val="32"/>
          <w:szCs w:val="21"/>
          <w:highlight w:val="none"/>
          <w:lang w:eastAsia="zh-CN"/>
        </w:rPr>
        <w:t>竞争性谈判</w:t>
      </w:r>
      <w:r>
        <w:rPr>
          <w:rFonts w:hint="eastAsia" w:ascii="宋体" w:hAnsi="宋体" w:cs="宋体"/>
          <w:b/>
          <w:sz w:val="32"/>
          <w:szCs w:val="21"/>
          <w:highlight w:val="none"/>
        </w:rPr>
        <w:t>文件编号：</w:t>
      </w:r>
      <w:r>
        <w:rPr>
          <w:rFonts w:hint="eastAsia" w:ascii="宋体" w:hAnsi="宋体" w:cs="宋体"/>
          <w:b/>
          <w:sz w:val="32"/>
          <w:szCs w:val="21"/>
          <w:highlight w:val="none"/>
          <w:lang w:val="en-US" w:eastAsia="zh-CN"/>
        </w:rPr>
        <w:t>XZZB-FW-2025012</w:t>
      </w:r>
    </w:p>
    <w:p w14:paraId="35147B80">
      <w:pPr>
        <w:rPr>
          <w:rFonts w:hint="eastAsia" w:ascii="宋体" w:hAnsi="宋体" w:cs="宋体"/>
          <w:highlight w:val="none"/>
        </w:rPr>
      </w:pPr>
    </w:p>
    <w:p w14:paraId="5A8C0A55">
      <w:pPr>
        <w:rPr>
          <w:rFonts w:hint="eastAsia" w:ascii="宋体" w:hAnsi="宋体" w:cs="宋体"/>
          <w:highlight w:val="none"/>
        </w:rPr>
      </w:pPr>
    </w:p>
    <w:p w14:paraId="2F7AB689">
      <w:pPr>
        <w:rPr>
          <w:rFonts w:hint="eastAsia" w:ascii="宋体" w:hAnsi="宋体" w:cs="宋体"/>
          <w:highlight w:val="none"/>
        </w:rPr>
      </w:pPr>
    </w:p>
    <w:p w14:paraId="4021C160">
      <w:pPr>
        <w:spacing w:line="360" w:lineRule="auto"/>
        <w:ind w:firstLine="602"/>
        <w:rPr>
          <w:rFonts w:hint="eastAsia" w:ascii="宋体" w:hAnsi="宋体" w:cs="宋体"/>
          <w:b/>
          <w:sz w:val="32"/>
          <w:szCs w:val="32"/>
          <w:highlight w:val="none"/>
        </w:rPr>
      </w:pPr>
      <w:r>
        <w:rPr>
          <w:rFonts w:hint="eastAsia" w:ascii="宋体" w:hAnsi="宋体" w:cs="宋体"/>
          <w:b/>
          <w:sz w:val="32"/>
          <w:szCs w:val="32"/>
          <w:highlight w:val="none"/>
        </w:rPr>
        <w:t>供应商： （单位名称）盖章</w:t>
      </w:r>
    </w:p>
    <w:p w14:paraId="250951B9">
      <w:pPr>
        <w:spacing w:line="360" w:lineRule="auto"/>
        <w:rPr>
          <w:rFonts w:hint="eastAsia" w:ascii="宋体" w:hAnsi="宋体" w:cs="宋体"/>
          <w:b/>
          <w:sz w:val="32"/>
          <w:szCs w:val="32"/>
          <w:highlight w:val="none"/>
        </w:rPr>
      </w:pPr>
    </w:p>
    <w:p w14:paraId="07F06689">
      <w:pPr>
        <w:spacing w:line="360" w:lineRule="auto"/>
        <w:ind w:firstLine="602"/>
        <w:rPr>
          <w:rFonts w:hint="eastAsia" w:ascii="宋体" w:hAnsi="宋体" w:cs="宋体"/>
          <w:b/>
          <w:sz w:val="32"/>
          <w:szCs w:val="32"/>
          <w:highlight w:val="none"/>
        </w:rPr>
      </w:pPr>
      <w:r>
        <w:rPr>
          <w:rFonts w:hint="eastAsia" w:ascii="宋体" w:hAnsi="宋体" w:cs="宋体"/>
          <w:b/>
          <w:sz w:val="32"/>
          <w:szCs w:val="32"/>
          <w:highlight w:val="none"/>
        </w:rPr>
        <w:t>单位地址：</w:t>
      </w:r>
    </w:p>
    <w:p w14:paraId="71764AEE">
      <w:pPr>
        <w:spacing w:line="360" w:lineRule="auto"/>
        <w:ind w:firstLine="602"/>
        <w:rPr>
          <w:rFonts w:hint="eastAsia" w:ascii="宋体" w:hAnsi="宋体" w:cs="宋体"/>
          <w:b/>
          <w:sz w:val="32"/>
          <w:szCs w:val="32"/>
          <w:highlight w:val="none"/>
        </w:rPr>
      </w:pPr>
    </w:p>
    <w:p w14:paraId="79B9A3E3">
      <w:pPr>
        <w:pStyle w:val="11"/>
        <w:ind w:firstLine="643" w:firstLineChars="200"/>
        <w:rPr>
          <w:rFonts w:hint="eastAsia" w:hAnsi="宋体" w:cs="宋体"/>
          <w:b/>
          <w:sz w:val="32"/>
          <w:szCs w:val="32"/>
          <w:highlight w:val="none"/>
        </w:rPr>
      </w:pPr>
      <w:bookmarkStart w:id="295" w:name="_Toc28816"/>
      <w:r>
        <w:rPr>
          <w:rFonts w:hint="eastAsia" w:hAnsi="宋体" w:cs="宋体"/>
          <w:b/>
          <w:sz w:val="32"/>
          <w:szCs w:val="32"/>
          <w:highlight w:val="none"/>
        </w:rPr>
        <w:t xml:space="preserve">联系人：                   </w:t>
      </w:r>
    </w:p>
    <w:p w14:paraId="7257C1F7">
      <w:pPr>
        <w:pStyle w:val="11"/>
        <w:ind w:firstLine="643" w:firstLineChars="200"/>
        <w:rPr>
          <w:rFonts w:hint="eastAsia" w:hAnsi="宋体" w:cs="宋体"/>
          <w:b/>
          <w:sz w:val="32"/>
          <w:szCs w:val="32"/>
          <w:highlight w:val="none"/>
        </w:rPr>
      </w:pPr>
    </w:p>
    <w:p w14:paraId="4B79FD0B">
      <w:pPr>
        <w:pStyle w:val="11"/>
        <w:ind w:firstLine="643" w:firstLineChars="200"/>
        <w:rPr>
          <w:rFonts w:hint="eastAsia" w:hAnsi="宋体" w:cs="宋体"/>
          <w:b/>
          <w:sz w:val="32"/>
          <w:szCs w:val="32"/>
          <w:highlight w:val="none"/>
        </w:rPr>
      </w:pPr>
    </w:p>
    <w:p w14:paraId="716722F5">
      <w:pPr>
        <w:pStyle w:val="11"/>
        <w:ind w:firstLine="643" w:firstLineChars="200"/>
        <w:rPr>
          <w:rFonts w:hint="eastAsia" w:hAnsi="宋体" w:cs="宋体"/>
          <w:sz w:val="28"/>
          <w:szCs w:val="21"/>
          <w:highlight w:val="none"/>
        </w:rPr>
      </w:pPr>
      <w:r>
        <w:rPr>
          <w:rFonts w:hint="eastAsia" w:hAnsi="宋体" w:cs="宋体"/>
          <w:b/>
          <w:sz w:val="32"/>
          <w:szCs w:val="32"/>
          <w:highlight w:val="none"/>
        </w:rPr>
        <w:t>联系电话：</w:t>
      </w:r>
      <w:bookmarkEnd w:id="295"/>
    </w:p>
    <w:p w14:paraId="5D7EC3AB">
      <w:pPr>
        <w:pStyle w:val="11"/>
        <w:rPr>
          <w:rFonts w:hint="eastAsia" w:hAnsi="宋体" w:cs="宋体"/>
          <w:sz w:val="28"/>
          <w:szCs w:val="21"/>
          <w:highlight w:val="none"/>
        </w:rPr>
      </w:pPr>
    </w:p>
    <w:p w14:paraId="0B48AA98">
      <w:pPr>
        <w:pStyle w:val="31"/>
        <w:rPr>
          <w:rFonts w:hint="eastAsia" w:ascii="宋体" w:hAnsi="宋体" w:cs="宋体"/>
          <w:b/>
          <w:sz w:val="28"/>
          <w:szCs w:val="21"/>
          <w:highlight w:val="none"/>
        </w:rPr>
      </w:pPr>
    </w:p>
    <w:p w14:paraId="1B64A403">
      <w:pPr>
        <w:pStyle w:val="31"/>
        <w:rPr>
          <w:rFonts w:hint="eastAsia" w:ascii="宋体" w:hAnsi="宋体" w:cs="宋体"/>
          <w:b/>
          <w:sz w:val="28"/>
          <w:szCs w:val="21"/>
          <w:highlight w:val="none"/>
        </w:rPr>
      </w:pPr>
    </w:p>
    <w:p w14:paraId="0AD43BC3">
      <w:pPr>
        <w:spacing w:line="360" w:lineRule="auto"/>
        <w:ind w:left="947" w:hanging="947" w:hangingChars="337"/>
        <w:jc w:val="center"/>
        <w:rPr>
          <w:rFonts w:hint="eastAsia" w:ascii="宋体" w:hAnsi="宋体" w:cs="宋体"/>
          <w:b/>
          <w:sz w:val="28"/>
          <w:szCs w:val="21"/>
          <w:highlight w:val="none"/>
        </w:rPr>
      </w:pPr>
    </w:p>
    <w:p w14:paraId="3361C4D7">
      <w:pPr>
        <w:spacing w:line="360" w:lineRule="auto"/>
        <w:ind w:left="947" w:hanging="947" w:hangingChars="337"/>
        <w:jc w:val="center"/>
        <w:rPr>
          <w:rFonts w:hint="eastAsia" w:ascii="宋体" w:hAnsi="宋体" w:eastAsia="宋体" w:cs="宋体"/>
          <w:bCs/>
          <w:sz w:val="24"/>
          <w:szCs w:val="24"/>
          <w:highlight w:val="none"/>
        </w:rPr>
      </w:pPr>
      <w:r>
        <w:rPr>
          <w:rFonts w:hint="eastAsia" w:ascii="宋体" w:hAnsi="宋体" w:cs="宋体"/>
          <w:b/>
          <w:sz w:val="28"/>
          <w:szCs w:val="21"/>
          <w:highlight w:val="none"/>
        </w:rPr>
        <w:br w:type="page"/>
      </w:r>
      <w:r>
        <w:rPr>
          <w:rFonts w:hint="eastAsia" w:ascii="宋体" w:hAnsi="宋体" w:eastAsia="宋体" w:cs="宋体"/>
          <w:b/>
          <w:sz w:val="24"/>
          <w:szCs w:val="24"/>
          <w:highlight w:val="none"/>
        </w:rPr>
        <w:t xml:space="preserve">格式1  </w:t>
      </w:r>
      <w:r>
        <w:rPr>
          <w:rFonts w:hint="eastAsia" w:ascii="宋体" w:hAnsi="宋体" w:eastAsia="宋体" w:cs="宋体"/>
          <w:b/>
          <w:bCs/>
          <w:sz w:val="24"/>
          <w:szCs w:val="24"/>
          <w:highlight w:val="none"/>
        </w:rPr>
        <w:t xml:space="preserve"> </w:t>
      </w:r>
      <w:r>
        <w:rPr>
          <w:rFonts w:hint="eastAsia" w:ascii="宋体" w:hAnsi="宋体" w:eastAsia="宋体" w:cs="宋体"/>
          <w:b/>
          <w:sz w:val="24"/>
          <w:szCs w:val="24"/>
          <w:highlight w:val="none"/>
        </w:rPr>
        <w:t>资格性/符合性自查表</w:t>
      </w:r>
    </w:p>
    <w:tbl>
      <w:tblPr>
        <w:tblStyle w:val="22"/>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284"/>
        <w:gridCol w:w="3334"/>
        <w:gridCol w:w="2425"/>
        <w:gridCol w:w="2775"/>
      </w:tblGrid>
      <w:tr w14:paraId="5700EE0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29" w:hRule="atLeast"/>
          <w:jc w:val="center"/>
        </w:trPr>
        <w:tc>
          <w:tcPr>
            <w:tcW w:w="1284" w:type="dxa"/>
            <w:tcBorders>
              <w:top w:val="outset" w:color="111111" w:sz="6" w:space="0"/>
              <w:left w:val="outset" w:color="111111" w:sz="6" w:space="0"/>
              <w:bottom w:val="outset" w:color="111111" w:sz="6" w:space="0"/>
              <w:right w:val="outset" w:color="111111" w:sz="6" w:space="0"/>
            </w:tcBorders>
            <w:noWrap w:val="0"/>
            <w:vAlign w:val="center"/>
          </w:tcPr>
          <w:p w14:paraId="6CE3E175">
            <w:pPr>
              <w:jc w:val="center"/>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评审内容</w:t>
            </w: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59273FDA">
            <w:pPr>
              <w:jc w:val="center"/>
              <w:rPr>
                <w:rFonts w:hint="eastAsia" w:ascii="宋体" w:hAnsi="宋体" w:eastAsia="宋体" w:cs="宋体"/>
                <w:b/>
                <w:bCs/>
                <w:spacing w:val="10"/>
                <w:sz w:val="24"/>
                <w:szCs w:val="24"/>
                <w:highlight w:val="none"/>
              </w:rPr>
            </w:pPr>
            <w:r>
              <w:rPr>
                <w:rFonts w:hint="eastAsia" w:ascii="宋体" w:hAnsi="宋体" w:cs="宋体"/>
                <w:b/>
                <w:bCs/>
                <w:spacing w:val="10"/>
                <w:sz w:val="24"/>
                <w:szCs w:val="24"/>
                <w:highlight w:val="none"/>
                <w:lang w:eastAsia="zh-CN"/>
              </w:rPr>
              <w:t>竞争性谈判</w:t>
            </w:r>
            <w:r>
              <w:rPr>
                <w:rFonts w:hint="eastAsia" w:ascii="宋体" w:hAnsi="宋体" w:eastAsia="宋体" w:cs="宋体"/>
                <w:b/>
                <w:bCs/>
                <w:spacing w:val="10"/>
                <w:sz w:val="24"/>
                <w:szCs w:val="24"/>
                <w:highlight w:val="none"/>
              </w:rPr>
              <w:t>文件要求</w:t>
            </w:r>
          </w:p>
          <w:p w14:paraId="11CC82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（详见《资格性和符合性审查表》各项）</w:t>
            </w: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1C65CFAA">
            <w:pPr>
              <w:jc w:val="center"/>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自查结论</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3D314562">
            <w:pPr>
              <w:jc w:val="center"/>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证明资料</w:t>
            </w:r>
          </w:p>
        </w:tc>
      </w:tr>
      <w:tr w14:paraId="3287589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restart"/>
            <w:tcBorders>
              <w:top w:val="outset" w:color="111111" w:sz="6" w:space="0"/>
              <w:left w:val="outset" w:color="111111" w:sz="6" w:space="0"/>
              <w:right w:val="outset" w:color="111111" w:sz="6" w:space="0"/>
            </w:tcBorders>
            <w:noWrap w:val="0"/>
            <w:vAlign w:val="center"/>
          </w:tcPr>
          <w:p w14:paraId="47F69E06">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资格性审查</w:t>
            </w: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2D53DE33">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17E0F81B">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 □不通过</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228B16E5">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2817F35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continue"/>
            <w:tcBorders>
              <w:left w:val="outset" w:color="111111" w:sz="6" w:space="0"/>
              <w:right w:val="outset" w:color="111111" w:sz="6" w:space="0"/>
            </w:tcBorders>
            <w:noWrap w:val="0"/>
            <w:vAlign w:val="center"/>
          </w:tcPr>
          <w:p w14:paraId="748A0FAC">
            <w:pPr>
              <w:rPr>
                <w:rFonts w:hint="eastAsia" w:ascii="宋体" w:hAnsi="宋体" w:eastAsia="宋体" w:cs="宋体"/>
                <w:sz w:val="24"/>
                <w:szCs w:val="24"/>
                <w:highlight w:val="none"/>
              </w:rPr>
            </w:pP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54F87838">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59B99FB7">
            <w:pPr>
              <w:rPr>
                <w:rFonts w:hint="eastAsia" w:ascii="宋体" w:hAnsi="宋体" w:eastAsia="宋体" w:cs="宋体"/>
                <w:sz w:val="24"/>
                <w:szCs w:val="24"/>
                <w:highlight w:val="none"/>
              </w:rPr>
            </w:pPr>
            <w:r>
              <w:rPr>
                <w:rFonts w:hint="eastAsia" w:ascii="宋体" w:hAnsi="宋体" w:eastAsia="宋体" w:cs="宋体"/>
                <w:sz w:val="24"/>
                <w:szCs w:val="24"/>
                <w:highlight w:val="none"/>
              </w:rPr>
              <w:t>□通过 □不通过</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30DD2AB3">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0F5863A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continue"/>
            <w:tcBorders>
              <w:left w:val="outset" w:color="111111" w:sz="6" w:space="0"/>
              <w:right w:val="outset" w:color="111111" w:sz="6" w:space="0"/>
            </w:tcBorders>
            <w:noWrap w:val="0"/>
            <w:vAlign w:val="center"/>
          </w:tcPr>
          <w:p w14:paraId="4B32D92E">
            <w:pPr>
              <w:rPr>
                <w:rFonts w:hint="eastAsia" w:ascii="宋体" w:hAnsi="宋体" w:eastAsia="宋体" w:cs="宋体"/>
                <w:sz w:val="24"/>
                <w:szCs w:val="24"/>
                <w:highlight w:val="none"/>
              </w:rPr>
            </w:pP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7FABEB93">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12810274">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 □不通过</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2CC60895">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46E83F2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continue"/>
            <w:tcBorders>
              <w:left w:val="outset" w:color="111111" w:sz="6" w:space="0"/>
              <w:right w:val="outset" w:color="111111" w:sz="6" w:space="0"/>
            </w:tcBorders>
            <w:noWrap w:val="0"/>
            <w:vAlign w:val="center"/>
          </w:tcPr>
          <w:p w14:paraId="18EBE45F">
            <w:pPr>
              <w:rPr>
                <w:rFonts w:hint="eastAsia" w:ascii="宋体" w:hAnsi="宋体" w:eastAsia="宋体" w:cs="宋体"/>
                <w:sz w:val="24"/>
                <w:szCs w:val="24"/>
                <w:highlight w:val="none"/>
              </w:rPr>
            </w:pP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6B7FCCF5">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64311374">
            <w:pPr>
              <w:rPr>
                <w:rFonts w:hint="eastAsia" w:ascii="宋体" w:hAnsi="宋体" w:eastAsia="宋体" w:cs="宋体"/>
                <w:sz w:val="24"/>
                <w:szCs w:val="24"/>
                <w:highlight w:val="none"/>
              </w:rPr>
            </w:pPr>
            <w:r>
              <w:rPr>
                <w:rFonts w:hint="eastAsia" w:ascii="宋体" w:hAnsi="宋体" w:eastAsia="宋体" w:cs="宋体"/>
                <w:sz w:val="24"/>
                <w:szCs w:val="24"/>
                <w:highlight w:val="none"/>
              </w:rPr>
              <w:t>□通过 □不通过</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60CEEA72">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280FA6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continue"/>
            <w:tcBorders>
              <w:left w:val="outset" w:color="111111" w:sz="6" w:space="0"/>
              <w:right w:val="outset" w:color="111111" w:sz="6" w:space="0"/>
            </w:tcBorders>
            <w:noWrap w:val="0"/>
            <w:vAlign w:val="center"/>
          </w:tcPr>
          <w:p w14:paraId="43775B21">
            <w:pPr>
              <w:rPr>
                <w:rFonts w:hint="eastAsia" w:ascii="宋体" w:hAnsi="宋体" w:eastAsia="宋体" w:cs="宋体"/>
                <w:sz w:val="24"/>
                <w:szCs w:val="24"/>
                <w:highlight w:val="none"/>
              </w:rPr>
            </w:pP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7B8CE7E6">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72E626CD">
            <w:pPr>
              <w:rPr>
                <w:rFonts w:hint="eastAsia" w:ascii="宋体" w:hAnsi="宋体" w:eastAsia="宋体" w:cs="宋体"/>
                <w:sz w:val="24"/>
                <w:szCs w:val="24"/>
                <w:highlight w:val="none"/>
              </w:rPr>
            </w:pPr>
            <w:r>
              <w:rPr>
                <w:rFonts w:hint="eastAsia" w:ascii="宋体" w:hAnsi="宋体" w:eastAsia="宋体" w:cs="宋体"/>
                <w:sz w:val="24"/>
                <w:szCs w:val="24"/>
                <w:highlight w:val="none"/>
              </w:rPr>
              <w:t>□通过 □不通过</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2FB6CDF5">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2B7E723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restart"/>
            <w:tcBorders>
              <w:top w:val="outset" w:color="111111" w:sz="6" w:space="0"/>
              <w:left w:val="outset" w:color="111111" w:sz="6" w:space="0"/>
              <w:right w:val="outset" w:color="111111" w:sz="6" w:space="0"/>
            </w:tcBorders>
            <w:noWrap w:val="0"/>
            <w:vAlign w:val="center"/>
          </w:tcPr>
          <w:p w14:paraId="646D1004">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符合性审查</w:t>
            </w: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63527C51">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1D2A546F">
            <w:pPr>
              <w:rPr>
                <w:rFonts w:hint="eastAsia" w:ascii="宋体" w:hAnsi="宋体" w:eastAsia="宋体" w:cs="宋体"/>
                <w:sz w:val="24"/>
                <w:szCs w:val="24"/>
                <w:highlight w:val="none"/>
              </w:rPr>
            </w:pPr>
            <w:r>
              <w:rPr>
                <w:rFonts w:hint="eastAsia" w:ascii="宋体" w:hAnsi="宋体" w:eastAsia="宋体" w:cs="宋体"/>
                <w:sz w:val="24"/>
                <w:szCs w:val="24"/>
                <w:highlight w:val="none"/>
              </w:rPr>
              <w:t>□符合 □不符合</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7EC2837F">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0074E0A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continue"/>
            <w:tcBorders>
              <w:left w:val="outset" w:color="111111" w:sz="6" w:space="0"/>
              <w:right w:val="outset" w:color="111111" w:sz="6" w:space="0"/>
            </w:tcBorders>
            <w:noWrap w:val="0"/>
            <w:vAlign w:val="center"/>
          </w:tcPr>
          <w:p w14:paraId="7B8B50D0">
            <w:pPr>
              <w:rPr>
                <w:rFonts w:hint="eastAsia" w:ascii="宋体" w:hAnsi="宋体" w:eastAsia="宋体" w:cs="宋体"/>
                <w:sz w:val="24"/>
                <w:szCs w:val="24"/>
                <w:highlight w:val="none"/>
              </w:rPr>
            </w:pP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60F45CB6">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2AD5875E">
            <w:pPr>
              <w:rPr>
                <w:rFonts w:hint="eastAsia" w:ascii="宋体" w:hAnsi="宋体" w:eastAsia="宋体" w:cs="宋体"/>
                <w:sz w:val="24"/>
                <w:szCs w:val="24"/>
                <w:highlight w:val="none"/>
              </w:rPr>
            </w:pPr>
            <w:r>
              <w:rPr>
                <w:rFonts w:hint="eastAsia" w:ascii="宋体" w:hAnsi="宋体" w:eastAsia="宋体" w:cs="宋体"/>
                <w:sz w:val="24"/>
                <w:szCs w:val="24"/>
                <w:highlight w:val="none"/>
              </w:rPr>
              <w:t>□符合 □不符合</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58B3A4E6">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4363B4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continue"/>
            <w:tcBorders>
              <w:left w:val="outset" w:color="111111" w:sz="6" w:space="0"/>
              <w:right w:val="outset" w:color="111111" w:sz="6" w:space="0"/>
            </w:tcBorders>
            <w:noWrap w:val="0"/>
            <w:vAlign w:val="center"/>
          </w:tcPr>
          <w:p w14:paraId="69FE0DC5">
            <w:pPr>
              <w:rPr>
                <w:rFonts w:hint="eastAsia" w:ascii="宋体" w:hAnsi="宋体" w:eastAsia="宋体" w:cs="宋体"/>
                <w:sz w:val="24"/>
                <w:szCs w:val="24"/>
                <w:highlight w:val="none"/>
              </w:rPr>
            </w:pP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501581E5">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041CC6BD">
            <w:pPr>
              <w:rPr>
                <w:rFonts w:hint="eastAsia" w:ascii="宋体" w:hAnsi="宋体" w:eastAsia="宋体" w:cs="宋体"/>
                <w:sz w:val="24"/>
                <w:szCs w:val="24"/>
                <w:highlight w:val="none"/>
              </w:rPr>
            </w:pPr>
            <w:r>
              <w:rPr>
                <w:rFonts w:hint="eastAsia" w:ascii="宋体" w:hAnsi="宋体" w:eastAsia="宋体" w:cs="宋体"/>
                <w:sz w:val="24"/>
                <w:szCs w:val="24"/>
                <w:highlight w:val="none"/>
              </w:rPr>
              <w:t>□符合 □不符合</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00AE9B23">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11A05F5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continue"/>
            <w:tcBorders>
              <w:left w:val="outset" w:color="111111" w:sz="6" w:space="0"/>
              <w:right w:val="outset" w:color="111111" w:sz="6" w:space="0"/>
            </w:tcBorders>
            <w:noWrap w:val="0"/>
            <w:vAlign w:val="center"/>
          </w:tcPr>
          <w:p w14:paraId="3388E628">
            <w:pPr>
              <w:rPr>
                <w:rFonts w:hint="eastAsia" w:ascii="宋体" w:hAnsi="宋体" w:eastAsia="宋体" w:cs="宋体"/>
                <w:sz w:val="24"/>
                <w:szCs w:val="24"/>
                <w:highlight w:val="none"/>
              </w:rPr>
            </w:pP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1F9675FD">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1B7652DB">
            <w:pPr>
              <w:rPr>
                <w:rFonts w:hint="eastAsia" w:ascii="宋体" w:hAnsi="宋体" w:eastAsia="宋体" w:cs="宋体"/>
                <w:sz w:val="24"/>
                <w:szCs w:val="24"/>
                <w:highlight w:val="none"/>
              </w:rPr>
            </w:pPr>
            <w:r>
              <w:rPr>
                <w:rFonts w:hint="eastAsia" w:ascii="宋体" w:hAnsi="宋体" w:eastAsia="宋体" w:cs="宋体"/>
                <w:sz w:val="24"/>
                <w:szCs w:val="24"/>
                <w:highlight w:val="none"/>
              </w:rPr>
              <w:t>□符合 □不符合</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57F74E81">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0B0CFBE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8" w:hRule="atLeast"/>
          <w:jc w:val="center"/>
        </w:trPr>
        <w:tc>
          <w:tcPr>
            <w:tcW w:w="1284" w:type="dxa"/>
            <w:vMerge w:val="continue"/>
            <w:tcBorders>
              <w:left w:val="outset" w:color="111111" w:sz="6" w:space="0"/>
              <w:right w:val="outset" w:color="111111" w:sz="6" w:space="0"/>
            </w:tcBorders>
            <w:noWrap w:val="0"/>
            <w:vAlign w:val="center"/>
          </w:tcPr>
          <w:p w14:paraId="0BD56CF0">
            <w:pPr>
              <w:rPr>
                <w:rFonts w:hint="eastAsia" w:ascii="宋体" w:hAnsi="宋体" w:eastAsia="宋体" w:cs="宋体"/>
                <w:sz w:val="24"/>
                <w:szCs w:val="24"/>
                <w:highlight w:val="none"/>
              </w:rPr>
            </w:pP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173B3256">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15B9C133">
            <w:pPr>
              <w:rPr>
                <w:rFonts w:hint="eastAsia" w:ascii="宋体" w:hAnsi="宋体" w:eastAsia="宋体" w:cs="宋体"/>
                <w:sz w:val="24"/>
                <w:szCs w:val="24"/>
                <w:highlight w:val="none"/>
              </w:rPr>
            </w:pPr>
            <w:r>
              <w:rPr>
                <w:rFonts w:hint="eastAsia" w:ascii="宋体" w:hAnsi="宋体" w:eastAsia="宋体" w:cs="宋体"/>
                <w:sz w:val="24"/>
                <w:szCs w:val="24"/>
                <w:highlight w:val="none"/>
              </w:rPr>
              <w:t>□符合 □不符合</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61DE322C">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r w14:paraId="45AF96A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15" w:hRule="atLeast"/>
          <w:jc w:val="center"/>
        </w:trPr>
        <w:tc>
          <w:tcPr>
            <w:tcW w:w="1284" w:type="dxa"/>
            <w:vMerge w:val="continue"/>
            <w:tcBorders>
              <w:left w:val="outset" w:color="111111" w:sz="6" w:space="0"/>
              <w:right w:val="outset" w:color="111111" w:sz="6" w:space="0"/>
            </w:tcBorders>
            <w:noWrap w:val="0"/>
            <w:vAlign w:val="center"/>
          </w:tcPr>
          <w:p w14:paraId="7FFA16EC">
            <w:pPr>
              <w:rPr>
                <w:rFonts w:hint="eastAsia" w:ascii="宋体" w:hAnsi="宋体" w:eastAsia="宋体" w:cs="宋体"/>
                <w:sz w:val="24"/>
                <w:szCs w:val="24"/>
                <w:highlight w:val="none"/>
              </w:rPr>
            </w:pPr>
          </w:p>
        </w:tc>
        <w:tc>
          <w:tcPr>
            <w:tcW w:w="3334" w:type="dxa"/>
            <w:tcBorders>
              <w:top w:val="outset" w:color="111111" w:sz="6" w:space="0"/>
              <w:left w:val="outset" w:color="111111" w:sz="6" w:space="0"/>
              <w:bottom w:val="outset" w:color="111111" w:sz="6" w:space="0"/>
              <w:right w:val="outset" w:color="111111" w:sz="6" w:space="0"/>
            </w:tcBorders>
            <w:noWrap w:val="0"/>
            <w:vAlign w:val="center"/>
          </w:tcPr>
          <w:p w14:paraId="71885050">
            <w:pPr>
              <w:rPr>
                <w:rFonts w:hint="eastAsia" w:ascii="宋体" w:hAnsi="宋体" w:eastAsia="宋体" w:cs="宋体"/>
                <w:sz w:val="24"/>
                <w:szCs w:val="24"/>
                <w:highlight w:val="none"/>
              </w:rPr>
            </w:pPr>
          </w:p>
        </w:tc>
        <w:tc>
          <w:tcPr>
            <w:tcW w:w="2425" w:type="dxa"/>
            <w:tcBorders>
              <w:top w:val="outset" w:color="111111" w:sz="6" w:space="0"/>
              <w:left w:val="outset" w:color="111111" w:sz="6" w:space="0"/>
              <w:bottom w:val="outset" w:color="111111" w:sz="6" w:space="0"/>
              <w:right w:val="outset" w:color="111111" w:sz="6" w:space="0"/>
            </w:tcBorders>
            <w:noWrap w:val="0"/>
            <w:vAlign w:val="center"/>
          </w:tcPr>
          <w:p w14:paraId="66A316B3">
            <w:pPr>
              <w:rPr>
                <w:rFonts w:hint="eastAsia" w:ascii="宋体" w:hAnsi="宋体" w:eastAsia="宋体" w:cs="宋体"/>
                <w:sz w:val="24"/>
                <w:szCs w:val="24"/>
                <w:highlight w:val="none"/>
              </w:rPr>
            </w:pPr>
            <w:r>
              <w:rPr>
                <w:rFonts w:hint="eastAsia" w:ascii="宋体" w:hAnsi="宋体" w:eastAsia="宋体" w:cs="宋体"/>
                <w:sz w:val="24"/>
                <w:szCs w:val="24"/>
                <w:highlight w:val="none"/>
              </w:rPr>
              <w:t>□符合 □不符合</w:t>
            </w:r>
          </w:p>
        </w:tc>
        <w:tc>
          <w:tcPr>
            <w:tcW w:w="2775" w:type="dxa"/>
            <w:tcBorders>
              <w:top w:val="outset" w:color="111111" w:sz="6" w:space="0"/>
              <w:left w:val="outset" w:color="111111" w:sz="6" w:space="0"/>
              <w:bottom w:val="outset" w:color="111111" w:sz="6" w:space="0"/>
              <w:right w:val="outset" w:color="111111" w:sz="6" w:space="0"/>
            </w:tcBorders>
            <w:noWrap w:val="0"/>
            <w:vAlign w:val="center"/>
          </w:tcPr>
          <w:p w14:paraId="7CB12E3B">
            <w:pPr>
              <w:rPr>
                <w:rFonts w:hint="eastAsia" w:ascii="宋体" w:hAnsi="宋体" w:eastAsia="宋体" w:cs="宋体"/>
                <w:sz w:val="24"/>
                <w:szCs w:val="24"/>
                <w:highlight w:val="none"/>
              </w:rPr>
            </w:pPr>
            <w:r>
              <w:rPr>
                <w:rFonts w:hint="eastAsia" w:ascii="宋体" w:hAnsi="宋体" w:eastAsia="宋体" w:cs="宋体"/>
                <w:sz w:val="24"/>
                <w:szCs w:val="24"/>
                <w:highlight w:val="none"/>
              </w:rPr>
              <w:t>见响应文件第（）页</w:t>
            </w:r>
          </w:p>
        </w:tc>
      </w:tr>
    </w:tbl>
    <w:p w14:paraId="5F93D65F">
      <w:pPr>
        <w:tabs>
          <w:tab w:val="left" w:pos="360"/>
          <w:tab w:val="left" w:pos="1800"/>
        </w:tabs>
        <w:ind w:firstLine="361" w:firstLineChars="1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注：以上材料将作为供应商有效性审核的重要内容之一，供应商必须严格按照其内容及序列要求在响应文件中对应如</w:t>
      </w:r>
      <w:r>
        <w:rPr>
          <w:rFonts w:hint="eastAsia" w:ascii="宋体" w:hAnsi="宋体" w:eastAsia="宋体" w:cs="宋体"/>
          <w:b/>
          <w:w w:val="90"/>
          <w:sz w:val="24"/>
          <w:szCs w:val="24"/>
          <w:highlight w:val="none"/>
        </w:rPr>
        <w:t>实提供，对资格性和符合性证明文件的任何缺漏和不符合项将会直接导致无效投标！供应商根据自查结论在对应的□打“√”。</w:t>
      </w:r>
    </w:p>
    <w:p w14:paraId="4FE298B2">
      <w:pPr>
        <w:spacing w:line="440" w:lineRule="exact"/>
        <w:jc w:val="center"/>
        <w:rPr>
          <w:rFonts w:hint="eastAsia" w:ascii="宋体" w:hAnsi="宋体" w:eastAsia="宋体" w:cs="宋体"/>
          <w:b/>
          <w:sz w:val="24"/>
          <w:szCs w:val="24"/>
          <w:highlight w:val="none"/>
        </w:rPr>
      </w:pPr>
    </w:p>
    <w:p w14:paraId="541B5C63">
      <w:pPr>
        <w:spacing w:line="360" w:lineRule="auto"/>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格式2</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法定代表人资格证明书</w:t>
      </w:r>
    </w:p>
    <w:p w14:paraId="5BB63336">
      <w:pPr>
        <w:tabs>
          <w:tab w:val="left" w:pos="360"/>
          <w:tab w:val="left" w:pos="1800"/>
        </w:tabs>
        <w:spacing w:line="480" w:lineRule="exact"/>
        <w:ind w:left="540"/>
        <w:rPr>
          <w:rFonts w:hint="eastAsia" w:ascii="宋体" w:hAnsi="宋体" w:eastAsia="宋体" w:cs="宋体"/>
          <w:bCs/>
          <w:sz w:val="24"/>
          <w:szCs w:val="24"/>
          <w:highlight w:val="none"/>
        </w:rPr>
      </w:pPr>
    </w:p>
    <w:p w14:paraId="0A18F991">
      <w:pPr>
        <w:tabs>
          <w:tab w:val="left" w:pos="360"/>
          <w:tab w:val="left" w:pos="180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14:paraId="413A9A88">
      <w:pPr>
        <w:tabs>
          <w:tab w:val="left" w:pos="360"/>
          <w:tab w:val="left" w:pos="180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469AFD78">
      <w:pPr>
        <w:tabs>
          <w:tab w:val="left" w:pos="360"/>
          <w:tab w:val="left" w:pos="720"/>
          <w:tab w:val="left" w:pos="900"/>
          <w:tab w:val="left" w:pos="180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3552C0E">
      <w:pPr>
        <w:tabs>
          <w:tab w:val="left" w:pos="360"/>
          <w:tab w:val="left" w:pos="180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单位）的法定代表人。为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的项目，签署上述项目的响应文件、进行合同谈判、签署合同和处理与之有关的一切事务。</w:t>
      </w:r>
    </w:p>
    <w:p w14:paraId="27279487">
      <w:pPr>
        <w:tabs>
          <w:tab w:val="left" w:pos="360"/>
          <w:tab w:val="left" w:pos="1800"/>
        </w:tabs>
        <w:spacing w:line="360" w:lineRule="auto"/>
        <w:rPr>
          <w:rFonts w:hint="eastAsia" w:ascii="宋体" w:hAnsi="宋体" w:eastAsia="宋体" w:cs="宋体"/>
          <w:sz w:val="24"/>
          <w:szCs w:val="24"/>
          <w:highlight w:val="none"/>
        </w:rPr>
      </w:pPr>
    </w:p>
    <w:p w14:paraId="08D1804F">
      <w:pPr>
        <w:tabs>
          <w:tab w:val="left" w:pos="360"/>
          <w:tab w:val="left" w:pos="18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420F3C3F">
      <w:pPr>
        <w:tabs>
          <w:tab w:val="left" w:pos="360"/>
          <w:tab w:val="left" w:pos="1800"/>
        </w:tabs>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10989906">
      <w:pPr>
        <w:tabs>
          <w:tab w:val="left" w:pos="360"/>
          <w:tab w:val="left" w:pos="1800"/>
        </w:tabs>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5C3CD57">
      <w:pPr>
        <w:tabs>
          <w:tab w:val="left" w:pos="360"/>
          <w:tab w:val="left" w:pos="1800"/>
        </w:tabs>
        <w:spacing w:line="360" w:lineRule="auto"/>
        <w:ind w:firstLine="6000" w:firstLineChars="2500"/>
        <w:rPr>
          <w:rFonts w:hint="eastAsia" w:ascii="宋体" w:hAnsi="宋体" w:eastAsia="宋体" w:cs="宋体"/>
          <w:bCs/>
          <w:sz w:val="24"/>
          <w:szCs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6611F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val="0"/>
            <w:vAlign w:val="top"/>
          </w:tcPr>
          <w:p w14:paraId="381EE206">
            <w:pPr>
              <w:tabs>
                <w:tab w:val="left" w:pos="360"/>
                <w:tab w:val="left" w:pos="1800"/>
              </w:tabs>
              <w:spacing w:line="480" w:lineRule="auto"/>
              <w:jc w:val="center"/>
              <w:rPr>
                <w:rFonts w:hint="eastAsia" w:ascii="宋体" w:hAnsi="宋体" w:eastAsia="宋体" w:cs="宋体"/>
                <w:sz w:val="24"/>
                <w:szCs w:val="24"/>
                <w:highlight w:val="none"/>
              </w:rPr>
            </w:pPr>
          </w:p>
          <w:p w14:paraId="409E57E7">
            <w:pPr>
              <w:tabs>
                <w:tab w:val="left" w:pos="360"/>
                <w:tab w:val="left" w:pos="1800"/>
              </w:tabs>
              <w:spacing w:line="480" w:lineRule="auto"/>
              <w:jc w:val="center"/>
              <w:rPr>
                <w:rFonts w:hint="eastAsia" w:ascii="宋体" w:hAnsi="宋体" w:eastAsia="宋体" w:cs="宋体"/>
                <w:sz w:val="24"/>
                <w:szCs w:val="24"/>
                <w:highlight w:val="none"/>
              </w:rPr>
            </w:pPr>
          </w:p>
          <w:p w14:paraId="082B24F0">
            <w:pPr>
              <w:tabs>
                <w:tab w:val="left" w:pos="360"/>
                <w:tab w:val="left" w:pos="1800"/>
              </w:tabs>
              <w:spacing w:line="48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法定代表人身份证复印件或扫描件（正、反两面）</w:t>
            </w:r>
          </w:p>
        </w:tc>
      </w:tr>
    </w:tbl>
    <w:p w14:paraId="3DAB7571">
      <w:pPr>
        <w:tabs>
          <w:tab w:val="left" w:pos="360"/>
          <w:tab w:val="left" w:pos="1800"/>
        </w:tabs>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注：法定代表人身份证复印件或扫描件应反映出证件有效期等所载内容。</w:t>
      </w:r>
    </w:p>
    <w:p w14:paraId="02DE9319">
      <w:pPr>
        <w:tabs>
          <w:tab w:val="left" w:pos="360"/>
          <w:tab w:val="left" w:pos="1800"/>
        </w:tabs>
        <w:spacing w:line="480" w:lineRule="exact"/>
        <w:ind w:left="1980" w:firstLine="1080"/>
        <w:rPr>
          <w:rFonts w:hint="eastAsia" w:ascii="宋体" w:hAnsi="宋体" w:eastAsia="宋体" w:cs="宋体"/>
          <w:bCs/>
          <w:sz w:val="24"/>
          <w:szCs w:val="24"/>
          <w:highlight w:val="none"/>
        </w:rPr>
      </w:pPr>
    </w:p>
    <w:p w14:paraId="747D133D">
      <w:pPr>
        <w:tabs>
          <w:tab w:val="left" w:pos="360"/>
          <w:tab w:val="left" w:pos="1800"/>
        </w:tabs>
        <w:spacing w:line="480" w:lineRule="exact"/>
        <w:rPr>
          <w:rFonts w:hint="eastAsia" w:ascii="宋体" w:hAnsi="宋体" w:eastAsia="宋体" w:cs="宋体"/>
          <w:bCs/>
          <w:sz w:val="24"/>
          <w:szCs w:val="24"/>
          <w:highlight w:val="none"/>
        </w:rPr>
      </w:pPr>
    </w:p>
    <w:p w14:paraId="4275061D">
      <w:pPr>
        <w:tabs>
          <w:tab w:val="left" w:pos="360"/>
          <w:tab w:val="left" w:pos="1800"/>
        </w:tabs>
        <w:spacing w:line="480" w:lineRule="exact"/>
        <w:jc w:val="center"/>
        <w:rPr>
          <w:rFonts w:hint="eastAsia" w:ascii="宋体" w:hAnsi="宋体" w:eastAsia="宋体" w:cs="宋体"/>
          <w:b/>
          <w:bCs/>
          <w:sz w:val="24"/>
          <w:szCs w:val="24"/>
          <w:highlight w:val="none"/>
        </w:rPr>
      </w:pPr>
    </w:p>
    <w:p w14:paraId="6A6AF53A">
      <w:pPr>
        <w:pStyle w:val="8"/>
        <w:rPr>
          <w:rFonts w:hint="eastAsia" w:ascii="宋体" w:hAnsi="宋体" w:eastAsia="宋体" w:cs="宋体"/>
          <w:b/>
          <w:bCs/>
          <w:sz w:val="24"/>
          <w:szCs w:val="24"/>
          <w:highlight w:val="none"/>
        </w:rPr>
      </w:pPr>
    </w:p>
    <w:p w14:paraId="58DFD529">
      <w:pPr>
        <w:pStyle w:val="9"/>
        <w:rPr>
          <w:rFonts w:hint="eastAsia" w:ascii="宋体" w:hAnsi="宋体" w:eastAsia="宋体" w:cs="宋体"/>
          <w:b/>
          <w:bCs/>
          <w:sz w:val="24"/>
          <w:szCs w:val="24"/>
          <w:highlight w:val="none"/>
        </w:rPr>
      </w:pPr>
    </w:p>
    <w:p w14:paraId="491D3621">
      <w:pPr>
        <w:rPr>
          <w:rFonts w:hint="eastAsia" w:ascii="宋体" w:hAnsi="宋体" w:eastAsia="宋体" w:cs="宋体"/>
          <w:b/>
          <w:bCs/>
          <w:sz w:val="24"/>
          <w:szCs w:val="24"/>
          <w:highlight w:val="none"/>
        </w:rPr>
      </w:pPr>
    </w:p>
    <w:p w14:paraId="7D83DEF0">
      <w:pPr>
        <w:pStyle w:val="8"/>
        <w:rPr>
          <w:rFonts w:hint="eastAsia"/>
          <w:highlight w:val="none"/>
        </w:rPr>
      </w:pPr>
    </w:p>
    <w:p w14:paraId="1C0DDF71">
      <w:pPr>
        <w:tabs>
          <w:tab w:val="left" w:pos="360"/>
          <w:tab w:val="left" w:pos="1800"/>
        </w:tabs>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格式3</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法定代表人授权书</w:t>
      </w:r>
    </w:p>
    <w:p w14:paraId="353D72E5">
      <w:pPr>
        <w:tabs>
          <w:tab w:val="left" w:pos="360"/>
          <w:tab w:val="left" w:pos="1800"/>
        </w:tabs>
        <w:spacing w:line="480" w:lineRule="exact"/>
        <w:ind w:left="239" w:leftChars="114" w:firstLine="240" w:firstLineChars="100"/>
        <w:rPr>
          <w:rFonts w:hint="eastAsia" w:ascii="宋体" w:hAnsi="宋体" w:eastAsia="宋体" w:cs="宋体"/>
          <w:sz w:val="24"/>
          <w:szCs w:val="24"/>
          <w:highlight w:val="none"/>
        </w:rPr>
      </w:pPr>
    </w:p>
    <w:p w14:paraId="7E5BB73C">
      <w:pPr>
        <w:tabs>
          <w:tab w:val="left" w:pos="360"/>
          <w:tab w:val="left" w:pos="1800"/>
        </w:tabs>
        <w:spacing w:line="480" w:lineRule="exact"/>
        <w:ind w:firstLine="420" w:firstLineChars="175"/>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本授权委托书声明：我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供应商名称）的法定代表人，现授权委托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（姓名），其身份证号为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为我供应商代理人，以本供应商的名义参加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项目名称）的</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活动。</w:t>
      </w:r>
    </w:p>
    <w:p w14:paraId="771B7F78">
      <w:pPr>
        <w:tabs>
          <w:tab w:val="left" w:pos="360"/>
          <w:tab w:val="left" w:pos="1800"/>
        </w:tabs>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代理人在递交响应文件、</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、合同谈判过程中所签署的一切文件和处理与之有关的一切事务，我均予以承认。</w:t>
      </w:r>
    </w:p>
    <w:p w14:paraId="42618A30">
      <w:pPr>
        <w:tabs>
          <w:tab w:val="left" w:pos="360"/>
          <w:tab w:val="left" w:pos="1800"/>
        </w:tabs>
        <w:spacing w:line="4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本授权委托书期限自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日起至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14:paraId="4AA6B471">
      <w:pPr>
        <w:tabs>
          <w:tab w:val="left" w:pos="360"/>
          <w:tab w:val="left" w:pos="1800"/>
        </w:tabs>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委托代理人无转委权。特此委托。</w:t>
      </w:r>
    </w:p>
    <w:p w14:paraId="23EDCF66">
      <w:pPr>
        <w:tabs>
          <w:tab w:val="left" w:pos="360"/>
          <w:tab w:val="left" w:pos="1800"/>
        </w:tabs>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p>
    <w:p w14:paraId="368764D0">
      <w:pPr>
        <w:tabs>
          <w:tab w:val="left" w:pos="360"/>
          <w:tab w:val="left" w:pos="1800"/>
        </w:tabs>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部门：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1190101">
      <w:pPr>
        <w:tabs>
          <w:tab w:val="left" w:pos="360"/>
          <w:tab w:val="left" w:pos="1800"/>
        </w:tabs>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701EC122">
      <w:pPr>
        <w:tabs>
          <w:tab w:val="left" w:pos="360"/>
          <w:tab w:val="left" w:pos="1800"/>
        </w:tabs>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71269A14">
      <w:pPr>
        <w:tabs>
          <w:tab w:val="left" w:pos="360"/>
          <w:tab w:val="left" w:pos="1800"/>
        </w:tabs>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3A3DD32F">
      <w:pPr>
        <w:tabs>
          <w:tab w:val="left" w:pos="360"/>
          <w:tab w:val="left" w:pos="1800"/>
        </w:tabs>
        <w:spacing w:line="480" w:lineRule="exact"/>
        <w:ind w:firstLine="36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D097099">
      <w:pPr>
        <w:tabs>
          <w:tab w:val="left" w:pos="360"/>
          <w:tab w:val="left" w:pos="1800"/>
        </w:tabs>
        <w:spacing w:line="480" w:lineRule="exact"/>
        <w:ind w:firstLine="3600"/>
        <w:rPr>
          <w:rFonts w:hint="eastAsia" w:ascii="宋体" w:hAnsi="宋体" w:eastAsia="宋体" w:cs="宋体"/>
          <w:sz w:val="24"/>
          <w:szCs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685FB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9" w:hRule="atLeast"/>
          <w:jc w:val="center"/>
        </w:trPr>
        <w:tc>
          <w:tcPr>
            <w:tcW w:w="6952" w:type="dxa"/>
            <w:noWrap w:val="0"/>
            <w:vAlign w:val="top"/>
          </w:tcPr>
          <w:p w14:paraId="02A1ACF3">
            <w:pPr>
              <w:tabs>
                <w:tab w:val="left" w:pos="360"/>
                <w:tab w:val="left" w:pos="1800"/>
              </w:tabs>
              <w:spacing w:line="480" w:lineRule="auto"/>
              <w:jc w:val="center"/>
              <w:rPr>
                <w:rFonts w:hint="eastAsia" w:ascii="宋体" w:hAnsi="宋体" w:eastAsia="宋体" w:cs="宋体"/>
                <w:sz w:val="24"/>
                <w:szCs w:val="24"/>
                <w:highlight w:val="none"/>
              </w:rPr>
            </w:pPr>
          </w:p>
          <w:p w14:paraId="5749341B">
            <w:pPr>
              <w:tabs>
                <w:tab w:val="left" w:pos="360"/>
                <w:tab w:val="left" w:pos="1800"/>
              </w:tabs>
              <w:spacing w:line="480" w:lineRule="auto"/>
              <w:jc w:val="center"/>
              <w:rPr>
                <w:rFonts w:hint="eastAsia" w:ascii="宋体" w:hAnsi="宋体" w:eastAsia="宋体" w:cs="宋体"/>
                <w:sz w:val="24"/>
                <w:szCs w:val="24"/>
                <w:highlight w:val="none"/>
              </w:rPr>
            </w:pPr>
          </w:p>
          <w:p w14:paraId="15FC094B">
            <w:pPr>
              <w:tabs>
                <w:tab w:val="left" w:pos="360"/>
                <w:tab w:val="left" w:pos="1800"/>
              </w:tabs>
              <w:spacing w:line="48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委托代理人身份证复印件或扫描件（正、反两面）</w:t>
            </w:r>
          </w:p>
        </w:tc>
      </w:tr>
    </w:tbl>
    <w:p w14:paraId="2EBEE3A9">
      <w:pPr>
        <w:tabs>
          <w:tab w:val="left" w:pos="360"/>
          <w:tab w:val="left" w:pos="1800"/>
        </w:tabs>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注：委托代理人身份证复印件或扫描件应反映出证件有效期等所载内容。</w:t>
      </w:r>
    </w:p>
    <w:p w14:paraId="6BC78DA5">
      <w:pPr>
        <w:spacing w:line="460" w:lineRule="exact"/>
        <w:rPr>
          <w:rFonts w:hint="eastAsia" w:ascii="宋体" w:hAnsi="宋体" w:eastAsia="宋体" w:cs="宋体"/>
          <w:bCs/>
          <w:sz w:val="24"/>
          <w:szCs w:val="24"/>
          <w:highlight w:val="none"/>
        </w:rPr>
      </w:pPr>
    </w:p>
    <w:p w14:paraId="0E6FE28D">
      <w:pPr>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格式4</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439"/>
        <w:gridCol w:w="1681"/>
        <w:gridCol w:w="1417"/>
        <w:gridCol w:w="1583"/>
        <w:gridCol w:w="1954"/>
      </w:tblGrid>
      <w:tr w14:paraId="46A9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669" w:type="dxa"/>
            <w:noWrap w:val="0"/>
            <w:vAlign w:val="center"/>
          </w:tcPr>
          <w:p w14:paraId="7FC5F149">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供应商名称</w:t>
            </w:r>
          </w:p>
        </w:tc>
        <w:tc>
          <w:tcPr>
            <w:tcW w:w="8074" w:type="dxa"/>
            <w:gridSpan w:val="5"/>
            <w:noWrap w:val="0"/>
            <w:vAlign w:val="center"/>
          </w:tcPr>
          <w:p w14:paraId="0C2E3EB9">
            <w:pPr>
              <w:spacing w:line="460" w:lineRule="exact"/>
              <w:rPr>
                <w:rFonts w:hint="eastAsia" w:ascii="宋体" w:hAnsi="宋体" w:eastAsia="宋体" w:cs="宋体"/>
                <w:bCs/>
                <w:sz w:val="24"/>
                <w:szCs w:val="24"/>
                <w:highlight w:val="none"/>
              </w:rPr>
            </w:pPr>
          </w:p>
        </w:tc>
      </w:tr>
      <w:tr w14:paraId="1190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69" w:type="dxa"/>
            <w:noWrap w:val="0"/>
            <w:vAlign w:val="center"/>
          </w:tcPr>
          <w:p w14:paraId="621FB6E8">
            <w:pPr>
              <w:spacing w:line="460" w:lineRule="exact"/>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 址</w:t>
            </w:r>
          </w:p>
        </w:tc>
        <w:tc>
          <w:tcPr>
            <w:tcW w:w="8074" w:type="dxa"/>
            <w:gridSpan w:val="5"/>
            <w:noWrap w:val="0"/>
            <w:vAlign w:val="center"/>
          </w:tcPr>
          <w:p w14:paraId="7EA5639F">
            <w:pPr>
              <w:spacing w:line="460" w:lineRule="exact"/>
              <w:rPr>
                <w:rFonts w:hint="eastAsia" w:ascii="宋体" w:hAnsi="宋体" w:eastAsia="宋体" w:cs="宋体"/>
                <w:bCs/>
                <w:sz w:val="24"/>
                <w:szCs w:val="24"/>
                <w:highlight w:val="none"/>
              </w:rPr>
            </w:pPr>
          </w:p>
        </w:tc>
      </w:tr>
      <w:tr w14:paraId="0322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69" w:type="dxa"/>
            <w:noWrap w:val="0"/>
            <w:vAlign w:val="center"/>
          </w:tcPr>
          <w:p w14:paraId="70C29B62">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主管部门</w:t>
            </w:r>
          </w:p>
        </w:tc>
        <w:tc>
          <w:tcPr>
            <w:tcW w:w="1439" w:type="dxa"/>
            <w:noWrap w:val="0"/>
            <w:vAlign w:val="center"/>
          </w:tcPr>
          <w:p w14:paraId="5DE982EF">
            <w:pPr>
              <w:spacing w:line="460" w:lineRule="exact"/>
              <w:rPr>
                <w:rFonts w:hint="eastAsia" w:ascii="宋体" w:hAnsi="宋体" w:eastAsia="宋体" w:cs="宋体"/>
                <w:bCs/>
                <w:sz w:val="24"/>
                <w:szCs w:val="24"/>
                <w:highlight w:val="none"/>
              </w:rPr>
            </w:pPr>
          </w:p>
        </w:tc>
        <w:tc>
          <w:tcPr>
            <w:tcW w:w="1681" w:type="dxa"/>
            <w:noWrap w:val="0"/>
            <w:vAlign w:val="center"/>
          </w:tcPr>
          <w:p w14:paraId="655E8909">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w:t>
            </w:r>
          </w:p>
        </w:tc>
        <w:tc>
          <w:tcPr>
            <w:tcW w:w="1417" w:type="dxa"/>
            <w:noWrap w:val="0"/>
            <w:vAlign w:val="center"/>
          </w:tcPr>
          <w:p w14:paraId="25EF8C05">
            <w:pPr>
              <w:spacing w:line="460" w:lineRule="exact"/>
              <w:rPr>
                <w:rFonts w:hint="eastAsia" w:ascii="宋体" w:hAnsi="宋体" w:eastAsia="宋体" w:cs="宋体"/>
                <w:bCs/>
                <w:sz w:val="24"/>
                <w:szCs w:val="24"/>
                <w:highlight w:val="none"/>
              </w:rPr>
            </w:pPr>
          </w:p>
        </w:tc>
        <w:tc>
          <w:tcPr>
            <w:tcW w:w="1583" w:type="dxa"/>
            <w:noWrap w:val="0"/>
            <w:vAlign w:val="center"/>
          </w:tcPr>
          <w:p w14:paraId="6DB7E030">
            <w:pPr>
              <w:spacing w:line="460" w:lineRule="exact"/>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职 务</w:t>
            </w:r>
          </w:p>
        </w:tc>
        <w:tc>
          <w:tcPr>
            <w:tcW w:w="1954" w:type="dxa"/>
            <w:noWrap w:val="0"/>
            <w:vAlign w:val="top"/>
          </w:tcPr>
          <w:p w14:paraId="41914B6A">
            <w:pPr>
              <w:spacing w:line="460" w:lineRule="exact"/>
              <w:rPr>
                <w:rFonts w:hint="eastAsia" w:ascii="宋体" w:hAnsi="宋体" w:eastAsia="宋体" w:cs="宋体"/>
                <w:bCs/>
                <w:sz w:val="24"/>
                <w:szCs w:val="24"/>
                <w:highlight w:val="none"/>
              </w:rPr>
            </w:pPr>
          </w:p>
        </w:tc>
      </w:tr>
      <w:tr w14:paraId="76A0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669" w:type="dxa"/>
            <w:noWrap w:val="0"/>
            <w:vAlign w:val="center"/>
          </w:tcPr>
          <w:p w14:paraId="05A1846A">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注册时间</w:t>
            </w:r>
          </w:p>
        </w:tc>
        <w:tc>
          <w:tcPr>
            <w:tcW w:w="3120" w:type="dxa"/>
            <w:gridSpan w:val="2"/>
            <w:noWrap w:val="0"/>
            <w:vAlign w:val="top"/>
          </w:tcPr>
          <w:p w14:paraId="581A4241">
            <w:pPr>
              <w:spacing w:line="460" w:lineRule="exact"/>
              <w:rPr>
                <w:rFonts w:hint="eastAsia" w:ascii="宋体" w:hAnsi="宋体" w:eastAsia="宋体" w:cs="宋体"/>
                <w:bCs/>
                <w:sz w:val="24"/>
                <w:szCs w:val="24"/>
                <w:highlight w:val="none"/>
              </w:rPr>
            </w:pPr>
          </w:p>
        </w:tc>
        <w:tc>
          <w:tcPr>
            <w:tcW w:w="1417" w:type="dxa"/>
            <w:noWrap w:val="0"/>
            <w:vAlign w:val="top"/>
          </w:tcPr>
          <w:p w14:paraId="4F5AFEFC">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经济类型</w:t>
            </w:r>
          </w:p>
        </w:tc>
        <w:tc>
          <w:tcPr>
            <w:tcW w:w="3537" w:type="dxa"/>
            <w:gridSpan w:val="2"/>
            <w:noWrap w:val="0"/>
            <w:vAlign w:val="top"/>
          </w:tcPr>
          <w:p w14:paraId="34B3A57B">
            <w:pPr>
              <w:spacing w:line="460" w:lineRule="exact"/>
              <w:rPr>
                <w:rFonts w:hint="eastAsia" w:ascii="宋体" w:hAnsi="宋体" w:eastAsia="宋体" w:cs="宋体"/>
                <w:bCs/>
                <w:sz w:val="24"/>
                <w:szCs w:val="24"/>
                <w:highlight w:val="none"/>
              </w:rPr>
            </w:pPr>
          </w:p>
        </w:tc>
      </w:tr>
      <w:tr w14:paraId="4B17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789" w:type="dxa"/>
            <w:gridSpan w:val="3"/>
            <w:noWrap w:val="0"/>
            <w:vAlign w:val="center"/>
          </w:tcPr>
          <w:p w14:paraId="21AE1AE9">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营业执照号</w:t>
            </w:r>
          </w:p>
        </w:tc>
        <w:tc>
          <w:tcPr>
            <w:tcW w:w="4954" w:type="dxa"/>
            <w:gridSpan w:val="3"/>
            <w:noWrap w:val="0"/>
            <w:vAlign w:val="center"/>
          </w:tcPr>
          <w:p w14:paraId="7219DD4B">
            <w:pPr>
              <w:spacing w:line="460" w:lineRule="exact"/>
              <w:rPr>
                <w:rFonts w:hint="eastAsia" w:ascii="宋体" w:hAnsi="宋体" w:eastAsia="宋体" w:cs="宋体"/>
                <w:bCs/>
                <w:sz w:val="24"/>
                <w:szCs w:val="24"/>
                <w:highlight w:val="none"/>
              </w:rPr>
            </w:pPr>
          </w:p>
        </w:tc>
      </w:tr>
      <w:tr w14:paraId="2D19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789" w:type="dxa"/>
            <w:gridSpan w:val="3"/>
            <w:noWrap w:val="0"/>
            <w:vAlign w:val="center"/>
          </w:tcPr>
          <w:p w14:paraId="08D3B2F7">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近三年内（20</w:t>
            </w:r>
            <w:r>
              <w:rPr>
                <w:rFonts w:hint="eastAsia" w:ascii="宋体" w:hAnsi="宋体" w:eastAsia="宋体" w:cs="宋体"/>
                <w:bCs/>
                <w:sz w:val="24"/>
                <w:szCs w:val="24"/>
                <w:highlight w:val="none"/>
                <w:lang w:val="en-US" w:eastAsia="zh-CN"/>
              </w:rPr>
              <w:t>2</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年至202</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rPr>
              <w:t>年）在经营活动中有无重大违法纪录</w:t>
            </w:r>
          </w:p>
        </w:tc>
        <w:tc>
          <w:tcPr>
            <w:tcW w:w="4954" w:type="dxa"/>
            <w:gridSpan w:val="3"/>
            <w:noWrap w:val="0"/>
            <w:vAlign w:val="center"/>
          </w:tcPr>
          <w:p w14:paraId="53B0C5FE">
            <w:pPr>
              <w:spacing w:line="460" w:lineRule="exact"/>
              <w:rPr>
                <w:rFonts w:hint="eastAsia" w:ascii="宋体" w:hAnsi="宋体" w:eastAsia="宋体" w:cs="宋体"/>
                <w:bCs/>
                <w:sz w:val="24"/>
                <w:szCs w:val="24"/>
                <w:highlight w:val="none"/>
              </w:rPr>
            </w:pPr>
          </w:p>
        </w:tc>
      </w:tr>
      <w:tr w14:paraId="3B33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669" w:type="dxa"/>
            <w:noWrap w:val="0"/>
            <w:vAlign w:val="center"/>
          </w:tcPr>
          <w:p w14:paraId="5A9AEF96">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是否依法缴纳税收</w:t>
            </w:r>
          </w:p>
        </w:tc>
        <w:tc>
          <w:tcPr>
            <w:tcW w:w="3120" w:type="dxa"/>
            <w:gridSpan w:val="2"/>
            <w:noWrap w:val="0"/>
            <w:vAlign w:val="top"/>
          </w:tcPr>
          <w:p w14:paraId="20E38B60">
            <w:pPr>
              <w:spacing w:line="460" w:lineRule="exact"/>
              <w:rPr>
                <w:rFonts w:hint="eastAsia" w:ascii="宋体" w:hAnsi="宋体" w:eastAsia="宋体" w:cs="宋体"/>
                <w:bCs/>
                <w:sz w:val="24"/>
                <w:szCs w:val="24"/>
                <w:highlight w:val="none"/>
              </w:rPr>
            </w:pPr>
          </w:p>
        </w:tc>
        <w:tc>
          <w:tcPr>
            <w:tcW w:w="1417" w:type="dxa"/>
            <w:noWrap w:val="0"/>
            <w:vAlign w:val="top"/>
          </w:tcPr>
          <w:p w14:paraId="5957ED88">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是否依法缴纳社会保障资金</w:t>
            </w:r>
          </w:p>
        </w:tc>
        <w:tc>
          <w:tcPr>
            <w:tcW w:w="3537" w:type="dxa"/>
            <w:gridSpan w:val="2"/>
            <w:noWrap w:val="0"/>
            <w:vAlign w:val="top"/>
          </w:tcPr>
          <w:p w14:paraId="1AC4184A">
            <w:pPr>
              <w:spacing w:line="460" w:lineRule="exact"/>
              <w:rPr>
                <w:rFonts w:hint="eastAsia" w:ascii="宋体" w:hAnsi="宋体" w:eastAsia="宋体" w:cs="宋体"/>
                <w:bCs/>
                <w:sz w:val="24"/>
                <w:szCs w:val="24"/>
                <w:highlight w:val="none"/>
              </w:rPr>
            </w:pPr>
          </w:p>
        </w:tc>
      </w:tr>
      <w:tr w14:paraId="6245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669" w:type="dxa"/>
            <w:vMerge w:val="restart"/>
            <w:noWrap w:val="0"/>
            <w:vAlign w:val="top"/>
          </w:tcPr>
          <w:p w14:paraId="0D130507">
            <w:pPr>
              <w:spacing w:line="4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w:t>
            </w:r>
          </w:p>
          <w:p w14:paraId="6FCFDC2E">
            <w:pPr>
              <w:spacing w:line="4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位</w:t>
            </w:r>
          </w:p>
          <w:p w14:paraId="5B645958">
            <w:pPr>
              <w:spacing w:line="4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概</w:t>
            </w:r>
          </w:p>
          <w:p w14:paraId="24356589">
            <w:pPr>
              <w:spacing w:line="4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况</w:t>
            </w:r>
          </w:p>
        </w:tc>
        <w:tc>
          <w:tcPr>
            <w:tcW w:w="1439" w:type="dxa"/>
            <w:noWrap w:val="0"/>
            <w:vAlign w:val="center"/>
          </w:tcPr>
          <w:p w14:paraId="0C2308D1">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注册资本</w:t>
            </w:r>
          </w:p>
        </w:tc>
        <w:tc>
          <w:tcPr>
            <w:tcW w:w="1681" w:type="dxa"/>
            <w:noWrap w:val="0"/>
            <w:vAlign w:val="top"/>
          </w:tcPr>
          <w:p w14:paraId="79D7B364">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万元</w:t>
            </w:r>
          </w:p>
        </w:tc>
        <w:tc>
          <w:tcPr>
            <w:tcW w:w="1417" w:type="dxa"/>
            <w:noWrap w:val="0"/>
            <w:vAlign w:val="top"/>
          </w:tcPr>
          <w:p w14:paraId="2A63FAFB">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占地面积</w:t>
            </w:r>
          </w:p>
        </w:tc>
        <w:tc>
          <w:tcPr>
            <w:tcW w:w="3537" w:type="dxa"/>
            <w:gridSpan w:val="2"/>
            <w:noWrap w:val="0"/>
            <w:vAlign w:val="top"/>
          </w:tcPr>
          <w:p w14:paraId="6E466594">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平方米</w:t>
            </w:r>
          </w:p>
        </w:tc>
      </w:tr>
      <w:tr w14:paraId="1F17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669" w:type="dxa"/>
            <w:vMerge w:val="continue"/>
            <w:noWrap w:val="0"/>
            <w:vAlign w:val="top"/>
          </w:tcPr>
          <w:p w14:paraId="728A38BF">
            <w:pPr>
              <w:spacing w:line="460" w:lineRule="exact"/>
              <w:rPr>
                <w:rFonts w:hint="eastAsia" w:ascii="宋体" w:hAnsi="宋体" w:eastAsia="宋体" w:cs="宋体"/>
                <w:bCs/>
                <w:sz w:val="24"/>
                <w:szCs w:val="24"/>
                <w:highlight w:val="none"/>
              </w:rPr>
            </w:pPr>
          </w:p>
        </w:tc>
        <w:tc>
          <w:tcPr>
            <w:tcW w:w="1439" w:type="dxa"/>
            <w:noWrap w:val="0"/>
            <w:vAlign w:val="center"/>
          </w:tcPr>
          <w:p w14:paraId="3C620189">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职工总数</w:t>
            </w:r>
          </w:p>
        </w:tc>
        <w:tc>
          <w:tcPr>
            <w:tcW w:w="1681" w:type="dxa"/>
            <w:noWrap w:val="0"/>
            <w:vAlign w:val="top"/>
          </w:tcPr>
          <w:p w14:paraId="292D472B">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人</w:t>
            </w:r>
          </w:p>
        </w:tc>
        <w:tc>
          <w:tcPr>
            <w:tcW w:w="1417" w:type="dxa"/>
            <w:noWrap w:val="0"/>
            <w:vAlign w:val="top"/>
          </w:tcPr>
          <w:p w14:paraId="5EFE2C04">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建筑面积</w:t>
            </w:r>
          </w:p>
        </w:tc>
        <w:tc>
          <w:tcPr>
            <w:tcW w:w="3537" w:type="dxa"/>
            <w:gridSpan w:val="2"/>
            <w:noWrap w:val="0"/>
            <w:vAlign w:val="top"/>
          </w:tcPr>
          <w:p w14:paraId="481A0313">
            <w:pPr>
              <w:spacing w:line="460" w:lineRule="exact"/>
              <w:ind w:firstLine="1800" w:firstLineChars="750"/>
              <w:rPr>
                <w:rFonts w:hint="eastAsia" w:ascii="宋体" w:hAnsi="宋体" w:eastAsia="宋体" w:cs="宋体"/>
                <w:bCs/>
                <w:sz w:val="24"/>
                <w:szCs w:val="24"/>
                <w:highlight w:val="none"/>
              </w:rPr>
            </w:pPr>
            <w:r>
              <w:rPr>
                <w:rFonts w:hint="eastAsia" w:ascii="宋体" w:hAnsi="宋体" w:eastAsia="宋体" w:cs="宋体"/>
                <w:bCs/>
                <w:sz w:val="24"/>
                <w:szCs w:val="24"/>
                <w:highlight w:val="none"/>
              </w:rPr>
              <w:t>平方米</w:t>
            </w:r>
          </w:p>
        </w:tc>
      </w:tr>
      <w:tr w14:paraId="63DE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669" w:type="dxa"/>
            <w:vMerge w:val="continue"/>
            <w:noWrap w:val="0"/>
            <w:vAlign w:val="top"/>
          </w:tcPr>
          <w:p w14:paraId="4185FC32">
            <w:pPr>
              <w:spacing w:line="460" w:lineRule="exact"/>
              <w:rPr>
                <w:rFonts w:hint="eastAsia" w:ascii="宋体" w:hAnsi="宋体" w:eastAsia="宋体" w:cs="宋体"/>
                <w:bCs/>
                <w:sz w:val="24"/>
                <w:szCs w:val="24"/>
                <w:highlight w:val="none"/>
              </w:rPr>
            </w:pPr>
          </w:p>
        </w:tc>
        <w:tc>
          <w:tcPr>
            <w:tcW w:w="1439" w:type="dxa"/>
            <w:vMerge w:val="restart"/>
            <w:noWrap w:val="0"/>
            <w:vAlign w:val="center"/>
          </w:tcPr>
          <w:p w14:paraId="276CC643">
            <w:pPr>
              <w:spacing w:line="460" w:lineRule="exact"/>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资产</w:t>
            </w:r>
          </w:p>
          <w:p w14:paraId="36B04825">
            <w:pPr>
              <w:spacing w:line="460" w:lineRule="exact"/>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情况</w:t>
            </w:r>
          </w:p>
        </w:tc>
        <w:tc>
          <w:tcPr>
            <w:tcW w:w="3098" w:type="dxa"/>
            <w:gridSpan w:val="2"/>
            <w:noWrap w:val="0"/>
            <w:vAlign w:val="center"/>
          </w:tcPr>
          <w:p w14:paraId="0184FFA4">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净资产：        万元</w:t>
            </w:r>
          </w:p>
        </w:tc>
        <w:tc>
          <w:tcPr>
            <w:tcW w:w="3537" w:type="dxa"/>
            <w:gridSpan w:val="2"/>
            <w:vMerge w:val="restart"/>
            <w:noWrap w:val="0"/>
            <w:vAlign w:val="top"/>
          </w:tcPr>
          <w:p w14:paraId="2081F40A">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固定资产原值 ：     万元</w:t>
            </w:r>
          </w:p>
          <w:p w14:paraId="1DC6F3EC">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固定资产净值：      万元</w:t>
            </w:r>
          </w:p>
        </w:tc>
      </w:tr>
      <w:tr w14:paraId="4122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669" w:type="dxa"/>
            <w:vMerge w:val="continue"/>
            <w:noWrap w:val="0"/>
            <w:vAlign w:val="top"/>
          </w:tcPr>
          <w:p w14:paraId="3B658C5A">
            <w:pPr>
              <w:spacing w:line="460" w:lineRule="exact"/>
              <w:rPr>
                <w:rFonts w:hint="eastAsia" w:ascii="宋体" w:hAnsi="宋体" w:eastAsia="宋体" w:cs="宋体"/>
                <w:bCs/>
                <w:sz w:val="24"/>
                <w:szCs w:val="24"/>
                <w:highlight w:val="none"/>
              </w:rPr>
            </w:pPr>
          </w:p>
        </w:tc>
        <w:tc>
          <w:tcPr>
            <w:tcW w:w="1439" w:type="dxa"/>
            <w:vMerge w:val="continue"/>
            <w:noWrap w:val="0"/>
            <w:vAlign w:val="top"/>
          </w:tcPr>
          <w:p w14:paraId="3EE6E1C6">
            <w:pPr>
              <w:spacing w:line="460" w:lineRule="exact"/>
              <w:rPr>
                <w:rFonts w:hint="eastAsia" w:ascii="宋体" w:hAnsi="宋体" w:eastAsia="宋体" w:cs="宋体"/>
                <w:bCs/>
                <w:sz w:val="24"/>
                <w:szCs w:val="24"/>
                <w:highlight w:val="none"/>
              </w:rPr>
            </w:pPr>
          </w:p>
        </w:tc>
        <w:tc>
          <w:tcPr>
            <w:tcW w:w="3098" w:type="dxa"/>
            <w:gridSpan w:val="2"/>
            <w:noWrap w:val="0"/>
            <w:vAlign w:val="center"/>
          </w:tcPr>
          <w:p w14:paraId="37133BC1">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负 债：         万元</w:t>
            </w:r>
          </w:p>
        </w:tc>
        <w:tc>
          <w:tcPr>
            <w:tcW w:w="3537" w:type="dxa"/>
            <w:gridSpan w:val="2"/>
            <w:vMerge w:val="continue"/>
            <w:noWrap w:val="0"/>
            <w:vAlign w:val="top"/>
          </w:tcPr>
          <w:p w14:paraId="035F62B8">
            <w:pPr>
              <w:spacing w:line="460" w:lineRule="exact"/>
              <w:rPr>
                <w:rFonts w:hint="eastAsia" w:ascii="宋体" w:hAnsi="宋体" w:eastAsia="宋体" w:cs="宋体"/>
                <w:bCs/>
                <w:sz w:val="24"/>
                <w:szCs w:val="24"/>
                <w:highlight w:val="none"/>
              </w:rPr>
            </w:pPr>
          </w:p>
        </w:tc>
      </w:tr>
      <w:tr w14:paraId="74D8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669" w:type="dxa"/>
            <w:vMerge w:val="restart"/>
            <w:noWrap w:val="0"/>
            <w:vAlign w:val="center"/>
          </w:tcPr>
          <w:p w14:paraId="34776135">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财务状况</w:t>
            </w:r>
          </w:p>
          <w:p w14:paraId="7C3726B3">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（最近三年</w:t>
            </w:r>
            <w:r>
              <w:rPr>
                <w:rFonts w:hint="eastAsia" w:ascii="宋体" w:hAnsi="宋体" w:cs="宋体"/>
                <w:bCs/>
                <w:sz w:val="24"/>
                <w:szCs w:val="24"/>
                <w:highlight w:val="none"/>
                <w:lang w:val="en-US" w:eastAsia="zh-CN"/>
              </w:rPr>
              <w:t>2022</w:t>
            </w:r>
            <w:r>
              <w:rPr>
                <w:rFonts w:hint="eastAsia" w:ascii="宋体" w:hAnsi="宋体" w:eastAsia="宋体" w:cs="宋体"/>
                <w:bCs/>
                <w:sz w:val="24"/>
                <w:szCs w:val="24"/>
                <w:highlight w:val="none"/>
              </w:rPr>
              <w:t>年至</w:t>
            </w:r>
            <w:r>
              <w:rPr>
                <w:rFonts w:hint="eastAsia" w:ascii="宋体" w:hAnsi="宋体" w:cs="宋体"/>
                <w:bCs/>
                <w:sz w:val="24"/>
                <w:szCs w:val="24"/>
                <w:highlight w:val="none"/>
                <w:lang w:val="en-US" w:eastAsia="zh-CN"/>
              </w:rPr>
              <w:t>2024</w:t>
            </w:r>
            <w:r>
              <w:rPr>
                <w:rFonts w:hint="eastAsia" w:ascii="宋体" w:hAnsi="宋体" w:eastAsia="宋体" w:cs="宋体"/>
                <w:bCs/>
                <w:sz w:val="24"/>
                <w:szCs w:val="24"/>
                <w:highlight w:val="none"/>
              </w:rPr>
              <w:t>）</w:t>
            </w:r>
          </w:p>
        </w:tc>
        <w:tc>
          <w:tcPr>
            <w:tcW w:w="1439" w:type="dxa"/>
            <w:noWrap w:val="0"/>
            <w:vAlign w:val="top"/>
          </w:tcPr>
          <w:p w14:paraId="646B018A">
            <w:pPr>
              <w:spacing w:line="4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年份</w:t>
            </w:r>
          </w:p>
        </w:tc>
        <w:tc>
          <w:tcPr>
            <w:tcW w:w="1681" w:type="dxa"/>
            <w:noWrap w:val="0"/>
            <w:vAlign w:val="center"/>
          </w:tcPr>
          <w:p w14:paraId="7D1B9B15">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主营收入</w:t>
            </w:r>
          </w:p>
          <w:p w14:paraId="1A1367D1">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（万元）</w:t>
            </w:r>
          </w:p>
        </w:tc>
        <w:tc>
          <w:tcPr>
            <w:tcW w:w="1417" w:type="dxa"/>
            <w:noWrap w:val="0"/>
            <w:vAlign w:val="center"/>
          </w:tcPr>
          <w:p w14:paraId="1B1EA4F7">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收入总额</w:t>
            </w:r>
          </w:p>
          <w:p w14:paraId="331685F7">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（万元）</w:t>
            </w:r>
          </w:p>
        </w:tc>
        <w:tc>
          <w:tcPr>
            <w:tcW w:w="1583" w:type="dxa"/>
            <w:noWrap w:val="0"/>
            <w:vAlign w:val="center"/>
          </w:tcPr>
          <w:p w14:paraId="4AAF3495">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利润总额</w:t>
            </w:r>
          </w:p>
          <w:p w14:paraId="1D568F31">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（万元）</w:t>
            </w:r>
          </w:p>
        </w:tc>
        <w:tc>
          <w:tcPr>
            <w:tcW w:w="1954" w:type="dxa"/>
            <w:noWrap w:val="0"/>
            <w:vAlign w:val="center"/>
          </w:tcPr>
          <w:p w14:paraId="7B892FB4">
            <w:pPr>
              <w:spacing w:line="460" w:lineRule="exact"/>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净利润</w:t>
            </w:r>
          </w:p>
          <w:p w14:paraId="6E56FD51">
            <w:pPr>
              <w:spacing w:line="460" w:lineRule="exact"/>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（万元）</w:t>
            </w:r>
          </w:p>
        </w:tc>
      </w:tr>
      <w:tr w14:paraId="331B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669" w:type="dxa"/>
            <w:vMerge w:val="continue"/>
            <w:noWrap w:val="0"/>
            <w:vAlign w:val="center"/>
          </w:tcPr>
          <w:p w14:paraId="4A23DA7C">
            <w:pPr>
              <w:spacing w:line="460" w:lineRule="exact"/>
              <w:rPr>
                <w:rFonts w:hint="eastAsia" w:ascii="宋体" w:hAnsi="宋体" w:eastAsia="宋体" w:cs="宋体"/>
                <w:bCs/>
                <w:sz w:val="24"/>
                <w:szCs w:val="24"/>
                <w:highlight w:val="none"/>
              </w:rPr>
            </w:pPr>
          </w:p>
        </w:tc>
        <w:tc>
          <w:tcPr>
            <w:tcW w:w="1439" w:type="dxa"/>
            <w:noWrap w:val="0"/>
            <w:vAlign w:val="center"/>
          </w:tcPr>
          <w:p w14:paraId="35AE9EE5">
            <w:pPr>
              <w:spacing w:line="460" w:lineRule="exact"/>
              <w:rPr>
                <w:rFonts w:hint="eastAsia" w:ascii="宋体" w:hAnsi="宋体" w:eastAsia="宋体" w:cs="宋体"/>
                <w:bCs/>
                <w:sz w:val="24"/>
                <w:szCs w:val="24"/>
                <w:highlight w:val="none"/>
              </w:rPr>
            </w:pPr>
          </w:p>
        </w:tc>
        <w:tc>
          <w:tcPr>
            <w:tcW w:w="1681" w:type="dxa"/>
            <w:noWrap w:val="0"/>
            <w:vAlign w:val="center"/>
          </w:tcPr>
          <w:p w14:paraId="553AB424">
            <w:pPr>
              <w:spacing w:line="460" w:lineRule="exact"/>
              <w:rPr>
                <w:rFonts w:hint="eastAsia" w:ascii="宋体" w:hAnsi="宋体" w:eastAsia="宋体" w:cs="宋体"/>
                <w:bCs/>
                <w:sz w:val="24"/>
                <w:szCs w:val="24"/>
                <w:highlight w:val="none"/>
              </w:rPr>
            </w:pPr>
          </w:p>
        </w:tc>
        <w:tc>
          <w:tcPr>
            <w:tcW w:w="1417" w:type="dxa"/>
            <w:noWrap w:val="0"/>
            <w:vAlign w:val="center"/>
          </w:tcPr>
          <w:p w14:paraId="363DBFD7">
            <w:pPr>
              <w:spacing w:line="460" w:lineRule="exact"/>
              <w:rPr>
                <w:rFonts w:hint="eastAsia" w:ascii="宋体" w:hAnsi="宋体" w:eastAsia="宋体" w:cs="宋体"/>
                <w:bCs/>
                <w:sz w:val="24"/>
                <w:szCs w:val="24"/>
                <w:highlight w:val="none"/>
              </w:rPr>
            </w:pPr>
          </w:p>
        </w:tc>
        <w:tc>
          <w:tcPr>
            <w:tcW w:w="1583" w:type="dxa"/>
            <w:noWrap w:val="0"/>
            <w:vAlign w:val="center"/>
          </w:tcPr>
          <w:p w14:paraId="02E7B2C6">
            <w:pPr>
              <w:spacing w:line="460" w:lineRule="exact"/>
              <w:rPr>
                <w:rFonts w:hint="eastAsia" w:ascii="宋体" w:hAnsi="宋体" w:eastAsia="宋体" w:cs="宋体"/>
                <w:bCs/>
                <w:sz w:val="24"/>
                <w:szCs w:val="24"/>
                <w:highlight w:val="none"/>
              </w:rPr>
            </w:pPr>
          </w:p>
        </w:tc>
        <w:tc>
          <w:tcPr>
            <w:tcW w:w="1954" w:type="dxa"/>
            <w:noWrap w:val="0"/>
            <w:vAlign w:val="center"/>
          </w:tcPr>
          <w:p w14:paraId="40C2D605">
            <w:pPr>
              <w:spacing w:line="460" w:lineRule="exact"/>
              <w:rPr>
                <w:rFonts w:hint="eastAsia" w:ascii="宋体" w:hAnsi="宋体" w:eastAsia="宋体" w:cs="宋体"/>
                <w:bCs/>
                <w:sz w:val="24"/>
                <w:szCs w:val="24"/>
                <w:highlight w:val="none"/>
              </w:rPr>
            </w:pPr>
          </w:p>
        </w:tc>
      </w:tr>
      <w:tr w14:paraId="4109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669" w:type="dxa"/>
            <w:vMerge w:val="continue"/>
            <w:noWrap w:val="0"/>
            <w:vAlign w:val="top"/>
          </w:tcPr>
          <w:p w14:paraId="6646C591">
            <w:pPr>
              <w:spacing w:line="460" w:lineRule="exact"/>
              <w:rPr>
                <w:rFonts w:hint="eastAsia" w:ascii="宋体" w:hAnsi="宋体" w:eastAsia="宋体" w:cs="宋体"/>
                <w:bCs/>
                <w:sz w:val="24"/>
                <w:szCs w:val="24"/>
                <w:highlight w:val="none"/>
              </w:rPr>
            </w:pPr>
          </w:p>
        </w:tc>
        <w:tc>
          <w:tcPr>
            <w:tcW w:w="1439" w:type="dxa"/>
            <w:noWrap w:val="0"/>
            <w:vAlign w:val="center"/>
          </w:tcPr>
          <w:p w14:paraId="00632503">
            <w:pPr>
              <w:spacing w:line="460" w:lineRule="exact"/>
              <w:rPr>
                <w:rFonts w:hint="eastAsia" w:ascii="宋体" w:hAnsi="宋体" w:eastAsia="宋体" w:cs="宋体"/>
                <w:bCs/>
                <w:sz w:val="24"/>
                <w:szCs w:val="24"/>
                <w:highlight w:val="none"/>
              </w:rPr>
            </w:pPr>
          </w:p>
        </w:tc>
        <w:tc>
          <w:tcPr>
            <w:tcW w:w="1681" w:type="dxa"/>
            <w:noWrap w:val="0"/>
            <w:vAlign w:val="top"/>
          </w:tcPr>
          <w:p w14:paraId="7421E717">
            <w:pPr>
              <w:spacing w:line="460" w:lineRule="exact"/>
              <w:rPr>
                <w:rFonts w:hint="eastAsia" w:ascii="宋体" w:hAnsi="宋体" w:eastAsia="宋体" w:cs="宋体"/>
                <w:bCs/>
                <w:sz w:val="24"/>
                <w:szCs w:val="24"/>
                <w:highlight w:val="none"/>
              </w:rPr>
            </w:pPr>
          </w:p>
        </w:tc>
        <w:tc>
          <w:tcPr>
            <w:tcW w:w="1417" w:type="dxa"/>
            <w:noWrap w:val="0"/>
            <w:vAlign w:val="top"/>
          </w:tcPr>
          <w:p w14:paraId="6B37AE1B">
            <w:pPr>
              <w:spacing w:line="460" w:lineRule="exact"/>
              <w:rPr>
                <w:rFonts w:hint="eastAsia" w:ascii="宋体" w:hAnsi="宋体" w:eastAsia="宋体" w:cs="宋体"/>
                <w:bCs/>
                <w:sz w:val="24"/>
                <w:szCs w:val="24"/>
                <w:highlight w:val="none"/>
              </w:rPr>
            </w:pPr>
          </w:p>
        </w:tc>
        <w:tc>
          <w:tcPr>
            <w:tcW w:w="1583" w:type="dxa"/>
            <w:noWrap w:val="0"/>
            <w:vAlign w:val="top"/>
          </w:tcPr>
          <w:p w14:paraId="452B3D73">
            <w:pPr>
              <w:spacing w:line="460" w:lineRule="exact"/>
              <w:rPr>
                <w:rFonts w:hint="eastAsia" w:ascii="宋体" w:hAnsi="宋体" w:eastAsia="宋体" w:cs="宋体"/>
                <w:bCs/>
                <w:sz w:val="24"/>
                <w:szCs w:val="24"/>
                <w:highlight w:val="none"/>
              </w:rPr>
            </w:pPr>
          </w:p>
        </w:tc>
        <w:tc>
          <w:tcPr>
            <w:tcW w:w="1954" w:type="dxa"/>
            <w:noWrap w:val="0"/>
            <w:vAlign w:val="top"/>
          </w:tcPr>
          <w:p w14:paraId="09D559E5">
            <w:pPr>
              <w:spacing w:line="460" w:lineRule="exact"/>
              <w:rPr>
                <w:rFonts w:hint="eastAsia" w:ascii="宋体" w:hAnsi="宋体" w:eastAsia="宋体" w:cs="宋体"/>
                <w:bCs/>
                <w:sz w:val="24"/>
                <w:szCs w:val="24"/>
                <w:highlight w:val="none"/>
              </w:rPr>
            </w:pPr>
          </w:p>
        </w:tc>
      </w:tr>
      <w:tr w14:paraId="4900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669" w:type="dxa"/>
            <w:noWrap w:val="0"/>
            <w:vAlign w:val="top"/>
          </w:tcPr>
          <w:p w14:paraId="3986B881">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经营范围</w:t>
            </w:r>
          </w:p>
        </w:tc>
        <w:tc>
          <w:tcPr>
            <w:tcW w:w="8074" w:type="dxa"/>
            <w:gridSpan w:val="5"/>
            <w:noWrap w:val="0"/>
            <w:vAlign w:val="center"/>
          </w:tcPr>
          <w:p w14:paraId="1433803F">
            <w:pPr>
              <w:spacing w:line="460" w:lineRule="exact"/>
              <w:rPr>
                <w:rFonts w:hint="eastAsia" w:ascii="宋体" w:hAnsi="宋体" w:eastAsia="宋体" w:cs="宋体"/>
                <w:bCs/>
                <w:sz w:val="24"/>
                <w:szCs w:val="24"/>
                <w:highlight w:val="none"/>
              </w:rPr>
            </w:pPr>
          </w:p>
        </w:tc>
      </w:tr>
      <w:tr w14:paraId="7CA4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669" w:type="dxa"/>
            <w:noWrap w:val="0"/>
            <w:vAlign w:val="top"/>
          </w:tcPr>
          <w:p w14:paraId="3DEC7945">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备注 </w:t>
            </w:r>
          </w:p>
        </w:tc>
        <w:tc>
          <w:tcPr>
            <w:tcW w:w="8074" w:type="dxa"/>
            <w:gridSpan w:val="5"/>
            <w:noWrap w:val="0"/>
            <w:vAlign w:val="center"/>
          </w:tcPr>
          <w:p w14:paraId="110C9E1B">
            <w:pPr>
              <w:spacing w:line="460" w:lineRule="exact"/>
              <w:rPr>
                <w:rFonts w:hint="eastAsia" w:ascii="宋体" w:hAnsi="宋体" w:eastAsia="宋体" w:cs="宋体"/>
                <w:bCs/>
                <w:sz w:val="24"/>
                <w:szCs w:val="24"/>
                <w:highlight w:val="none"/>
              </w:rPr>
            </w:pPr>
          </w:p>
        </w:tc>
      </w:tr>
    </w:tbl>
    <w:p w14:paraId="1441CC4D">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我们保证上述声明中的资料和数据是真实的、正确的，我们同意如贵方要求，可以出示相关证明文件。</w:t>
      </w:r>
    </w:p>
    <w:p w14:paraId="677292FB">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供应商（单位公章）：</w:t>
      </w:r>
      <w:r>
        <w:rPr>
          <w:rFonts w:hint="eastAsia" w:ascii="宋体" w:hAnsi="宋体" w:eastAsia="宋体" w:cs="宋体"/>
          <w:sz w:val="24"/>
          <w:szCs w:val="24"/>
          <w:highlight w:val="none"/>
          <w:u w:val="single"/>
        </w:rPr>
        <w:t xml:space="preserve">               </w:t>
      </w:r>
    </w:p>
    <w:p w14:paraId="1604D86B">
      <w:pPr>
        <w:spacing w:line="46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授权代表签字或盖章：</w:t>
      </w:r>
      <w:r>
        <w:rPr>
          <w:rFonts w:hint="eastAsia" w:ascii="宋体" w:hAnsi="宋体" w:eastAsia="宋体" w:cs="宋体"/>
          <w:sz w:val="24"/>
          <w:szCs w:val="24"/>
          <w:highlight w:val="none"/>
          <w:u w:val="single"/>
        </w:rPr>
        <w:t xml:space="preserve">               </w:t>
      </w:r>
    </w:p>
    <w:p w14:paraId="44EB0EAA">
      <w:pPr>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电话号和传真号：</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 xml:space="preserve">                  </w:t>
      </w:r>
    </w:p>
    <w:p w14:paraId="71DD3F0E">
      <w:pPr>
        <w:spacing w:line="46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14:paraId="3ADBC787">
      <w:pPr>
        <w:tabs>
          <w:tab w:val="left" w:pos="6300"/>
        </w:tabs>
        <w:snapToGrid w:val="0"/>
        <w:spacing w:line="50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 xml:space="preserve">格式5  </w:t>
      </w:r>
      <w:r>
        <w:rPr>
          <w:rFonts w:hint="eastAsia" w:ascii="宋体" w:hAnsi="宋体" w:eastAsia="宋体" w:cs="宋体"/>
          <w:b/>
          <w:bCs/>
          <w:sz w:val="24"/>
          <w:szCs w:val="24"/>
          <w:highlight w:val="none"/>
        </w:rPr>
        <w:t xml:space="preserve"> 诚信声明</w:t>
      </w:r>
    </w:p>
    <w:p w14:paraId="6ECC8174">
      <w:pPr>
        <w:tabs>
          <w:tab w:val="left" w:pos="6300"/>
        </w:tabs>
        <w:snapToGrid w:val="0"/>
        <w:spacing w:line="500" w:lineRule="exact"/>
        <w:ind w:firstLine="570"/>
        <w:rPr>
          <w:rFonts w:hint="eastAsia" w:ascii="宋体" w:hAnsi="宋体" w:eastAsia="宋体" w:cs="宋体"/>
          <w:sz w:val="24"/>
          <w:szCs w:val="24"/>
          <w:highlight w:val="none"/>
        </w:rPr>
      </w:pPr>
    </w:p>
    <w:p w14:paraId="02FA2F1B">
      <w:pPr>
        <w:spacing w:line="48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采购项目名称：</w:t>
      </w:r>
      <w:r>
        <w:rPr>
          <w:rFonts w:hint="eastAsia" w:ascii="宋体" w:hAnsi="宋体" w:eastAsia="宋体" w:cs="宋体"/>
          <w:sz w:val="24"/>
          <w:szCs w:val="24"/>
          <w:highlight w:val="none"/>
          <w:u w:val="single"/>
        </w:rPr>
        <w:t xml:space="preserve">               </w:t>
      </w:r>
    </w:p>
    <w:p w14:paraId="74BE0B6D">
      <w:pPr>
        <w:spacing w:line="48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采购人和</w:t>
      </w:r>
      <w:r>
        <w:rPr>
          <w:rFonts w:hint="eastAsia" w:ascii="宋体" w:hAnsi="宋体" w:eastAsia="宋体" w:cs="宋体"/>
          <w:bCs/>
          <w:sz w:val="24"/>
          <w:szCs w:val="24"/>
          <w:highlight w:val="none"/>
        </w:rPr>
        <w:t>采购代理机构）</w:t>
      </w:r>
    </w:p>
    <w:p w14:paraId="490FA47E">
      <w:pPr>
        <w:spacing w:line="48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名称）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资格条件。我方对以上声明负全部法律责任。</w:t>
      </w:r>
    </w:p>
    <w:p w14:paraId="039A0AE3">
      <w:pPr>
        <w:spacing w:line="48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特此声明。</w:t>
      </w:r>
    </w:p>
    <w:p w14:paraId="27FF3435">
      <w:pPr>
        <w:spacing w:line="480" w:lineRule="auto"/>
        <w:ind w:firstLine="480" w:firstLineChars="200"/>
        <w:rPr>
          <w:rFonts w:hint="eastAsia" w:ascii="宋体" w:hAnsi="宋体" w:eastAsia="宋体" w:cs="宋体"/>
          <w:bCs/>
          <w:sz w:val="24"/>
          <w:szCs w:val="24"/>
          <w:highlight w:val="none"/>
        </w:rPr>
      </w:pPr>
    </w:p>
    <w:p w14:paraId="770D9D7B">
      <w:pPr>
        <w:spacing w:line="480" w:lineRule="auto"/>
        <w:ind w:firstLine="480" w:firstLineChars="200"/>
        <w:rPr>
          <w:rFonts w:hint="eastAsia" w:ascii="宋体" w:hAnsi="宋体" w:eastAsia="宋体" w:cs="宋体"/>
          <w:bCs/>
          <w:sz w:val="24"/>
          <w:szCs w:val="24"/>
          <w:highlight w:val="none"/>
        </w:rPr>
      </w:pPr>
    </w:p>
    <w:p w14:paraId="0A24ACF7">
      <w:pPr>
        <w:pStyle w:val="14"/>
        <w:ind w:left="1117" w:leftChars="532" w:firstLine="240" w:firstLineChars="100"/>
        <w:jc w:val="righ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供应商名称：</w:t>
      </w:r>
      <w:r>
        <w:rPr>
          <w:rFonts w:hint="eastAsia" w:ascii="宋体" w:hAnsi="宋体" w:eastAsia="宋体" w:cs="宋体"/>
          <w:b w:val="0"/>
          <w:bCs/>
          <w:sz w:val="24"/>
          <w:szCs w:val="24"/>
          <w:highlight w:val="none"/>
          <w:u w:val="single"/>
          <w:lang w:eastAsia="zh-CN"/>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（盖章）</w:t>
      </w:r>
    </w:p>
    <w:p w14:paraId="6BD76CDA">
      <w:pPr>
        <w:spacing w:line="480" w:lineRule="auto"/>
        <w:ind w:firstLine="480" w:firstLineChars="200"/>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 w:val="0"/>
          <w:bCs/>
          <w:sz w:val="24"/>
          <w:szCs w:val="24"/>
          <w:highlight w:val="none"/>
        </w:rPr>
        <w:t>日   期</w:t>
      </w:r>
      <w:r>
        <w:rPr>
          <w:rFonts w:hint="eastAsia" w:ascii="宋体" w:hAnsi="宋体" w:eastAsia="宋体" w:cs="宋体"/>
          <w:b w:val="0"/>
          <w:bCs/>
          <w:sz w:val="24"/>
          <w:szCs w:val="24"/>
          <w:highlight w:val="none"/>
          <w:lang w:eastAsia="zh-CN"/>
        </w:rPr>
        <w:t>：</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月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14:paraId="38F94676">
      <w:pPr>
        <w:tabs>
          <w:tab w:val="left" w:pos="6300"/>
        </w:tabs>
        <w:snapToGrid w:val="0"/>
        <w:spacing w:line="360" w:lineRule="auto"/>
        <w:rPr>
          <w:rFonts w:hint="eastAsia" w:ascii="宋体" w:hAnsi="宋体" w:eastAsia="宋体" w:cs="宋体"/>
          <w:b/>
          <w:sz w:val="24"/>
          <w:szCs w:val="24"/>
          <w:highlight w:val="none"/>
        </w:rPr>
      </w:pPr>
    </w:p>
    <w:p w14:paraId="374B14B7">
      <w:pPr>
        <w:rPr>
          <w:rFonts w:hint="eastAsia" w:ascii="宋体" w:hAnsi="宋体" w:eastAsia="宋体" w:cs="宋体"/>
          <w:sz w:val="24"/>
          <w:szCs w:val="24"/>
          <w:highlight w:val="none"/>
        </w:rPr>
      </w:pPr>
    </w:p>
    <w:p w14:paraId="15438749">
      <w:pPr>
        <w:rPr>
          <w:rFonts w:hint="eastAsia" w:ascii="宋体" w:hAnsi="宋体" w:eastAsia="宋体" w:cs="宋体"/>
          <w:b/>
          <w:sz w:val="24"/>
          <w:szCs w:val="24"/>
          <w:highlight w:val="none"/>
        </w:rPr>
      </w:pPr>
    </w:p>
    <w:p w14:paraId="72811CE4">
      <w:pPr>
        <w:rPr>
          <w:rFonts w:hint="eastAsia" w:ascii="宋体" w:hAnsi="宋体" w:eastAsia="宋体" w:cs="宋体"/>
          <w:sz w:val="24"/>
          <w:szCs w:val="24"/>
          <w:highlight w:val="none"/>
        </w:rPr>
      </w:pPr>
    </w:p>
    <w:p w14:paraId="52F79B47">
      <w:pPr>
        <w:rPr>
          <w:rFonts w:hint="eastAsia" w:ascii="宋体" w:hAnsi="宋体" w:eastAsia="宋体" w:cs="宋体"/>
          <w:b/>
          <w:sz w:val="24"/>
          <w:szCs w:val="24"/>
          <w:highlight w:val="none"/>
        </w:rPr>
      </w:pPr>
    </w:p>
    <w:p w14:paraId="1A192DCE">
      <w:pPr>
        <w:rPr>
          <w:rFonts w:hint="eastAsia" w:ascii="宋体" w:hAnsi="宋体" w:eastAsia="宋体" w:cs="宋体"/>
          <w:sz w:val="24"/>
          <w:szCs w:val="24"/>
          <w:highlight w:val="none"/>
        </w:rPr>
      </w:pPr>
    </w:p>
    <w:p w14:paraId="06B6CBCF">
      <w:pPr>
        <w:rPr>
          <w:rFonts w:hint="eastAsia" w:ascii="宋体" w:hAnsi="宋体" w:eastAsia="宋体" w:cs="宋体"/>
          <w:sz w:val="24"/>
          <w:szCs w:val="24"/>
          <w:highlight w:val="none"/>
        </w:rPr>
      </w:pPr>
    </w:p>
    <w:p w14:paraId="0BAB4BA0">
      <w:pPr>
        <w:pStyle w:val="38"/>
        <w:widowControl/>
        <w:spacing w:line="360" w:lineRule="auto"/>
        <w:ind w:left="0" w:firstLine="0" w:firstLineChars="0"/>
        <w:jc w:val="center"/>
        <w:rPr>
          <w:rFonts w:hint="eastAsia" w:ascii="宋体" w:hAnsi="宋体" w:eastAsia="宋体" w:cs="宋体"/>
          <w:b/>
          <w:bCs/>
          <w:color w:val="auto"/>
          <w:sz w:val="28"/>
          <w:szCs w:val="28"/>
          <w:highlight w:val="none"/>
          <w:lang w:val="en-US"/>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 xml:space="preserve">格式6  </w:t>
      </w:r>
      <w:r>
        <w:rPr>
          <w:rFonts w:hint="eastAsia" w:ascii="宋体" w:hAnsi="宋体" w:eastAsia="宋体" w:cs="宋体"/>
          <w:b/>
          <w:bCs/>
          <w:sz w:val="24"/>
          <w:szCs w:val="24"/>
          <w:highlight w:val="none"/>
        </w:rPr>
        <w:t xml:space="preserve"> </w:t>
      </w:r>
      <w:r>
        <w:rPr>
          <w:rFonts w:hint="eastAsia" w:ascii="宋体" w:hAnsi="宋体" w:eastAsia="宋体" w:cs="宋体"/>
          <w:b/>
          <w:sz w:val="24"/>
          <w:szCs w:val="24"/>
          <w:highlight w:val="none"/>
          <w:lang w:eastAsia="zh-CN"/>
        </w:rPr>
        <w:t>无重大违法记录承诺书</w:t>
      </w:r>
    </w:p>
    <w:p w14:paraId="1FBDDE8A">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p>
    <w:p w14:paraId="43404DFB">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致</w:t>
      </w:r>
      <w:r>
        <w:rPr>
          <w:rFonts w:hint="eastAsia" w:ascii="宋体" w:hAnsi="宋体" w:eastAsia="宋体" w:cs="宋体"/>
          <w:color w:val="auto"/>
          <w:kern w:val="2"/>
          <w:sz w:val="24"/>
          <w:szCs w:val="24"/>
          <w:highlight w:val="none"/>
          <w:u w:val="single"/>
          <w:lang w:val="en-US" w:eastAsia="zh-CN" w:bidi="ar"/>
        </w:rPr>
        <w:t>（采购人和采购代理机构）：</w:t>
      </w:r>
    </w:p>
    <w:p w14:paraId="55CFC58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p>
    <w:p w14:paraId="74382E5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名称）</w:t>
      </w:r>
      <w:r>
        <w:rPr>
          <w:rFonts w:hint="eastAsia" w:ascii="宋体" w:hAnsi="宋体" w:eastAsia="宋体" w:cs="宋体"/>
          <w:color w:val="auto"/>
          <w:kern w:val="2"/>
          <w:sz w:val="24"/>
          <w:szCs w:val="24"/>
          <w:highlight w:val="none"/>
          <w:lang w:val="en-US" w:eastAsia="zh-CN" w:bidi="ar"/>
        </w:rPr>
        <w:t>在参加本次投标截止之日起前三年内，我公司未因违法经营受到刑事处罚或者责令停产停业、吊销许可证或者执照、较大数额罚款等行政处罚。</w:t>
      </w:r>
    </w:p>
    <w:p w14:paraId="1F1BFAD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特此声明。</w:t>
      </w:r>
    </w:p>
    <w:p w14:paraId="3BF2CE1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w:t>
      </w:r>
    </w:p>
    <w:p w14:paraId="7B9904F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供应商全称（加盖公章）：</w:t>
      </w:r>
      <w:r>
        <w:rPr>
          <w:rFonts w:hint="eastAsia" w:ascii="宋体" w:hAnsi="宋体" w:eastAsia="宋体" w:cs="宋体"/>
          <w:color w:val="auto"/>
          <w:spacing w:val="4"/>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w:t>
      </w:r>
    </w:p>
    <w:p w14:paraId="5D1238D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供应商地址：</w:t>
      </w:r>
      <w:r>
        <w:rPr>
          <w:rFonts w:hint="eastAsia" w:ascii="宋体" w:hAnsi="宋体" w:eastAsia="宋体" w:cs="宋体"/>
          <w:color w:val="auto"/>
          <w:kern w:val="2"/>
          <w:sz w:val="24"/>
          <w:szCs w:val="24"/>
          <w:highlight w:val="none"/>
          <w:u w:val="single"/>
          <w:lang w:val="en-US" w:eastAsia="zh-CN" w:bidi="ar"/>
        </w:rPr>
        <w:t> </w:t>
      </w:r>
      <w:r>
        <w:rPr>
          <w:rFonts w:hint="eastAsia" w:ascii="宋体" w:hAnsi="宋体" w:eastAsia="宋体" w:cs="宋体"/>
          <w:color w:val="auto"/>
          <w:spacing w:val="4"/>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w:t>
      </w:r>
    </w:p>
    <w:p w14:paraId="3BEB70B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法定代表人（签字或盖章）：</w:t>
      </w:r>
      <w:r>
        <w:rPr>
          <w:rFonts w:hint="eastAsia" w:ascii="宋体" w:hAnsi="宋体" w:eastAsia="宋体" w:cs="宋体"/>
          <w:color w:val="auto"/>
          <w:kern w:val="2"/>
          <w:sz w:val="24"/>
          <w:szCs w:val="24"/>
          <w:highlight w:val="none"/>
          <w:u w:val="single"/>
          <w:lang w:val="en-US" w:eastAsia="zh-CN" w:bidi="ar"/>
        </w:rPr>
        <w:t>           </w:t>
      </w:r>
    </w:p>
    <w:p w14:paraId="228510C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被授权人（签字或盖章）：</w:t>
      </w:r>
      <w:r>
        <w:rPr>
          <w:rFonts w:hint="eastAsia" w:ascii="宋体" w:hAnsi="宋体" w:eastAsia="宋体" w:cs="宋体"/>
          <w:color w:val="auto"/>
          <w:kern w:val="2"/>
          <w:sz w:val="24"/>
          <w:szCs w:val="24"/>
          <w:highlight w:val="none"/>
          <w:u w:val="single"/>
          <w:lang w:val="en-US" w:eastAsia="zh-CN" w:bidi="ar"/>
        </w:rPr>
        <w:t>            </w:t>
      </w:r>
    </w:p>
    <w:p w14:paraId="2C0C7DB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手机：</w:t>
      </w:r>
      <w:r>
        <w:rPr>
          <w:rFonts w:hint="eastAsia" w:ascii="宋体" w:hAnsi="宋体" w:eastAsia="宋体" w:cs="宋体"/>
          <w:color w:val="auto"/>
          <w:kern w:val="2"/>
          <w:sz w:val="24"/>
          <w:szCs w:val="24"/>
          <w:highlight w:val="none"/>
          <w:u w:val="single"/>
          <w:lang w:val="en-US" w:eastAsia="zh-CN" w:bidi="ar"/>
        </w:rPr>
        <w:t>   </w:t>
      </w:r>
      <w:r>
        <w:rPr>
          <w:rFonts w:hint="eastAsia" w:ascii="宋体" w:hAnsi="宋体" w:eastAsia="宋体" w:cs="宋体"/>
          <w:color w:val="auto"/>
          <w:spacing w:val="4"/>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w:t>
      </w:r>
      <w:r>
        <w:rPr>
          <w:rFonts w:hint="eastAsia" w:ascii="宋体" w:hAnsi="宋体" w:eastAsia="宋体" w:cs="宋体"/>
          <w:color w:val="auto"/>
          <w:kern w:val="2"/>
          <w:sz w:val="24"/>
          <w:szCs w:val="24"/>
          <w:highlight w:val="none"/>
          <w:lang w:val="en-US" w:eastAsia="zh-CN" w:bidi="ar"/>
        </w:rPr>
        <w:t> </w:t>
      </w:r>
    </w:p>
    <w:p w14:paraId="2DBD59F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年  月   日</w:t>
      </w:r>
    </w:p>
    <w:p w14:paraId="1CBC8EFB">
      <w:pPr>
        <w:pStyle w:val="19"/>
        <w:widowControl/>
        <w:spacing w:before="75" w:beforeAutospacing="0" w:after="75" w:afterAutospacing="0" w:line="360" w:lineRule="auto"/>
        <w:ind w:left="0" w:right="0"/>
        <w:rPr>
          <w:rFonts w:hint="eastAsia" w:ascii="宋体" w:hAnsi="宋体" w:eastAsia="宋体" w:cs="宋体"/>
          <w:bCs w:val="0"/>
          <w:color w:val="auto"/>
          <w:sz w:val="28"/>
          <w:szCs w:val="28"/>
          <w:highlight w:val="none"/>
          <w:lang w:val="en-US"/>
        </w:rPr>
      </w:pPr>
      <w:r>
        <w:rPr>
          <w:rFonts w:hint="eastAsia" w:ascii="宋体" w:hAnsi="宋体" w:eastAsia="宋体" w:cs="宋体"/>
          <w:b/>
          <w:bCs w:val="0"/>
          <w:color w:val="auto"/>
          <w:sz w:val="24"/>
          <w:szCs w:val="24"/>
          <w:highlight w:val="none"/>
          <w:lang w:eastAsia="zh-CN"/>
        </w:rPr>
        <w:t>说明：投标截止前</w:t>
      </w:r>
      <w:r>
        <w:rPr>
          <w:rFonts w:hint="eastAsia" w:ascii="宋体" w:hAnsi="宋体" w:eastAsia="宋体" w:cs="宋体"/>
          <w:b/>
          <w:bCs w:val="0"/>
          <w:color w:val="auto"/>
          <w:sz w:val="24"/>
          <w:szCs w:val="24"/>
          <w:highlight w:val="none"/>
          <w:lang w:val="en-US"/>
        </w:rPr>
        <w:t>3</w:t>
      </w:r>
      <w:r>
        <w:rPr>
          <w:rFonts w:hint="eastAsia" w:ascii="宋体" w:hAnsi="宋体" w:eastAsia="宋体" w:cs="宋体"/>
          <w:b/>
          <w:bCs w:val="0"/>
          <w:color w:val="auto"/>
          <w:sz w:val="24"/>
          <w:szCs w:val="24"/>
          <w:highlight w:val="none"/>
          <w:lang w:eastAsia="zh-CN"/>
        </w:rPr>
        <w:t>年内供应商的信用记录若存在受到罚款的行政处罚且未显示具体数额时，应提供行政处罚决定书或书面说明其罚款数额。</w:t>
      </w:r>
    </w:p>
    <w:p w14:paraId="7C620DBF">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br w:type="page"/>
      </w:r>
    </w:p>
    <w:p w14:paraId="6507B5F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格式7</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w:t>
      </w:r>
      <w:r>
        <w:rPr>
          <w:rFonts w:hint="eastAsia" w:ascii="宋体" w:hAnsi="宋体" w:eastAsia="宋体" w:cs="宋体"/>
          <w:b/>
          <w:sz w:val="24"/>
          <w:szCs w:val="24"/>
          <w:highlight w:val="none"/>
          <w:lang w:val="en-US" w:eastAsia="zh-CN"/>
        </w:rPr>
        <w:t>具有履行合同所必需的设备和专业技术能力的承诺书</w:t>
      </w:r>
    </w:p>
    <w:p w14:paraId="0376734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179578D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采购人、采购代理机构</w:t>
      </w:r>
      <w:r>
        <w:rPr>
          <w:rFonts w:hint="eastAsia" w:ascii="宋体" w:hAnsi="宋体" w:eastAsia="宋体" w:cs="宋体"/>
          <w:color w:val="auto"/>
          <w:kern w:val="0"/>
          <w:sz w:val="24"/>
          <w:szCs w:val="24"/>
          <w:highlight w:val="none"/>
          <w:lang w:val="en-US" w:eastAsia="zh-CN" w:bidi="ar"/>
        </w:rPr>
        <w:t xml:space="preserve">)： </w:t>
      </w:r>
    </w:p>
    <w:p w14:paraId="59AEFCA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我公司自愿参加由贵公司组织的</w:t>
      </w:r>
      <w:r>
        <w:rPr>
          <w:rFonts w:hint="eastAsia" w:ascii="宋体" w:hAnsi="宋体" w:eastAsia="宋体" w:cs="宋体"/>
          <w:color w:val="auto"/>
          <w:kern w:val="0"/>
          <w:sz w:val="24"/>
          <w:szCs w:val="24"/>
          <w:highlight w:val="none"/>
          <w:u w:val="single"/>
          <w:lang w:val="en-US" w:eastAsia="zh-CN" w:bidi="ar"/>
        </w:rPr>
        <w:t xml:space="preserve"> 采购文件编号      采购项目名称</w:t>
      </w:r>
      <w:r>
        <w:rPr>
          <w:rFonts w:hint="eastAsia" w:ascii="宋体" w:hAnsi="宋体" w:eastAsia="宋体" w:cs="宋体"/>
          <w:color w:val="auto"/>
          <w:kern w:val="0"/>
          <w:sz w:val="24"/>
          <w:szCs w:val="24"/>
          <w:highlight w:val="none"/>
          <w:lang w:val="en-US" w:eastAsia="zh-CN" w:bidi="ar"/>
        </w:rPr>
        <w:t xml:space="preserve">采购活动，在此郑重承诺： </w:t>
      </w:r>
    </w:p>
    <w:p w14:paraId="4DF75B2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eastAsia="zh-CN" w:bidi="ar"/>
        </w:rPr>
        <w:t xml:space="preserve">我公司完全理解本项目采购的技术要求、商务条款及其他内容，决定参与该项目的投标活动。并承诺，如成交我公司将提供足够的产品和专业技术能力保证本合同履行。 </w:t>
      </w:r>
    </w:p>
    <w:p w14:paraId="599D26D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本公司对以上承诺的真实性负责。如有虚假，我公司同意按我方合同违约处理，并依法承担相应的法律责任。 </w:t>
      </w:r>
    </w:p>
    <w:p w14:paraId="603D2E1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bidi="ar"/>
        </w:rPr>
      </w:pPr>
    </w:p>
    <w:p w14:paraId="734DF018">
      <w:pPr>
        <w:pStyle w:val="14"/>
        <w:ind w:left="1117" w:leftChars="532" w:firstLine="240" w:firstLineChars="100"/>
        <w:jc w:val="righ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供应商名称：</w:t>
      </w:r>
      <w:r>
        <w:rPr>
          <w:rFonts w:hint="eastAsia" w:ascii="宋体" w:hAnsi="宋体" w:eastAsia="宋体" w:cs="宋体"/>
          <w:b w:val="0"/>
          <w:bCs/>
          <w:sz w:val="24"/>
          <w:szCs w:val="24"/>
          <w:highlight w:val="none"/>
          <w:u w:val="single"/>
          <w:lang w:eastAsia="zh-CN"/>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（盖章）</w:t>
      </w:r>
    </w:p>
    <w:p w14:paraId="7C15E078">
      <w:pPr>
        <w:spacing w:line="480" w:lineRule="auto"/>
        <w:ind w:firstLine="480" w:firstLineChars="200"/>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 w:val="0"/>
          <w:bCs/>
          <w:sz w:val="24"/>
          <w:szCs w:val="24"/>
          <w:highlight w:val="none"/>
        </w:rPr>
        <w:t>日   期</w:t>
      </w:r>
      <w:r>
        <w:rPr>
          <w:rFonts w:hint="eastAsia" w:ascii="宋体" w:hAnsi="宋体" w:eastAsia="宋体" w:cs="宋体"/>
          <w:b w:val="0"/>
          <w:bCs/>
          <w:sz w:val="24"/>
          <w:szCs w:val="24"/>
          <w:highlight w:val="none"/>
          <w:lang w:eastAsia="zh-CN"/>
        </w:rPr>
        <w:t>：</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月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14:paraId="3EEDA76A">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15685ADE">
      <w:pPr>
        <w:spacing w:line="440" w:lineRule="exact"/>
        <w:jc w:val="center"/>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格式8</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w:t>
      </w:r>
      <w:r>
        <w:rPr>
          <w:rFonts w:hint="eastAsia" w:ascii="宋体" w:hAnsi="宋体" w:eastAsia="宋体" w:cs="宋体"/>
          <w:b/>
          <w:sz w:val="24"/>
          <w:szCs w:val="24"/>
          <w:highlight w:val="none"/>
        </w:rPr>
        <w:t>响  应  函</w:t>
      </w:r>
    </w:p>
    <w:p w14:paraId="75FAF15A">
      <w:pPr>
        <w:spacing w:line="360" w:lineRule="auto"/>
        <w:ind w:firstLine="480" w:firstLineChars="200"/>
        <w:rPr>
          <w:rFonts w:hint="eastAsia" w:ascii="宋体" w:hAnsi="宋体" w:eastAsia="宋体" w:cs="宋体"/>
          <w:kern w:val="0"/>
          <w:sz w:val="24"/>
          <w:szCs w:val="24"/>
          <w:highlight w:val="none"/>
        </w:rPr>
      </w:pPr>
    </w:p>
    <w:p w14:paraId="716C7D62">
      <w:pPr>
        <w:spacing w:line="360" w:lineRule="auto"/>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克拉玛依市气象局</w:t>
      </w:r>
      <w:r>
        <w:rPr>
          <w:rFonts w:hint="eastAsia" w:ascii="宋体" w:hAnsi="宋体" w:eastAsia="宋体" w:cs="宋体"/>
          <w:sz w:val="24"/>
          <w:szCs w:val="24"/>
          <w:highlight w:val="none"/>
        </w:rPr>
        <w:t>：</w:t>
      </w:r>
    </w:p>
    <w:p w14:paraId="49B4E789">
      <w:pPr>
        <w:pStyle w:val="14"/>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我方全面研究了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”项目</w:t>
      </w:r>
      <w:r>
        <w:rPr>
          <w:rFonts w:hint="eastAsia" w:ascii="宋体" w:hAnsi="宋体" w:cs="宋体"/>
          <w:b w:val="0"/>
          <w:bCs/>
          <w:sz w:val="24"/>
          <w:szCs w:val="24"/>
          <w:highlight w:val="none"/>
          <w:lang w:eastAsia="zh-CN"/>
        </w:rPr>
        <w:t>谈判文件</w:t>
      </w:r>
      <w:r>
        <w:rPr>
          <w:rFonts w:hint="eastAsia" w:ascii="宋体" w:hAnsi="宋体" w:eastAsia="宋体" w:cs="宋体"/>
          <w:b w:val="0"/>
          <w:bCs/>
          <w:sz w:val="24"/>
          <w:szCs w:val="24"/>
          <w:highlight w:val="none"/>
        </w:rPr>
        <w:t>（文件编号：</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），决定参加本项目</w:t>
      </w:r>
      <w:r>
        <w:rPr>
          <w:rFonts w:hint="eastAsia" w:ascii="宋体" w:hAnsi="宋体" w:cs="宋体"/>
          <w:b w:val="0"/>
          <w:bCs/>
          <w:sz w:val="24"/>
          <w:szCs w:val="24"/>
          <w:highlight w:val="none"/>
          <w:lang w:eastAsia="zh-CN"/>
        </w:rPr>
        <w:t>竞争性谈判</w:t>
      </w:r>
      <w:r>
        <w:rPr>
          <w:rFonts w:hint="eastAsia" w:ascii="宋体" w:hAnsi="宋体" w:eastAsia="宋体" w:cs="宋体"/>
          <w:b w:val="0"/>
          <w:bCs/>
          <w:sz w:val="24"/>
          <w:szCs w:val="24"/>
          <w:highlight w:val="none"/>
        </w:rPr>
        <w:t>。我方授权</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（姓名、职务）代表我方</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（供应商的名称）全权处理本项目</w:t>
      </w:r>
      <w:r>
        <w:rPr>
          <w:rFonts w:hint="eastAsia" w:ascii="宋体" w:hAnsi="宋体" w:cs="宋体"/>
          <w:b w:val="0"/>
          <w:bCs/>
          <w:sz w:val="24"/>
          <w:szCs w:val="24"/>
          <w:highlight w:val="none"/>
          <w:lang w:eastAsia="zh-CN"/>
        </w:rPr>
        <w:t>谈判</w:t>
      </w:r>
      <w:r>
        <w:rPr>
          <w:rFonts w:hint="eastAsia" w:ascii="宋体" w:hAnsi="宋体" w:eastAsia="宋体" w:cs="宋体"/>
          <w:b w:val="0"/>
          <w:bCs/>
          <w:sz w:val="24"/>
          <w:szCs w:val="24"/>
          <w:highlight w:val="none"/>
        </w:rPr>
        <w:t>的有关事宜。</w:t>
      </w:r>
    </w:p>
    <w:p w14:paraId="198D4766">
      <w:pPr>
        <w:pStyle w:val="14"/>
        <w:ind w:left="0" w:firstLine="420" w:firstLineChars="175"/>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1、我方自愿按照</w:t>
      </w:r>
      <w:r>
        <w:rPr>
          <w:rFonts w:hint="eastAsia" w:ascii="宋体" w:hAnsi="宋体" w:cs="宋体"/>
          <w:b w:val="0"/>
          <w:bCs/>
          <w:sz w:val="24"/>
          <w:szCs w:val="24"/>
          <w:highlight w:val="none"/>
          <w:lang w:eastAsia="zh-CN"/>
        </w:rPr>
        <w:t>竞争性谈判</w:t>
      </w:r>
      <w:r>
        <w:rPr>
          <w:rFonts w:hint="eastAsia" w:ascii="宋体" w:hAnsi="宋体" w:eastAsia="宋体" w:cs="宋体"/>
          <w:b w:val="0"/>
          <w:bCs/>
          <w:sz w:val="24"/>
          <w:szCs w:val="24"/>
          <w:highlight w:val="none"/>
        </w:rPr>
        <w:t>文件规定的各项要求向采购人提供所需</w:t>
      </w:r>
      <w:r>
        <w:rPr>
          <w:rFonts w:hint="eastAsia" w:ascii="宋体" w:hAnsi="宋体" w:cs="宋体"/>
          <w:b w:val="0"/>
          <w:bCs/>
          <w:sz w:val="24"/>
          <w:szCs w:val="24"/>
          <w:highlight w:val="none"/>
          <w:lang w:val="en-US" w:eastAsia="zh-CN"/>
        </w:rPr>
        <w:t>货物及服务</w:t>
      </w:r>
      <w:r>
        <w:rPr>
          <w:rFonts w:hint="eastAsia" w:ascii="宋体" w:hAnsi="宋体" w:eastAsia="宋体" w:cs="宋体"/>
          <w:b w:val="0"/>
          <w:bCs/>
          <w:sz w:val="24"/>
          <w:szCs w:val="24"/>
          <w:highlight w:val="none"/>
        </w:rPr>
        <w:t>，商务</w:t>
      </w:r>
      <w:r>
        <w:rPr>
          <w:rFonts w:hint="eastAsia" w:ascii="宋体" w:hAnsi="宋体" w:cs="宋体"/>
          <w:b w:val="0"/>
          <w:bCs/>
          <w:sz w:val="24"/>
          <w:szCs w:val="24"/>
          <w:highlight w:val="none"/>
          <w:lang w:val="en-US" w:eastAsia="zh-CN"/>
        </w:rPr>
        <w:t>总</w:t>
      </w:r>
      <w:r>
        <w:rPr>
          <w:rFonts w:hint="eastAsia" w:ascii="宋体" w:hAnsi="宋体" w:eastAsia="宋体" w:cs="宋体"/>
          <w:b w:val="0"/>
          <w:bCs/>
          <w:sz w:val="24"/>
          <w:szCs w:val="24"/>
          <w:highlight w:val="none"/>
        </w:rPr>
        <w:t>报价为</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rPr>
        <w:t>元</w:t>
      </w:r>
      <w:r>
        <w:rPr>
          <w:rFonts w:hint="eastAsia" w:ascii="宋体" w:hAnsi="宋体" w:eastAsia="宋体" w:cs="宋体"/>
          <w:b w:val="0"/>
          <w:bCs/>
          <w:sz w:val="24"/>
          <w:szCs w:val="24"/>
          <w:highlight w:val="none"/>
        </w:rPr>
        <w:t>（大写：</w:t>
      </w:r>
      <w:r>
        <w:rPr>
          <w:rFonts w:hint="eastAsia" w:ascii="宋体" w:hAnsi="宋体" w:eastAsia="宋体" w:cs="宋体"/>
          <w:b w:val="0"/>
          <w:bCs/>
          <w:sz w:val="24"/>
          <w:szCs w:val="24"/>
          <w:highlight w:val="none"/>
          <w:u w:val="single"/>
        </w:rPr>
        <w:t xml:space="preserve">人民币        </w:t>
      </w:r>
      <w:r>
        <w:rPr>
          <w:rFonts w:hint="eastAsia" w:ascii="宋体" w:hAnsi="宋体" w:cs="宋体"/>
          <w:b w:val="0"/>
          <w:bCs/>
          <w:sz w:val="24"/>
          <w:szCs w:val="24"/>
          <w:highlight w:val="none"/>
          <w:u w:val="single"/>
          <w:lang w:val="en-US" w:eastAsia="zh-CN"/>
        </w:rPr>
        <w:t>元</w:t>
      </w:r>
      <w:r>
        <w:rPr>
          <w:rFonts w:hint="eastAsia" w:ascii="宋体" w:hAnsi="宋体" w:eastAsia="宋体" w:cs="宋体"/>
          <w:b w:val="0"/>
          <w:bCs/>
          <w:sz w:val="24"/>
          <w:szCs w:val="24"/>
          <w:highlight w:val="none"/>
        </w:rPr>
        <w:t>）。</w:t>
      </w:r>
    </w:p>
    <w:p w14:paraId="023EEE56">
      <w:pPr>
        <w:pStyle w:val="14"/>
        <w:ind w:left="0" w:firstLine="420" w:firstLineChars="175"/>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2、若我方中标，我方将严格履行合同规定的责任和义务，保证按采购人要求及我方承诺完成应尽义务，并交付采购人验收、使用。</w:t>
      </w:r>
    </w:p>
    <w:p w14:paraId="3EA1B9E4">
      <w:pPr>
        <w:pStyle w:val="14"/>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3、我方同意本次采购关于响应有效期的相关要求，且承诺响应有效期为响应截止时间届满后</w:t>
      </w:r>
      <w:r>
        <w:rPr>
          <w:rFonts w:hint="eastAsia" w:ascii="宋体" w:hAnsi="宋体" w:eastAsia="宋体" w:cs="宋体"/>
          <w:b w:val="0"/>
          <w:bCs/>
          <w:sz w:val="24"/>
          <w:szCs w:val="24"/>
          <w:highlight w:val="none"/>
          <w:u w:val="single"/>
        </w:rPr>
        <w:t xml:space="preserve"> </w:t>
      </w:r>
      <w:r>
        <w:rPr>
          <w:rFonts w:hint="eastAsia" w:ascii="宋体" w:hAnsi="宋体" w:cs="宋体"/>
          <w:b w:val="0"/>
          <w:bCs/>
          <w:sz w:val="24"/>
          <w:szCs w:val="24"/>
          <w:highlight w:val="none"/>
          <w:u w:val="single"/>
          <w:lang w:val="en-US" w:eastAsia="zh-CN"/>
        </w:rPr>
        <w:t>90</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天（日历日）。</w:t>
      </w:r>
    </w:p>
    <w:p w14:paraId="224FAD77">
      <w:pPr>
        <w:pStyle w:val="14"/>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、我方愿意提供采购人可能另外要求的，与采购有关的文件资料，并保证我方已提供和将要提供的文件资料是真实、准确的。</w:t>
      </w:r>
    </w:p>
    <w:p w14:paraId="4D2E9AC3">
      <w:pPr>
        <w:pStyle w:val="14"/>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供应商名称：</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（盖章）</w:t>
      </w:r>
    </w:p>
    <w:p w14:paraId="3CFE114F">
      <w:pPr>
        <w:pStyle w:val="14"/>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法定代表人或授权代表（签字）或盖章：</w:t>
      </w:r>
      <w:r>
        <w:rPr>
          <w:rFonts w:hint="eastAsia" w:ascii="宋体" w:hAnsi="宋体" w:eastAsia="宋体" w:cs="宋体"/>
          <w:b w:val="0"/>
          <w:bCs/>
          <w:sz w:val="24"/>
          <w:szCs w:val="24"/>
          <w:highlight w:val="none"/>
          <w:u w:val="single"/>
          <w:lang w:val="en-US" w:eastAsia="zh-CN"/>
        </w:rPr>
        <w:t xml:space="preserve">          </w:t>
      </w:r>
    </w:p>
    <w:p w14:paraId="3BC1943A">
      <w:pPr>
        <w:pStyle w:val="14"/>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通讯地址：</w:t>
      </w:r>
      <w:r>
        <w:rPr>
          <w:rFonts w:hint="eastAsia" w:ascii="宋体" w:hAnsi="宋体" w:eastAsia="宋体" w:cs="宋体"/>
          <w:b w:val="0"/>
          <w:bCs/>
          <w:sz w:val="24"/>
          <w:szCs w:val="24"/>
          <w:highlight w:val="none"/>
          <w:u w:val="single"/>
          <w:lang w:val="en-US" w:eastAsia="zh-CN"/>
        </w:rPr>
        <w:t xml:space="preserve">          </w:t>
      </w:r>
    </w:p>
    <w:p w14:paraId="4BD2E749">
      <w:pPr>
        <w:pStyle w:val="14"/>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邮政编码：</w:t>
      </w:r>
      <w:r>
        <w:rPr>
          <w:rFonts w:hint="eastAsia" w:ascii="宋体" w:hAnsi="宋体" w:eastAsia="宋体" w:cs="宋体"/>
          <w:b w:val="0"/>
          <w:bCs/>
          <w:sz w:val="24"/>
          <w:szCs w:val="24"/>
          <w:highlight w:val="none"/>
          <w:u w:val="single"/>
          <w:lang w:val="en-US" w:eastAsia="zh-CN"/>
        </w:rPr>
        <w:t xml:space="preserve">          </w:t>
      </w:r>
    </w:p>
    <w:p w14:paraId="05691309">
      <w:pPr>
        <w:pStyle w:val="14"/>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联系电话：</w:t>
      </w:r>
      <w:r>
        <w:rPr>
          <w:rFonts w:hint="eastAsia" w:ascii="宋体" w:hAnsi="宋体" w:eastAsia="宋体" w:cs="宋体"/>
          <w:b w:val="0"/>
          <w:bCs/>
          <w:sz w:val="24"/>
          <w:szCs w:val="24"/>
          <w:highlight w:val="none"/>
          <w:u w:val="single"/>
          <w:lang w:val="en-US" w:eastAsia="zh-CN"/>
        </w:rPr>
        <w:t xml:space="preserve">          </w:t>
      </w:r>
    </w:p>
    <w:p w14:paraId="13005390">
      <w:pPr>
        <w:pStyle w:val="14"/>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传    真：</w:t>
      </w:r>
      <w:r>
        <w:rPr>
          <w:rFonts w:hint="eastAsia" w:ascii="宋体" w:hAnsi="宋体" w:eastAsia="宋体" w:cs="宋体"/>
          <w:b w:val="0"/>
          <w:bCs/>
          <w:sz w:val="24"/>
          <w:szCs w:val="24"/>
          <w:highlight w:val="none"/>
          <w:u w:val="single"/>
          <w:lang w:val="en-US" w:eastAsia="zh-CN"/>
        </w:rPr>
        <w:t xml:space="preserve">          </w:t>
      </w:r>
    </w:p>
    <w:p w14:paraId="7A90A575">
      <w:pPr>
        <w:pStyle w:val="14"/>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日    期：</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日</w:t>
      </w:r>
    </w:p>
    <w:p w14:paraId="3629AE6F">
      <w:pPr>
        <w:pStyle w:val="31"/>
        <w:rPr>
          <w:rFonts w:hint="eastAsia" w:ascii="宋体" w:hAnsi="宋体" w:eastAsia="宋体" w:cs="宋体"/>
          <w:sz w:val="24"/>
          <w:szCs w:val="24"/>
          <w:highlight w:val="none"/>
        </w:rPr>
      </w:pPr>
    </w:p>
    <w:p w14:paraId="684754BD">
      <w:pPr>
        <w:spacing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格式</w:t>
      </w:r>
      <w:r>
        <w:rPr>
          <w:rFonts w:hint="eastAsia" w:ascii="宋体" w:hAnsi="宋体" w:cs="宋体"/>
          <w:b/>
          <w:bCs/>
          <w:sz w:val="24"/>
          <w:szCs w:val="24"/>
          <w:highlight w:val="none"/>
          <w:lang w:val="en-US" w:eastAsia="zh-CN"/>
        </w:rPr>
        <w:t>9</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商务报价一览表（首次）</w:t>
      </w:r>
    </w:p>
    <w:p w14:paraId="58A337DD">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27F6CA27">
      <w:pPr>
        <w:spacing w:line="440" w:lineRule="exact"/>
        <w:jc w:val="both"/>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币</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种：人民币</w:t>
      </w:r>
    </w:p>
    <w:tbl>
      <w:tblPr>
        <w:tblStyle w:val="22"/>
        <w:tblW w:w="10457"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0"/>
        <w:gridCol w:w="2413"/>
        <w:gridCol w:w="1076"/>
        <w:gridCol w:w="896"/>
        <w:gridCol w:w="1308"/>
        <w:gridCol w:w="1513"/>
        <w:gridCol w:w="1242"/>
        <w:gridCol w:w="1489"/>
      </w:tblGrid>
      <w:tr w14:paraId="0875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trPr>
        <w:tc>
          <w:tcPr>
            <w:tcW w:w="520" w:type="dxa"/>
            <w:tcBorders>
              <w:top w:val="single" w:color="000000" w:sz="2" w:space="0"/>
              <w:left w:val="single" w:color="000000" w:sz="2" w:space="0"/>
              <w:right w:val="single" w:color="000000" w:sz="2" w:space="0"/>
            </w:tcBorders>
            <w:vAlign w:val="center"/>
          </w:tcPr>
          <w:p w14:paraId="1B54D823">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2413" w:type="dxa"/>
            <w:tcBorders>
              <w:top w:val="single" w:color="000000" w:sz="2" w:space="0"/>
              <w:left w:val="single" w:color="auto" w:sz="4" w:space="0"/>
              <w:right w:val="single" w:color="000000" w:sz="2" w:space="0"/>
            </w:tcBorders>
            <w:vAlign w:val="center"/>
          </w:tcPr>
          <w:p w14:paraId="731F0AA5">
            <w:pPr>
              <w:widowControl/>
              <w:spacing w:line="360" w:lineRule="auto"/>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名称</w:t>
            </w:r>
          </w:p>
        </w:tc>
        <w:tc>
          <w:tcPr>
            <w:tcW w:w="1076" w:type="dxa"/>
            <w:tcBorders>
              <w:top w:val="single" w:color="000000" w:sz="2" w:space="0"/>
              <w:left w:val="single" w:color="auto" w:sz="4" w:space="0"/>
              <w:right w:val="single" w:color="auto" w:sz="4" w:space="0"/>
            </w:tcBorders>
            <w:vAlign w:val="center"/>
          </w:tcPr>
          <w:p w14:paraId="337323F5">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896" w:type="dxa"/>
            <w:tcBorders>
              <w:top w:val="single" w:color="000000" w:sz="2" w:space="0"/>
              <w:left w:val="single" w:color="auto" w:sz="4" w:space="0"/>
              <w:right w:val="single" w:color="auto" w:sz="4" w:space="0"/>
            </w:tcBorders>
            <w:vAlign w:val="center"/>
          </w:tcPr>
          <w:p w14:paraId="721625B2">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1308" w:type="dxa"/>
            <w:tcBorders>
              <w:top w:val="single" w:color="000000" w:sz="2" w:space="0"/>
              <w:left w:val="single" w:color="auto" w:sz="4" w:space="0"/>
              <w:right w:val="single" w:color="auto" w:sz="4" w:space="0"/>
            </w:tcBorders>
            <w:vAlign w:val="center"/>
          </w:tcPr>
          <w:p w14:paraId="0A1331D4">
            <w:pPr>
              <w:widowControl/>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单价（元）</w:t>
            </w:r>
          </w:p>
        </w:tc>
        <w:tc>
          <w:tcPr>
            <w:tcW w:w="1513" w:type="dxa"/>
            <w:tcBorders>
              <w:top w:val="single" w:color="000000" w:sz="2" w:space="0"/>
              <w:left w:val="single" w:color="auto" w:sz="4" w:space="0"/>
              <w:right w:val="single" w:color="auto" w:sz="4" w:space="0"/>
            </w:tcBorders>
            <w:vAlign w:val="center"/>
          </w:tcPr>
          <w:p w14:paraId="299F0C1C">
            <w:pPr>
              <w:widowControl/>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金额（元）</w:t>
            </w:r>
          </w:p>
        </w:tc>
        <w:tc>
          <w:tcPr>
            <w:tcW w:w="1242" w:type="dxa"/>
            <w:tcBorders>
              <w:top w:val="single" w:color="000000" w:sz="2" w:space="0"/>
              <w:left w:val="single" w:color="auto" w:sz="4" w:space="0"/>
              <w:right w:val="single" w:color="auto" w:sz="4" w:space="0"/>
            </w:tcBorders>
            <w:vAlign w:val="center"/>
          </w:tcPr>
          <w:p w14:paraId="37E52A8C">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品牌</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产地</w:t>
            </w:r>
          </w:p>
        </w:tc>
        <w:tc>
          <w:tcPr>
            <w:tcW w:w="1489" w:type="dxa"/>
            <w:tcBorders>
              <w:top w:val="single" w:color="000000" w:sz="2" w:space="0"/>
              <w:left w:val="single" w:color="auto" w:sz="4" w:space="0"/>
              <w:right w:val="single" w:color="000000" w:sz="2" w:space="0"/>
            </w:tcBorders>
            <w:vAlign w:val="center"/>
          </w:tcPr>
          <w:p w14:paraId="2D655871">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型号、规格</w:t>
            </w:r>
          </w:p>
        </w:tc>
      </w:tr>
      <w:tr w14:paraId="219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520" w:type="dxa"/>
            <w:tcBorders>
              <w:top w:val="single" w:color="auto" w:sz="4" w:space="0"/>
              <w:left w:val="single" w:color="000000" w:sz="2" w:space="0"/>
              <w:right w:val="single" w:color="000000" w:sz="2" w:space="0"/>
            </w:tcBorders>
            <w:vAlign w:val="center"/>
          </w:tcPr>
          <w:p w14:paraId="28315E4C">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w:t>
            </w:r>
          </w:p>
        </w:tc>
        <w:tc>
          <w:tcPr>
            <w:tcW w:w="2413" w:type="dxa"/>
            <w:tcBorders>
              <w:top w:val="single" w:color="auto" w:sz="4" w:space="0"/>
              <w:left w:val="single" w:color="auto" w:sz="4" w:space="0"/>
              <w:right w:val="single" w:color="000000" w:sz="2" w:space="0"/>
            </w:tcBorders>
            <w:vAlign w:val="center"/>
          </w:tcPr>
          <w:p w14:paraId="72D113B6">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闪电定位仪</w:t>
            </w:r>
          </w:p>
        </w:tc>
        <w:tc>
          <w:tcPr>
            <w:tcW w:w="1076" w:type="dxa"/>
            <w:tcBorders>
              <w:left w:val="single" w:color="auto" w:sz="4" w:space="0"/>
              <w:right w:val="single" w:color="auto" w:sz="4" w:space="0"/>
            </w:tcBorders>
            <w:vAlign w:val="center"/>
          </w:tcPr>
          <w:p w14:paraId="0B47D718">
            <w:pPr>
              <w:widowControl/>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kern w:val="0"/>
                <w:sz w:val="24"/>
                <w:szCs w:val="24"/>
                <w:lang w:val="en-US" w:eastAsia="zh-CN"/>
              </w:rPr>
              <w:t>3</w:t>
            </w:r>
          </w:p>
        </w:tc>
        <w:tc>
          <w:tcPr>
            <w:tcW w:w="896" w:type="dxa"/>
            <w:tcBorders>
              <w:left w:val="single" w:color="auto" w:sz="4" w:space="0"/>
              <w:right w:val="single" w:color="auto" w:sz="4" w:space="0"/>
            </w:tcBorders>
            <w:vAlign w:val="center"/>
          </w:tcPr>
          <w:p w14:paraId="457F8A58">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szCs w:val="24"/>
              </w:rPr>
              <w:t>套</w:t>
            </w:r>
          </w:p>
        </w:tc>
        <w:tc>
          <w:tcPr>
            <w:tcW w:w="1308" w:type="dxa"/>
            <w:tcBorders>
              <w:left w:val="single" w:color="auto" w:sz="4" w:space="0"/>
              <w:right w:val="single" w:color="auto" w:sz="4" w:space="0"/>
            </w:tcBorders>
            <w:vAlign w:val="center"/>
          </w:tcPr>
          <w:p w14:paraId="072F4103">
            <w:pPr>
              <w:spacing w:line="360" w:lineRule="auto"/>
              <w:jc w:val="center"/>
              <w:rPr>
                <w:rFonts w:hint="eastAsia" w:asciiTheme="minorEastAsia" w:hAnsiTheme="minorEastAsia" w:eastAsiaTheme="minorEastAsia" w:cstheme="minorEastAsia"/>
                <w:color w:val="auto"/>
                <w:sz w:val="24"/>
              </w:rPr>
            </w:pPr>
          </w:p>
        </w:tc>
        <w:tc>
          <w:tcPr>
            <w:tcW w:w="1513" w:type="dxa"/>
            <w:tcBorders>
              <w:left w:val="single" w:color="auto" w:sz="4" w:space="0"/>
              <w:right w:val="single" w:color="auto" w:sz="4" w:space="0"/>
            </w:tcBorders>
            <w:vAlign w:val="center"/>
          </w:tcPr>
          <w:p w14:paraId="6F350097">
            <w:pPr>
              <w:spacing w:line="360" w:lineRule="auto"/>
              <w:jc w:val="center"/>
              <w:rPr>
                <w:rFonts w:hint="eastAsia" w:asciiTheme="minorEastAsia" w:hAnsiTheme="minorEastAsia" w:eastAsiaTheme="minorEastAsia" w:cstheme="minorEastAsia"/>
                <w:color w:val="auto"/>
                <w:sz w:val="24"/>
              </w:rPr>
            </w:pPr>
          </w:p>
        </w:tc>
        <w:tc>
          <w:tcPr>
            <w:tcW w:w="1242" w:type="dxa"/>
            <w:tcBorders>
              <w:left w:val="single" w:color="auto" w:sz="4" w:space="0"/>
              <w:right w:val="single" w:color="auto" w:sz="4" w:space="0"/>
            </w:tcBorders>
            <w:vAlign w:val="center"/>
          </w:tcPr>
          <w:p w14:paraId="23002A6E">
            <w:pPr>
              <w:spacing w:line="360" w:lineRule="auto"/>
              <w:jc w:val="left"/>
              <w:rPr>
                <w:rFonts w:hint="eastAsia" w:asciiTheme="minorEastAsia" w:hAnsiTheme="minorEastAsia" w:eastAsiaTheme="minorEastAsia" w:cstheme="minorEastAsia"/>
                <w:color w:val="auto"/>
                <w:sz w:val="24"/>
              </w:rPr>
            </w:pPr>
          </w:p>
        </w:tc>
        <w:tc>
          <w:tcPr>
            <w:tcW w:w="1489" w:type="dxa"/>
            <w:tcBorders>
              <w:left w:val="single" w:color="auto" w:sz="4" w:space="0"/>
              <w:right w:val="single" w:color="000000" w:sz="2" w:space="0"/>
            </w:tcBorders>
            <w:vAlign w:val="center"/>
          </w:tcPr>
          <w:p w14:paraId="0D7681D3">
            <w:pPr>
              <w:spacing w:line="360" w:lineRule="auto"/>
              <w:jc w:val="left"/>
              <w:rPr>
                <w:rFonts w:hint="eastAsia" w:asciiTheme="minorEastAsia" w:hAnsiTheme="minorEastAsia" w:eastAsiaTheme="minorEastAsia" w:cstheme="minorEastAsia"/>
                <w:color w:val="auto"/>
                <w:sz w:val="24"/>
              </w:rPr>
            </w:pPr>
          </w:p>
        </w:tc>
      </w:tr>
      <w:tr w14:paraId="6078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trPr>
        <w:tc>
          <w:tcPr>
            <w:tcW w:w="520" w:type="dxa"/>
            <w:vMerge w:val="restart"/>
            <w:tcBorders>
              <w:top w:val="single" w:color="auto" w:sz="4" w:space="0"/>
              <w:left w:val="single" w:color="000000" w:sz="2" w:space="0"/>
              <w:right w:val="single" w:color="000000" w:sz="2" w:space="0"/>
            </w:tcBorders>
            <w:vAlign w:val="center"/>
          </w:tcPr>
          <w:p w14:paraId="2D07021B">
            <w:pPr>
              <w:spacing w:line="288"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2413" w:type="dxa"/>
            <w:vMerge w:val="restart"/>
            <w:tcBorders>
              <w:top w:val="single" w:color="auto" w:sz="4" w:space="0"/>
              <w:left w:val="single" w:color="auto" w:sz="4" w:space="0"/>
              <w:right w:val="single" w:color="auto" w:sz="4" w:space="0"/>
            </w:tcBorders>
            <w:vAlign w:val="center"/>
          </w:tcPr>
          <w:p w14:paraId="169332EA">
            <w:pPr>
              <w:spacing w:line="288" w:lineRule="auto"/>
              <w:jc w:val="center"/>
              <w:rPr>
                <w:rFonts w:ascii="宋体" w:hAnsi="宋体" w:cs="宋体"/>
                <w:color w:val="auto"/>
                <w:sz w:val="24"/>
              </w:rPr>
            </w:pPr>
            <w:r>
              <w:rPr>
                <w:rFonts w:hint="eastAsia" w:ascii="宋体" w:hAnsi="宋体" w:cs="宋体"/>
                <w:color w:val="auto"/>
                <w:sz w:val="24"/>
              </w:rPr>
              <w:t>合计</w:t>
            </w:r>
          </w:p>
        </w:tc>
        <w:tc>
          <w:tcPr>
            <w:tcW w:w="7524" w:type="dxa"/>
            <w:gridSpan w:val="6"/>
            <w:tcBorders>
              <w:top w:val="single" w:color="auto" w:sz="4" w:space="0"/>
              <w:left w:val="single" w:color="auto" w:sz="4" w:space="0"/>
              <w:bottom w:val="single" w:color="auto" w:sz="4" w:space="0"/>
              <w:right w:val="single" w:color="000000" w:sz="2" w:space="0"/>
            </w:tcBorders>
            <w:vAlign w:val="center"/>
          </w:tcPr>
          <w:p w14:paraId="1A320E1C">
            <w:pPr>
              <w:pStyle w:val="42"/>
              <w:spacing w:line="288" w:lineRule="auto"/>
              <w:ind w:firstLine="0" w:firstLineChars="0"/>
              <w:jc w:val="left"/>
              <w:rPr>
                <w:rFonts w:hint="eastAsia" w:ascii="宋体" w:hAnsi="宋体" w:eastAsia="宋体" w:cs="宋体"/>
                <w:color w:val="auto"/>
              </w:rPr>
            </w:pPr>
            <w:r>
              <w:rPr>
                <w:rFonts w:hint="eastAsia" w:ascii="宋体" w:hAnsi="宋体" w:eastAsia="宋体" w:cs="宋体"/>
                <w:color w:val="auto"/>
              </w:rPr>
              <w:t>小写：￥</w:t>
            </w:r>
          </w:p>
        </w:tc>
      </w:tr>
      <w:tr w14:paraId="7745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520" w:type="dxa"/>
            <w:vMerge w:val="continue"/>
            <w:tcBorders>
              <w:left w:val="single" w:color="000000" w:sz="2" w:space="0"/>
              <w:bottom w:val="single" w:color="auto" w:sz="4" w:space="0"/>
              <w:right w:val="single" w:color="000000" w:sz="2" w:space="0"/>
            </w:tcBorders>
            <w:vAlign w:val="center"/>
          </w:tcPr>
          <w:p w14:paraId="59A040E5">
            <w:pPr>
              <w:spacing w:line="288" w:lineRule="auto"/>
              <w:jc w:val="center"/>
              <w:rPr>
                <w:rFonts w:ascii="宋体" w:hAnsi="宋体" w:cs="宋体"/>
                <w:color w:val="auto"/>
                <w:sz w:val="24"/>
              </w:rPr>
            </w:pPr>
          </w:p>
        </w:tc>
        <w:tc>
          <w:tcPr>
            <w:tcW w:w="2413" w:type="dxa"/>
            <w:vMerge w:val="continue"/>
            <w:tcBorders>
              <w:left w:val="single" w:color="auto" w:sz="4" w:space="0"/>
              <w:bottom w:val="single" w:color="auto" w:sz="4" w:space="0"/>
              <w:right w:val="single" w:color="auto" w:sz="4" w:space="0"/>
            </w:tcBorders>
            <w:vAlign w:val="center"/>
          </w:tcPr>
          <w:p w14:paraId="4E5F49AE">
            <w:pPr>
              <w:spacing w:line="288" w:lineRule="auto"/>
              <w:jc w:val="center"/>
              <w:rPr>
                <w:rFonts w:ascii="宋体" w:hAnsi="宋体" w:cs="宋体"/>
                <w:color w:val="auto"/>
                <w:sz w:val="24"/>
              </w:rPr>
            </w:pPr>
          </w:p>
        </w:tc>
        <w:tc>
          <w:tcPr>
            <w:tcW w:w="7524" w:type="dxa"/>
            <w:gridSpan w:val="6"/>
            <w:tcBorders>
              <w:top w:val="single" w:color="auto" w:sz="4" w:space="0"/>
              <w:left w:val="single" w:color="auto" w:sz="4" w:space="0"/>
              <w:bottom w:val="single" w:color="auto" w:sz="4" w:space="0"/>
              <w:right w:val="single" w:color="000000" w:sz="2" w:space="0"/>
            </w:tcBorders>
            <w:vAlign w:val="center"/>
          </w:tcPr>
          <w:p w14:paraId="4297D2E3">
            <w:pPr>
              <w:pStyle w:val="42"/>
              <w:spacing w:line="288" w:lineRule="auto"/>
              <w:ind w:firstLine="0" w:firstLineChars="0"/>
              <w:jc w:val="left"/>
              <w:rPr>
                <w:rFonts w:hint="eastAsia" w:ascii="宋体" w:hAnsi="宋体" w:eastAsia="宋体" w:cs="宋体"/>
                <w:color w:val="auto"/>
              </w:rPr>
            </w:pPr>
            <w:r>
              <w:rPr>
                <w:rFonts w:hint="eastAsia" w:ascii="宋体" w:hAnsi="宋体" w:eastAsia="宋体" w:cs="宋体"/>
                <w:color w:val="auto"/>
              </w:rPr>
              <w:t>大写：</w:t>
            </w:r>
          </w:p>
        </w:tc>
      </w:tr>
      <w:tr w14:paraId="77A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trPr>
        <w:tc>
          <w:tcPr>
            <w:tcW w:w="520" w:type="dxa"/>
            <w:tcBorders>
              <w:top w:val="single" w:color="auto" w:sz="4" w:space="0"/>
              <w:left w:val="single" w:color="000000" w:sz="2" w:space="0"/>
              <w:bottom w:val="single" w:color="000000" w:sz="2" w:space="0"/>
              <w:right w:val="single" w:color="000000" w:sz="2" w:space="0"/>
            </w:tcBorders>
            <w:vAlign w:val="center"/>
          </w:tcPr>
          <w:p w14:paraId="40A0A9EE">
            <w:pPr>
              <w:spacing w:line="288"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2413" w:type="dxa"/>
            <w:tcBorders>
              <w:top w:val="single" w:color="auto" w:sz="4" w:space="0"/>
              <w:left w:val="single" w:color="auto" w:sz="4" w:space="0"/>
              <w:bottom w:val="single" w:color="000000" w:sz="2" w:space="0"/>
              <w:right w:val="single" w:color="auto" w:sz="4" w:space="0"/>
            </w:tcBorders>
            <w:vAlign w:val="center"/>
          </w:tcPr>
          <w:p w14:paraId="34B38C60">
            <w:pPr>
              <w:spacing w:line="288" w:lineRule="auto"/>
              <w:jc w:val="center"/>
              <w:rPr>
                <w:rFonts w:ascii="宋体" w:hAnsi="宋体" w:cs="宋体"/>
                <w:color w:val="auto"/>
                <w:sz w:val="24"/>
              </w:rPr>
            </w:pPr>
            <w:r>
              <w:rPr>
                <w:rFonts w:hint="eastAsia" w:ascii="宋体" w:hAnsi="宋体" w:cs="宋体"/>
                <w:color w:val="auto"/>
                <w:sz w:val="24"/>
              </w:rPr>
              <w:t>供货期</w:t>
            </w:r>
          </w:p>
        </w:tc>
        <w:tc>
          <w:tcPr>
            <w:tcW w:w="7524" w:type="dxa"/>
            <w:gridSpan w:val="6"/>
            <w:tcBorders>
              <w:top w:val="single" w:color="auto" w:sz="4" w:space="0"/>
              <w:left w:val="single" w:color="auto" w:sz="4" w:space="0"/>
              <w:bottom w:val="single" w:color="000000" w:sz="2" w:space="0"/>
              <w:right w:val="single" w:color="000000" w:sz="2" w:space="0"/>
            </w:tcBorders>
            <w:vAlign w:val="center"/>
          </w:tcPr>
          <w:p w14:paraId="3B0C0653">
            <w:pPr>
              <w:pStyle w:val="42"/>
              <w:spacing w:line="288" w:lineRule="auto"/>
              <w:jc w:val="left"/>
              <w:rPr>
                <w:rFonts w:hint="eastAsia" w:ascii="宋体" w:hAnsi="宋体" w:eastAsia="宋体" w:cs="宋体"/>
                <w:color w:val="auto"/>
                <w:kern w:val="2"/>
                <w:lang w:val="en-US" w:eastAsia="zh-CN"/>
              </w:rPr>
            </w:pPr>
          </w:p>
        </w:tc>
      </w:tr>
      <w:tr w14:paraId="417B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520" w:type="dxa"/>
            <w:tcBorders>
              <w:top w:val="single" w:color="auto" w:sz="4" w:space="0"/>
              <w:left w:val="single" w:color="000000" w:sz="2" w:space="0"/>
              <w:bottom w:val="single" w:color="000000" w:sz="2" w:space="0"/>
              <w:right w:val="single" w:color="000000" w:sz="2" w:space="0"/>
            </w:tcBorders>
            <w:vAlign w:val="center"/>
          </w:tcPr>
          <w:p w14:paraId="22049D33">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413" w:type="dxa"/>
            <w:tcBorders>
              <w:top w:val="single" w:color="auto" w:sz="4" w:space="0"/>
              <w:left w:val="single" w:color="auto" w:sz="4" w:space="0"/>
              <w:bottom w:val="single" w:color="000000" w:sz="2" w:space="0"/>
              <w:right w:val="single" w:color="auto" w:sz="4" w:space="0"/>
            </w:tcBorders>
            <w:vAlign w:val="center"/>
          </w:tcPr>
          <w:p w14:paraId="01569975">
            <w:pPr>
              <w:spacing w:line="288" w:lineRule="auto"/>
              <w:jc w:val="center"/>
              <w:rPr>
                <w:rFonts w:ascii="宋体" w:hAnsi="宋体" w:cs="宋体"/>
                <w:color w:val="auto"/>
                <w:sz w:val="24"/>
              </w:rPr>
            </w:pPr>
            <w:r>
              <w:rPr>
                <w:rFonts w:hint="eastAsia" w:ascii="宋体" w:hAnsi="宋体" w:cs="宋体"/>
                <w:color w:val="auto"/>
                <w:sz w:val="24"/>
              </w:rPr>
              <w:t>质量保修期</w:t>
            </w:r>
          </w:p>
        </w:tc>
        <w:tc>
          <w:tcPr>
            <w:tcW w:w="7524" w:type="dxa"/>
            <w:gridSpan w:val="6"/>
            <w:tcBorders>
              <w:top w:val="single" w:color="auto" w:sz="4" w:space="0"/>
              <w:left w:val="single" w:color="auto" w:sz="4" w:space="0"/>
              <w:bottom w:val="single" w:color="000000" w:sz="2" w:space="0"/>
              <w:right w:val="single" w:color="000000" w:sz="2" w:space="0"/>
            </w:tcBorders>
            <w:vAlign w:val="center"/>
          </w:tcPr>
          <w:p w14:paraId="73307A16">
            <w:pPr>
              <w:pStyle w:val="42"/>
              <w:spacing w:line="288" w:lineRule="auto"/>
              <w:ind w:firstLine="482"/>
              <w:jc w:val="left"/>
              <w:rPr>
                <w:rFonts w:hint="eastAsia" w:ascii="宋体" w:hAnsi="宋体" w:eastAsia="宋体" w:cs="宋体"/>
                <w:b/>
                <w:color w:val="auto"/>
              </w:rPr>
            </w:pPr>
            <w:bookmarkStart w:id="307" w:name="_GoBack"/>
            <w:bookmarkEnd w:id="307"/>
          </w:p>
        </w:tc>
      </w:tr>
      <w:tr w14:paraId="3917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1" w:hRule="atLeast"/>
        </w:trPr>
        <w:tc>
          <w:tcPr>
            <w:tcW w:w="520" w:type="dxa"/>
            <w:tcBorders>
              <w:top w:val="single" w:color="auto" w:sz="4" w:space="0"/>
              <w:left w:val="single" w:color="000000" w:sz="2" w:space="0"/>
              <w:bottom w:val="single" w:color="000000" w:sz="2" w:space="0"/>
              <w:right w:val="single" w:color="000000" w:sz="2" w:space="0"/>
            </w:tcBorders>
            <w:vAlign w:val="center"/>
          </w:tcPr>
          <w:p w14:paraId="01FC5C4A">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2413" w:type="dxa"/>
            <w:tcBorders>
              <w:top w:val="single" w:color="auto" w:sz="4" w:space="0"/>
              <w:left w:val="single" w:color="auto" w:sz="4" w:space="0"/>
              <w:bottom w:val="single" w:color="000000" w:sz="2" w:space="0"/>
              <w:right w:val="single" w:color="000000" w:sz="2" w:space="0"/>
            </w:tcBorders>
            <w:vAlign w:val="center"/>
          </w:tcPr>
          <w:p w14:paraId="195F030E">
            <w:pPr>
              <w:spacing w:line="360" w:lineRule="auto"/>
              <w:ind w:firstLine="90"/>
              <w:jc w:val="center"/>
              <w:rPr>
                <w:rFonts w:ascii="宋体" w:hAnsi="宋体" w:cs="宋体"/>
                <w:color w:val="auto"/>
                <w:sz w:val="24"/>
              </w:rPr>
            </w:pPr>
            <w:r>
              <w:rPr>
                <w:rFonts w:hint="eastAsia" w:ascii="宋体" w:hAnsi="宋体" w:cs="宋体"/>
                <w:color w:val="auto"/>
                <w:sz w:val="24"/>
                <w:lang w:eastAsia="zh-CN"/>
              </w:rPr>
              <w:t>投标人</w:t>
            </w:r>
            <w:r>
              <w:rPr>
                <w:rFonts w:hint="eastAsia" w:ascii="宋体" w:hAnsi="宋体" w:cs="宋体"/>
                <w:color w:val="auto"/>
                <w:sz w:val="24"/>
              </w:rPr>
              <w:t>其它说明（由各</w:t>
            </w:r>
            <w:r>
              <w:rPr>
                <w:rFonts w:hint="eastAsia" w:ascii="宋体" w:hAnsi="宋体" w:cs="宋体"/>
                <w:color w:val="auto"/>
                <w:sz w:val="24"/>
                <w:lang w:eastAsia="zh-CN"/>
              </w:rPr>
              <w:t>投标人</w:t>
            </w:r>
            <w:r>
              <w:rPr>
                <w:rFonts w:hint="eastAsia" w:ascii="宋体" w:hAnsi="宋体" w:cs="宋体"/>
                <w:color w:val="auto"/>
                <w:sz w:val="24"/>
              </w:rPr>
              <w:t>根据本采购项目要求自行列出需说明及承诺内容）</w:t>
            </w:r>
          </w:p>
        </w:tc>
        <w:tc>
          <w:tcPr>
            <w:tcW w:w="7524" w:type="dxa"/>
            <w:gridSpan w:val="6"/>
            <w:tcBorders>
              <w:top w:val="single" w:color="auto" w:sz="4" w:space="0"/>
              <w:left w:val="single" w:color="auto" w:sz="4" w:space="0"/>
              <w:bottom w:val="single" w:color="000000" w:sz="2" w:space="0"/>
              <w:right w:val="single" w:color="000000" w:sz="2" w:space="0"/>
            </w:tcBorders>
            <w:vAlign w:val="center"/>
          </w:tcPr>
          <w:p w14:paraId="2FCB3E7B">
            <w:pPr>
              <w:spacing w:line="360" w:lineRule="auto"/>
              <w:rPr>
                <w:rFonts w:ascii="宋体" w:hAnsi="宋体" w:cs="宋体"/>
                <w:color w:val="auto"/>
                <w:sz w:val="24"/>
              </w:rPr>
            </w:pPr>
          </w:p>
        </w:tc>
      </w:tr>
      <w:tr w14:paraId="544A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7" w:hRule="exact"/>
        </w:trPr>
        <w:tc>
          <w:tcPr>
            <w:tcW w:w="10457" w:type="dxa"/>
            <w:gridSpan w:val="8"/>
            <w:tcBorders>
              <w:top w:val="single" w:color="auto" w:sz="4" w:space="0"/>
              <w:left w:val="single" w:color="000000" w:sz="2" w:space="0"/>
              <w:bottom w:val="single" w:color="000000" w:sz="2" w:space="0"/>
              <w:right w:val="single" w:color="000000" w:sz="2" w:space="0"/>
            </w:tcBorders>
            <w:vAlign w:val="center"/>
          </w:tcPr>
          <w:p w14:paraId="6F1EF4FC">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1、注：报价包含的内容：完成</w:t>
            </w:r>
            <w:r>
              <w:rPr>
                <w:rFonts w:hint="eastAsia" w:ascii="宋体" w:hAnsi="宋体" w:cs="宋体"/>
                <w:color w:val="auto"/>
                <w:sz w:val="21"/>
                <w:szCs w:val="21"/>
                <w:lang w:eastAsia="zh-CN"/>
              </w:rPr>
              <w:t>气象服务保障经费</w:t>
            </w:r>
            <w:r>
              <w:rPr>
                <w:rFonts w:hint="eastAsia" w:ascii="宋体" w:hAnsi="宋体" w:cs="宋体"/>
                <w:color w:val="auto"/>
                <w:sz w:val="21"/>
                <w:szCs w:val="21"/>
                <w:lang w:val="en-US" w:eastAsia="zh-CN"/>
              </w:rPr>
              <w:t>项目</w:t>
            </w:r>
            <w:r>
              <w:rPr>
                <w:rFonts w:hint="eastAsia" w:ascii="宋体" w:hAnsi="宋体" w:cs="宋体"/>
                <w:color w:val="auto"/>
                <w:sz w:val="21"/>
                <w:szCs w:val="21"/>
                <w:lang w:eastAsia="zh-CN"/>
              </w:rPr>
              <w:t>设备采购</w:t>
            </w:r>
            <w:r>
              <w:rPr>
                <w:rFonts w:hint="eastAsia" w:ascii="宋体" w:hAnsi="宋体" w:cs="宋体"/>
                <w:color w:val="auto"/>
                <w:sz w:val="21"/>
                <w:szCs w:val="21"/>
              </w:rPr>
              <w:t>的供应、现场保管及装卸（运至需方指定地点）、所需的所有材料、检验及验收、移交等工作，质量保修期内的维保、售后服务等保证</w:t>
            </w:r>
            <w:r>
              <w:rPr>
                <w:rFonts w:hint="eastAsia" w:ascii="宋体" w:hAnsi="宋体" w:cs="宋体"/>
                <w:color w:val="auto"/>
                <w:sz w:val="21"/>
                <w:szCs w:val="21"/>
                <w:lang w:eastAsia="zh-CN"/>
              </w:rPr>
              <w:t>气象服务保障经费</w:t>
            </w:r>
            <w:r>
              <w:rPr>
                <w:rFonts w:hint="eastAsia" w:ascii="宋体" w:hAnsi="宋体" w:cs="宋体"/>
                <w:color w:val="auto"/>
                <w:sz w:val="21"/>
                <w:szCs w:val="21"/>
                <w:lang w:val="en-US" w:eastAsia="zh-CN"/>
              </w:rPr>
              <w:t>项目</w:t>
            </w:r>
            <w:r>
              <w:rPr>
                <w:rFonts w:hint="eastAsia" w:ascii="宋体" w:hAnsi="宋体" w:cs="宋体"/>
                <w:color w:val="auto"/>
                <w:sz w:val="21"/>
                <w:szCs w:val="21"/>
                <w:lang w:eastAsia="zh-CN"/>
              </w:rPr>
              <w:t>设备采购</w:t>
            </w:r>
            <w:r>
              <w:rPr>
                <w:rFonts w:hint="eastAsia" w:ascii="宋体" w:hAnsi="宋体" w:cs="宋体"/>
                <w:color w:val="auto"/>
                <w:sz w:val="21"/>
                <w:szCs w:val="21"/>
              </w:rPr>
              <w:t>验收合格并能正常交付使用以及合同条款、项目采购需求、本招标文件约定的全部内容及保修责任和义务件约定的全部内容及保修责任和义务。</w:t>
            </w:r>
          </w:p>
        </w:tc>
      </w:tr>
    </w:tbl>
    <w:p w14:paraId="529BE730">
      <w:pPr>
        <w:spacing w:line="440" w:lineRule="exact"/>
        <w:jc w:val="both"/>
        <w:rPr>
          <w:rFonts w:hint="eastAsia" w:ascii="宋体" w:hAnsi="宋体" w:eastAsia="宋体" w:cs="宋体"/>
          <w:sz w:val="24"/>
          <w:szCs w:val="24"/>
          <w:highlight w:val="none"/>
        </w:rPr>
      </w:pPr>
    </w:p>
    <w:p w14:paraId="7C3633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p w14:paraId="58953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3789A9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p w14:paraId="52AACD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 w:val="0"/>
          <w:bCs/>
          <w:sz w:val="24"/>
          <w:szCs w:val="24"/>
          <w:highlight w:val="none"/>
          <w:u w:val="single"/>
          <w:lang w:val="en-US" w:eastAsia="zh-CN"/>
        </w:rPr>
        <w:t xml:space="preserve">          </w:t>
      </w:r>
    </w:p>
    <w:p w14:paraId="781858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p>
    <w:p w14:paraId="12E95E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C4E5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注：1、供应商须按本商务报价一览表格式制作“最后报价表”，并加盖单位公章后自行带至</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现场（线上提供），经</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后由各供应商填写最后报价；</w:t>
      </w:r>
    </w:p>
    <w:p w14:paraId="1D291976">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格式</w:t>
      </w:r>
      <w:r>
        <w:rPr>
          <w:rFonts w:hint="eastAsia" w:ascii="宋体" w:hAnsi="宋体" w:cs="宋体"/>
          <w:b/>
          <w:sz w:val="24"/>
          <w:szCs w:val="24"/>
          <w:highlight w:val="none"/>
          <w:lang w:val="en-US" w:eastAsia="zh-CN"/>
        </w:rPr>
        <w:t>10</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w:t>
      </w:r>
      <w:r>
        <w:rPr>
          <w:rFonts w:hint="eastAsia" w:ascii="宋体" w:hAnsi="宋体" w:eastAsia="宋体" w:cs="宋体"/>
          <w:b/>
          <w:sz w:val="24"/>
          <w:szCs w:val="24"/>
          <w:highlight w:val="none"/>
        </w:rPr>
        <w:t>商务条款偏离表</w:t>
      </w:r>
    </w:p>
    <w:p w14:paraId="1F76688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项目名称：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0"/>
        <w:gridCol w:w="1900"/>
        <w:gridCol w:w="1900"/>
        <w:gridCol w:w="1901"/>
      </w:tblGrid>
      <w:tr w14:paraId="714E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3D66E835">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900" w:type="dxa"/>
            <w:noWrap w:val="0"/>
            <w:vAlign w:val="center"/>
          </w:tcPr>
          <w:p w14:paraId="27AAEDB4">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条款序号</w:t>
            </w:r>
          </w:p>
        </w:tc>
        <w:tc>
          <w:tcPr>
            <w:tcW w:w="1900" w:type="dxa"/>
            <w:noWrap w:val="0"/>
            <w:vAlign w:val="center"/>
          </w:tcPr>
          <w:p w14:paraId="478322BF">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招标商务条款</w:t>
            </w:r>
          </w:p>
        </w:tc>
        <w:tc>
          <w:tcPr>
            <w:tcW w:w="1900" w:type="dxa"/>
            <w:noWrap w:val="0"/>
            <w:vAlign w:val="center"/>
          </w:tcPr>
          <w:p w14:paraId="2B46686D">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投标商务条款</w:t>
            </w:r>
          </w:p>
        </w:tc>
        <w:tc>
          <w:tcPr>
            <w:tcW w:w="1901" w:type="dxa"/>
            <w:noWrap w:val="0"/>
            <w:vAlign w:val="center"/>
          </w:tcPr>
          <w:p w14:paraId="1011593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r>
      <w:tr w14:paraId="1483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1F6402F9">
            <w:pPr>
              <w:rPr>
                <w:rFonts w:hint="eastAsia" w:ascii="宋体" w:hAnsi="宋体" w:eastAsia="宋体" w:cs="宋体"/>
                <w:b/>
                <w:bCs/>
                <w:sz w:val="24"/>
                <w:szCs w:val="24"/>
                <w:highlight w:val="none"/>
              </w:rPr>
            </w:pPr>
          </w:p>
        </w:tc>
        <w:tc>
          <w:tcPr>
            <w:tcW w:w="1900" w:type="dxa"/>
            <w:noWrap w:val="0"/>
            <w:vAlign w:val="center"/>
          </w:tcPr>
          <w:p w14:paraId="51228C78">
            <w:pPr>
              <w:rPr>
                <w:rFonts w:hint="eastAsia" w:ascii="宋体" w:hAnsi="宋体" w:eastAsia="宋体" w:cs="宋体"/>
                <w:b/>
                <w:bCs/>
                <w:sz w:val="24"/>
                <w:szCs w:val="24"/>
                <w:highlight w:val="none"/>
              </w:rPr>
            </w:pPr>
          </w:p>
        </w:tc>
        <w:tc>
          <w:tcPr>
            <w:tcW w:w="1900" w:type="dxa"/>
            <w:noWrap w:val="0"/>
            <w:vAlign w:val="center"/>
          </w:tcPr>
          <w:p w14:paraId="0C7D37D1">
            <w:pPr>
              <w:rPr>
                <w:rFonts w:hint="eastAsia" w:ascii="宋体" w:hAnsi="宋体" w:eastAsia="宋体" w:cs="宋体"/>
                <w:b/>
                <w:bCs/>
                <w:sz w:val="24"/>
                <w:szCs w:val="24"/>
                <w:highlight w:val="none"/>
              </w:rPr>
            </w:pPr>
          </w:p>
        </w:tc>
        <w:tc>
          <w:tcPr>
            <w:tcW w:w="1900" w:type="dxa"/>
            <w:noWrap w:val="0"/>
            <w:vAlign w:val="center"/>
          </w:tcPr>
          <w:p w14:paraId="6473FC11">
            <w:pPr>
              <w:rPr>
                <w:rFonts w:hint="eastAsia" w:ascii="宋体" w:hAnsi="宋体" w:eastAsia="宋体" w:cs="宋体"/>
                <w:b/>
                <w:bCs/>
                <w:sz w:val="24"/>
                <w:szCs w:val="24"/>
                <w:highlight w:val="none"/>
              </w:rPr>
            </w:pPr>
          </w:p>
        </w:tc>
        <w:tc>
          <w:tcPr>
            <w:tcW w:w="1901" w:type="dxa"/>
            <w:noWrap w:val="0"/>
            <w:vAlign w:val="center"/>
          </w:tcPr>
          <w:p w14:paraId="5525C733">
            <w:pPr>
              <w:rPr>
                <w:rFonts w:hint="eastAsia" w:ascii="宋体" w:hAnsi="宋体" w:eastAsia="宋体" w:cs="宋体"/>
                <w:b/>
                <w:bCs/>
                <w:sz w:val="24"/>
                <w:szCs w:val="24"/>
                <w:highlight w:val="none"/>
              </w:rPr>
            </w:pPr>
          </w:p>
        </w:tc>
      </w:tr>
      <w:tr w14:paraId="2915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19728515">
            <w:pPr>
              <w:spacing w:line="360" w:lineRule="auto"/>
              <w:jc w:val="center"/>
              <w:rPr>
                <w:rFonts w:hint="eastAsia" w:ascii="宋体" w:hAnsi="宋体" w:eastAsia="宋体" w:cs="宋体"/>
                <w:sz w:val="24"/>
                <w:szCs w:val="24"/>
                <w:highlight w:val="none"/>
              </w:rPr>
            </w:pPr>
          </w:p>
        </w:tc>
        <w:tc>
          <w:tcPr>
            <w:tcW w:w="1900" w:type="dxa"/>
            <w:noWrap w:val="0"/>
            <w:vAlign w:val="center"/>
          </w:tcPr>
          <w:p w14:paraId="61266508">
            <w:pPr>
              <w:spacing w:line="360" w:lineRule="auto"/>
              <w:jc w:val="center"/>
              <w:rPr>
                <w:rFonts w:hint="eastAsia" w:ascii="宋体" w:hAnsi="宋体" w:eastAsia="宋体" w:cs="宋体"/>
                <w:sz w:val="24"/>
                <w:szCs w:val="24"/>
                <w:highlight w:val="none"/>
              </w:rPr>
            </w:pPr>
          </w:p>
        </w:tc>
        <w:tc>
          <w:tcPr>
            <w:tcW w:w="1900" w:type="dxa"/>
            <w:noWrap w:val="0"/>
            <w:vAlign w:val="center"/>
          </w:tcPr>
          <w:p w14:paraId="2DA4DF37">
            <w:pPr>
              <w:spacing w:line="360" w:lineRule="auto"/>
              <w:jc w:val="center"/>
              <w:rPr>
                <w:rFonts w:hint="eastAsia" w:ascii="宋体" w:hAnsi="宋体" w:eastAsia="宋体" w:cs="宋体"/>
                <w:sz w:val="24"/>
                <w:szCs w:val="24"/>
                <w:highlight w:val="none"/>
              </w:rPr>
            </w:pPr>
          </w:p>
        </w:tc>
        <w:tc>
          <w:tcPr>
            <w:tcW w:w="1900" w:type="dxa"/>
            <w:noWrap w:val="0"/>
            <w:vAlign w:val="center"/>
          </w:tcPr>
          <w:p w14:paraId="22BC7BB3">
            <w:pPr>
              <w:spacing w:line="360" w:lineRule="auto"/>
              <w:jc w:val="center"/>
              <w:rPr>
                <w:rFonts w:hint="eastAsia" w:ascii="宋体" w:hAnsi="宋体" w:eastAsia="宋体" w:cs="宋体"/>
                <w:sz w:val="24"/>
                <w:szCs w:val="24"/>
                <w:highlight w:val="none"/>
              </w:rPr>
            </w:pPr>
          </w:p>
        </w:tc>
        <w:tc>
          <w:tcPr>
            <w:tcW w:w="1901" w:type="dxa"/>
            <w:noWrap w:val="0"/>
            <w:vAlign w:val="center"/>
          </w:tcPr>
          <w:p w14:paraId="7572BD54">
            <w:pPr>
              <w:spacing w:line="360" w:lineRule="auto"/>
              <w:jc w:val="center"/>
              <w:rPr>
                <w:rFonts w:hint="eastAsia" w:ascii="宋体" w:hAnsi="宋体" w:eastAsia="宋体" w:cs="宋体"/>
                <w:sz w:val="24"/>
                <w:szCs w:val="24"/>
                <w:highlight w:val="none"/>
              </w:rPr>
            </w:pPr>
          </w:p>
        </w:tc>
      </w:tr>
      <w:tr w14:paraId="2206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1364F669">
            <w:pPr>
              <w:spacing w:line="360" w:lineRule="auto"/>
              <w:jc w:val="center"/>
              <w:rPr>
                <w:rFonts w:hint="eastAsia" w:ascii="宋体" w:hAnsi="宋体" w:eastAsia="宋体" w:cs="宋体"/>
                <w:sz w:val="24"/>
                <w:szCs w:val="24"/>
                <w:highlight w:val="none"/>
              </w:rPr>
            </w:pPr>
          </w:p>
        </w:tc>
        <w:tc>
          <w:tcPr>
            <w:tcW w:w="1900" w:type="dxa"/>
            <w:noWrap w:val="0"/>
            <w:vAlign w:val="center"/>
          </w:tcPr>
          <w:p w14:paraId="1B662BB7">
            <w:pPr>
              <w:spacing w:line="360" w:lineRule="auto"/>
              <w:jc w:val="center"/>
              <w:rPr>
                <w:rFonts w:hint="eastAsia" w:ascii="宋体" w:hAnsi="宋体" w:eastAsia="宋体" w:cs="宋体"/>
                <w:sz w:val="24"/>
                <w:szCs w:val="24"/>
                <w:highlight w:val="none"/>
              </w:rPr>
            </w:pPr>
          </w:p>
        </w:tc>
        <w:tc>
          <w:tcPr>
            <w:tcW w:w="1900" w:type="dxa"/>
            <w:noWrap w:val="0"/>
            <w:vAlign w:val="center"/>
          </w:tcPr>
          <w:p w14:paraId="54485199">
            <w:pPr>
              <w:spacing w:line="360" w:lineRule="auto"/>
              <w:jc w:val="center"/>
              <w:rPr>
                <w:rFonts w:hint="eastAsia" w:ascii="宋体" w:hAnsi="宋体" w:eastAsia="宋体" w:cs="宋体"/>
                <w:sz w:val="24"/>
                <w:szCs w:val="24"/>
                <w:highlight w:val="none"/>
              </w:rPr>
            </w:pPr>
          </w:p>
        </w:tc>
        <w:tc>
          <w:tcPr>
            <w:tcW w:w="1900" w:type="dxa"/>
            <w:noWrap w:val="0"/>
            <w:vAlign w:val="center"/>
          </w:tcPr>
          <w:p w14:paraId="3B9FF847">
            <w:pPr>
              <w:spacing w:line="360" w:lineRule="auto"/>
              <w:jc w:val="center"/>
              <w:rPr>
                <w:rFonts w:hint="eastAsia" w:ascii="宋体" w:hAnsi="宋体" w:eastAsia="宋体" w:cs="宋体"/>
                <w:sz w:val="24"/>
                <w:szCs w:val="24"/>
                <w:highlight w:val="none"/>
              </w:rPr>
            </w:pPr>
          </w:p>
        </w:tc>
        <w:tc>
          <w:tcPr>
            <w:tcW w:w="1901" w:type="dxa"/>
            <w:noWrap w:val="0"/>
            <w:vAlign w:val="center"/>
          </w:tcPr>
          <w:p w14:paraId="77C522D2">
            <w:pPr>
              <w:spacing w:line="360" w:lineRule="auto"/>
              <w:jc w:val="center"/>
              <w:rPr>
                <w:rFonts w:hint="eastAsia" w:ascii="宋体" w:hAnsi="宋体" w:eastAsia="宋体" w:cs="宋体"/>
                <w:sz w:val="24"/>
                <w:szCs w:val="24"/>
                <w:highlight w:val="none"/>
              </w:rPr>
            </w:pPr>
          </w:p>
        </w:tc>
      </w:tr>
      <w:tr w14:paraId="1889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4337690C">
            <w:pPr>
              <w:spacing w:line="360" w:lineRule="auto"/>
              <w:jc w:val="center"/>
              <w:rPr>
                <w:rFonts w:hint="eastAsia" w:ascii="宋体" w:hAnsi="宋体" w:eastAsia="宋体" w:cs="宋体"/>
                <w:sz w:val="24"/>
                <w:szCs w:val="24"/>
                <w:highlight w:val="none"/>
              </w:rPr>
            </w:pPr>
          </w:p>
        </w:tc>
        <w:tc>
          <w:tcPr>
            <w:tcW w:w="1900" w:type="dxa"/>
            <w:noWrap w:val="0"/>
            <w:vAlign w:val="center"/>
          </w:tcPr>
          <w:p w14:paraId="63D9A54A">
            <w:pPr>
              <w:spacing w:line="360" w:lineRule="auto"/>
              <w:jc w:val="center"/>
              <w:rPr>
                <w:rFonts w:hint="eastAsia" w:ascii="宋体" w:hAnsi="宋体" w:eastAsia="宋体" w:cs="宋体"/>
                <w:sz w:val="24"/>
                <w:szCs w:val="24"/>
                <w:highlight w:val="none"/>
              </w:rPr>
            </w:pPr>
          </w:p>
        </w:tc>
        <w:tc>
          <w:tcPr>
            <w:tcW w:w="1900" w:type="dxa"/>
            <w:noWrap w:val="0"/>
            <w:vAlign w:val="center"/>
          </w:tcPr>
          <w:p w14:paraId="726989CB">
            <w:pPr>
              <w:spacing w:line="360" w:lineRule="auto"/>
              <w:jc w:val="center"/>
              <w:rPr>
                <w:rFonts w:hint="eastAsia" w:ascii="宋体" w:hAnsi="宋体" w:eastAsia="宋体" w:cs="宋体"/>
                <w:sz w:val="24"/>
                <w:szCs w:val="24"/>
                <w:highlight w:val="none"/>
              </w:rPr>
            </w:pPr>
          </w:p>
        </w:tc>
        <w:tc>
          <w:tcPr>
            <w:tcW w:w="1900" w:type="dxa"/>
            <w:noWrap w:val="0"/>
            <w:vAlign w:val="center"/>
          </w:tcPr>
          <w:p w14:paraId="65E52D0F">
            <w:pPr>
              <w:spacing w:line="360" w:lineRule="auto"/>
              <w:jc w:val="center"/>
              <w:rPr>
                <w:rFonts w:hint="eastAsia" w:ascii="宋体" w:hAnsi="宋体" w:eastAsia="宋体" w:cs="宋体"/>
                <w:sz w:val="24"/>
                <w:szCs w:val="24"/>
                <w:highlight w:val="none"/>
              </w:rPr>
            </w:pPr>
          </w:p>
        </w:tc>
        <w:tc>
          <w:tcPr>
            <w:tcW w:w="1901" w:type="dxa"/>
            <w:noWrap w:val="0"/>
            <w:vAlign w:val="center"/>
          </w:tcPr>
          <w:p w14:paraId="4A316408">
            <w:pPr>
              <w:spacing w:line="360" w:lineRule="auto"/>
              <w:jc w:val="center"/>
              <w:rPr>
                <w:rFonts w:hint="eastAsia" w:ascii="宋体" w:hAnsi="宋体" w:eastAsia="宋体" w:cs="宋体"/>
                <w:sz w:val="24"/>
                <w:szCs w:val="24"/>
                <w:highlight w:val="none"/>
              </w:rPr>
            </w:pPr>
          </w:p>
        </w:tc>
      </w:tr>
      <w:tr w14:paraId="1267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6779CE25">
            <w:pPr>
              <w:spacing w:line="360" w:lineRule="auto"/>
              <w:jc w:val="center"/>
              <w:rPr>
                <w:rFonts w:hint="eastAsia" w:ascii="宋体" w:hAnsi="宋体" w:eastAsia="宋体" w:cs="宋体"/>
                <w:sz w:val="24"/>
                <w:szCs w:val="24"/>
                <w:highlight w:val="none"/>
              </w:rPr>
            </w:pPr>
          </w:p>
        </w:tc>
        <w:tc>
          <w:tcPr>
            <w:tcW w:w="1900" w:type="dxa"/>
            <w:noWrap w:val="0"/>
            <w:vAlign w:val="center"/>
          </w:tcPr>
          <w:p w14:paraId="628CA036">
            <w:pPr>
              <w:spacing w:line="360" w:lineRule="auto"/>
              <w:jc w:val="center"/>
              <w:rPr>
                <w:rFonts w:hint="eastAsia" w:ascii="宋体" w:hAnsi="宋体" w:eastAsia="宋体" w:cs="宋体"/>
                <w:sz w:val="24"/>
                <w:szCs w:val="24"/>
                <w:highlight w:val="none"/>
              </w:rPr>
            </w:pPr>
          </w:p>
        </w:tc>
        <w:tc>
          <w:tcPr>
            <w:tcW w:w="1900" w:type="dxa"/>
            <w:noWrap w:val="0"/>
            <w:vAlign w:val="center"/>
          </w:tcPr>
          <w:p w14:paraId="29705EA1">
            <w:pPr>
              <w:spacing w:line="360" w:lineRule="auto"/>
              <w:jc w:val="center"/>
              <w:rPr>
                <w:rFonts w:hint="eastAsia" w:ascii="宋体" w:hAnsi="宋体" w:eastAsia="宋体" w:cs="宋体"/>
                <w:sz w:val="24"/>
                <w:szCs w:val="24"/>
                <w:highlight w:val="none"/>
              </w:rPr>
            </w:pPr>
          </w:p>
        </w:tc>
        <w:tc>
          <w:tcPr>
            <w:tcW w:w="1900" w:type="dxa"/>
            <w:noWrap w:val="0"/>
            <w:vAlign w:val="center"/>
          </w:tcPr>
          <w:p w14:paraId="02C15EE1">
            <w:pPr>
              <w:spacing w:line="360" w:lineRule="auto"/>
              <w:jc w:val="center"/>
              <w:rPr>
                <w:rFonts w:hint="eastAsia" w:ascii="宋体" w:hAnsi="宋体" w:eastAsia="宋体" w:cs="宋体"/>
                <w:sz w:val="24"/>
                <w:szCs w:val="24"/>
                <w:highlight w:val="none"/>
              </w:rPr>
            </w:pPr>
          </w:p>
        </w:tc>
        <w:tc>
          <w:tcPr>
            <w:tcW w:w="1901" w:type="dxa"/>
            <w:noWrap w:val="0"/>
            <w:vAlign w:val="center"/>
          </w:tcPr>
          <w:p w14:paraId="7D3FB6E0">
            <w:pPr>
              <w:spacing w:line="360" w:lineRule="auto"/>
              <w:jc w:val="center"/>
              <w:rPr>
                <w:rFonts w:hint="eastAsia" w:ascii="宋体" w:hAnsi="宋体" w:eastAsia="宋体" w:cs="宋体"/>
                <w:sz w:val="24"/>
                <w:szCs w:val="24"/>
                <w:highlight w:val="none"/>
              </w:rPr>
            </w:pPr>
          </w:p>
        </w:tc>
      </w:tr>
      <w:tr w14:paraId="7295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5879A75D">
            <w:pPr>
              <w:spacing w:line="360" w:lineRule="auto"/>
              <w:jc w:val="center"/>
              <w:rPr>
                <w:rFonts w:hint="eastAsia" w:ascii="宋体" w:hAnsi="宋体" w:eastAsia="宋体" w:cs="宋体"/>
                <w:sz w:val="24"/>
                <w:szCs w:val="24"/>
                <w:highlight w:val="none"/>
              </w:rPr>
            </w:pPr>
          </w:p>
        </w:tc>
        <w:tc>
          <w:tcPr>
            <w:tcW w:w="1900" w:type="dxa"/>
            <w:noWrap w:val="0"/>
            <w:vAlign w:val="center"/>
          </w:tcPr>
          <w:p w14:paraId="44C9751F">
            <w:pPr>
              <w:spacing w:line="360" w:lineRule="auto"/>
              <w:jc w:val="center"/>
              <w:rPr>
                <w:rFonts w:hint="eastAsia" w:ascii="宋体" w:hAnsi="宋体" w:eastAsia="宋体" w:cs="宋体"/>
                <w:sz w:val="24"/>
                <w:szCs w:val="24"/>
                <w:highlight w:val="none"/>
              </w:rPr>
            </w:pPr>
          </w:p>
        </w:tc>
        <w:tc>
          <w:tcPr>
            <w:tcW w:w="1900" w:type="dxa"/>
            <w:noWrap w:val="0"/>
            <w:vAlign w:val="center"/>
          </w:tcPr>
          <w:p w14:paraId="117D12E9">
            <w:pPr>
              <w:spacing w:line="360" w:lineRule="auto"/>
              <w:jc w:val="center"/>
              <w:rPr>
                <w:rFonts w:hint="eastAsia" w:ascii="宋体" w:hAnsi="宋体" w:eastAsia="宋体" w:cs="宋体"/>
                <w:sz w:val="24"/>
                <w:szCs w:val="24"/>
                <w:highlight w:val="none"/>
              </w:rPr>
            </w:pPr>
          </w:p>
        </w:tc>
        <w:tc>
          <w:tcPr>
            <w:tcW w:w="1900" w:type="dxa"/>
            <w:noWrap w:val="0"/>
            <w:vAlign w:val="center"/>
          </w:tcPr>
          <w:p w14:paraId="5385285A">
            <w:pPr>
              <w:spacing w:line="360" w:lineRule="auto"/>
              <w:jc w:val="center"/>
              <w:rPr>
                <w:rFonts w:hint="eastAsia" w:ascii="宋体" w:hAnsi="宋体" w:eastAsia="宋体" w:cs="宋体"/>
                <w:sz w:val="24"/>
                <w:szCs w:val="24"/>
                <w:highlight w:val="none"/>
              </w:rPr>
            </w:pPr>
          </w:p>
        </w:tc>
        <w:tc>
          <w:tcPr>
            <w:tcW w:w="1901" w:type="dxa"/>
            <w:noWrap w:val="0"/>
            <w:vAlign w:val="center"/>
          </w:tcPr>
          <w:p w14:paraId="32C492D0">
            <w:pPr>
              <w:spacing w:line="360" w:lineRule="auto"/>
              <w:jc w:val="center"/>
              <w:rPr>
                <w:rFonts w:hint="eastAsia" w:ascii="宋体" w:hAnsi="宋体" w:eastAsia="宋体" w:cs="宋体"/>
                <w:sz w:val="24"/>
                <w:szCs w:val="24"/>
                <w:highlight w:val="none"/>
              </w:rPr>
            </w:pPr>
          </w:p>
        </w:tc>
      </w:tr>
      <w:tr w14:paraId="121F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73D2A7ED">
            <w:pPr>
              <w:spacing w:line="360" w:lineRule="auto"/>
              <w:jc w:val="center"/>
              <w:rPr>
                <w:rFonts w:hint="eastAsia" w:ascii="宋体" w:hAnsi="宋体" w:eastAsia="宋体" w:cs="宋体"/>
                <w:sz w:val="24"/>
                <w:szCs w:val="24"/>
                <w:highlight w:val="none"/>
              </w:rPr>
            </w:pPr>
          </w:p>
        </w:tc>
        <w:tc>
          <w:tcPr>
            <w:tcW w:w="1900" w:type="dxa"/>
            <w:noWrap w:val="0"/>
            <w:vAlign w:val="center"/>
          </w:tcPr>
          <w:p w14:paraId="3AF62EEE">
            <w:pPr>
              <w:spacing w:line="360" w:lineRule="auto"/>
              <w:jc w:val="center"/>
              <w:rPr>
                <w:rFonts w:hint="eastAsia" w:ascii="宋体" w:hAnsi="宋体" w:eastAsia="宋体" w:cs="宋体"/>
                <w:sz w:val="24"/>
                <w:szCs w:val="24"/>
                <w:highlight w:val="none"/>
              </w:rPr>
            </w:pPr>
          </w:p>
        </w:tc>
        <w:tc>
          <w:tcPr>
            <w:tcW w:w="1900" w:type="dxa"/>
            <w:noWrap w:val="0"/>
            <w:vAlign w:val="center"/>
          </w:tcPr>
          <w:p w14:paraId="083B0EDD">
            <w:pPr>
              <w:spacing w:line="360" w:lineRule="auto"/>
              <w:jc w:val="center"/>
              <w:rPr>
                <w:rFonts w:hint="eastAsia" w:ascii="宋体" w:hAnsi="宋体" w:eastAsia="宋体" w:cs="宋体"/>
                <w:sz w:val="24"/>
                <w:szCs w:val="24"/>
                <w:highlight w:val="none"/>
              </w:rPr>
            </w:pPr>
          </w:p>
        </w:tc>
        <w:tc>
          <w:tcPr>
            <w:tcW w:w="1900" w:type="dxa"/>
            <w:noWrap w:val="0"/>
            <w:vAlign w:val="center"/>
          </w:tcPr>
          <w:p w14:paraId="32D90AF0">
            <w:pPr>
              <w:spacing w:line="360" w:lineRule="auto"/>
              <w:jc w:val="center"/>
              <w:rPr>
                <w:rFonts w:hint="eastAsia" w:ascii="宋体" w:hAnsi="宋体" w:eastAsia="宋体" w:cs="宋体"/>
                <w:sz w:val="24"/>
                <w:szCs w:val="24"/>
                <w:highlight w:val="none"/>
              </w:rPr>
            </w:pPr>
          </w:p>
        </w:tc>
        <w:tc>
          <w:tcPr>
            <w:tcW w:w="1901" w:type="dxa"/>
            <w:noWrap w:val="0"/>
            <w:vAlign w:val="center"/>
          </w:tcPr>
          <w:p w14:paraId="423B1793">
            <w:pPr>
              <w:spacing w:line="360" w:lineRule="auto"/>
              <w:jc w:val="center"/>
              <w:rPr>
                <w:rFonts w:hint="eastAsia" w:ascii="宋体" w:hAnsi="宋体" w:eastAsia="宋体" w:cs="宋体"/>
                <w:sz w:val="24"/>
                <w:szCs w:val="24"/>
                <w:highlight w:val="none"/>
              </w:rPr>
            </w:pPr>
          </w:p>
        </w:tc>
      </w:tr>
      <w:tr w14:paraId="0E2B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176D2D22">
            <w:pPr>
              <w:spacing w:line="360" w:lineRule="auto"/>
              <w:jc w:val="center"/>
              <w:rPr>
                <w:rFonts w:hint="eastAsia" w:ascii="宋体" w:hAnsi="宋体" w:eastAsia="宋体" w:cs="宋体"/>
                <w:sz w:val="24"/>
                <w:szCs w:val="24"/>
                <w:highlight w:val="none"/>
              </w:rPr>
            </w:pPr>
          </w:p>
        </w:tc>
        <w:tc>
          <w:tcPr>
            <w:tcW w:w="1900" w:type="dxa"/>
            <w:noWrap w:val="0"/>
            <w:vAlign w:val="center"/>
          </w:tcPr>
          <w:p w14:paraId="4C0C8E27">
            <w:pPr>
              <w:spacing w:line="360" w:lineRule="auto"/>
              <w:jc w:val="center"/>
              <w:rPr>
                <w:rFonts w:hint="eastAsia" w:ascii="宋体" w:hAnsi="宋体" w:eastAsia="宋体" w:cs="宋体"/>
                <w:sz w:val="24"/>
                <w:szCs w:val="24"/>
                <w:highlight w:val="none"/>
              </w:rPr>
            </w:pPr>
          </w:p>
        </w:tc>
        <w:tc>
          <w:tcPr>
            <w:tcW w:w="1900" w:type="dxa"/>
            <w:noWrap w:val="0"/>
            <w:vAlign w:val="center"/>
          </w:tcPr>
          <w:p w14:paraId="3832B901">
            <w:pPr>
              <w:spacing w:line="360" w:lineRule="auto"/>
              <w:jc w:val="center"/>
              <w:rPr>
                <w:rFonts w:hint="eastAsia" w:ascii="宋体" w:hAnsi="宋体" w:eastAsia="宋体" w:cs="宋体"/>
                <w:sz w:val="24"/>
                <w:szCs w:val="24"/>
                <w:highlight w:val="none"/>
              </w:rPr>
            </w:pPr>
          </w:p>
        </w:tc>
        <w:tc>
          <w:tcPr>
            <w:tcW w:w="1900" w:type="dxa"/>
            <w:noWrap w:val="0"/>
            <w:vAlign w:val="center"/>
          </w:tcPr>
          <w:p w14:paraId="3E5DDED2">
            <w:pPr>
              <w:spacing w:line="360" w:lineRule="auto"/>
              <w:jc w:val="center"/>
              <w:rPr>
                <w:rFonts w:hint="eastAsia" w:ascii="宋体" w:hAnsi="宋体" w:eastAsia="宋体" w:cs="宋体"/>
                <w:sz w:val="24"/>
                <w:szCs w:val="24"/>
                <w:highlight w:val="none"/>
              </w:rPr>
            </w:pPr>
          </w:p>
        </w:tc>
        <w:tc>
          <w:tcPr>
            <w:tcW w:w="1901" w:type="dxa"/>
            <w:noWrap w:val="0"/>
            <w:vAlign w:val="center"/>
          </w:tcPr>
          <w:p w14:paraId="314936E5">
            <w:pPr>
              <w:spacing w:line="360" w:lineRule="auto"/>
              <w:jc w:val="center"/>
              <w:rPr>
                <w:rFonts w:hint="eastAsia" w:ascii="宋体" w:hAnsi="宋体" w:eastAsia="宋体" w:cs="宋体"/>
                <w:sz w:val="24"/>
                <w:szCs w:val="24"/>
                <w:highlight w:val="none"/>
              </w:rPr>
            </w:pPr>
          </w:p>
        </w:tc>
      </w:tr>
      <w:tr w14:paraId="3810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1" w:type="dxa"/>
            <w:noWrap w:val="0"/>
            <w:vAlign w:val="center"/>
          </w:tcPr>
          <w:p w14:paraId="63EDB7BE">
            <w:pPr>
              <w:spacing w:line="360" w:lineRule="auto"/>
              <w:jc w:val="center"/>
              <w:rPr>
                <w:rFonts w:hint="eastAsia" w:ascii="宋体" w:hAnsi="宋体" w:eastAsia="宋体" w:cs="宋体"/>
                <w:sz w:val="24"/>
                <w:szCs w:val="24"/>
                <w:highlight w:val="none"/>
              </w:rPr>
            </w:pPr>
          </w:p>
        </w:tc>
        <w:tc>
          <w:tcPr>
            <w:tcW w:w="1900" w:type="dxa"/>
            <w:noWrap w:val="0"/>
            <w:vAlign w:val="center"/>
          </w:tcPr>
          <w:p w14:paraId="36708454">
            <w:pPr>
              <w:spacing w:line="360" w:lineRule="auto"/>
              <w:jc w:val="center"/>
              <w:rPr>
                <w:rFonts w:hint="eastAsia" w:ascii="宋体" w:hAnsi="宋体" w:eastAsia="宋体" w:cs="宋体"/>
                <w:sz w:val="24"/>
                <w:szCs w:val="24"/>
                <w:highlight w:val="none"/>
              </w:rPr>
            </w:pPr>
          </w:p>
        </w:tc>
        <w:tc>
          <w:tcPr>
            <w:tcW w:w="1900" w:type="dxa"/>
            <w:noWrap w:val="0"/>
            <w:vAlign w:val="center"/>
          </w:tcPr>
          <w:p w14:paraId="673266FB">
            <w:pPr>
              <w:spacing w:line="360" w:lineRule="auto"/>
              <w:jc w:val="center"/>
              <w:rPr>
                <w:rFonts w:hint="eastAsia" w:ascii="宋体" w:hAnsi="宋体" w:eastAsia="宋体" w:cs="宋体"/>
                <w:sz w:val="24"/>
                <w:szCs w:val="24"/>
                <w:highlight w:val="none"/>
              </w:rPr>
            </w:pPr>
          </w:p>
        </w:tc>
        <w:tc>
          <w:tcPr>
            <w:tcW w:w="1900" w:type="dxa"/>
            <w:noWrap w:val="0"/>
            <w:vAlign w:val="center"/>
          </w:tcPr>
          <w:p w14:paraId="13211BA0">
            <w:pPr>
              <w:spacing w:line="360" w:lineRule="auto"/>
              <w:jc w:val="center"/>
              <w:rPr>
                <w:rFonts w:hint="eastAsia" w:ascii="宋体" w:hAnsi="宋体" w:eastAsia="宋体" w:cs="宋体"/>
                <w:sz w:val="24"/>
                <w:szCs w:val="24"/>
                <w:highlight w:val="none"/>
              </w:rPr>
            </w:pPr>
          </w:p>
        </w:tc>
        <w:tc>
          <w:tcPr>
            <w:tcW w:w="1901" w:type="dxa"/>
            <w:noWrap w:val="0"/>
            <w:vAlign w:val="center"/>
          </w:tcPr>
          <w:p w14:paraId="00619CF5">
            <w:pPr>
              <w:spacing w:line="360" w:lineRule="auto"/>
              <w:jc w:val="center"/>
              <w:rPr>
                <w:rFonts w:hint="eastAsia" w:ascii="宋体" w:hAnsi="宋体" w:eastAsia="宋体" w:cs="宋体"/>
                <w:sz w:val="24"/>
                <w:szCs w:val="24"/>
                <w:highlight w:val="none"/>
              </w:rPr>
            </w:pPr>
          </w:p>
        </w:tc>
      </w:tr>
    </w:tbl>
    <w:p w14:paraId="00538FFB">
      <w:pPr>
        <w:rPr>
          <w:rFonts w:hint="eastAsia" w:ascii="宋体" w:hAnsi="宋体" w:eastAsia="宋体" w:cs="宋体"/>
          <w:sz w:val="24"/>
          <w:szCs w:val="24"/>
          <w:highlight w:val="none"/>
        </w:rPr>
      </w:pPr>
    </w:p>
    <w:p w14:paraId="50533383">
      <w:pPr>
        <w:ind w:firstLine="482" w:firstLineChars="200"/>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按此表格式列出不影响投标实质性响应的商务偏差，没有说明的其他条款将被认为完全满足</w:t>
      </w:r>
      <w:r>
        <w:rPr>
          <w:rFonts w:hint="eastAsia" w:ascii="宋体" w:hAnsi="宋体" w:cs="宋体"/>
          <w:b/>
          <w:bCs/>
          <w:sz w:val="24"/>
          <w:szCs w:val="24"/>
          <w:highlight w:val="none"/>
          <w:lang w:eastAsia="zh-CN"/>
        </w:rPr>
        <w:t>谈判文件</w:t>
      </w:r>
      <w:r>
        <w:rPr>
          <w:rFonts w:hint="eastAsia" w:ascii="宋体" w:hAnsi="宋体" w:eastAsia="宋体" w:cs="宋体"/>
          <w:b/>
          <w:bCs/>
          <w:sz w:val="24"/>
          <w:szCs w:val="24"/>
          <w:highlight w:val="none"/>
        </w:rPr>
        <w:t>的规定。</w:t>
      </w:r>
    </w:p>
    <w:p w14:paraId="0D36AE6D">
      <w:pPr>
        <w:pStyle w:val="11"/>
        <w:spacing w:line="360" w:lineRule="auto"/>
        <w:ind w:firstLine="480" w:firstLineChars="200"/>
        <w:rPr>
          <w:rFonts w:hint="eastAsia" w:ascii="宋体" w:hAnsi="宋体" w:eastAsia="宋体" w:cs="宋体"/>
          <w:bCs/>
          <w:sz w:val="24"/>
          <w:szCs w:val="24"/>
          <w:highlight w:val="none"/>
        </w:rPr>
      </w:pPr>
    </w:p>
    <w:p w14:paraId="4C786244">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(盖章)：</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rPr>
        <w:t xml:space="preserve"> </w:t>
      </w:r>
    </w:p>
    <w:p w14:paraId="6E61FA03">
      <w:pPr>
        <w:ind w:firstLine="480" w:firstLineChars="200"/>
        <w:rPr>
          <w:rFonts w:hint="eastAsia" w:ascii="宋体" w:hAnsi="宋体" w:eastAsia="宋体" w:cs="宋体"/>
          <w:sz w:val="24"/>
          <w:szCs w:val="24"/>
          <w:highlight w:val="none"/>
        </w:rPr>
      </w:pPr>
    </w:p>
    <w:p w14:paraId="2C57E626">
      <w:pPr>
        <w:ind w:firstLine="480" w:firstLineChars="200"/>
        <w:rPr>
          <w:rFonts w:hint="eastAsia" w:ascii="宋体" w:hAnsi="宋体" w:eastAsia="宋体" w:cs="宋体"/>
          <w:sz w:val="24"/>
          <w:szCs w:val="24"/>
          <w:highlight w:val="none"/>
        </w:rPr>
      </w:pPr>
    </w:p>
    <w:p w14:paraId="40996222">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7920A13">
      <w:pPr>
        <w:ind w:firstLine="480" w:firstLineChars="200"/>
        <w:rPr>
          <w:rFonts w:hint="eastAsia" w:ascii="宋体" w:hAnsi="宋体" w:eastAsia="宋体" w:cs="宋体"/>
          <w:sz w:val="24"/>
          <w:szCs w:val="24"/>
          <w:highlight w:val="none"/>
        </w:rPr>
      </w:pPr>
    </w:p>
    <w:p w14:paraId="1E4567C4">
      <w:pPr>
        <w:ind w:firstLine="480" w:firstLineChars="200"/>
        <w:rPr>
          <w:rFonts w:hint="eastAsia" w:ascii="宋体" w:hAnsi="宋体" w:eastAsia="宋体" w:cs="宋体"/>
          <w:sz w:val="24"/>
          <w:szCs w:val="24"/>
          <w:highlight w:val="none"/>
        </w:rPr>
      </w:pPr>
    </w:p>
    <w:p w14:paraId="4B8A2E4B">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2BEFBE55">
      <w:pPr>
        <w:rPr>
          <w:rFonts w:hint="eastAsia" w:ascii="宋体" w:hAnsi="宋体" w:eastAsia="宋体" w:cs="宋体"/>
          <w:b/>
          <w:bCs/>
          <w:sz w:val="24"/>
          <w:szCs w:val="24"/>
          <w:highlight w:val="none"/>
        </w:rPr>
      </w:pPr>
    </w:p>
    <w:p w14:paraId="68F5206F">
      <w:pPr>
        <w:pStyle w:val="11"/>
        <w:spacing w:line="360" w:lineRule="auto"/>
        <w:jc w:val="center"/>
        <w:rPr>
          <w:rFonts w:hint="eastAsia" w:ascii="宋体" w:hAnsi="宋体" w:eastAsia="宋体" w:cs="宋体"/>
          <w:b/>
          <w:sz w:val="24"/>
          <w:szCs w:val="24"/>
          <w:highlight w:val="none"/>
        </w:rPr>
      </w:pPr>
    </w:p>
    <w:p w14:paraId="5321DF90">
      <w:pPr>
        <w:pStyle w:val="11"/>
        <w:spacing w:line="360" w:lineRule="auto"/>
        <w:jc w:val="center"/>
        <w:rPr>
          <w:rFonts w:hint="eastAsia" w:ascii="宋体" w:hAnsi="宋体" w:eastAsia="宋体" w:cs="宋体"/>
          <w:b/>
          <w:sz w:val="24"/>
          <w:szCs w:val="24"/>
          <w:highlight w:val="none"/>
        </w:rPr>
      </w:pPr>
    </w:p>
    <w:p w14:paraId="51CBE334">
      <w:pPr>
        <w:pStyle w:val="11"/>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格式</w:t>
      </w:r>
      <w:r>
        <w:rPr>
          <w:rFonts w:hint="eastAsia" w:hAnsi="宋体" w:cs="宋体"/>
          <w:b/>
          <w:sz w:val="24"/>
          <w:szCs w:val="24"/>
          <w:highlight w:val="none"/>
          <w:lang w:val="en-US" w:eastAsia="zh-CN"/>
        </w:rPr>
        <w:t>11</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w:t>
      </w:r>
      <w:r>
        <w:rPr>
          <w:rFonts w:hint="eastAsia" w:ascii="宋体" w:hAnsi="宋体" w:eastAsia="宋体" w:cs="宋体"/>
          <w:b/>
          <w:sz w:val="24"/>
          <w:szCs w:val="24"/>
          <w:highlight w:val="none"/>
        </w:rPr>
        <w:t>近三年（</w:t>
      </w:r>
      <w:r>
        <w:rPr>
          <w:rFonts w:hint="eastAsia" w:ascii="宋体" w:hAnsi="宋体" w:eastAsia="宋体" w:cs="宋体"/>
          <w:b/>
          <w:sz w:val="24"/>
          <w:szCs w:val="24"/>
          <w:highlight w:val="none"/>
          <w:lang w:val="zh-CN"/>
        </w:rPr>
        <w:t>20</w:t>
      </w:r>
      <w:r>
        <w:rPr>
          <w:rFonts w:hint="eastAsia" w:ascii="宋体" w:hAnsi="宋体" w:eastAsia="宋体" w:cs="宋体"/>
          <w:b/>
          <w:sz w:val="24"/>
          <w:szCs w:val="24"/>
          <w:highlight w:val="none"/>
          <w:lang w:val="en-US" w:eastAsia="zh-CN"/>
        </w:rPr>
        <w:t>2</w:t>
      </w:r>
      <w:r>
        <w:rPr>
          <w:rFonts w:hint="eastAsia" w:hAnsi="宋体" w:cs="宋体"/>
          <w:b/>
          <w:sz w:val="24"/>
          <w:szCs w:val="24"/>
          <w:highlight w:val="none"/>
          <w:lang w:val="en-US" w:eastAsia="zh-CN"/>
        </w:rPr>
        <w:t>2</w:t>
      </w:r>
      <w:r>
        <w:rPr>
          <w:rFonts w:hint="eastAsia" w:ascii="宋体" w:hAnsi="宋体" w:eastAsia="宋体" w:cs="宋体"/>
          <w:b/>
          <w:sz w:val="24"/>
          <w:szCs w:val="24"/>
          <w:highlight w:val="none"/>
          <w:lang w:val="zh-CN"/>
        </w:rPr>
        <w:t>年1月1日至今</w:t>
      </w:r>
      <w:r>
        <w:rPr>
          <w:rFonts w:hint="eastAsia" w:ascii="宋体" w:hAnsi="宋体" w:eastAsia="宋体" w:cs="宋体"/>
          <w:b/>
          <w:sz w:val="24"/>
          <w:szCs w:val="24"/>
          <w:highlight w:val="none"/>
        </w:rPr>
        <w:t>）同类项目业绩表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4"/>
        <w:gridCol w:w="1356"/>
        <w:gridCol w:w="1320"/>
        <w:gridCol w:w="1267"/>
        <w:gridCol w:w="1154"/>
        <w:gridCol w:w="9"/>
        <w:gridCol w:w="1356"/>
        <w:gridCol w:w="9"/>
        <w:gridCol w:w="1442"/>
        <w:gridCol w:w="1168"/>
      </w:tblGrid>
      <w:tr w14:paraId="29FE24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atLeast"/>
          <w:jc w:val="center"/>
        </w:trPr>
        <w:tc>
          <w:tcPr>
            <w:tcW w:w="804" w:type="dxa"/>
            <w:tcBorders>
              <w:top w:val="single" w:color="auto" w:sz="4" w:space="0"/>
            </w:tcBorders>
            <w:noWrap w:val="0"/>
            <w:vAlign w:val="center"/>
          </w:tcPr>
          <w:p w14:paraId="4FC929AA">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年份</w:t>
            </w:r>
          </w:p>
        </w:tc>
        <w:tc>
          <w:tcPr>
            <w:tcW w:w="1356" w:type="dxa"/>
            <w:noWrap w:val="0"/>
            <w:vAlign w:val="center"/>
          </w:tcPr>
          <w:p w14:paraId="2C86125B">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1320" w:type="dxa"/>
            <w:noWrap w:val="0"/>
            <w:vAlign w:val="center"/>
          </w:tcPr>
          <w:p w14:paraId="187912E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用户名称</w:t>
            </w:r>
          </w:p>
        </w:tc>
        <w:tc>
          <w:tcPr>
            <w:tcW w:w="1267" w:type="dxa"/>
            <w:noWrap w:val="0"/>
            <w:vAlign w:val="center"/>
          </w:tcPr>
          <w:p w14:paraId="29204460">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完成时间</w:t>
            </w:r>
          </w:p>
        </w:tc>
        <w:tc>
          <w:tcPr>
            <w:tcW w:w="1154" w:type="dxa"/>
            <w:noWrap w:val="0"/>
            <w:vAlign w:val="center"/>
          </w:tcPr>
          <w:p w14:paraId="3CEF8AC7">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tc>
        <w:tc>
          <w:tcPr>
            <w:tcW w:w="1374" w:type="dxa"/>
            <w:gridSpan w:val="3"/>
            <w:tcBorders>
              <w:right w:val="single" w:color="auto" w:sz="4" w:space="0"/>
            </w:tcBorders>
            <w:noWrap w:val="0"/>
            <w:vAlign w:val="center"/>
          </w:tcPr>
          <w:p w14:paraId="2A079E7B">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完成项目质量</w:t>
            </w:r>
          </w:p>
        </w:tc>
        <w:tc>
          <w:tcPr>
            <w:tcW w:w="1442" w:type="dxa"/>
            <w:tcBorders>
              <w:left w:val="single" w:color="auto" w:sz="4" w:space="0"/>
            </w:tcBorders>
            <w:noWrap w:val="0"/>
            <w:vAlign w:val="center"/>
          </w:tcPr>
          <w:p w14:paraId="72A86D57">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用户联系电话</w:t>
            </w:r>
          </w:p>
        </w:tc>
        <w:tc>
          <w:tcPr>
            <w:tcW w:w="1168" w:type="dxa"/>
            <w:tcBorders>
              <w:left w:val="single" w:color="auto" w:sz="4" w:space="0"/>
            </w:tcBorders>
            <w:noWrap w:val="0"/>
            <w:vAlign w:val="center"/>
          </w:tcPr>
          <w:p w14:paraId="72171BF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12726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noWrap w:val="0"/>
            <w:vAlign w:val="center"/>
          </w:tcPr>
          <w:p w14:paraId="7BFA5A94">
            <w:pPr>
              <w:spacing w:line="400" w:lineRule="exact"/>
              <w:jc w:val="center"/>
              <w:rPr>
                <w:rFonts w:hint="eastAsia" w:ascii="宋体" w:hAnsi="宋体" w:eastAsia="宋体" w:cs="宋体"/>
                <w:sz w:val="24"/>
                <w:szCs w:val="24"/>
                <w:highlight w:val="none"/>
              </w:rPr>
            </w:pPr>
          </w:p>
        </w:tc>
        <w:tc>
          <w:tcPr>
            <w:tcW w:w="1356" w:type="dxa"/>
            <w:noWrap w:val="0"/>
            <w:vAlign w:val="center"/>
          </w:tcPr>
          <w:p w14:paraId="51E8439C">
            <w:pPr>
              <w:spacing w:line="400" w:lineRule="exact"/>
              <w:jc w:val="center"/>
              <w:rPr>
                <w:rFonts w:hint="eastAsia" w:ascii="宋体" w:hAnsi="宋体" w:eastAsia="宋体" w:cs="宋体"/>
                <w:sz w:val="24"/>
                <w:szCs w:val="24"/>
                <w:highlight w:val="none"/>
              </w:rPr>
            </w:pPr>
          </w:p>
        </w:tc>
        <w:tc>
          <w:tcPr>
            <w:tcW w:w="1320" w:type="dxa"/>
            <w:noWrap w:val="0"/>
            <w:vAlign w:val="center"/>
          </w:tcPr>
          <w:p w14:paraId="1B31E2EA">
            <w:pPr>
              <w:spacing w:line="400" w:lineRule="exact"/>
              <w:jc w:val="center"/>
              <w:rPr>
                <w:rFonts w:hint="eastAsia" w:ascii="宋体" w:hAnsi="宋体" w:eastAsia="宋体" w:cs="宋体"/>
                <w:sz w:val="24"/>
                <w:szCs w:val="24"/>
                <w:highlight w:val="none"/>
              </w:rPr>
            </w:pPr>
          </w:p>
        </w:tc>
        <w:tc>
          <w:tcPr>
            <w:tcW w:w="1267" w:type="dxa"/>
            <w:noWrap w:val="0"/>
            <w:vAlign w:val="center"/>
          </w:tcPr>
          <w:p w14:paraId="7B8C040D">
            <w:pPr>
              <w:spacing w:line="400" w:lineRule="exact"/>
              <w:jc w:val="center"/>
              <w:rPr>
                <w:rFonts w:hint="eastAsia" w:ascii="宋体" w:hAnsi="宋体" w:eastAsia="宋体" w:cs="宋体"/>
                <w:sz w:val="24"/>
                <w:szCs w:val="24"/>
                <w:highlight w:val="none"/>
              </w:rPr>
            </w:pPr>
          </w:p>
        </w:tc>
        <w:tc>
          <w:tcPr>
            <w:tcW w:w="1154" w:type="dxa"/>
            <w:noWrap w:val="0"/>
            <w:vAlign w:val="center"/>
          </w:tcPr>
          <w:p w14:paraId="31CB06D0">
            <w:pPr>
              <w:spacing w:line="400" w:lineRule="exact"/>
              <w:jc w:val="center"/>
              <w:rPr>
                <w:rFonts w:hint="eastAsia" w:ascii="宋体" w:hAnsi="宋体" w:eastAsia="宋体" w:cs="宋体"/>
                <w:sz w:val="24"/>
                <w:szCs w:val="24"/>
                <w:highlight w:val="none"/>
              </w:rPr>
            </w:pPr>
          </w:p>
        </w:tc>
        <w:tc>
          <w:tcPr>
            <w:tcW w:w="1374" w:type="dxa"/>
            <w:gridSpan w:val="3"/>
            <w:tcBorders>
              <w:right w:val="single" w:color="auto" w:sz="4" w:space="0"/>
            </w:tcBorders>
            <w:noWrap w:val="0"/>
            <w:vAlign w:val="center"/>
          </w:tcPr>
          <w:p w14:paraId="73C9F60A">
            <w:pPr>
              <w:spacing w:line="400" w:lineRule="exact"/>
              <w:jc w:val="center"/>
              <w:rPr>
                <w:rFonts w:hint="eastAsia" w:ascii="宋体" w:hAnsi="宋体" w:eastAsia="宋体" w:cs="宋体"/>
                <w:sz w:val="24"/>
                <w:szCs w:val="24"/>
                <w:highlight w:val="none"/>
              </w:rPr>
            </w:pPr>
          </w:p>
        </w:tc>
        <w:tc>
          <w:tcPr>
            <w:tcW w:w="1442" w:type="dxa"/>
            <w:tcBorders>
              <w:left w:val="single" w:color="auto" w:sz="4" w:space="0"/>
            </w:tcBorders>
            <w:noWrap w:val="0"/>
            <w:vAlign w:val="center"/>
          </w:tcPr>
          <w:p w14:paraId="0DB313AB">
            <w:pPr>
              <w:spacing w:line="400" w:lineRule="exact"/>
              <w:jc w:val="center"/>
              <w:rPr>
                <w:rFonts w:hint="eastAsia" w:ascii="宋体" w:hAnsi="宋体" w:eastAsia="宋体" w:cs="宋体"/>
                <w:sz w:val="24"/>
                <w:szCs w:val="24"/>
                <w:highlight w:val="none"/>
              </w:rPr>
            </w:pPr>
          </w:p>
        </w:tc>
        <w:tc>
          <w:tcPr>
            <w:tcW w:w="1168" w:type="dxa"/>
            <w:tcBorders>
              <w:left w:val="single" w:color="auto" w:sz="4" w:space="0"/>
            </w:tcBorders>
            <w:noWrap w:val="0"/>
            <w:vAlign w:val="top"/>
          </w:tcPr>
          <w:p w14:paraId="1520FF07">
            <w:pPr>
              <w:spacing w:line="400" w:lineRule="exact"/>
              <w:jc w:val="center"/>
              <w:rPr>
                <w:rFonts w:hint="eastAsia" w:ascii="宋体" w:hAnsi="宋体" w:eastAsia="宋体" w:cs="宋体"/>
                <w:sz w:val="24"/>
                <w:szCs w:val="24"/>
                <w:highlight w:val="none"/>
              </w:rPr>
            </w:pPr>
          </w:p>
        </w:tc>
      </w:tr>
      <w:tr w14:paraId="24CE06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noWrap w:val="0"/>
            <w:vAlign w:val="center"/>
          </w:tcPr>
          <w:p w14:paraId="3AE5EC33">
            <w:pPr>
              <w:spacing w:line="400" w:lineRule="exact"/>
              <w:jc w:val="center"/>
              <w:rPr>
                <w:rFonts w:hint="eastAsia" w:ascii="宋体" w:hAnsi="宋体" w:eastAsia="宋体" w:cs="宋体"/>
                <w:sz w:val="24"/>
                <w:szCs w:val="24"/>
                <w:highlight w:val="none"/>
              </w:rPr>
            </w:pPr>
          </w:p>
        </w:tc>
        <w:tc>
          <w:tcPr>
            <w:tcW w:w="1356" w:type="dxa"/>
            <w:noWrap w:val="0"/>
            <w:vAlign w:val="center"/>
          </w:tcPr>
          <w:p w14:paraId="00C3CBC2">
            <w:pPr>
              <w:spacing w:line="400" w:lineRule="exact"/>
              <w:jc w:val="center"/>
              <w:rPr>
                <w:rFonts w:hint="eastAsia" w:ascii="宋体" w:hAnsi="宋体" w:eastAsia="宋体" w:cs="宋体"/>
                <w:sz w:val="24"/>
                <w:szCs w:val="24"/>
                <w:highlight w:val="none"/>
              </w:rPr>
            </w:pPr>
          </w:p>
        </w:tc>
        <w:tc>
          <w:tcPr>
            <w:tcW w:w="1320" w:type="dxa"/>
            <w:noWrap w:val="0"/>
            <w:vAlign w:val="center"/>
          </w:tcPr>
          <w:p w14:paraId="7FCC8697">
            <w:pPr>
              <w:spacing w:line="400" w:lineRule="exact"/>
              <w:jc w:val="center"/>
              <w:rPr>
                <w:rFonts w:hint="eastAsia" w:ascii="宋体" w:hAnsi="宋体" w:eastAsia="宋体" w:cs="宋体"/>
                <w:sz w:val="24"/>
                <w:szCs w:val="24"/>
                <w:highlight w:val="none"/>
              </w:rPr>
            </w:pPr>
          </w:p>
        </w:tc>
        <w:tc>
          <w:tcPr>
            <w:tcW w:w="1267" w:type="dxa"/>
            <w:noWrap w:val="0"/>
            <w:vAlign w:val="center"/>
          </w:tcPr>
          <w:p w14:paraId="44E1E59A">
            <w:pPr>
              <w:spacing w:line="400" w:lineRule="exact"/>
              <w:jc w:val="center"/>
              <w:rPr>
                <w:rFonts w:hint="eastAsia" w:ascii="宋体" w:hAnsi="宋体" w:eastAsia="宋体" w:cs="宋体"/>
                <w:sz w:val="24"/>
                <w:szCs w:val="24"/>
                <w:highlight w:val="none"/>
              </w:rPr>
            </w:pPr>
          </w:p>
        </w:tc>
        <w:tc>
          <w:tcPr>
            <w:tcW w:w="1154" w:type="dxa"/>
            <w:noWrap w:val="0"/>
            <w:vAlign w:val="center"/>
          </w:tcPr>
          <w:p w14:paraId="579E95C7">
            <w:pPr>
              <w:spacing w:line="400" w:lineRule="exact"/>
              <w:jc w:val="center"/>
              <w:rPr>
                <w:rFonts w:hint="eastAsia" w:ascii="宋体" w:hAnsi="宋体" w:eastAsia="宋体" w:cs="宋体"/>
                <w:sz w:val="24"/>
                <w:szCs w:val="24"/>
                <w:highlight w:val="none"/>
              </w:rPr>
            </w:pPr>
          </w:p>
        </w:tc>
        <w:tc>
          <w:tcPr>
            <w:tcW w:w="1374" w:type="dxa"/>
            <w:gridSpan w:val="3"/>
            <w:tcBorders>
              <w:right w:val="single" w:color="auto" w:sz="4" w:space="0"/>
            </w:tcBorders>
            <w:noWrap w:val="0"/>
            <w:vAlign w:val="center"/>
          </w:tcPr>
          <w:p w14:paraId="6FA1FBC1">
            <w:pPr>
              <w:spacing w:line="400" w:lineRule="exact"/>
              <w:jc w:val="center"/>
              <w:rPr>
                <w:rFonts w:hint="eastAsia" w:ascii="宋体" w:hAnsi="宋体" w:eastAsia="宋体" w:cs="宋体"/>
                <w:sz w:val="24"/>
                <w:szCs w:val="24"/>
                <w:highlight w:val="none"/>
              </w:rPr>
            </w:pPr>
          </w:p>
        </w:tc>
        <w:tc>
          <w:tcPr>
            <w:tcW w:w="1442" w:type="dxa"/>
            <w:tcBorders>
              <w:left w:val="single" w:color="auto" w:sz="4" w:space="0"/>
            </w:tcBorders>
            <w:noWrap w:val="0"/>
            <w:vAlign w:val="center"/>
          </w:tcPr>
          <w:p w14:paraId="70FBC4DE">
            <w:pPr>
              <w:spacing w:line="400" w:lineRule="exact"/>
              <w:jc w:val="center"/>
              <w:rPr>
                <w:rFonts w:hint="eastAsia" w:ascii="宋体" w:hAnsi="宋体" w:eastAsia="宋体" w:cs="宋体"/>
                <w:sz w:val="24"/>
                <w:szCs w:val="24"/>
                <w:highlight w:val="none"/>
              </w:rPr>
            </w:pPr>
          </w:p>
        </w:tc>
        <w:tc>
          <w:tcPr>
            <w:tcW w:w="1168" w:type="dxa"/>
            <w:tcBorders>
              <w:left w:val="single" w:color="auto" w:sz="4" w:space="0"/>
            </w:tcBorders>
            <w:noWrap w:val="0"/>
            <w:vAlign w:val="top"/>
          </w:tcPr>
          <w:p w14:paraId="61A28FBE">
            <w:pPr>
              <w:spacing w:line="400" w:lineRule="exact"/>
              <w:jc w:val="center"/>
              <w:rPr>
                <w:rFonts w:hint="eastAsia" w:ascii="宋体" w:hAnsi="宋体" w:eastAsia="宋体" w:cs="宋体"/>
                <w:sz w:val="24"/>
                <w:szCs w:val="24"/>
                <w:highlight w:val="none"/>
              </w:rPr>
            </w:pPr>
          </w:p>
        </w:tc>
      </w:tr>
      <w:tr w14:paraId="2895F9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noWrap w:val="0"/>
            <w:vAlign w:val="center"/>
          </w:tcPr>
          <w:p w14:paraId="3A922939">
            <w:pPr>
              <w:spacing w:line="400" w:lineRule="exact"/>
              <w:jc w:val="center"/>
              <w:rPr>
                <w:rFonts w:hint="eastAsia" w:ascii="宋体" w:hAnsi="宋体" w:eastAsia="宋体" w:cs="宋体"/>
                <w:sz w:val="24"/>
                <w:szCs w:val="24"/>
                <w:highlight w:val="none"/>
              </w:rPr>
            </w:pPr>
          </w:p>
        </w:tc>
        <w:tc>
          <w:tcPr>
            <w:tcW w:w="1356" w:type="dxa"/>
            <w:noWrap w:val="0"/>
            <w:vAlign w:val="center"/>
          </w:tcPr>
          <w:p w14:paraId="7736B5AE">
            <w:pPr>
              <w:spacing w:line="400" w:lineRule="exact"/>
              <w:jc w:val="center"/>
              <w:rPr>
                <w:rFonts w:hint="eastAsia" w:ascii="宋体" w:hAnsi="宋体" w:eastAsia="宋体" w:cs="宋体"/>
                <w:sz w:val="24"/>
                <w:szCs w:val="24"/>
                <w:highlight w:val="none"/>
              </w:rPr>
            </w:pPr>
          </w:p>
        </w:tc>
        <w:tc>
          <w:tcPr>
            <w:tcW w:w="1320" w:type="dxa"/>
            <w:noWrap w:val="0"/>
            <w:vAlign w:val="center"/>
          </w:tcPr>
          <w:p w14:paraId="3FC34C90">
            <w:pPr>
              <w:spacing w:line="400" w:lineRule="exact"/>
              <w:jc w:val="center"/>
              <w:rPr>
                <w:rFonts w:hint="eastAsia" w:ascii="宋体" w:hAnsi="宋体" w:eastAsia="宋体" w:cs="宋体"/>
                <w:sz w:val="24"/>
                <w:szCs w:val="24"/>
                <w:highlight w:val="none"/>
              </w:rPr>
            </w:pPr>
          </w:p>
        </w:tc>
        <w:tc>
          <w:tcPr>
            <w:tcW w:w="1267" w:type="dxa"/>
            <w:noWrap w:val="0"/>
            <w:vAlign w:val="center"/>
          </w:tcPr>
          <w:p w14:paraId="3EE1F449">
            <w:pPr>
              <w:spacing w:line="400" w:lineRule="exact"/>
              <w:jc w:val="center"/>
              <w:rPr>
                <w:rFonts w:hint="eastAsia" w:ascii="宋体" w:hAnsi="宋体" w:eastAsia="宋体" w:cs="宋体"/>
                <w:sz w:val="24"/>
                <w:szCs w:val="24"/>
                <w:highlight w:val="none"/>
              </w:rPr>
            </w:pPr>
          </w:p>
        </w:tc>
        <w:tc>
          <w:tcPr>
            <w:tcW w:w="1154" w:type="dxa"/>
            <w:noWrap w:val="0"/>
            <w:vAlign w:val="center"/>
          </w:tcPr>
          <w:p w14:paraId="05527C4F">
            <w:pPr>
              <w:spacing w:line="400" w:lineRule="exact"/>
              <w:jc w:val="center"/>
              <w:rPr>
                <w:rFonts w:hint="eastAsia" w:ascii="宋体" w:hAnsi="宋体" w:eastAsia="宋体" w:cs="宋体"/>
                <w:sz w:val="24"/>
                <w:szCs w:val="24"/>
                <w:highlight w:val="none"/>
              </w:rPr>
            </w:pPr>
          </w:p>
        </w:tc>
        <w:tc>
          <w:tcPr>
            <w:tcW w:w="1374" w:type="dxa"/>
            <w:gridSpan w:val="3"/>
            <w:tcBorders>
              <w:right w:val="single" w:color="auto" w:sz="4" w:space="0"/>
            </w:tcBorders>
            <w:noWrap w:val="0"/>
            <w:vAlign w:val="center"/>
          </w:tcPr>
          <w:p w14:paraId="24B48F53">
            <w:pPr>
              <w:spacing w:line="400" w:lineRule="exact"/>
              <w:jc w:val="center"/>
              <w:rPr>
                <w:rFonts w:hint="eastAsia" w:ascii="宋体" w:hAnsi="宋体" w:eastAsia="宋体" w:cs="宋体"/>
                <w:sz w:val="24"/>
                <w:szCs w:val="24"/>
                <w:highlight w:val="none"/>
              </w:rPr>
            </w:pPr>
          </w:p>
        </w:tc>
        <w:tc>
          <w:tcPr>
            <w:tcW w:w="1442" w:type="dxa"/>
            <w:tcBorders>
              <w:left w:val="single" w:color="auto" w:sz="4" w:space="0"/>
            </w:tcBorders>
            <w:noWrap w:val="0"/>
            <w:vAlign w:val="center"/>
          </w:tcPr>
          <w:p w14:paraId="1C7D013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168" w:type="dxa"/>
            <w:tcBorders>
              <w:left w:val="single" w:color="auto" w:sz="4" w:space="0"/>
            </w:tcBorders>
            <w:noWrap w:val="0"/>
            <w:vAlign w:val="top"/>
          </w:tcPr>
          <w:p w14:paraId="07F09C60">
            <w:pPr>
              <w:spacing w:line="400" w:lineRule="exact"/>
              <w:jc w:val="center"/>
              <w:rPr>
                <w:rFonts w:hint="eastAsia" w:ascii="宋体" w:hAnsi="宋体" w:eastAsia="宋体" w:cs="宋体"/>
                <w:sz w:val="24"/>
                <w:szCs w:val="24"/>
                <w:highlight w:val="none"/>
              </w:rPr>
            </w:pPr>
          </w:p>
        </w:tc>
      </w:tr>
      <w:tr w14:paraId="4C6141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noWrap w:val="0"/>
            <w:vAlign w:val="center"/>
          </w:tcPr>
          <w:p w14:paraId="62DCF191">
            <w:pPr>
              <w:spacing w:line="400" w:lineRule="exact"/>
              <w:jc w:val="center"/>
              <w:rPr>
                <w:rFonts w:hint="eastAsia" w:ascii="宋体" w:hAnsi="宋体" w:eastAsia="宋体" w:cs="宋体"/>
                <w:sz w:val="24"/>
                <w:szCs w:val="24"/>
                <w:highlight w:val="none"/>
              </w:rPr>
            </w:pPr>
          </w:p>
        </w:tc>
        <w:tc>
          <w:tcPr>
            <w:tcW w:w="1356" w:type="dxa"/>
            <w:tcBorders>
              <w:right w:val="single" w:color="auto" w:sz="4" w:space="0"/>
            </w:tcBorders>
            <w:noWrap w:val="0"/>
            <w:vAlign w:val="center"/>
          </w:tcPr>
          <w:p w14:paraId="2767D5AA">
            <w:pPr>
              <w:spacing w:line="400" w:lineRule="exact"/>
              <w:jc w:val="center"/>
              <w:rPr>
                <w:rFonts w:hint="eastAsia" w:ascii="宋体" w:hAnsi="宋体" w:eastAsia="宋体" w:cs="宋体"/>
                <w:sz w:val="24"/>
                <w:szCs w:val="24"/>
                <w:highlight w:val="none"/>
              </w:rPr>
            </w:pPr>
          </w:p>
        </w:tc>
        <w:tc>
          <w:tcPr>
            <w:tcW w:w="1320" w:type="dxa"/>
            <w:tcBorders>
              <w:left w:val="single" w:color="auto" w:sz="4" w:space="0"/>
            </w:tcBorders>
            <w:noWrap w:val="0"/>
            <w:vAlign w:val="center"/>
          </w:tcPr>
          <w:p w14:paraId="1BAC563C">
            <w:pPr>
              <w:spacing w:line="400" w:lineRule="exact"/>
              <w:jc w:val="center"/>
              <w:rPr>
                <w:rFonts w:hint="eastAsia" w:ascii="宋体" w:hAnsi="宋体" w:eastAsia="宋体" w:cs="宋体"/>
                <w:sz w:val="24"/>
                <w:szCs w:val="24"/>
                <w:highlight w:val="none"/>
              </w:rPr>
            </w:pPr>
          </w:p>
        </w:tc>
        <w:tc>
          <w:tcPr>
            <w:tcW w:w="1267" w:type="dxa"/>
            <w:noWrap w:val="0"/>
            <w:vAlign w:val="center"/>
          </w:tcPr>
          <w:p w14:paraId="6D2F1896">
            <w:pPr>
              <w:spacing w:line="400" w:lineRule="exact"/>
              <w:jc w:val="center"/>
              <w:rPr>
                <w:rFonts w:hint="eastAsia" w:ascii="宋体" w:hAnsi="宋体" w:eastAsia="宋体" w:cs="宋体"/>
                <w:sz w:val="24"/>
                <w:szCs w:val="24"/>
                <w:highlight w:val="none"/>
              </w:rPr>
            </w:pPr>
          </w:p>
        </w:tc>
        <w:tc>
          <w:tcPr>
            <w:tcW w:w="1154" w:type="dxa"/>
            <w:noWrap w:val="0"/>
            <w:vAlign w:val="center"/>
          </w:tcPr>
          <w:p w14:paraId="178EFC22">
            <w:pPr>
              <w:spacing w:line="400" w:lineRule="exact"/>
              <w:jc w:val="center"/>
              <w:rPr>
                <w:rFonts w:hint="eastAsia" w:ascii="宋体" w:hAnsi="宋体" w:eastAsia="宋体" w:cs="宋体"/>
                <w:sz w:val="24"/>
                <w:szCs w:val="24"/>
                <w:highlight w:val="none"/>
              </w:rPr>
            </w:pPr>
          </w:p>
        </w:tc>
        <w:tc>
          <w:tcPr>
            <w:tcW w:w="1374" w:type="dxa"/>
            <w:gridSpan w:val="3"/>
            <w:tcBorders>
              <w:right w:val="single" w:color="auto" w:sz="4" w:space="0"/>
            </w:tcBorders>
            <w:noWrap w:val="0"/>
            <w:vAlign w:val="center"/>
          </w:tcPr>
          <w:p w14:paraId="0E405DA5">
            <w:pPr>
              <w:spacing w:line="400" w:lineRule="exact"/>
              <w:jc w:val="center"/>
              <w:rPr>
                <w:rFonts w:hint="eastAsia" w:ascii="宋体" w:hAnsi="宋体" w:eastAsia="宋体" w:cs="宋体"/>
                <w:sz w:val="24"/>
                <w:szCs w:val="24"/>
                <w:highlight w:val="none"/>
              </w:rPr>
            </w:pPr>
          </w:p>
        </w:tc>
        <w:tc>
          <w:tcPr>
            <w:tcW w:w="1442" w:type="dxa"/>
            <w:tcBorders>
              <w:left w:val="single" w:color="auto" w:sz="4" w:space="0"/>
            </w:tcBorders>
            <w:noWrap w:val="0"/>
            <w:vAlign w:val="center"/>
          </w:tcPr>
          <w:p w14:paraId="742C52E4">
            <w:pPr>
              <w:spacing w:line="400" w:lineRule="exact"/>
              <w:jc w:val="center"/>
              <w:rPr>
                <w:rFonts w:hint="eastAsia" w:ascii="宋体" w:hAnsi="宋体" w:eastAsia="宋体" w:cs="宋体"/>
                <w:sz w:val="24"/>
                <w:szCs w:val="24"/>
                <w:highlight w:val="none"/>
              </w:rPr>
            </w:pPr>
          </w:p>
        </w:tc>
        <w:tc>
          <w:tcPr>
            <w:tcW w:w="1168" w:type="dxa"/>
            <w:tcBorders>
              <w:left w:val="single" w:color="auto" w:sz="4" w:space="0"/>
            </w:tcBorders>
            <w:noWrap w:val="0"/>
            <w:vAlign w:val="top"/>
          </w:tcPr>
          <w:p w14:paraId="52E34374">
            <w:pPr>
              <w:spacing w:line="400" w:lineRule="exact"/>
              <w:jc w:val="center"/>
              <w:rPr>
                <w:rFonts w:hint="eastAsia" w:ascii="宋体" w:hAnsi="宋体" w:eastAsia="宋体" w:cs="宋体"/>
                <w:sz w:val="24"/>
                <w:szCs w:val="24"/>
                <w:highlight w:val="none"/>
              </w:rPr>
            </w:pPr>
          </w:p>
        </w:tc>
      </w:tr>
      <w:tr w14:paraId="7EA30A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tcBorders>
              <w:right w:val="single" w:color="auto" w:sz="4" w:space="0"/>
            </w:tcBorders>
            <w:noWrap w:val="0"/>
            <w:vAlign w:val="center"/>
          </w:tcPr>
          <w:p w14:paraId="3D430D0E">
            <w:pPr>
              <w:spacing w:line="400" w:lineRule="exact"/>
              <w:rPr>
                <w:rFonts w:hint="eastAsia" w:ascii="宋体" w:hAnsi="宋体" w:eastAsia="宋体" w:cs="宋体"/>
                <w:sz w:val="24"/>
                <w:szCs w:val="24"/>
                <w:highlight w:val="none"/>
              </w:rPr>
            </w:pPr>
          </w:p>
        </w:tc>
        <w:tc>
          <w:tcPr>
            <w:tcW w:w="1356" w:type="dxa"/>
            <w:tcBorders>
              <w:left w:val="single" w:color="auto" w:sz="4" w:space="0"/>
              <w:right w:val="single" w:color="auto" w:sz="4" w:space="0"/>
            </w:tcBorders>
            <w:noWrap w:val="0"/>
            <w:vAlign w:val="center"/>
          </w:tcPr>
          <w:p w14:paraId="2F0860C4">
            <w:pPr>
              <w:spacing w:line="400" w:lineRule="exact"/>
              <w:rPr>
                <w:rFonts w:hint="eastAsia" w:ascii="宋体" w:hAnsi="宋体" w:eastAsia="宋体" w:cs="宋体"/>
                <w:sz w:val="24"/>
                <w:szCs w:val="24"/>
                <w:highlight w:val="none"/>
              </w:rPr>
            </w:pPr>
          </w:p>
        </w:tc>
        <w:tc>
          <w:tcPr>
            <w:tcW w:w="1320" w:type="dxa"/>
            <w:tcBorders>
              <w:left w:val="single" w:color="auto" w:sz="4" w:space="0"/>
              <w:right w:val="single" w:color="auto" w:sz="4" w:space="0"/>
            </w:tcBorders>
            <w:noWrap w:val="0"/>
            <w:vAlign w:val="center"/>
          </w:tcPr>
          <w:p w14:paraId="5E60DC03">
            <w:pPr>
              <w:spacing w:line="400" w:lineRule="exact"/>
              <w:rPr>
                <w:rFonts w:hint="eastAsia" w:ascii="宋体" w:hAnsi="宋体" w:eastAsia="宋体" w:cs="宋体"/>
                <w:sz w:val="24"/>
                <w:szCs w:val="24"/>
                <w:highlight w:val="none"/>
              </w:rPr>
            </w:pPr>
          </w:p>
        </w:tc>
        <w:tc>
          <w:tcPr>
            <w:tcW w:w="1267" w:type="dxa"/>
            <w:tcBorders>
              <w:left w:val="single" w:color="auto" w:sz="4" w:space="0"/>
              <w:right w:val="single" w:color="auto" w:sz="4" w:space="0"/>
            </w:tcBorders>
            <w:noWrap w:val="0"/>
            <w:vAlign w:val="center"/>
          </w:tcPr>
          <w:p w14:paraId="0018E3DD">
            <w:pPr>
              <w:spacing w:line="400" w:lineRule="exact"/>
              <w:rPr>
                <w:rFonts w:hint="eastAsia" w:ascii="宋体" w:hAnsi="宋体" w:eastAsia="宋体" w:cs="宋体"/>
                <w:sz w:val="24"/>
                <w:szCs w:val="24"/>
                <w:highlight w:val="none"/>
              </w:rPr>
            </w:pPr>
          </w:p>
        </w:tc>
        <w:tc>
          <w:tcPr>
            <w:tcW w:w="1163" w:type="dxa"/>
            <w:gridSpan w:val="2"/>
            <w:tcBorders>
              <w:left w:val="single" w:color="auto" w:sz="4" w:space="0"/>
              <w:right w:val="single" w:color="auto" w:sz="4" w:space="0"/>
            </w:tcBorders>
            <w:noWrap w:val="0"/>
            <w:vAlign w:val="center"/>
          </w:tcPr>
          <w:p w14:paraId="4B5D4FE4">
            <w:pPr>
              <w:spacing w:line="400" w:lineRule="exact"/>
              <w:rPr>
                <w:rFonts w:hint="eastAsia" w:ascii="宋体" w:hAnsi="宋体" w:eastAsia="宋体" w:cs="宋体"/>
                <w:sz w:val="24"/>
                <w:szCs w:val="24"/>
                <w:highlight w:val="none"/>
              </w:rPr>
            </w:pPr>
          </w:p>
        </w:tc>
        <w:tc>
          <w:tcPr>
            <w:tcW w:w="1365" w:type="dxa"/>
            <w:gridSpan w:val="2"/>
            <w:tcBorders>
              <w:left w:val="single" w:color="auto" w:sz="4" w:space="0"/>
              <w:right w:val="single" w:color="auto" w:sz="4" w:space="0"/>
            </w:tcBorders>
            <w:noWrap w:val="0"/>
            <w:vAlign w:val="center"/>
          </w:tcPr>
          <w:p w14:paraId="2A4B3282">
            <w:pPr>
              <w:spacing w:line="400" w:lineRule="exact"/>
              <w:rPr>
                <w:rFonts w:hint="eastAsia" w:ascii="宋体" w:hAnsi="宋体" w:eastAsia="宋体" w:cs="宋体"/>
                <w:sz w:val="24"/>
                <w:szCs w:val="24"/>
                <w:highlight w:val="none"/>
              </w:rPr>
            </w:pPr>
          </w:p>
        </w:tc>
        <w:tc>
          <w:tcPr>
            <w:tcW w:w="1442" w:type="dxa"/>
            <w:tcBorders>
              <w:left w:val="single" w:color="auto" w:sz="4" w:space="0"/>
            </w:tcBorders>
            <w:noWrap w:val="0"/>
            <w:vAlign w:val="center"/>
          </w:tcPr>
          <w:p w14:paraId="42F7902A">
            <w:pPr>
              <w:spacing w:line="400" w:lineRule="exact"/>
              <w:rPr>
                <w:rFonts w:hint="eastAsia" w:ascii="宋体" w:hAnsi="宋体" w:eastAsia="宋体" w:cs="宋体"/>
                <w:sz w:val="24"/>
                <w:szCs w:val="24"/>
                <w:highlight w:val="none"/>
              </w:rPr>
            </w:pPr>
          </w:p>
        </w:tc>
        <w:tc>
          <w:tcPr>
            <w:tcW w:w="1168" w:type="dxa"/>
            <w:tcBorders>
              <w:left w:val="single" w:color="auto" w:sz="4" w:space="0"/>
            </w:tcBorders>
            <w:noWrap w:val="0"/>
            <w:vAlign w:val="top"/>
          </w:tcPr>
          <w:p w14:paraId="145F0F01">
            <w:pPr>
              <w:spacing w:line="400" w:lineRule="exact"/>
              <w:rPr>
                <w:rFonts w:hint="eastAsia" w:ascii="宋体" w:hAnsi="宋体" w:eastAsia="宋体" w:cs="宋体"/>
                <w:sz w:val="24"/>
                <w:szCs w:val="24"/>
                <w:highlight w:val="none"/>
              </w:rPr>
            </w:pPr>
          </w:p>
        </w:tc>
      </w:tr>
      <w:tr w14:paraId="74E4CA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noWrap w:val="0"/>
            <w:vAlign w:val="center"/>
          </w:tcPr>
          <w:p w14:paraId="4B0267F5">
            <w:pPr>
              <w:spacing w:line="400" w:lineRule="exact"/>
              <w:rPr>
                <w:rFonts w:hint="eastAsia" w:ascii="宋体" w:hAnsi="宋体" w:eastAsia="宋体" w:cs="宋体"/>
                <w:sz w:val="24"/>
                <w:szCs w:val="24"/>
                <w:highlight w:val="none"/>
              </w:rPr>
            </w:pPr>
          </w:p>
        </w:tc>
        <w:tc>
          <w:tcPr>
            <w:tcW w:w="1356" w:type="dxa"/>
            <w:noWrap w:val="0"/>
            <w:vAlign w:val="center"/>
          </w:tcPr>
          <w:p w14:paraId="220CFC26">
            <w:pPr>
              <w:spacing w:line="400" w:lineRule="exact"/>
              <w:rPr>
                <w:rFonts w:hint="eastAsia" w:ascii="宋体" w:hAnsi="宋体" w:eastAsia="宋体" w:cs="宋体"/>
                <w:sz w:val="24"/>
                <w:szCs w:val="24"/>
                <w:highlight w:val="none"/>
              </w:rPr>
            </w:pPr>
          </w:p>
        </w:tc>
        <w:tc>
          <w:tcPr>
            <w:tcW w:w="1320" w:type="dxa"/>
            <w:noWrap w:val="0"/>
            <w:vAlign w:val="center"/>
          </w:tcPr>
          <w:p w14:paraId="578BDE96">
            <w:pPr>
              <w:spacing w:line="400" w:lineRule="exact"/>
              <w:rPr>
                <w:rFonts w:hint="eastAsia" w:ascii="宋体" w:hAnsi="宋体" w:eastAsia="宋体" w:cs="宋体"/>
                <w:sz w:val="24"/>
                <w:szCs w:val="24"/>
                <w:highlight w:val="none"/>
              </w:rPr>
            </w:pPr>
          </w:p>
        </w:tc>
        <w:tc>
          <w:tcPr>
            <w:tcW w:w="1267" w:type="dxa"/>
            <w:noWrap w:val="0"/>
            <w:vAlign w:val="center"/>
          </w:tcPr>
          <w:p w14:paraId="129CC8B7">
            <w:pPr>
              <w:spacing w:line="400" w:lineRule="exact"/>
              <w:rPr>
                <w:rFonts w:hint="eastAsia" w:ascii="宋体" w:hAnsi="宋体" w:eastAsia="宋体" w:cs="宋体"/>
                <w:sz w:val="24"/>
                <w:szCs w:val="24"/>
                <w:highlight w:val="none"/>
              </w:rPr>
            </w:pPr>
          </w:p>
        </w:tc>
        <w:tc>
          <w:tcPr>
            <w:tcW w:w="1163" w:type="dxa"/>
            <w:gridSpan w:val="2"/>
            <w:tcBorders>
              <w:right w:val="single" w:color="auto" w:sz="4" w:space="0"/>
            </w:tcBorders>
            <w:noWrap w:val="0"/>
            <w:vAlign w:val="center"/>
          </w:tcPr>
          <w:p w14:paraId="0B5CDBE2">
            <w:pPr>
              <w:spacing w:line="400" w:lineRule="exact"/>
              <w:rPr>
                <w:rFonts w:hint="eastAsia" w:ascii="宋体" w:hAnsi="宋体" w:eastAsia="宋体" w:cs="宋体"/>
                <w:sz w:val="24"/>
                <w:szCs w:val="24"/>
                <w:highlight w:val="none"/>
              </w:rPr>
            </w:pPr>
          </w:p>
        </w:tc>
        <w:tc>
          <w:tcPr>
            <w:tcW w:w="1356" w:type="dxa"/>
            <w:tcBorders>
              <w:left w:val="single" w:color="auto" w:sz="4" w:space="0"/>
              <w:right w:val="single" w:color="auto" w:sz="4" w:space="0"/>
            </w:tcBorders>
            <w:noWrap w:val="0"/>
            <w:vAlign w:val="center"/>
          </w:tcPr>
          <w:p w14:paraId="7D4D39C7">
            <w:pPr>
              <w:spacing w:line="400" w:lineRule="exact"/>
              <w:rPr>
                <w:rFonts w:hint="eastAsia" w:ascii="宋体" w:hAnsi="宋体" w:eastAsia="宋体" w:cs="宋体"/>
                <w:sz w:val="24"/>
                <w:szCs w:val="24"/>
                <w:highlight w:val="none"/>
              </w:rPr>
            </w:pPr>
          </w:p>
        </w:tc>
        <w:tc>
          <w:tcPr>
            <w:tcW w:w="1451" w:type="dxa"/>
            <w:gridSpan w:val="2"/>
            <w:tcBorders>
              <w:left w:val="single" w:color="auto" w:sz="4" w:space="0"/>
            </w:tcBorders>
            <w:noWrap w:val="0"/>
            <w:vAlign w:val="center"/>
          </w:tcPr>
          <w:p w14:paraId="10C0AF44">
            <w:pPr>
              <w:spacing w:line="400" w:lineRule="exact"/>
              <w:rPr>
                <w:rFonts w:hint="eastAsia" w:ascii="宋体" w:hAnsi="宋体" w:eastAsia="宋体" w:cs="宋体"/>
                <w:sz w:val="24"/>
                <w:szCs w:val="24"/>
                <w:highlight w:val="none"/>
              </w:rPr>
            </w:pPr>
          </w:p>
        </w:tc>
        <w:tc>
          <w:tcPr>
            <w:tcW w:w="1168" w:type="dxa"/>
            <w:tcBorders>
              <w:left w:val="single" w:color="auto" w:sz="4" w:space="0"/>
            </w:tcBorders>
            <w:noWrap w:val="0"/>
            <w:vAlign w:val="top"/>
          </w:tcPr>
          <w:p w14:paraId="6E73BD93">
            <w:pPr>
              <w:spacing w:line="400" w:lineRule="exact"/>
              <w:rPr>
                <w:rFonts w:hint="eastAsia" w:ascii="宋体" w:hAnsi="宋体" w:eastAsia="宋体" w:cs="宋体"/>
                <w:sz w:val="24"/>
                <w:szCs w:val="24"/>
                <w:highlight w:val="none"/>
              </w:rPr>
            </w:pPr>
          </w:p>
        </w:tc>
      </w:tr>
      <w:tr w14:paraId="791BE2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noWrap w:val="0"/>
            <w:vAlign w:val="center"/>
          </w:tcPr>
          <w:p w14:paraId="4E116275">
            <w:pPr>
              <w:spacing w:line="400" w:lineRule="exact"/>
              <w:jc w:val="center"/>
              <w:rPr>
                <w:rFonts w:hint="eastAsia" w:ascii="宋体" w:hAnsi="宋体" w:eastAsia="宋体" w:cs="宋体"/>
                <w:sz w:val="24"/>
                <w:szCs w:val="24"/>
                <w:highlight w:val="none"/>
              </w:rPr>
            </w:pPr>
          </w:p>
        </w:tc>
        <w:tc>
          <w:tcPr>
            <w:tcW w:w="1356" w:type="dxa"/>
            <w:noWrap w:val="0"/>
            <w:vAlign w:val="center"/>
          </w:tcPr>
          <w:p w14:paraId="58E7430A">
            <w:pPr>
              <w:spacing w:line="400" w:lineRule="exact"/>
              <w:jc w:val="center"/>
              <w:rPr>
                <w:rFonts w:hint="eastAsia" w:ascii="宋体" w:hAnsi="宋体" w:eastAsia="宋体" w:cs="宋体"/>
                <w:sz w:val="24"/>
                <w:szCs w:val="24"/>
                <w:highlight w:val="none"/>
              </w:rPr>
            </w:pPr>
          </w:p>
        </w:tc>
        <w:tc>
          <w:tcPr>
            <w:tcW w:w="1320" w:type="dxa"/>
            <w:noWrap w:val="0"/>
            <w:vAlign w:val="center"/>
          </w:tcPr>
          <w:p w14:paraId="519316DA">
            <w:pPr>
              <w:spacing w:line="400" w:lineRule="exact"/>
              <w:jc w:val="center"/>
              <w:rPr>
                <w:rFonts w:hint="eastAsia" w:ascii="宋体" w:hAnsi="宋体" w:eastAsia="宋体" w:cs="宋体"/>
                <w:sz w:val="24"/>
                <w:szCs w:val="24"/>
                <w:highlight w:val="none"/>
              </w:rPr>
            </w:pPr>
          </w:p>
        </w:tc>
        <w:tc>
          <w:tcPr>
            <w:tcW w:w="1267" w:type="dxa"/>
            <w:noWrap w:val="0"/>
            <w:vAlign w:val="center"/>
          </w:tcPr>
          <w:p w14:paraId="019446D2">
            <w:pPr>
              <w:spacing w:line="400" w:lineRule="exact"/>
              <w:jc w:val="center"/>
              <w:rPr>
                <w:rFonts w:hint="eastAsia" w:ascii="宋体" w:hAnsi="宋体" w:eastAsia="宋体" w:cs="宋体"/>
                <w:sz w:val="24"/>
                <w:szCs w:val="24"/>
                <w:highlight w:val="none"/>
              </w:rPr>
            </w:pPr>
          </w:p>
        </w:tc>
        <w:tc>
          <w:tcPr>
            <w:tcW w:w="1163" w:type="dxa"/>
            <w:gridSpan w:val="2"/>
            <w:tcBorders>
              <w:right w:val="single" w:color="auto" w:sz="4" w:space="0"/>
            </w:tcBorders>
            <w:noWrap w:val="0"/>
            <w:vAlign w:val="center"/>
          </w:tcPr>
          <w:p w14:paraId="7F4466D1">
            <w:pPr>
              <w:spacing w:line="400" w:lineRule="exact"/>
              <w:jc w:val="center"/>
              <w:rPr>
                <w:rFonts w:hint="eastAsia" w:ascii="宋体" w:hAnsi="宋体" w:eastAsia="宋体" w:cs="宋体"/>
                <w:sz w:val="24"/>
                <w:szCs w:val="24"/>
                <w:highlight w:val="none"/>
              </w:rPr>
            </w:pPr>
          </w:p>
        </w:tc>
        <w:tc>
          <w:tcPr>
            <w:tcW w:w="1356" w:type="dxa"/>
            <w:tcBorders>
              <w:left w:val="single" w:color="auto" w:sz="4" w:space="0"/>
              <w:right w:val="single" w:color="auto" w:sz="4" w:space="0"/>
            </w:tcBorders>
            <w:noWrap w:val="0"/>
            <w:vAlign w:val="center"/>
          </w:tcPr>
          <w:p w14:paraId="620C6929">
            <w:pPr>
              <w:spacing w:line="400" w:lineRule="exact"/>
              <w:jc w:val="center"/>
              <w:rPr>
                <w:rFonts w:hint="eastAsia" w:ascii="宋体" w:hAnsi="宋体" w:eastAsia="宋体" w:cs="宋体"/>
                <w:sz w:val="24"/>
                <w:szCs w:val="24"/>
                <w:highlight w:val="none"/>
              </w:rPr>
            </w:pPr>
          </w:p>
        </w:tc>
        <w:tc>
          <w:tcPr>
            <w:tcW w:w="1451" w:type="dxa"/>
            <w:gridSpan w:val="2"/>
            <w:tcBorders>
              <w:left w:val="single" w:color="auto" w:sz="4" w:space="0"/>
            </w:tcBorders>
            <w:noWrap w:val="0"/>
            <w:vAlign w:val="center"/>
          </w:tcPr>
          <w:p w14:paraId="0BCEB395">
            <w:pPr>
              <w:spacing w:line="400" w:lineRule="exact"/>
              <w:jc w:val="center"/>
              <w:rPr>
                <w:rFonts w:hint="eastAsia" w:ascii="宋体" w:hAnsi="宋体" w:eastAsia="宋体" w:cs="宋体"/>
                <w:sz w:val="24"/>
                <w:szCs w:val="24"/>
                <w:highlight w:val="none"/>
              </w:rPr>
            </w:pPr>
          </w:p>
        </w:tc>
        <w:tc>
          <w:tcPr>
            <w:tcW w:w="1168" w:type="dxa"/>
            <w:tcBorders>
              <w:left w:val="single" w:color="auto" w:sz="4" w:space="0"/>
            </w:tcBorders>
            <w:noWrap w:val="0"/>
            <w:vAlign w:val="top"/>
          </w:tcPr>
          <w:p w14:paraId="22463E9B">
            <w:pPr>
              <w:spacing w:line="400" w:lineRule="exact"/>
              <w:jc w:val="center"/>
              <w:rPr>
                <w:rFonts w:hint="eastAsia" w:ascii="宋体" w:hAnsi="宋体" w:eastAsia="宋体" w:cs="宋体"/>
                <w:sz w:val="24"/>
                <w:szCs w:val="24"/>
                <w:highlight w:val="none"/>
              </w:rPr>
            </w:pPr>
          </w:p>
        </w:tc>
      </w:tr>
      <w:tr w14:paraId="7103BE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noWrap w:val="0"/>
            <w:vAlign w:val="center"/>
          </w:tcPr>
          <w:p w14:paraId="2674879E">
            <w:pPr>
              <w:spacing w:line="400" w:lineRule="exact"/>
              <w:jc w:val="center"/>
              <w:rPr>
                <w:rFonts w:hint="eastAsia" w:ascii="宋体" w:hAnsi="宋体" w:eastAsia="宋体" w:cs="宋体"/>
                <w:sz w:val="24"/>
                <w:szCs w:val="24"/>
                <w:highlight w:val="none"/>
              </w:rPr>
            </w:pPr>
          </w:p>
        </w:tc>
        <w:tc>
          <w:tcPr>
            <w:tcW w:w="1356" w:type="dxa"/>
            <w:noWrap w:val="0"/>
            <w:vAlign w:val="center"/>
          </w:tcPr>
          <w:p w14:paraId="7BB6AC8C">
            <w:pPr>
              <w:spacing w:line="400" w:lineRule="exact"/>
              <w:jc w:val="center"/>
              <w:rPr>
                <w:rFonts w:hint="eastAsia" w:ascii="宋体" w:hAnsi="宋体" w:eastAsia="宋体" w:cs="宋体"/>
                <w:sz w:val="24"/>
                <w:szCs w:val="24"/>
                <w:highlight w:val="none"/>
              </w:rPr>
            </w:pPr>
          </w:p>
        </w:tc>
        <w:tc>
          <w:tcPr>
            <w:tcW w:w="1320" w:type="dxa"/>
            <w:noWrap w:val="0"/>
            <w:vAlign w:val="center"/>
          </w:tcPr>
          <w:p w14:paraId="4528E28F">
            <w:pPr>
              <w:spacing w:line="400" w:lineRule="exact"/>
              <w:jc w:val="center"/>
              <w:rPr>
                <w:rFonts w:hint="eastAsia" w:ascii="宋体" w:hAnsi="宋体" w:eastAsia="宋体" w:cs="宋体"/>
                <w:sz w:val="24"/>
                <w:szCs w:val="24"/>
                <w:highlight w:val="none"/>
              </w:rPr>
            </w:pPr>
          </w:p>
        </w:tc>
        <w:tc>
          <w:tcPr>
            <w:tcW w:w="1267" w:type="dxa"/>
            <w:noWrap w:val="0"/>
            <w:vAlign w:val="center"/>
          </w:tcPr>
          <w:p w14:paraId="25579C89">
            <w:pPr>
              <w:spacing w:line="400" w:lineRule="exact"/>
              <w:jc w:val="center"/>
              <w:rPr>
                <w:rFonts w:hint="eastAsia" w:ascii="宋体" w:hAnsi="宋体" w:eastAsia="宋体" w:cs="宋体"/>
                <w:sz w:val="24"/>
                <w:szCs w:val="24"/>
                <w:highlight w:val="none"/>
              </w:rPr>
            </w:pPr>
          </w:p>
        </w:tc>
        <w:tc>
          <w:tcPr>
            <w:tcW w:w="1163" w:type="dxa"/>
            <w:gridSpan w:val="2"/>
            <w:tcBorders>
              <w:right w:val="single" w:color="auto" w:sz="4" w:space="0"/>
            </w:tcBorders>
            <w:noWrap w:val="0"/>
            <w:vAlign w:val="center"/>
          </w:tcPr>
          <w:p w14:paraId="48EB63D1">
            <w:pPr>
              <w:spacing w:line="400" w:lineRule="exact"/>
              <w:jc w:val="center"/>
              <w:rPr>
                <w:rFonts w:hint="eastAsia" w:ascii="宋体" w:hAnsi="宋体" w:eastAsia="宋体" w:cs="宋体"/>
                <w:sz w:val="24"/>
                <w:szCs w:val="24"/>
                <w:highlight w:val="none"/>
              </w:rPr>
            </w:pPr>
          </w:p>
        </w:tc>
        <w:tc>
          <w:tcPr>
            <w:tcW w:w="1356" w:type="dxa"/>
            <w:tcBorders>
              <w:left w:val="single" w:color="auto" w:sz="4" w:space="0"/>
              <w:right w:val="single" w:color="auto" w:sz="4" w:space="0"/>
            </w:tcBorders>
            <w:noWrap w:val="0"/>
            <w:vAlign w:val="center"/>
          </w:tcPr>
          <w:p w14:paraId="2BA2531F">
            <w:pPr>
              <w:spacing w:line="400" w:lineRule="exact"/>
              <w:jc w:val="center"/>
              <w:rPr>
                <w:rFonts w:hint="eastAsia" w:ascii="宋体" w:hAnsi="宋体" w:eastAsia="宋体" w:cs="宋体"/>
                <w:sz w:val="24"/>
                <w:szCs w:val="24"/>
                <w:highlight w:val="none"/>
              </w:rPr>
            </w:pPr>
          </w:p>
        </w:tc>
        <w:tc>
          <w:tcPr>
            <w:tcW w:w="1451" w:type="dxa"/>
            <w:gridSpan w:val="2"/>
            <w:tcBorders>
              <w:left w:val="single" w:color="auto" w:sz="4" w:space="0"/>
            </w:tcBorders>
            <w:noWrap w:val="0"/>
            <w:vAlign w:val="center"/>
          </w:tcPr>
          <w:p w14:paraId="3E4DA955">
            <w:pPr>
              <w:spacing w:line="400" w:lineRule="exact"/>
              <w:jc w:val="center"/>
              <w:rPr>
                <w:rFonts w:hint="eastAsia" w:ascii="宋体" w:hAnsi="宋体" w:eastAsia="宋体" w:cs="宋体"/>
                <w:sz w:val="24"/>
                <w:szCs w:val="24"/>
                <w:highlight w:val="none"/>
              </w:rPr>
            </w:pPr>
          </w:p>
        </w:tc>
        <w:tc>
          <w:tcPr>
            <w:tcW w:w="1168" w:type="dxa"/>
            <w:tcBorders>
              <w:left w:val="single" w:color="auto" w:sz="4" w:space="0"/>
            </w:tcBorders>
            <w:noWrap w:val="0"/>
            <w:vAlign w:val="top"/>
          </w:tcPr>
          <w:p w14:paraId="0ED8AC2E">
            <w:pPr>
              <w:spacing w:line="400" w:lineRule="exact"/>
              <w:jc w:val="center"/>
              <w:rPr>
                <w:rFonts w:hint="eastAsia" w:ascii="宋体" w:hAnsi="宋体" w:eastAsia="宋体" w:cs="宋体"/>
                <w:sz w:val="24"/>
                <w:szCs w:val="24"/>
                <w:highlight w:val="none"/>
              </w:rPr>
            </w:pPr>
          </w:p>
        </w:tc>
      </w:tr>
      <w:tr w14:paraId="6B7DB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tcBorders>
              <w:bottom w:val="single" w:color="auto" w:sz="4" w:space="0"/>
            </w:tcBorders>
            <w:noWrap w:val="0"/>
            <w:vAlign w:val="center"/>
          </w:tcPr>
          <w:p w14:paraId="65EF0038">
            <w:pPr>
              <w:spacing w:line="400" w:lineRule="exact"/>
              <w:jc w:val="center"/>
              <w:rPr>
                <w:rFonts w:hint="eastAsia" w:ascii="宋体" w:hAnsi="宋体" w:eastAsia="宋体" w:cs="宋体"/>
                <w:sz w:val="24"/>
                <w:szCs w:val="24"/>
                <w:highlight w:val="none"/>
              </w:rPr>
            </w:pPr>
          </w:p>
        </w:tc>
        <w:tc>
          <w:tcPr>
            <w:tcW w:w="1356" w:type="dxa"/>
            <w:tcBorders>
              <w:bottom w:val="single" w:color="auto" w:sz="4" w:space="0"/>
            </w:tcBorders>
            <w:noWrap w:val="0"/>
            <w:vAlign w:val="center"/>
          </w:tcPr>
          <w:p w14:paraId="1D49925E">
            <w:pPr>
              <w:spacing w:line="400" w:lineRule="exact"/>
              <w:jc w:val="center"/>
              <w:rPr>
                <w:rFonts w:hint="eastAsia" w:ascii="宋体" w:hAnsi="宋体" w:eastAsia="宋体" w:cs="宋体"/>
                <w:sz w:val="24"/>
                <w:szCs w:val="24"/>
                <w:highlight w:val="none"/>
              </w:rPr>
            </w:pPr>
          </w:p>
        </w:tc>
        <w:tc>
          <w:tcPr>
            <w:tcW w:w="1320" w:type="dxa"/>
            <w:tcBorders>
              <w:bottom w:val="single" w:color="auto" w:sz="4" w:space="0"/>
            </w:tcBorders>
            <w:noWrap w:val="0"/>
            <w:vAlign w:val="center"/>
          </w:tcPr>
          <w:p w14:paraId="2608ACE7">
            <w:pPr>
              <w:spacing w:line="400" w:lineRule="exact"/>
              <w:jc w:val="center"/>
              <w:rPr>
                <w:rFonts w:hint="eastAsia" w:ascii="宋体" w:hAnsi="宋体" w:eastAsia="宋体" w:cs="宋体"/>
                <w:sz w:val="24"/>
                <w:szCs w:val="24"/>
                <w:highlight w:val="none"/>
              </w:rPr>
            </w:pPr>
          </w:p>
        </w:tc>
        <w:tc>
          <w:tcPr>
            <w:tcW w:w="1267" w:type="dxa"/>
            <w:tcBorders>
              <w:bottom w:val="single" w:color="auto" w:sz="4" w:space="0"/>
            </w:tcBorders>
            <w:noWrap w:val="0"/>
            <w:vAlign w:val="center"/>
          </w:tcPr>
          <w:p w14:paraId="1C1AB21E">
            <w:pPr>
              <w:spacing w:line="400" w:lineRule="exact"/>
              <w:jc w:val="center"/>
              <w:rPr>
                <w:rFonts w:hint="eastAsia" w:ascii="宋体" w:hAnsi="宋体" w:eastAsia="宋体" w:cs="宋体"/>
                <w:sz w:val="24"/>
                <w:szCs w:val="24"/>
                <w:highlight w:val="none"/>
              </w:rPr>
            </w:pPr>
          </w:p>
        </w:tc>
        <w:tc>
          <w:tcPr>
            <w:tcW w:w="1163" w:type="dxa"/>
            <w:gridSpan w:val="2"/>
            <w:tcBorders>
              <w:bottom w:val="single" w:color="auto" w:sz="4" w:space="0"/>
              <w:right w:val="single" w:color="auto" w:sz="4" w:space="0"/>
            </w:tcBorders>
            <w:noWrap w:val="0"/>
            <w:vAlign w:val="center"/>
          </w:tcPr>
          <w:p w14:paraId="6EBFA8B1">
            <w:pPr>
              <w:spacing w:line="400" w:lineRule="exact"/>
              <w:jc w:val="center"/>
              <w:rPr>
                <w:rFonts w:hint="eastAsia" w:ascii="宋体" w:hAnsi="宋体" w:eastAsia="宋体" w:cs="宋体"/>
                <w:sz w:val="24"/>
                <w:szCs w:val="24"/>
                <w:highlight w:val="none"/>
              </w:rPr>
            </w:pPr>
          </w:p>
        </w:tc>
        <w:tc>
          <w:tcPr>
            <w:tcW w:w="1356" w:type="dxa"/>
            <w:tcBorders>
              <w:left w:val="single" w:color="auto" w:sz="4" w:space="0"/>
              <w:bottom w:val="single" w:color="auto" w:sz="4" w:space="0"/>
              <w:right w:val="single" w:color="auto" w:sz="4" w:space="0"/>
            </w:tcBorders>
            <w:noWrap w:val="0"/>
            <w:vAlign w:val="center"/>
          </w:tcPr>
          <w:p w14:paraId="746B144A">
            <w:pPr>
              <w:spacing w:line="400" w:lineRule="exact"/>
              <w:jc w:val="center"/>
              <w:rPr>
                <w:rFonts w:hint="eastAsia" w:ascii="宋体" w:hAnsi="宋体" w:eastAsia="宋体" w:cs="宋体"/>
                <w:sz w:val="24"/>
                <w:szCs w:val="24"/>
                <w:highlight w:val="none"/>
              </w:rPr>
            </w:pPr>
          </w:p>
        </w:tc>
        <w:tc>
          <w:tcPr>
            <w:tcW w:w="1451" w:type="dxa"/>
            <w:gridSpan w:val="2"/>
            <w:tcBorders>
              <w:left w:val="single" w:color="auto" w:sz="4" w:space="0"/>
              <w:bottom w:val="single" w:color="auto" w:sz="4" w:space="0"/>
            </w:tcBorders>
            <w:noWrap w:val="0"/>
            <w:vAlign w:val="center"/>
          </w:tcPr>
          <w:p w14:paraId="77B779CA">
            <w:pPr>
              <w:spacing w:line="400" w:lineRule="exact"/>
              <w:jc w:val="center"/>
              <w:rPr>
                <w:rFonts w:hint="eastAsia" w:ascii="宋体" w:hAnsi="宋体" w:eastAsia="宋体" w:cs="宋体"/>
                <w:sz w:val="24"/>
                <w:szCs w:val="24"/>
                <w:highlight w:val="none"/>
              </w:rPr>
            </w:pPr>
          </w:p>
        </w:tc>
        <w:tc>
          <w:tcPr>
            <w:tcW w:w="1168" w:type="dxa"/>
            <w:tcBorders>
              <w:left w:val="single" w:color="auto" w:sz="4" w:space="0"/>
              <w:bottom w:val="single" w:color="auto" w:sz="4" w:space="0"/>
            </w:tcBorders>
            <w:noWrap w:val="0"/>
            <w:vAlign w:val="top"/>
          </w:tcPr>
          <w:p w14:paraId="671BE0C5">
            <w:pPr>
              <w:spacing w:line="400" w:lineRule="exact"/>
              <w:jc w:val="center"/>
              <w:rPr>
                <w:rFonts w:hint="eastAsia" w:ascii="宋体" w:hAnsi="宋体" w:eastAsia="宋体" w:cs="宋体"/>
                <w:sz w:val="24"/>
                <w:szCs w:val="24"/>
                <w:highlight w:val="none"/>
              </w:rPr>
            </w:pPr>
          </w:p>
        </w:tc>
      </w:tr>
      <w:tr w14:paraId="3CA6CB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tcBorders>
              <w:top w:val="single" w:color="auto" w:sz="4" w:space="0"/>
              <w:bottom w:val="single" w:color="auto" w:sz="4" w:space="0"/>
            </w:tcBorders>
            <w:noWrap w:val="0"/>
            <w:vAlign w:val="center"/>
          </w:tcPr>
          <w:p w14:paraId="32DC115F">
            <w:pPr>
              <w:spacing w:line="400" w:lineRule="exact"/>
              <w:jc w:val="center"/>
              <w:rPr>
                <w:rFonts w:hint="eastAsia" w:ascii="宋体" w:hAnsi="宋体" w:eastAsia="宋体" w:cs="宋体"/>
                <w:sz w:val="24"/>
                <w:szCs w:val="24"/>
                <w:highlight w:val="none"/>
              </w:rPr>
            </w:pPr>
          </w:p>
        </w:tc>
        <w:tc>
          <w:tcPr>
            <w:tcW w:w="1356" w:type="dxa"/>
            <w:tcBorders>
              <w:top w:val="single" w:color="auto" w:sz="4" w:space="0"/>
              <w:bottom w:val="single" w:color="auto" w:sz="4" w:space="0"/>
            </w:tcBorders>
            <w:noWrap w:val="0"/>
            <w:vAlign w:val="center"/>
          </w:tcPr>
          <w:p w14:paraId="07E603EC">
            <w:pPr>
              <w:spacing w:line="400" w:lineRule="exact"/>
              <w:jc w:val="center"/>
              <w:rPr>
                <w:rFonts w:hint="eastAsia" w:ascii="宋体" w:hAnsi="宋体" w:eastAsia="宋体" w:cs="宋体"/>
                <w:sz w:val="24"/>
                <w:szCs w:val="24"/>
                <w:highlight w:val="none"/>
              </w:rPr>
            </w:pPr>
          </w:p>
        </w:tc>
        <w:tc>
          <w:tcPr>
            <w:tcW w:w="1320" w:type="dxa"/>
            <w:tcBorders>
              <w:top w:val="single" w:color="auto" w:sz="4" w:space="0"/>
              <w:bottom w:val="single" w:color="auto" w:sz="4" w:space="0"/>
            </w:tcBorders>
            <w:noWrap w:val="0"/>
            <w:vAlign w:val="center"/>
          </w:tcPr>
          <w:p w14:paraId="4C13A455">
            <w:pPr>
              <w:spacing w:line="400" w:lineRule="exact"/>
              <w:jc w:val="center"/>
              <w:rPr>
                <w:rFonts w:hint="eastAsia" w:ascii="宋体" w:hAnsi="宋体" w:eastAsia="宋体" w:cs="宋体"/>
                <w:sz w:val="24"/>
                <w:szCs w:val="24"/>
                <w:highlight w:val="none"/>
              </w:rPr>
            </w:pPr>
          </w:p>
        </w:tc>
        <w:tc>
          <w:tcPr>
            <w:tcW w:w="1267" w:type="dxa"/>
            <w:tcBorders>
              <w:top w:val="single" w:color="auto" w:sz="4" w:space="0"/>
              <w:bottom w:val="single" w:color="auto" w:sz="4" w:space="0"/>
            </w:tcBorders>
            <w:noWrap w:val="0"/>
            <w:vAlign w:val="center"/>
          </w:tcPr>
          <w:p w14:paraId="4371008D">
            <w:pPr>
              <w:spacing w:line="400" w:lineRule="exact"/>
              <w:jc w:val="center"/>
              <w:rPr>
                <w:rFonts w:hint="eastAsia" w:ascii="宋体" w:hAnsi="宋体" w:eastAsia="宋体" w:cs="宋体"/>
                <w:sz w:val="24"/>
                <w:szCs w:val="24"/>
                <w:highlight w:val="none"/>
              </w:rPr>
            </w:pPr>
          </w:p>
        </w:tc>
        <w:tc>
          <w:tcPr>
            <w:tcW w:w="1163" w:type="dxa"/>
            <w:gridSpan w:val="2"/>
            <w:tcBorders>
              <w:top w:val="single" w:color="auto" w:sz="4" w:space="0"/>
              <w:bottom w:val="single" w:color="auto" w:sz="4" w:space="0"/>
              <w:right w:val="single" w:color="auto" w:sz="4" w:space="0"/>
            </w:tcBorders>
            <w:noWrap w:val="0"/>
            <w:vAlign w:val="center"/>
          </w:tcPr>
          <w:p w14:paraId="72E90676">
            <w:pPr>
              <w:spacing w:line="400" w:lineRule="exact"/>
              <w:jc w:val="center"/>
              <w:rPr>
                <w:rFonts w:hint="eastAsia" w:ascii="宋体" w:hAnsi="宋体" w:eastAsia="宋体" w:cs="宋体"/>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2B792F8A">
            <w:pPr>
              <w:spacing w:line="400" w:lineRule="exact"/>
              <w:jc w:val="center"/>
              <w:rPr>
                <w:rFonts w:hint="eastAsia" w:ascii="宋体" w:hAnsi="宋体" w:eastAsia="宋体" w:cs="宋体"/>
                <w:sz w:val="24"/>
                <w:szCs w:val="24"/>
                <w:highlight w:val="none"/>
              </w:rPr>
            </w:pPr>
          </w:p>
        </w:tc>
        <w:tc>
          <w:tcPr>
            <w:tcW w:w="1451" w:type="dxa"/>
            <w:gridSpan w:val="2"/>
            <w:tcBorders>
              <w:top w:val="single" w:color="auto" w:sz="4" w:space="0"/>
              <w:left w:val="single" w:color="auto" w:sz="4" w:space="0"/>
              <w:bottom w:val="single" w:color="auto" w:sz="4" w:space="0"/>
            </w:tcBorders>
            <w:noWrap w:val="0"/>
            <w:vAlign w:val="center"/>
          </w:tcPr>
          <w:p w14:paraId="3222FF21">
            <w:pPr>
              <w:spacing w:line="400" w:lineRule="exact"/>
              <w:jc w:val="center"/>
              <w:rPr>
                <w:rFonts w:hint="eastAsia" w:ascii="宋体" w:hAnsi="宋体" w:eastAsia="宋体" w:cs="宋体"/>
                <w:sz w:val="24"/>
                <w:szCs w:val="24"/>
                <w:highlight w:val="none"/>
              </w:rPr>
            </w:pPr>
          </w:p>
        </w:tc>
        <w:tc>
          <w:tcPr>
            <w:tcW w:w="1168" w:type="dxa"/>
            <w:tcBorders>
              <w:top w:val="single" w:color="auto" w:sz="4" w:space="0"/>
              <w:left w:val="single" w:color="auto" w:sz="4" w:space="0"/>
              <w:bottom w:val="single" w:color="auto" w:sz="4" w:space="0"/>
            </w:tcBorders>
            <w:noWrap w:val="0"/>
            <w:vAlign w:val="top"/>
          </w:tcPr>
          <w:p w14:paraId="0882AC47">
            <w:pPr>
              <w:spacing w:line="400" w:lineRule="exact"/>
              <w:jc w:val="center"/>
              <w:rPr>
                <w:rFonts w:hint="eastAsia" w:ascii="宋体" w:hAnsi="宋体" w:eastAsia="宋体" w:cs="宋体"/>
                <w:sz w:val="24"/>
                <w:szCs w:val="24"/>
                <w:highlight w:val="none"/>
              </w:rPr>
            </w:pPr>
          </w:p>
        </w:tc>
      </w:tr>
      <w:tr w14:paraId="1DF7BD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tcBorders>
              <w:top w:val="single" w:color="auto" w:sz="4" w:space="0"/>
              <w:bottom w:val="single" w:color="auto" w:sz="4" w:space="0"/>
            </w:tcBorders>
            <w:noWrap w:val="0"/>
            <w:vAlign w:val="center"/>
          </w:tcPr>
          <w:p w14:paraId="59151EFB">
            <w:pPr>
              <w:spacing w:line="400" w:lineRule="exact"/>
              <w:jc w:val="center"/>
              <w:rPr>
                <w:rFonts w:hint="eastAsia" w:ascii="宋体" w:hAnsi="宋体" w:eastAsia="宋体" w:cs="宋体"/>
                <w:sz w:val="24"/>
                <w:szCs w:val="24"/>
                <w:highlight w:val="none"/>
              </w:rPr>
            </w:pPr>
          </w:p>
        </w:tc>
        <w:tc>
          <w:tcPr>
            <w:tcW w:w="1356" w:type="dxa"/>
            <w:tcBorders>
              <w:top w:val="single" w:color="auto" w:sz="4" w:space="0"/>
              <w:bottom w:val="single" w:color="auto" w:sz="4" w:space="0"/>
            </w:tcBorders>
            <w:noWrap w:val="0"/>
            <w:vAlign w:val="center"/>
          </w:tcPr>
          <w:p w14:paraId="7FA9BE3A">
            <w:pPr>
              <w:spacing w:line="400" w:lineRule="exact"/>
              <w:jc w:val="center"/>
              <w:rPr>
                <w:rFonts w:hint="eastAsia" w:ascii="宋体" w:hAnsi="宋体" w:eastAsia="宋体" w:cs="宋体"/>
                <w:sz w:val="24"/>
                <w:szCs w:val="24"/>
                <w:highlight w:val="none"/>
              </w:rPr>
            </w:pPr>
          </w:p>
        </w:tc>
        <w:tc>
          <w:tcPr>
            <w:tcW w:w="1320" w:type="dxa"/>
            <w:tcBorders>
              <w:top w:val="single" w:color="auto" w:sz="4" w:space="0"/>
              <w:bottom w:val="single" w:color="auto" w:sz="4" w:space="0"/>
            </w:tcBorders>
            <w:noWrap w:val="0"/>
            <w:vAlign w:val="center"/>
          </w:tcPr>
          <w:p w14:paraId="2495C2E5">
            <w:pPr>
              <w:spacing w:line="400" w:lineRule="exact"/>
              <w:jc w:val="center"/>
              <w:rPr>
                <w:rFonts w:hint="eastAsia" w:ascii="宋体" w:hAnsi="宋体" w:eastAsia="宋体" w:cs="宋体"/>
                <w:sz w:val="24"/>
                <w:szCs w:val="24"/>
                <w:highlight w:val="none"/>
              </w:rPr>
            </w:pPr>
          </w:p>
        </w:tc>
        <w:tc>
          <w:tcPr>
            <w:tcW w:w="1267" w:type="dxa"/>
            <w:tcBorders>
              <w:top w:val="single" w:color="auto" w:sz="4" w:space="0"/>
              <w:bottom w:val="single" w:color="auto" w:sz="4" w:space="0"/>
            </w:tcBorders>
            <w:noWrap w:val="0"/>
            <w:vAlign w:val="center"/>
          </w:tcPr>
          <w:p w14:paraId="05CF4D6F">
            <w:pPr>
              <w:spacing w:line="400" w:lineRule="exact"/>
              <w:jc w:val="center"/>
              <w:rPr>
                <w:rFonts w:hint="eastAsia" w:ascii="宋体" w:hAnsi="宋体" w:eastAsia="宋体" w:cs="宋体"/>
                <w:sz w:val="24"/>
                <w:szCs w:val="24"/>
                <w:highlight w:val="none"/>
              </w:rPr>
            </w:pPr>
          </w:p>
        </w:tc>
        <w:tc>
          <w:tcPr>
            <w:tcW w:w="1163" w:type="dxa"/>
            <w:gridSpan w:val="2"/>
            <w:tcBorders>
              <w:top w:val="single" w:color="auto" w:sz="4" w:space="0"/>
              <w:bottom w:val="single" w:color="auto" w:sz="4" w:space="0"/>
              <w:right w:val="single" w:color="auto" w:sz="4" w:space="0"/>
            </w:tcBorders>
            <w:noWrap w:val="0"/>
            <w:vAlign w:val="center"/>
          </w:tcPr>
          <w:p w14:paraId="6C63588E">
            <w:pPr>
              <w:spacing w:line="400" w:lineRule="exact"/>
              <w:jc w:val="center"/>
              <w:rPr>
                <w:rFonts w:hint="eastAsia" w:ascii="宋体" w:hAnsi="宋体" w:eastAsia="宋体" w:cs="宋体"/>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234D24D7">
            <w:pPr>
              <w:spacing w:line="400" w:lineRule="exact"/>
              <w:jc w:val="center"/>
              <w:rPr>
                <w:rFonts w:hint="eastAsia" w:ascii="宋体" w:hAnsi="宋体" w:eastAsia="宋体" w:cs="宋体"/>
                <w:sz w:val="24"/>
                <w:szCs w:val="24"/>
                <w:highlight w:val="none"/>
              </w:rPr>
            </w:pPr>
          </w:p>
        </w:tc>
        <w:tc>
          <w:tcPr>
            <w:tcW w:w="1451" w:type="dxa"/>
            <w:gridSpan w:val="2"/>
            <w:tcBorders>
              <w:top w:val="single" w:color="auto" w:sz="4" w:space="0"/>
              <w:left w:val="single" w:color="auto" w:sz="4" w:space="0"/>
              <w:bottom w:val="single" w:color="auto" w:sz="4" w:space="0"/>
            </w:tcBorders>
            <w:noWrap w:val="0"/>
            <w:vAlign w:val="center"/>
          </w:tcPr>
          <w:p w14:paraId="47E2874A">
            <w:pPr>
              <w:spacing w:line="400" w:lineRule="exact"/>
              <w:jc w:val="center"/>
              <w:rPr>
                <w:rFonts w:hint="eastAsia" w:ascii="宋体" w:hAnsi="宋体" w:eastAsia="宋体" w:cs="宋体"/>
                <w:sz w:val="24"/>
                <w:szCs w:val="24"/>
                <w:highlight w:val="none"/>
              </w:rPr>
            </w:pPr>
          </w:p>
        </w:tc>
        <w:tc>
          <w:tcPr>
            <w:tcW w:w="1168" w:type="dxa"/>
            <w:tcBorders>
              <w:top w:val="single" w:color="auto" w:sz="4" w:space="0"/>
              <w:left w:val="single" w:color="auto" w:sz="4" w:space="0"/>
              <w:bottom w:val="single" w:color="auto" w:sz="4" w:space="0"/>
            </w:tcBorders>
            <w:noWrap w:val="0"/>
            <w:vAlign w:val="top"/>
          </w:tcPr>
          <w:p w14:paraId="0B2420D2">
            <w:pPr>
              <w:spacing w:line="400" w:lineRule="exact"/>
              <w:jc w:val="center"/>
              <w:rPr>
                <w:rFonts w:hint="eastAsia" w:ascii="宋体" w:hAnsi="宋体" w:eastAsia="宋体" w:cs="宋体"/>
                <w:sz w:val="24"/>
                <w:szCs w:val="24"/>
                <w:highlight w:val="none"/>
              </w:rPr>
            </w:pPr>
          </w:p>
        </w:tc>
      </w:tr>
      <w:tr w14:paraId="368255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tcBorders>
              <w:top w:val="single" w:color="auto" w:sz="4" w:space="0"/>
              <w:bottom w:val="single" w:color="auto" w:sz="4" w:space="0"/>
            </w:tcBorders>
            <w:noWrap w:val="0"/>
            <w:vAlign w:val="center"/>
          </w:tcPr>
          <w:p w14:paraId="04296E10">
            <w:pPr>
              <w:spacing w:line="400" w:lineRule="exact"/>
              <w:jc w:val="center"/>
              <w:rPr>
                <w:rFonts w:hint="eastAsia" w:ascii="宋体" w:hAnsi="宋体" w:eastAsia="宋体" w:cs="宋体"/>
                <w:sz w:val="24"/>
                <w:szCs w:val="24"/>
                <w:highlight w:val="none"/>
              </w:rPr>
            </w:pPr>
          </w:p>
        </w:tc>
        <w:tc>
          <w:tcPr>
            <w:tcW w:w="1356" w:type="dxa"/>
            <w:tcBorders>
              <w:top w:val="single" w:color="auto" w:sz="4" w:space="0"/>
              <w:bottom w:val="single" w:color="auto" w:sz="4" w:space="0"/>
            </w:tcBorders>
            <w:noWrap w:val="0"/>
            <w:vAlign w:val="center"/>
          </w:tcPr>
          <w:p w14:paraId="75F7670B">
            <w:pPr>
              <w:spacing w:line="400" w:lineRule="exact"/>
              <w:jc w:val="center"/>
              <w:rPr>
                <w:rFonts w:hint="eastAsia" w:ascii="宋体" w:hAnsi="宋体" w:eastAsia="宋体" w:cs="宋体"/>
                <w:sz w:val="24"/>
                <w:szCs w:val="24"/>
                <w:highlight w:val="none"/>
              </w:rPr>
            </w:pPr>
          </w:p>
        </w:tc>
        <w:tc>
          <w:tcPr>
            <w:tcW w:w="1320" w:type="dxa"/>
            <w:tcBorders>
              <w:top w:val="single" w:color="auto" w:sz="4" w:space="0"/>
              <w:bottom w:val="single" w:color="auto" w:sz="4" w:space="0"/>
            </w:tcBorders>
            <w:noWrap w:val="0"/>
            <w:vAlign w:val="center"/>
          </w:tcPr>
          <w:p w14:paraId="67E86302">
            <w:pPr>
              <w:spacing w:line="400" w:lineRule="exact"/>
              <w:jc w:val="center"/>
              <w:rPr>
                <w:rFonts w:hint="eastAsia" w:ascii="宋体" w:hAnsi="宋体" w:eastAsia="宋体" w:cs="宋体"/>
                <w:sz w:val="24"/>
                <w:szCs w:val="24"/>
                <w:highlight w:val="none"/>
              </w:rPr>
            </w:pPr>
          </w:p>
        </w:tc>
        <w:tc>
          <w:tcPr>
            <w:tcW w:w="1267" w:type="dxa"/>
            <w:tcBorders>
              <w:top w:val="single" w:color="auto" w:sz="4" w:space="0"/>
              <w:bottom w:val="single" w:color="auto" w:sz="4" w:space="0"/>
            </w:tcBorders>
            <w:noWrap w:val="0"/>
            <w:vAlign w:val="center"/>
          </w:tcPr>
          <w:p w14:paraId="326E907F">
            <w:pPr>
              <w:spacing w:line="400" w:lineRule="exact"/>
              <w:jc w:val="center"/>
              <w:rPr>
                <w:rFonts w:hint="eastAsia" w:ascii="宋体" w:hAnsi="宋体" w:eastAsia="宋体" w:cs="宋体"/>
                <w:sz w:val="24"/>
                <w:szCs w:val="24"/>
                <w:highlight w:val="none"/>
              </w:rPr>
            </w:pPr>
          </w:p>
        </w:tc>
        <w:tc>
          <w:tcPr>
            <w:tcW w:w="1163" w:type="dxa"/>
            <w:gridSpan w:val="2"/>
            <w:tcBorders>
              <w:top w:val="single" w:color="auto" w:sz="4" w:space="0"/>
              <w:bottom w:val="single" w:color="auto" w:sz="4" w:space="0"/>
              <w:right w:val="single" w:color="auto" w:sz="4" w:space="0"/>
            </w:tcBorders>
            <w:noWrap w:val="0"/>
            <w:vAlign w:val="center"/>
          </w:tcPr>
          <w:p w14:paraId="37069F18">
            <w:pPr>
              <w:spacing w:line="400" w:lineRule="exact"/>
              <w:jc w:val="center"/>
              <w:rPr>
                <w:rFonts w:hint="eastAsia" w:ascii="宋体" w:hAnsi="宋体" w:eastAsia="宋体" w:cs="宋体"/>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A4064F2">
            <w:pPr>
              <w:spacing w:line="400" w:lineRule="exact"/>
              <w:jc w:val="center"/>
              <w:rPr>
                <w:rFonts w:hint="eastAsia" w:ascii="宋体" w:hAnsi="宋体" w:eastAsia="宋体" w:cs="宋体"/>
                <w:sz w:val="24"/>
                <w:szCs w:val="24"/>
                <w:highlight w:val="none"/>
              </w:rPr>
            </w:pPr>
          </w:p>
        </w:tc>
        <w:tc>
          <w:tcPr>
            <w:tcW w:w="1451" w:type="dxa"/>
            <w:gridSpan w:val="2"/>
            <w:tcBorders>
              <w:top w:val="single" w:color="auto" w:sz="4" w:space="0"/>
              <w:left w:val="single" w:color="auto" w:sz="4" w:space="0"/>
              <w:bottom w:val="single" w:color="auto" w:sz="4" w:space="0"/>
            </w:tcBorders>
            <w:noWrap w:val="0"/>
            <w:vAlign w:val="center"/>
          </w:tcPr>
          <w:p w14:paraId="42073A31">
            <w:pPr>
              <w:spacing w:line="400" w:lineRule="exact"/>
              <w:jc w:val="center"/>
              <w:rPr>
                <w:rFonts w:hint="eastAsia" w:ascii="宋体" w:hAnsi="宋体" w:eastAsia="宋体" w:cs="宋体"/>
                <w:sz w:val="24"/>
                <w:szCs w:val="24"/>
                <w:highlight w:val="none"/>
              </w:rPr>
            </w:pPr>
          </w:p>
        </w:tc>
        <w:tc>
          <w:tcPr>
            <w:tcW w:w="1168" w:type="dxa"/>
            <w:tcBorders>
              <w:top w:val="single" w:color="auto" w:sz="4" w:space="0"/>
              <w:left w:val="single" w:color="auto" w:sz="4" w:space="0"/>
              <w:bottom w:val="single" w:color="auto" w:sz="4" w:space="0"/>
            </w:tcBorders>
            <w:noWrap w:val="0"/>
            <w:vAlign w:val="top"/>
          </w:tcPr>
          <w:p w14:paraId="573FCB1E">
            <w:pPr>
              <w:spacing w:line="400" w:lineRule="exact"/>
              <w:jc w:val="center"/>
              <w:rPr>
                <w:rFonts w:hint="eastAsia" w:ascii="宋体" w:hAnsi="宋体" w:eastAsia="宋体" w:cs="宋体"/>
                <w:sz w:val="24"/>
                <w:szCs w:val="24"/>
                <w:highlight w:val="none"/>
              </w:rPr>
            </w:pPr>
          </w:p>
        </w:tc>
      </w:tr>
      <w:tr w14:paraId="08E04C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04" w:type="dxa"/>
            <w:tcBorders>
              <w:top w:val="single" w:color="auto" w:sz="4" w:space="0"/>
            </w:tcBorders>
            <w:noWrap w:val="0"/>
            <w:vAlign w:val="center"/>
          </w:tcPr>
          <w:p w14:paraId="1E2B7234">
            <w:pPr>
              <w:spacing w:line="400" w:lineRule="exact"/>
              <w:jc w:val="center"/>
              <w:rPr>
                <w:rFonts w:hint="eastAsia" w:ascii="宋体" w:hAnsi="宋体" w:eastAsia="宋体" w:cs="宋体"/>
                <w:sz w:val="24"/>
                <w:szCs w:val="24"/>
                <w:highlight w:val="none"/>
              </w:rPr>
            </w:pPr>
          </w:p>
        </w:tc>
        <w:tc>
          <w:tcPr>
            <w:tcW w:w="1356" w:type="dxa"/>
            <w:tcBorders>
              <w:top w:val="single" w:color="auto" w:sz="4" w:space="0"/>
            </w:tcBorders>
            <w:noWrap w:val="0"/>
            <w:vAlign w:val="center"/>
          </w:tcPr>
          <w:p w14:paraId="7C2F82CB">
            <w:pPr>
              <w:spacing w:line="400" w:lineRule="exact"/>
              <w:jc w:val="center"/>
              <w:rPr>
                <w:rFonts w:hint="eastAsia" w:ascii="宋体" w:hAnsi="宋体" w:eastAsia="宋体" w:cs="宋体"/>
                <w:sz w:val="24"/>
                <w:szCs w:val="24"/>
                <w:highlight w:val="none"/>
              </w:rPr>
            </w:pPr>
          </w:p>
        </w:tc>
        <w:tc>
          <w:tcPr>
            <w:tcW w:w="1320" w:type="dxa"/>
            <w:tcBorders>
              <w:top w:val="single" w:color="auto" w:sz="4" w:space="0"/>
            </w:tcBorders>
            <w:noWrap w:val="0"/>
            <w:vAlign w:val="center"/>
          </w:tcPr>
          <w:p w14:paraId="05B1A4CB">
            <w:pPr>
              <w:spacing w:line="400" w:lineRule="exact"/>
              <w:jc w:val="center"/>
              <w:rPr>
                <w:rFonts w:hint="eastAsia" w:ascii="宋体" w:hAnsi="宋体" w:eastAsia="宋体" w:cs="宋体"/>
                <w:sz w:val="24"/>
                <w:szCs w:val="24"/>
                <w:highlight w:val="none"/>
              </w:rPr>
            </w:pPr>
          </w:p>
        </w:tc>
        <w:tc>
          <w:tcPr>
            <w:tcW w:w="1267" w:type="dxa"/>
            <w:tcBorders>
              <w:top w:val="single" w:color="auto" w:sz="4" w:space="0"/>
            </w:tcBorders>
            <w:noWrap w:val="0"/>
            <w:vAlign w:val="center"/>
          </w:tcPr>
          <w:p w14:paraId="0E6D48F5">
            <w:pPr>
              <w:spacing w:line="400" w:lineRule="exact"/>
              <w:jc w:val="center"/>
              <w:rPr>
                <w:rFonts w:hint="eastAsia" w:ascii="宋体" w:hAnsi="宋体" w:eastAsia="宋体" w:cs="宋体"/>
                <w:sz w:val="24"/>
                <w:szCs w:val="24"/>
                <w:highlight w:val="none"/>
              </w:rPr>
            </w:pPr>
          </w:p>
        </w:tc>
        <w:tc>
          <w:tcPr>
            <w:tcW w:w="1163" w:type="dxa"/>
            <w:gridSpan w:val="2"/>
            <w:tcBorders>
              <w:top w:val="single" w:color="auto" w:sz="4" w:space="0"/>
              <w:right w:val="single" w:color="auto" w:sz="4" w:space="0"/>
            </w:tcBorders>
            <w:noWrap w:val="0"/>
            <w:vAlign w:val="center"/>
          </w:tcPr>
          <w:p w14:paraId="411B6436">
            <w:pPr>
              <w:spacing w:line="400" w:lineRule="exact"/>
              <w:jc w:val="center"/>
              <w:rPr>
                <w:rFonts w:hint="eastAsia" w:ascii="宋体" w:hAnsi="宋体" w:eastAsia="宋体" w:cs="宋体"/>
                <w:sz w:val="24"/>
                <w:szCs w:val="24"/>
                <w:highlight w:val="none"/>
              </w:rPr>
            </w:pPr>
          </w:p>
        </w:tc>
        <w:tc>
          <w:tcPr>
            <w:tcW w:w="1356" w:type="dxa"/>
            <w:tcBorders>
              <w:top w:val="single" w:color="auto" w:sz="4" w:space="0"/>
              <w:left w:val="single" w:color="auto" w:sz="4" w:space="0"/>
              <w:right w:val="single" w:color="auto" w:sz="4" w:space="0"/>
            </w:tcBorders>
            <w:noWrap w:val="0"/>
            <w:vAlign w:val="center"/>
          </w:tcPr>
          <w:p w14:paraId="75C96F1F">
            <w:pPr>
              <w:spacing w:line="400" w:lineRule="exact"/>
              <w:jc w:val="center"/>
              <w:rPr>
                <w:rFonts w:hint="eastAsia" w:ascii="宋体" w:hAnsi="宋体" w:eastAsia="宋体" w:cs="宋体"/>
                <w:sz w:val="24"/>
                <w:szCs w:val="24"/>
                <w:highlight w:val="none"/>
              </w:rPr>
            </w:pPr>
          </w:p>
        </w:tc>
        <w:tc>
          <w:tcPr>
            <w:tcW w:w="1451" w:type="dxa"/>
            <w:gridSpan w:val="2"/>
            <w:tcBorders>
              <w:top w:val="single" w:color="auto" w:sz="4" w:space="0"/>
              <w:left w:val="single" w:color="auto" w:sz="4" w:space="0"/>
            </w:tcBorders>
            <w:noWrap w:val="0"/>
            <w:vAlign w:val="center"/>
          </w:tcPr>
          <w:p w14:paraId="5810F3FF">
            <w:pPr>
              <w:spacing w:line="400" w:lineRule="exact"/>
              <w:jc w:val="center"/>
              <w:rPr>
                <w:rFonts w:hint="eastAsia" w:ascii="宋体" w:hAnsi="宋体" w:eastAsia="宋体" w:cs="宋体"/>
                <w:sz w:val="24"/>
                <w:szCs w:val="24"/>
                <w:highlight w:val="none"/>
              </w:rPr>
            </w:pPr>
          </w:p>
        </w:tc>
        <w:tc>
          <w:tcPr>
            <w:tcW w:w="1168" w:type="dxa"/>
            <w:tcBorders>
              <w:top w:val="single" w:color="auto" w:sz="4" w:space="0"/>
              <w:left w:val="single" w:color="auto" w:sz="4" w:space="0"/>
            </w:tcBorders>
            <w:noWrap w:val="0"/>
            <w:vAlign w:val="top"/>
          </w:tcPr>
          <w:p w14:paraId="48CF9256">
            <w:pPr>
              <w:spacing w:line="400" w:lineRule="exact"/>
              <w:jc w:val="center"/>
              <w:rPr>
                <w:rFonts w:hint="eastAsia" w:ascii="宋体" w:hAnsi="宋体" w:eastAsia="宋体" w:cs="宋体"/>
                <w:sz w:val="24"/>
                <w:szCs w:val="24"/>
                <w:highlight w:val="none"/>
              </w:rPr>
            </w:pPr>
          </w:p>
        </w:tc>
      </w:tr>
    </w:tbl>
    <w:p w14:paraId="272E0D9C">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注：供应商（仅限于供应商自身实施的）以上业绩需提供有关书面证明材料。“合同金额”需提供合同复印件；“完成项目质量”需提供合同验收合格或用户单位书面证明材料。</w:t>
      </w:r>
    </w:p>
    <w:p w14:paraId="7A50282C">
      <w:pPr>
        <w:spacing w:line="400" w:lineRule="exact"/>
        <w:ind w:left="360"/>
        <w:jc w:val="center"/>
        <w:rPr>
          <w:rFonts w:hint="eastAsia" w:ascii="宋体" w:hAnsi="宋体" w:eastAsia="宋体" w:cs="宋体"/>
          <w:sz w:val="24"/>
          <w:szCs w:val="24"/>
          <w:highlight w:val="none"/>
        </w:rPr>
      </w:pPr>
    </w:p>
    <w:p w14:paraId="028B8281">
      <w:pPr>
        <w:spacing w:line="400" w:lineRule="exact"/>
        <w:ind w:left="360"/>
        <w:jc w:val="center"/>
        <w:rPr>
          <w:rFonts w:hint="eastAsia" w:ascii="宋体" w:hAnsi="宋体" w:eastAsia="宋体" w:cs="宋体"/>
          <w:sz w:val="24"/>
          <w:szCs w:val="24"/>
          <w:highlight w:val="none"/>
        </w:rPr>
      </w:pPr>
    </w:p>
    <w:p w14:paraId="5FDA9976">
      <w:pPr>
        <w:adjustRightInd w:val="0"/>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供应商（盖章）</w:t>
      </w:r>
      <w:r>
        <w:rPr>
          <w:rFonts w:hint="eastAsia" w:ascii="宋体" w:hAnsi="宋体" w:eastAsia="宋体" w:cs="宋体"/>
          <w:sz w:val="24"/>
          <w:szCs w:val="24"/>
          <w:highlight w:val="none"/>
          <w:lang w:eastAsia="zh-CN"/>
        </w:rPr>
        <w:t>：</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33EDB642">
      <w:pPr>
        <w:adjustRightInd w:val="0"/>
        <w:spacing w:line="400" w:lineRule="exact"/>
        <w:ind w:firstLine="480" w:firstLineChars="200"/>
        <w:jc w:val="left"/>
        <w:rPr>
          <w:rFonts w:hint="eastAsia" w:ascii="宋体" w:hAnsi="宋体" w:eastAsia="宋体" w:cs="宋体"/>
          <w:sz w:val="24"/>
          <w:szCs w:val="24"/>
          <w:highlight w:val="none"/>
        </w:rPr>
      </w:pPr>
    </w:p>
    <w:p w14:paraId="560F5B69">
      <w:pPr>
        <w:adjustRightIn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法定代表人或委托代理人（签字或盖章）</w:t>
      </w:r>
      <w:r>
        <w:rPr>
          <w:rFonts w:hint="eastAsia" w:ascii="宋体" w:hAnsi="宋体" w:eastAsia="宋体" w:cs="宋体"/>
          <w:bCs/>
          <w:sz w:val="24"/>
          <w:szCs w:val="24"/>
          <w:highlight w:val="none"/>
        </w:rPr>
        <w:t>：</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23B1BC82">
      <w:pPr>
        <w:pStyle w:val="9"/>
        <w:ind w:left="0" w:leftChars="0"/>
        <w:rPr>
          <w:rFonts w:hint="eastAsia" w:ascii="宋体" w:hAnsi="宋体" w:eastAsia="宋体" w:cs="宋体"/>
          <w:sz w:val="24"/>
          <w:szCs w:val="24"/>
          <w:highlight w:val="none"/>
        </w:rPr>
      </w:pPr>
    </w:p>
    <w:p w14:paraId="0ACE2DC4">
      <w:pPr>
        <w:spacing w:line="400" w:lineRule="exact"/>
        <w:ind w:right="480"/>
        <w:jc w:val="left"/>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日期：</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u w:val="single"/>
        </w:rPr>
        <w:t xml:space="preserve">    年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月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日</w:t>
      </w:r>
    </w:p>
    <w:p w14:paraId="0F387F61">
      <w:pPr>
        <w:widowControl/>
        <w:jc w:val="left"/>
        <w:rPr>
          <w:rFonts w:hint="eastAsia" w:ascii="宋体" w:hAnsi="宋体" w:eastAsia="宋体" w:cs="宋体"/>
          <w:sz w:val="24"/>
          <w:szCs w:val="24"/>
          <w:highlight w:val="none"/>
        </w:rPr>
      </w:pPr>
    </w:p>
    <w:p w14:paraId="7302A780">
      <w:pPr>
        <w:spacing w:line="572" w:lineRule="atLeast"/>
        <w:jc w:val="center"/>
        <w:rPr>
          <w:rFonts w:hint="eastAsia" w:ascii="宋体" w:hAnsi="宋体" w:eastAsia="宋体" w:cs="宋体"/>
          <w:b/>
          <w:sz w:val="24"/>
          <w:szCs w:val="24"/>
          <w:highlight w:val="none"/>
        </w:rPr>
      </w:pPr>
    </w:p>
    <w:p w14:paraId="6DD18007">
      <w:pPr>
        <w:spacing w:line="360" w:lineRule="auto"/>
        <w:ind w:firstLine="3132" w:firstLineChars="1300"/>
        <w:jc w:val="both"/>
        <w:rPr>
          <w:rFonts w:ascii="宋体" w:hAnsi="宋体" w:cs="宋体"/>
          <w:b/>
          <w:sz w:val="24"/>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格式1</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w:t>
      </w:r>
      <w:r>
        <w:rPr>
          <w:rFonts w:hint="eastAsia" w:ascii="宋体" w:hAnsi="宋体" w:cs="宋体"/>
          <w:b/>
          <w:sz w:val="24"/>
        </w:rPr>
        <w:t>技术规格响应偏离表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228"/>
        <w:gridCol w:w="2228"/>
        <w:gridCol w:w="2228"/>
        <w:gridCol w:w="2228"/>
      </w:tblGrid>
      <w:tr w14:paraId="057A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1004A892">
            <w:pPr>
              <w:spacing w:line="360" w:lineRule="auto"/>
              <w:jc w:val="center"/>
              <w:rPr>
                <w:rFonts w:ascii="宋体" w:hAnsi="宋体" w:cs="宋体"/>
                <w:sz w:val="24"/>
              </w:rPr>
            </w:pPr>
            <w:r>
              <w:rPr>
                <w:rFonts w:hint="eastAsia" w:ascii="宋体" w:hAnsi="宋体" w:cs="宋体"/>
                <w:sz w:val="24"/>
              </w:rPr>
              <w:t>序号</w:t>
            </w:r>
          </w:p>
        </w:tc>
        <w:tc>
          <w:tcPr>
            <w:tcW w:w="2228" w:type="dxa"/>
            <w:vAlign w:val="center"/>
          </w:tcPr>
          <w:p w14:paraId="0B5F8DF0">
            <w:pPr>
              <w:spacing w:line="360" w:lineRule="auto"/>
              <w:jc w:val="center"/>
              <w:rPr>
                <w:rFonts w:ascii="宋体" w:hAnsi="宋体" w:cs="宋体"/>
                <w:sz w:val="24"/>
              </w:rPr>
            </w:pPr>
            <w:r>
              <w:rPr>
                <w:rFonts w:hint="eastAsia" w:ascii="宋体" w:hAnsi="宋体" w:cs="宋体"/>
                <w:sz w:val="24"/>
              </w:rPr>
              <w:t>内容及要求</w:t>
            </w:r>
          </w:p>
        </w:tc>
        <w:tc>
          <w:tcPr>
            <w:tcW w:w="2228" w:type="dxa"/>
            <w:vAlign w:val="center"/>
          </w:tcPr>
          <w:p w14:paraId="1D416775">
            <w:pPr>
              <w:spacing w:line="360" w:lineRule="auto"/>
              <w:jc w:val="center"/>
              <w:rPr>
                <w:rFonts w:ascii="宋体" w:hAnsi="宋体" w:cs="宋体"/>
                <w:sz w:val="24"/>
              </w:rPr>
            </w:pPr>
            <w:r>
              <w:rPr>
                <w:rFonts w:hint="eastAsia" w:ascii="宋体" w:hAnsi="宋体" w:cs="宋体"/>
                <w:sz w:val="24"/>
              </w:rPr>
              <w:t>招标要求</w:t>
            </w:r>
          </w:p>
        </w:tc>
        <w:tc>
          <w:tcPr>
            <w:tcW w:w="2228" w:type="dxa"/>
            <w:vAlign w:val="center"/>
          </w:tcPr>
          <w:p w14:paraId="4D38DE6E">
            <w:pPr>
              <w:spacing w:line="360" w:lineRule="auto"/>
              <w:jc w:val="center"/>
              <w:rPr>
                <w:rFonts w:ascii="宋体" w:hAnsi="宋体" w:cs="宋体"/>
                <w:sz w:val="24"/>
              </w:rPr>
            </w:pPr>
            <w:r>
              <w:rPr>
                <w:rFonts w:hint="eastAsia" w:ascii="宋体" w:hAnsi="宋体" w:cs="宋体"/>
                <w:sz w:val="24"/>
              </w:rPr>
              <w:t>投标规格</w:t>
            </w:r>
          </w:p>
        </w:tc>
        <w:tc>
          <w:tcPr>
            <w:tcW w:w="2228" w:type="dxa"/>
            <w:vAlign w:val="center"/>
          </w:tcPr>
          <w:p w14:paraId="317B6A3D">
            <w:pPr>
              <w:spacing w:line="360" w:lineRule="auto"/>
              <w:jc w:val="center"/>
              <w:rPr>
                <w:rFonts w:ascii="宋体" w:hAnsi="宋体" w:cs="宋体"/>
                <w:sz w:val="24"/>
              </w:rPr>
            </w:pPr>
            <w:r>
              <w:rPr>
                <w:rFonts w:hint="eastAsia" w:ascii="宋体" w:hAnsi="宋体" w:cs="宋体"/>
                <w:sz w:val="24"/>
              </w:rPr>
              <w:t>偏离说明</w:t>
            </w:r>
          </w:p>
        </w:tc>
      </w:tr>
      <w:tr w14:paraId="28DB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06A2BCFB">
            <w:pPr>
              <w:spacing w:line="360" w:lineRule="auto"/>
              <w:jc w:val="center"/>
              <w:rPr>
                <w:rFonts w:ascii="宋体" w:hAnsi="宋体" w:cs="宋体"/>
                <w:sz w:val="24"/>
              </w:rPr>
            </w:pPr>
          </w:p>
        </w:tc>
        <w:tc>
          <w:tcPr>
            <w:tcW w:w="2228" w:type="dxa"/>
            <w:vAlign w:val="center"/>
          </w:tcPr>
          <w:p w14:paraId="4B984D08">
            <w:pPr>
              <w:spacing w:line="360" w:lineRule="auto"/>
              <w:jc w:val="center"/>
              <w:rPr>
                <w:rFonts w:ascii="宋体" w:hAnsi="宋体" w:cs="宋体"/>
                <w:sz w:val="24"/>
              </w:rPr>
            </w:pPr>
          </w:p>
        </w:tc>
        <w:tc>
          <w:tcPr>
            <w:tcW w:w="2228" w:type="dxa"/>
            <w:vAlign w:val="center"/>
          </w:tcPr>
          <w:p w14:paraId="473EA663">
            <w:pPr>
              <w:spacing w:line="360" w:lineRule="auto"/>
              <w:jc w:val="center"/>
              <w:rPr>
                <w:rFonts w:ascii="宋体" w:hAnsi="宋体" w:cs="宋体"/>
                <w:sz w:val="24"/>
              </w:rPr>
            </w:pPr>
          </w:p>
        </w:tc>
        <w:tc>
          <w:tcPr>
            <w:tcW w:w="2228" w:type="dxa"/>
            <w:vAlign w:val="center"/>
          </w:tcPr>
          <w:p w14:paraId="3CD9D2F9">
            <w:pPr>
              <w:spacing w:line="360" w:lineRule="auto"/>
              <w:jc w:val="center"/>
              <w:rPr>
                <w:rFonts w:ascii="宋体" w:hAnsi="宋体" w:cs="宋体"/>
                <w:sz w:val="24"/>
              </w:rPr>
            </w:pPr>
          </w:p>
        </w:tc>
        <w:tc>
          <w:tcPr>
            <w:tcW w:w="2228" w:type="dxa"/>
            <w:vAlign w:val="center"/>
          </w:tcPr>
          <w:p w14:paraId="7424E35D">
            <w:pPr>
              <w:spacing w:line="360" w:lineRule="auto"/>
              <w:jc w:val="center"/>
              <w:rPr>
                <w:rFonts w:ascii="宋体" w:hAnsi="宋体" w:cs="宋体"/>
                <w:sz w:val="24"/>
              </w:rPr>
            </w:pPr>
          </w:p>
        </w:tc>
      </w:tr>
      <w:tr w14:paraId="43A6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20BA7AE8">
            <w:pPr>
              <w:spacing w:line="360" w:lineRule="auto"/>
              <w:jc w:val="center"/>
              <w:rPr>
                <w:rFonts w:ascii="宋体" w:hAnsi="宋体" w:cs="宋体"/>
                <w:sz w:val="24"/>
              </w:rPr>
            </w:pPr>
          </w:p>
        </w:tc>
        <w:tc>
          <w:tcPr>
            <w:tcW w:w="2228" w:type="dxa"/>
            <w:vAlign w:val="center"/>
          </w:tcPr>
          <w:p w14:paraId="528AFEE2">
            <w:pPr>
              <w:spacing w:line="360" w:lineRule="auto"/>
              <w:jc w:val="center"/>
              <w:rPr>
                <w:rFonts w:ascii="宋体" w:hAnsi="宋体" w:cs="宋体"/>
                <w:sz w:val="24"/>
              </w:rPr>
            </w:pPr>
          </w:p>
        </w:tc>
        <w:tc>
          <w:tcPr>
            <w:tcW w:w="2228" w:type="dxa"/>
            <w:vAlign w:val="center"/>
          </w:tcPr>
          <w:p w14:paraId="2C77E44E">
            <w:pPr>
              <w:spacing w:line="360" w:lineRule="auto"/>
              <w:jc w:val="center"/>
              <w:rPr>
                <w:rFonts w:ascii="宋体" w:hAnsi="宋体" w:cs="宋体"/>
                <w:sz w:val="24"/>
              </w:rPr>
            </w:pPr>
          </w:p>
        </w:tc>
        <w:tc>
          <w:tcPr>
            <w:tcW w:w="2228" w:type="dxa"/>
            <w:vAlign w:val="center"/>
          </w:tcPr>
          <w:p w14:paraId="61946D13">
            <w:pPr>
              <w:spacing w:line="360" w:lineRule="auto"/>
              <w:jc w:val="center"/>
              <w:rPr>
                <w:rFonts w:ascii="宋体" w:hAnsi="宋体" w:cs="宋体"/>
                <w:sz w:val="24"/>
              </w:rPr>
            </w:pPr>
          </w:p>
        </w:tc>
        <w:tc>
          <w:tcPr>
            <w:tcW w:w="2228" w:type="dxa"/>
            <w:vAlign w:val="center"/>
          </w:tcPr>
          <w:p w14:paraId="7DFF139B">
            <w:pPr>
              <w:spacing w:line="360" w:lineRule="auto"/>
              <w:jc w:val="center"/>
              <w:rPr>
                <w:rFonts w:ascii="宋体" w:hAnsi="宋体" w:cs="宋体"/>
                <w:sz w:val="24"/>
              </w:rPr>
            </w:pPr>
          </w:p>
        </w:tc>
      </w:tr>
      <w:tr w14:paraId="0EAA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723B2CAC">
            <w:pPr>
              <w:spacing w:line="360" w:lineRule="auto"/>
              <w:jc w:val="center"/>
              <w:rPr>
                <w:rFonts w:ascii="宋体" w:hAnsi="宋体" w:cs="宋体"/>
                <w:sz w:val="24"/>
              </w:rPr>
            </w:pPr>
          </w:p>
        </w:tc>
        <w:tc>
          <w:tcPr>
            <w:tcW w:w="2228" w:type="dxa"/>
            <w:vAlign w:val="center"/>
          </w:tcPr>
          <w:p w14:paraId="68304D0D">
            <w:pPr>
              <w:spacing w:line="360" w:lineRule="auto"/>
              <w:jc w:val="center"/>
              <w:rPr>
                <w:rFonts w:ascii="宋体" w:hAnsi="宋体" w:cs="宋体"/>
                <w:sz w:val="24"/>
              </w:rPr>
            </w:pPr>
          </w:p>
        </w:tc>
        <w:tc>
          <w:tcPr>
            <w:tcW w:w="2228" w:type="dxa"/>
            <w:vAlign w:val="center"/>
          </w:tcPr>
          <w:p w14:paraId="509D547D">
            <w:pPr>
              <w:spacing w:line="360" w:lineRule="auto"/>
              <w:jc w:val="center"/>
              <w:rPr>
                <w:rFonts w:ascii="宋体" w:hAnsi="宋体" w:cs="宋体"/>
                <w:sz w:val="24"/>
              </w:rPr>
            </w:pPr>
          </w:p>
        </w:tc>
        <w:tc>
          <w:tcPr>
            <w:tcW w:w="2228" w:type="dxa"/>
            <w:vAlign w:val="center"/>
          </w:tcPr>
          <w:p w14:paraId="10FAEA42">
            <w:pPr>
              <w:spacing w:line="360" w:lineRule="auto"/>
              <w:jc w:val="center"/>
              <w:rPr>
                <w:rFonts w:ascii="宋体" w:hAnsi="宋体" w:cs="宋体"/>
                <w:sz w:val="24"/>
              </w:rPr>
            </w:pPr>
          </w:p>
        </w:tc>
        <w:tc>
          <w:tcPr>
            <w:tcW w:w="2228" w:type="dxa"/>
            <w:vAlign w:val="center"/>
          </w:tcPr>
          <w:p w14:paraId="18AAA144">
            <w:pPr>
              <w:spacing w:line="360" w:lineRule="auto"/>
              <w:jc w:val="center"/>
              <w:rPr>
                <w:rFonts w:ascii="宋体" w:hAnsi="宋体" w:cs="宋体"/>
                <w:sz w:val="24"/>
              </w:rPr>
            </w:pPr>
          </w:p>
        </w:tc>
      </w:tr>
      <w:tr w14:paraId="098B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6009C869">
            <w:pPr>
              <w:spacing w:line="360" w:lineRule="auto"/>
              <w:jc w:val="center"/>
              <w:rPr>
                <w:rFonts w:ascii="宋体" w:hAnsi="宋体" w:cs="宋体"/>
                <w:sz w:val="24"/>
              </w:rPr>
            </w:pPr>
          </w:p>
        </w:tc>
        <w:tc>
          <w:tcPr>
            <w:tcW w:w="2228" w:type="dxa"/>
            <w:vAlign w:val="center"/>
          </w:tcPr>
          <w:p w14:paraId="5C589991">
            <w:pPr>
              <w:spacing w:line="360" w:lineRule="auto"/>
              <w:jc w:val="center"/>
              <w:rPr>
                <w:rFonts w:ascii="宋体" w:hAnsi="宋体" w:cs="宋体"/>
                <w:sz w:val="24"/>
              </w:rPr>
            </w:pPr>
          </w:p>
        </w:tc>
        <w:tc>
          <w:tcPr>
            <w:tcW w:w="2228" w:type="dxa"/>
            <w:vAlign w:val="center"/>
          </w:tcPr>
          <w:p w14:paraId="0D7B46BB">
            <w:pPr>
              <w:spacing w:line="360" w:lineRule="auto"/>
              <w:jc w:val="center"/>
              <w:rPr>
                <w:rFonts w:ascii="宋体" w:hAnsi="宋体" w:cs="宋体"/>
                <w:sz w:val="24"/>
              </w:rPr>
            </w:pPr>
          </w:p>
        </w:tc>
        <w:tc>
          <w:tcPr>
            <w:tcW w:w="2228" w:type="dxa"/>
            <w:vAlign w:val="center"/>
          </w:tcPr>
          <w:p w14:paraId="3C59D7C1">
            <w:pPr>
              <w:spacing w:line="360" w:lineRule="auto"/>
              <w:jc w:val="center"/>
              <w:rPr>
                <w:rFonts w:ascii="宋体" w:hAnsi="宋体" w:cs="宋体"/>
                <w:sz w:val="24"/>
              </w:rPr>
            </w:pPr>
          </w:p>
        </w:tc>
        <w:tc>
          <w:tcPr>
            <w:tcW w:w="2228" w:type="dxa"/>
            <w:vAlign w:val="center"/>
          </w:tcPr>
          <w:p w14:paraId="35ADC9B9">
            <w:pPr>
              <w:spacing w:line="360" w:lineRule="auto"/>
              <w:jc w:val="center"/>
              <w:rPr>
                <w:rFonts w:ascii="宋体" w:hAnsi="宋体" w:cs="宋体"/>
                <w:sz w:val="24"/>
              </w:rPr>
            </w:pPr>
          </w:p>
        </w:tc>
      </w:tr>
      <w:tr w14:paraId="77CD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27AFA13B">
            <w:pPr>
              <w:spacing w:line="360" w:lineRule="auto"/>
              <w:jc w:val="center"/>
              <w:rPr>
                <w:rFonts w:ascii="宋体" w:hAnsi="宋体" w:cs="宋体"/>
                <w:sz w:val="24"/>
              </w:rPr>
            </w:pPr>
          </w:p>
        </w:tc>
        <w:tc>
          <w:tcPr>
            <w:tcW w:w="2228" w:type="dxa"/>
            <w:vAlign w:val="center"/>
          </w:tcPr>
          <w:p w14:paraId="79B902E0">
            <w:pPr>
              <w:spacing w:line="360" w:lineRule="auto"/>
              <w:jc w:val="center"/>
              <w:rPr>
                <w:rFonts w:ascii="宋体" w:hAnsi="宋体" w:cs="宋体"/>
                <w:sz w:val="24"/>
              </w:rPr>
            </w:pPr>
          </w:p>
        </w:tc>
        <w:tc>
          <w:tcPr>
            <w:tcW w:w="2228" w:type="dxa"/>
            <w:vAlign w:val="center"/>
          </w:tcPr>
          <w:p w14:paraId="404E39F4">
            <w:pPr>
              <w:spacing w:line="360" w:lineRule="auto"/>
              <w:jc w:val="center"/>
              <w:rPr>
                <w:rFonts w:ascii="宋体" w:hAnsi="宋体" w:cs="宋体"/>
                <w:sz w:val="24"/>
              </w:rPr>
            </w:pPr>
          </w:p>
        </w:tc>
        <w:tc>
          <w:tcPr>
            <w:tcW w:w="2228" w:type="dxa"/>
            <w:vAlign w:val="center"/>
          </w:tcPr>
          <w:p w14:paraId="685A0854">
            <w:pPr>
              <w:spacing w:line="360" w:lineRule="auto"/>
              <w:jc w:val="center"/>
              <w:rPr>
                <w:rFonts w:ascii="宋体" w:hAnsi="宋体" w:cs="宋体"/>
                <w:sz w:val="24"/>
              </w:rPr>
            </w:pPr>
          </w:p>
        </w:tc>
        <w:tc>
          <w:tcPr>
            <w:tcW w:w="2228" w:type="dxa"/>
            <w:vAlign w:val="center"/>
          </w:tcPr>
          <w:p w14:paraId="4B4D2565">
            <w:pPr>
              <w:spacing w:line="360" w:lineRule="auto"/>
              <w:jc w:val="center"/>
              <w:rPr>
                <w:rFonts w:ascii="宋体" w:hAnsi="宋体" w:cs="宋体"/>
                <w:sz w:val="24"/>
              </w:rPr>
            </w:pPr>
          </w:p>
        </w:tc>
      </w:tr>
      <w:tr w14:paraId="4C12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325354E3">
            <w:pPr>
              <w:spacing w:line="360" w:lineRule="auto"/>
              <w:jc w:val="center"/>
              <w:rPr>
                <w:rFonts w:ascii="宋体" w:hAnsi="宋体" w:cs="宋体"/>
                <w:sz w:val="24"/>
              </w:rPr>
            </w:pPr>
          </w:p>
        </w:tc>
        <w:tc>
          <w:tcPr>
            <w:tcW w:w="2228" w:type="dxa"/>
            <w:vAlign w:val="center"/>
          </w:tcPr>
          <w:p w14:paraId="1D09057B">
            <w:pPr>
              <w:spacing w:line="360" w:lineRule="auto"/>
              <w:jc w:val="center"/>
              <w:rPr>
                <w:rFonts w:ascii="宋体" w:hAnsi="宋体" w:cs="宋体"/>
                <w:sz w:val="24"/>
              </w:rPr>
            </w:pPr>
          </w:p>
        </w:tc>
        <w:tc>
          <w:tcPr>
            <w:tcW w:w="2228" w:type="dxa"/>
            <w:vAlign w:val="center"/>
          </w:tcPr>
          <w:p w14:paraId="3B3AD49A">
            <w:pPr>
              <w:spacing w:line="360" w:lineRule="auto"/>
              <w:jc w:val="center"/>
              <w:rPr>
                <w:rFonts w:ascii="宋体" w:hAnsi="宋体" w:cs="宋体"/>
                <w:sz w:val="24"/>
              </w:rPr>
            </w:pPr>
          </w:p>
        </w:tc>
        <w:tc>
          <w:tcPr>
            <w:tcW w:w="2228" w:type="dxa"/>
            <w:vAlign w:val="center"/>
          </w:tcPr>
          <w:p w14:paraId="4F513893">
            <w:pPr>
              <w:spacing w:line="360" w:lineRule="auto"/>
              <w:jc w:val="center"/>
              <w:rPr>
                <w:rFonts w:ascii="宋体" w:hAnsi="宋体" w:cs="宋体"/>
                <w:sz w:val="24"/>
              </w:rPr>
            </w:pPr>
          </w:p>
        </w:tc>
        <w:tc>
          <w:tcPr>
            <w:tcW w:w="2228" w:type="dxa"/>
            <w:vAlign w:val="center"/>
          </w:tcPr>
          <w:p w14:paraId="30E0D6A8">
            <w:pPr>
              <w:spacing w:line="360" w:lineRule="auto"/>
              <w:jc w:val="center"/>
              <w:rPr>
                <w:rFonts w:ascii="宋体" w:hAnsi="宋体" w:cs="宋体"/>
                <w:sz w:val="24"/>
              </w:rPr>
            </w:pPr>
          </w:p>
        </w:tc>
      </w:tr>
      <w:tr w14:paraId="3356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6CC4D894">
            <w:pPr>
              <w:spacing w:line="360" w:lineRule="auto"/>
              <w:jc w:val="center"/>
              <w:rPr>
                <w:rFonts w:ascii="宋体" w:hAnsi="宋体" w:cs="宋体"/>
                <w:sz w:val="24"/>
              </w:rPr>
            </w:pPr>
          </w:p>
        </w:tc>
        <w:tc>
          <w:tcPr>
            <w:tcW w:w="2228" w:type="dxa"/>
            <w:vAlign w:val="center"/>
          </w:tcPr>
          <w:p w14:paraId="004DB6E5">
            <w:pPr>
              <w:spacing w:line="360" w:lineRule="auto"/>
              <w:jc w:val="center"/>
              <w:rPr>
                <w:rFonts w:ascii="宋体" w:hAnsi="宋体" w:cs="宋体"/>
                <w:sz w:val="24"/>
              </w:rPr>
            </w:pPr>
          </w:p>
        </w:tc>
        <w:tc>
          <w:tcPr>
            <w:tcW w:w="2228" w:type="dxa"/>
            <w:vAlign w:val="center"/>
          </w:tcPr>
          <w:p w14:paraId="747B3EF6">
            <w:pPr>
              <w:spacing w:line="360" w:lineRule="auto"/>
              <w:jc w:val="center"/>
              <w:rPr>
                <w:rFonts w:ascii="宋体" w:hAnsi="宋体" w:cs="宋体"/>
                <w:sz w:val="24"/>
              </w:rPr>
            </w:pPr>
          </w:p>
        </w:tc>
        <w:tc>
          <w:tcPr>
            <w:tcW w:w="2228" w:type="dxa"/>
            <w:vAlign w:val="center"/>
          </w:tcPr>
          <w:p w14:paraId="2099321F">
            <w:pPr>
              <w:spacing w:line="360" w:lineRule="auto"/>
              <w:jc w:val="center"/>
              <w:rPr>
                <w:rFonts w:ascii="宋体" w:hAnsi="宋体" w:cs="宋体"/>
                <w:sz w:val="24"/>
              </w:rPr>
            </w:pPr>
          </w:p>
        </w:tc>
        <w:tc>
          <w:tcPr>
            <w:tcW w:w="2228" w:type="dxa"/>
            <w:vAlign w:val="center"/>
          </w:tcPr>
          <w:p w14:paraId="31C9467D">
            <w:pPr>
              <w:spacing w:line="360" w:lineRule="auto"/>
              <w:jc w:val="center"/>
              <w:rPr>
                <w:rFonts w:ascii="宋体" w:hAnsi="宋体" w:cs="宋体"/>
                <w:sz w:val="24"/>
              </w:rPr>
            </w:pPr>
          </w:p>
        </w:tc>
      </w:tr>
      <w:tr w14:paraId="6515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34E9786F">
            <w:pPr>
              <w:spacing w:line="360" w:lineRule="auto"/>
              <w:jc w:val="center"/>
              <w:rPr>
                <w:rFonts w:ascii="宋体" w:hAnsi="宋体" w:cs="宋体"/>
                <w:sz w:val="24"/>
              </w:rPr>
            </w:pPr>
          </w:p>
        </w:tc>
        <w:tc>
          <w:tcPr>
            <w:tcW w:w="2228" w:type="dxa"/>
            <w:vAlign w:val="center"/>
          </w:tcPr>
          <w:p w14:paraId="1889961A">
            <w:pPr>
              <w:spacing w:line="360" w:lineRule="auto"/>
              <w:jc w:val="center"/>
              <w:rPr>
                <w:rFonts w:ascii="宋体" w:hAnsi="宋体" w:cs="宋体"/>
                <w:sz w:val="24"/>
              </w:rPr>
            </w:pPr>
          </w:p>
        </w:tc>
        <w:tc>
          <w:tcPr>
            <w:tcW w:w="2228" w:type="dxa"/>
            <w:vAlign w:val="center"/>
          </w:tcPr>
          <w:p w14:paraId="73D94070">
            <w:pPr>
              <w:spacing w:line="360" w:lineRule="auto"/>
              <w:jc w:val="center"/>
              <w:rPr>
                <w:rFonts w:ascii="宋体" w:hAnsi="宋体" w:cs="宋体"/>
                <w:sz w:val="24"/>
              </w:rPr>
            </w:pPr>
          </w:p>
        </w:tc>
        <w:tc>
          <w:tcPr>
            <w:tcW w:w="2228" w:type="dxa"/>
            <w:vAlign w:val="center"/>
          </w:tcPr>
          <w:p w14:paraId="71A22ACB">
            <w:pPr>
              <w:spacing w:line="360" w:lineRule="auto"/>
              <w:jc w:val="center"/>
              <w:rPr>
                <w:rFonts w:ascii="宋体" w:hAnsi="宋体" w:cs="宋体"/>
                <w:sz w:val="24"/>
              </w:rPr>
            </w:pPr>
          </w:p>
        </w:tc>
        <w:tc>
          <w:tcPr>
            <w:tcW w:w="2228" w:type="dxa"/>
            <w:vAlign w:val="center"/>
          </w:tcPr>
          <w:p w14:paraId="470EB7D7">
            <w:pPr>
              <w:spacing w:line="360" w:lineRule="auto"/>
              <w:jc w:val="center"/>
              <w:rPr>
                <w:rFonts w:ascii="宋体" w:hAnsi="宋体" w:cs="宋体"/>
                <w:sz w:val="24"/>
              </w:rPr>
            </w:pPr>
          </w:p>
        </w:tc>
      </w:tr>
      <w:tr w14:paraId="265D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14:paraId="31B74ADE">
            <w:pPr>
              <w:spacing w:line="360" w:lineRule="auto"/>
              <w:jc w:val="center"/>
              <w:rPr>
                <w:rFonts w:ascii="宋体" w:hAnsi="宋体" w:cs="宋体"/>
                <w:sz w:val="24"/>
              </w:rPr>
            </w:pPr>
          </w:p>
        </w:tc>
        <w:tc>
          <w:tcPr>
            <w:tcW w:w="2228" w:type="dxa"/>
            <w:vAlign w:val="center"/>
          </w:tcPr>
          <w:p w14:paraId="4BFF8165">
            <w:pPr>
              <w:spacing w:line="360" w:lineRule="auto"/>
              <w:jc w:val="center"/>
              <w:rPr>
                <w:rFonts w:ascii="宋体" w:hAnsi="宋体" w:cs="宋体"/>
                <w:sz w:val="24"/>
              </w:rPr>
            </w:pPr>
          </w:p>
        </w:tc>
        <w:tc>
          <w:tcPr>
            <w:tcW w:w="2228" w:type="dxa"/>
            <w:vAlign w:val="center"/>
          </w:tcPr>
          <w:p w14:paraId="1F7058E9">
            <w:pPr>
              <w:spacing w:line="360" w:lineRule="auto"/>
              <w:jc w:val="center"/>
              <w:rPr>
                <w:rFonts w:ascii="宋体" w:hAnsi="宋体" w:cs="宋体"/>
                <w:sz w:val="24"/>
              </w:rPr>
            </w:pPr>
          </w:p>
        </w:tc>
        <w:tc>
          <w:tcPr>
            <w:tcW w:w="2228" w:type="dxa"/>
            <w:vAlign w:val="center"/>
          </w:tcPr>
          <w:p w14:paraId="3BE436FB">
            <w:pPr>
              <w:spacing w:line="360" w:lineRule="auto"/>
              <w:jc w:val="center"/>
              <w:rPr>
                <w:rFonts w:ascii="宋体" w:hAnsi="宋体" w:cs="宋体"/>
                <w:sz w:val="24"/>
              </w:rPr>
            </w:pPr>
          </w:p>
        </w:tc>
        <w:tc>
          <w:tcPr>
            <w:tcW w:w="2228" w:type="dxa"/>
            <w:vAlign w:val="center"/>
          </w:tcPr>
          <w:p w14:paraId="1C2FB932">
            <w:pPr>
              <w:spacing w:line="360" w:lineRule="auto"/>
              <w:jc w:val="center"/>
              <w:rPr>
                <w:rFonts w:ascii="宋体" w:hAnsi="宋体" w:cs="宋体"/>
                <w:sz w:val="24"/>
              </w:rPr>
            </w:pPr>
          </w:p>
        </w:tc>
      </w:tr>
    </w:tbl>
    <w:p w14:paraId="3ADD97E5">
      <w:pPr>
        <w:ind w:left="482" w:hanging="482" w:hangingChars="200"/>
        <w:rPr>
          <w:rFonts w:hint="eastAsia" w:ascii="宋体" w:hAnsi="宋体" w:cs="宋体"/>
          <w:b/>
          <w:sz w:val="24"/>
        </w:rPr>
      </w:pPr>
      <w:r>
        <w:rPr>
          <w:rFonts w:hint="eastAsia" w:ascii="宋体" w:hAnsi="宋体" w:cs="宋体"/>
          <w:b/>
          <w:sz w:val="24"/>
        </w:rPr>
        <w:t>注：1、没有说明的其他条款将被认为完全满足本招标项目技术条款要求。</w:t>
      </w:r>
    </w:p>
    <w:p w14:paraId="27353464">
      <w:pPr>
        <w:ind w:left="482" w:hanging="482" w:hangingChars="200"/>
        <w:rPr>
          <w:rFonts w:hint="eastAsia" w:ascii="宋体" w:hAnsi="宋体" w:cs="宋体"/>
          <w:b/>
          <w:sz w:val="24"/>
        </w:rPr>
      </w:pPr>
      <w:r>
        <w:rPr>
          <w:rFonts w:hint="eastAsia" w:ascii="宋体" w:hAnsi="宋体" w:cs="宋体"/>
          <w:b/>
          <w:sz w:val="24"/>
        </w:rPr>
        <w:t>2、各投标人按此表格式自行填写，表格不够时可自行添加。</w:t>
      </w:r>
    </w:p>
    <w:p w14:paraId="0C468E0A">
      <w:pPr>
        <w:ind w:left="480" w:hanging="480" w:hangingChars="200"/>
        <w:rPr>
          <w:rFonts w:ascii="宋体" w:hAnsi="宋体" w:cs="宋体"/>
          <w:sz w:val="24"/>
        </w:rPr>
      </w:pPr>
    </w:p>
    <w:p w14:paraId="1D8D5085">
      <w:pPr>
        <w:ind w:left="480" w:hanging="480" w:hangingChars="200"/>
        <w:rPr>
          <w:rFonts w:ascii="宋体" w:hAnsi="宋体" w:cs="宋体"/>
          <w:sz w:val="24"/>
        </w:rPr>
      </w:pPr>
      <w:r>
        <w:rPr>
          <w:rFonts w:hint="eastAsia" w:ascii="宋体" w:hAnsi="宋体" w:cs="宋体"/>
          <w:sz w:val="24"/>
        </w:rPr>
        <w:t xml:space="preserve">投标人(盖章)： </w:t>
      </w:r>
    </w:p>
    <w:p w14:paraId="63C1EBCE">
      <w:pPr>
        <w:ind w:left="480" w:hanging="480" w:hangingChars="200"/>
        <w:rPr>
          <w:rFonts w:ascii="宋体" w:hAnsi="宋体" w:cs="宋体"/>
          <w:sz w:val="24"/>
        </w:rPr>
      </w:pPr>
    </w:p>
    <w:p w14:paraId="55FB2B0F">
      <w:pPr>
        <w:ind w:left="480" w:hanging="480" w:hangingChars="200"/>
        <w:rPr>
          <w:rFonts w:ascii="宋体" w:hAnsi="宋体" w:cs="宋体"/>
          <w:sz w:val="24"/>
        </w:rPr>
      </w:pPr>
    </w:p>
    <w:p w14:paraId="5C8EB136">
      <w:pPr>
        <w:ind w:left="480" w:hanging="480" w:hangingChars="200"/>
        <w:rPr>
          <w:rFonts w:ascii="宋体" w:hAnsi="宋体" w:cs="宋体"/>
          <w:sz w:val="24"/>
        </w:rPr>
      </w:pPr>
      <w:r>
        <w:rPr>
          <w:rFonts w:hint="eastAsia" w:ascii="宋体" w:hAnsi="宋体" w:cs="宋体"/>
          <w:sz w:val="24"/>
        </w:rPr>
        <w:t>法定代表人或委托代理人（签字或盖章）：</w:t>
      </w:r>
    </w:p>
    <w:p w14:paraId="3680B3DA">
      <w:pPr>
        <w:ind w:left="480" w:hanging="480" w:hangingChars="200"/>
        <w:rPr>
          <w:rFonts w:ascii="宋体" w:hAnsi="宋体" w:cs="宋体"/>
          <w:sz w:val="24"/>
        </w:rPr>
      </w:pPr>
    </w:p>
    <w:p w14:paraId="794A14B8">
      <w:pPr>
        <w:ind w:left="480" w:hanging="480" w:hangingChars="200"/>
        <w:rPr>
          <w:rFonts w:ascii="宋体" w:hAnsi="宋体" w:cs="宋体"/>
          <w:sz w:val="24"/>
        </w:rPr>
      </w:pPr>
    </w:p>
    <w:p w14:paraId="605DCD71">
      <w:pPr>
        <w:ind w:left="480" w:hanging="480" w:hangingChars="200"/>
        <w:rPr>
          <w:rFonts w:ascii="宋体" w:hAnsi="宋体" w:cs="宋体"/>
          <w:sz w:val="24"/>
        </w:rPr>
      </w:pPr>
      <w:r>
        <w:rPr>
          <w:rFonts w:hint="eastAsia" w:ascii="宋体" w:hAnsi="宋体" w:cs="宋体"/>
          <w:sz w:val="24"/>
        </w:rPr>
        <w:t>日期：   年  月   日</w:t>
      </w:r>
    </w:p>
    <w:p w14:paraId="64E841B3">
      <w:pPr>
        <w:spacing w:line="360" w:lineRule="auto"/>
        <w:jc w:val="center"/>
        <w:rPr>
          <w:rFonts w:ascii="宋体" w:hAnsi="宋体" w:cs="宋体"/>
          <w:b/>
          <w:sz w:val="24"/>
        </w:rPr>
      </w:pPr>
    </w:p>
    <w:p w14:paraId="610F0AB5">
      <w:pPr>
        <w:spacing w:line="360" w:lineRule="auto"/>
        <w:jc w:val="center"/>
        <w:rPr>
          <w:rFonts w:ascii="宋体" w:hAnsi="宋体" w:cs="宋体"/>
          <w:b/>
          <w:sz w:val="24"/>
        </w:rPr>
      </w:pPr>
    </w:p>
    <w:p w14:paraId="02B4EC3C">
      <w:pPr>
        <w:spacing w:line="360" w:lineRule="auto"/>
        <w:jc w:val="center"/>
        <w:rPr>
          <w:rFonts w:ascii="宋体" w:hAnsi="宋体" w:cs="宋体"/>
          <w:b/>
          <w:sz w:val="24"/>
        </w:rPr>
      </w:pPr>
    </w:p>
    <w:p w14:paraId="39347352">
      <w:pPr>
        <w:spacing w:line="360" w:lineRule="auto"/>
        <w:jc w:val="center"/>
        <w:rPr>
          <w:rFonts w:ascii="宋体" w:hAnsi="宋体" w:cs="宋体"/>
          <w:b/>
          <w:sz w:val="24"/>
        </w:rPr>
      </w:pPr>
    </w:p>
    <w:p w14:paraId="21DAF0BC">
      <w:pPr>
        <w:pStyle w:val="4"/>
        <w:outlineLvl w:val="9"/>
      </w:pPr>
    </w:p>
    <w:p w14:paraId="467C714D">
      <w:pPr>
        <w:rPr>
          <w:rFonts w:hint="eastAsia" w:ascii="宋体" w:hAnsi="宋体" w:cs="宋体"/>
          <w:b/>
          <w:bCs/>
          <w:sz w:val="24"/>
          <w:highlight w:val="none"/>
        </w:rPr>
      </w:pPr>
    </w:p>
    <w:p w14:paraId="11A4A45E">
      <w:pPr>
        <w:rPr>
          <w:rFonts w:hint="eastAsia" w:ascii="宋体" w:hAnsi="宋体" w:cs="宋体"/>
          <w:b/>
          <w:bCs/>
          <w:sz w:val="24"/>
          <w:highlight w:val="none"/>
        </w:rPr>
      </w:pPr>
      <w:r>
        <w:rPr>
          <w:rFonts w:hint="eastAsia" w:ascii="宋体" w:hAnsi="宋体" w:cs="宋体"/>
          <w:b/>
          <w:bCs/>
          <w:sz w:val="24"/>
          <w:highlight w:val="none"/>
        </w:rPr>
        <w:br w:type="page"/>
      </w:r>
    </w:p>
    <w:p w14:paraId="3108E3E2">
      <w:pPr>
        <w:widowControl/>
        <w:spacing w:line="360" w:lineRule="auto"/>
        <w:jc w:val="center"/>
        <w:outlineLvl w:val="0"/>
        <w:rPr>
          <w:rFonts w:hint="eastAsia" w:asciiTheme="minorEastAsia" w:hAnsiTheme="minorEastAsia" w:eastAsiaTheme="minorEastAsia" w:cstheme="minorEastAsia"/>
          <w:color w:val="auto"/>
          <w:sz w:val="27"/>
          <w:szCs w:val="27"/>
        </w:rPr>
      </w:pPr>
      <w:r>
        <w:rPr>
          <w:rFonts w:hint="eastAsia" w:ascii="宋体" w:hAnsi="宋体" w:cs="宋体"/>
          <w:b/>
          <w:bCs/>
          <w:sz w:val="24"/>
          <w:highlight w:val="none"/>
        </w:rPr>
        <w:t>格式</w:t>
      </w:r>
      <w:r>
        <w:rPr>
          <w:rFonts w:hint="eastAsia" w:ascii="宋体" w:hAnsi="宋体" w:cs="宋体"/>
          <w:b/>
          <w:bCs/>
          <w:sz w:val="24"/>
          <w:highlight w:val="none"/>
          <w:lang w:val="en-US" w:eastAsia="zh-CN"/>
        </w:rPr>
        <w:t>13</w:t>
      </w:r>
      <w:r>
        <w:rPr>
          <w:rFonts w:hint="eastAsia" w:ascii="宋体" w:hAnsi="宋体" w:eastAsia="宋体" w:cs="宋体"/>
          <w:b/>
          <w:sz w:val="24"/>
          <w:szCs w:val="24"/>
          <w:highlight w:val="none"/>
        </w:rPr>
        <w:t xml:space="preserve">  </w:t>
      </w:r>
      <w:r>
        <w:rPr>
          <w:rFonts w:hint="eastAsia" w:ascii="宋体" w:hAnsi="宋体" w:eastAsia="宋体" w:cs="宋体"/>
          <w:b/>
          <w:bCs/>
          <w:sz w:val="24"/>
          <w:szCs w:val="24"/>
          <w:highlight w:val="none"/>
        </w:rPr>
        <w:t xml:space="preserve"> </w:t>
      </w:r>
      <w:r>
        <w:rPr>
          <w:rFonts w:hint="eastAsia" w:asciiTheme="minorEastAsia" w:hAnsiTheme="minorEastAsia" w:eastAsiaTheme="minorEastAsia" w:cstheme="minorEastAsia"/>
          <w:b/>
          <w:color w:val="auto"/>
          <w:sz w:val="24"/>
        </w:rPr>
        <w:t>中小企业声明函（货物）</w:t>
      </w:r>
    </w:p>
    <w:p w14:paraId="7A13B7D6">
      <w:pPr>
        <w:widowControl/>
        <w:spacing w:line="360" w:lineRule="auto"/>
        <w:ind w:firstLine="480" w:firstLineChars="200"/>
        <w:jc w:val="left"/>
        <w:rPr>
          <w:rFonts w:hint="eastAsia" w:asciiTheme="minorEastAsia" w:hAnsiTheme="minorEastAsia" w:eastAsiaTheme="minorEastAsia" w:cstheme="minorEastAsia"/>
          <w:color w:val="auto"/>
          <w:kern w:val="0"/>
          <w:sz w:val="24"/>
          <w:lang w:bidi="ar"/>
        </w:rPr>
      </w:pPr>
    </w:p>
    <w:p w14:paraId="1464B894">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kern w:val="0"/>
          <w:sz w:val="24"/>
          <w:u w:val="single"/>
          <w:lang w:bidi="ar"/>
        </w:rPr>
        <w:t>（单位名称）</w:t>
      </w:r>
      <w:r>
        <w:rPr>
          <w:rFonts w:hint="eastAsia" w:asciiTheme="minorEastAsia" w:hAnsiTheme="minorEastAsia" w:eastAsiaTheme="minorEastAsia" w:cstheme="minorEastAsia"/>
          <w:color w:val="auto"/>
          <w:kern w:val="0"/>
          <w:sz w:val="24"/>
          <w:lang w:bidi="ar"/>
        </w:rPr>
        <w:t>的</w:t>
      </w:r>
      <w:r>
        <w:rPr>
          <w:rFonts w:hint="eastAsia" w:asciiTheme="minorEastAsia" w:hAnsiTheme="minorEastAsia" w:eastAsiaTheme="minorEastAsia" w:cstheme="minorEastAsia"/>
          <w:color w:val="auto"/>
          <w:kern w:val="0"/>
          <w:sz w:val="24"/>
          <w:u w:val="single"/>
          <w:lang w:bidi="ar"/>
        </w:rPr>
        <w:t>（项目名称）</w:t>
      </w:r>
      <w:r>
        <w:rPr>
          <w:rFonts w:hint="eastAsia" w:asciiTheme="minorEastAsia" w:hAnsiTheme="minorEastAsia" w:eastAsiaTheme="minorEastAsia" w:cstheme="minorEastAsia"/>
          <w:color w:val="auto"/>
          <w:kern w:val="0"/>
          <w:sz w:val="24"/>
          <w:lang w:bidi="ar"/>
        </w:rPr>
        <w:t xml:space="preserve">采购活动，提供的货物全部由符合政策要求的中小企业制造。相关企业（含联合体中的中小企业、签订分包意向协议的中小企业）的具体情况如下： </w:t>
      </w:r>
    </w:p>
    <w:p w14:paraId="0755413E">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 </w:t>
      </w:r>
      <w:r>
        <w:rPr>
          <w:rFonts w:hint="eastAsia" w:asciiTheme="minorEastAsia" w:hAnsiTheme="minorEastAsia" w:eastAsiaTheme="minorEastAsia" w:cstheme="minorEastAsia"/>
          <w:color w:val="auto"/>
          <w:kern w:val="0"/>
          <w:sz w:val="24"/>
          <w:u w:val="single"/>
          <w:lang w:bidi="ar"/>
        </w:rPr>
        <w:t>（标的名称）</w:t>
      </w:r>
      <w:r>
        <w:rPr>
          <w:rFonts w:hint="eastAsia" w:asciiTheme="minorEastAsia" w:hAnsiTheme="minorEastAsia" w:eastAsiaTheme="minorEastAsia" w:cstheme="minorEastAsia"/>
          <w:color w:val="auto"/>
          <w:kern w:val="0"/>
          <w:sz w:val="24"/>
          <w:lang w:bidi="ar"/>
        </w:rPr>
        <w:t xml:space="preserve"> ，属于</w:t>
      </w:r>
      <w:r>
        <w:rPr>
          <w:rFonts w:hint="eastAsia" w:asciiTheme="minorEastAsia" w:hAnsiTheme="minorEastAsia" w:eastAsiaTheme="minorEastAsia" w:cstheme="minorEastAsia"/>
          <w:color w:val="auto"/>
          <w:kern w:val="0"/>
          <w:sz w:val="24"/>
          <w:u w:val="single"/>
          <w:lang w:eastAsia="zh-CN" w:bidi="ar"/>
        </w:rPr>
        <w:t>（</w:t>
      </w:r>
      <w:r>
        <w:rPr>
          <w:rFonts w:hint="eastAsia" w:asciiTheme="minorEastAsia" w:hAnsiTheme="minorEastAsia" w:eastAsiaTheme="minorEastAsia" w:cstheme="minorEastAsia"/>
          <w:color w:val="auto"/>
          <w:kern w:val="0"/>
          <w:sz w:val="24"/>
          <w:u w:val="single"/>
          <w:lang w:bidi="ar"/>
        </w:rPr>
        <w:t>采购文件中明确的所属行业</w:t>
      </w:r>
      <w:r>
        <w:rPr>
          <w:rFonts w:hint="eastAsia" w:asciiTheme="minorEastAsia" w:hAnsiTheme="minorEastAsia" w:eastAsiaTheme="minorEastAsia" w:cstheme="minorEastAsia"/>
          <w:color w:val="auto"/>
          <w:kern w:val="0"/>
          <w:sz w:val="24"/>
          <w:u w:val="single"/>
          <w:lang w:eastAsia="zh-CN" w:bidi="ar"/>
        </w:rPr>
        <w:t>）</w:t>
      </w:r>
      <w:r>
        <w:rPr>
          <w:rFonts w:hint="eastAsia" w:asciiTheme="minorEastAsia" w:hAnsiTheme="minorEastAsia" w:eastAsiaTheme="minorEastAsia" w:cstheme="minorEastAsia"/>
          <w:color w:val="auto"/>
          <w:kern w:val="0"/>
          <w:sz w:val="24"/>
          <w:lang w:bidi="ar"/>
        </w:rPr>
        <w:t>行业；制造商为（企业名称），从业人员</w:t>
      </w:r>
      <w:r>
        <w:rPr>
          <w:rFonts w:hint="eastAsia" w:asciiTheme="minorEastAsia" w:hAnsiTheme="minorEastAsia" w:eastAsiaTheme="minorEastAsia" w:cstheme="minorEastAsia"/>
          <w:color w:val="auto"/>
          <w:kern w:val="0"/>
          <w:sz w:val="24"/>
          <w:u w:val="single"/>
          <w:lang w:bidi="ar"/>
        </w:rPr>
        <w:t xml:space="preserve">    </w:t>
      </w:r>
      <w:r>
        <w:rPr>
          <w:rFonts w:hint="eastAsia" w:asciiTheme="minorEastAsia" w:hAnsiTheme="minorEastAsia" w:eastAsiaTheme="minorEastAsia" w:cstheme="minorEastAsia"/>
          <w:color w:val="auto"/>
          <w:kern w:val="0"/>
          <w:sz w:val="24"/>
          <w:lang w:bidi="ar"/>
        </w:rPr>
        <w:t>人，营业收入为</w:t>
      </w:r>
      <w:r>
        <w:rPr>
          <w:rFonts w:hint="eastAsia" w:asciiTheme="minorEastAsia" w:hAnsiTheme="minorEastAsia" w:eastAsiaTheme="minorEastAsia" w:cstheme="minorEastAsia"/>
          <w:color w:val="auto"/>
          <w:kern w:val="0"/>
          <w:sz w:val="24"/>
          <w:u w:val="single"/>
          <w:lang w:bidi="ar"/>
        </w:rPr>
        <w:t xml:space="preserve">    </w:t>
      </w:r>
      <w:r>
        <w:rPr>
          <w:rFonts w:hint="eastAsia" w:asciiTheme="minorEastAsia" w:hAnsiTheme="minorEastAsia" w:eastAsiaTheme="minorEastAsia" w:cstheme="minorEastAsia"/>
          <w:color w:val="auto"/>
          <w:kern w:val="0"/>
          <w:sz w:val="24"/>
          <w:lang w:bidi="ar"/>
        </w:rPr>
        <w:t>万元，资产总额为</w:t>
      </w:r>
      <w:r>
        <w:rPr>
          <w:rFonts w:hint="eastAsia" w:asciiTheme="minorEastAsia" w:hAnsiTheme="minorEastAsia" w:eastAsiaTheme="minorEastAsia" w:cstheme="minorEastAsia"/>
          <w:color w:val="auto"/>
          <w:kern w:val="0"/>
          <w:sz w:val="24"/>
          <w:u w:val="single"/>
          <w:lang w:bidi="ar"/>
        </w:rPr>
        <w:t xml:space="preserve">    </w:t>
      </w:r>
      <w:r>
        <w:rPr>
          <w:rFonts w:hint="eastAsia" w:asciiTheme="minorEastAsia" w:hAnsiTheme="minorEastAsia" w:eastAsiaTheme="minorEastAsia" w:cstheme="minorEastAsia"/>
          <w:color w:val="auto"/>
          <w:kern w:val="0"/>
          <w:sz w:val="24"/>
          <w:lang w:bidi="ar"/>
        </w:rPr>
        <w:t xml:space="preserve">万元，属于（中型企业、小型企业、微型企业）； </w:t>
      </w:r>
    </w:p>
    <w:p w14:paraId="058B842F">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2. </w:t>
      </w:r>
      <w:r>
        <w:rPr>
          <w:rFonts w:hint="eastAsia" w:asciiTheme="minorEastAsia" w:hAnsiTheme="minorEastAsia" w:eastAsiaTheme="minorEastAsia" w:cstheme="minorEastAsia"/>
          <w:color w:val="auto"/>
          <w:kern w:val="0"/>
          <w:sz w:val="24"/>
          <w:u w:val="single"/>
          <w:lang w:bidi="ar"/>
        </w:rPr>
        <w:t xml:space="preserve">（标的名称） </w:t>
      </w:r>
      <w:r>
        <w:rPr>
          <w:rFonts w:hint="eastAsia" w:asciiTheme="minorEastAsia" w:hAnsiTheme="minorEastAsia" w:eastAsiaTheme="minorEastAsia" w:cstheme="minorEastAsia"/>
          <w:color w:val="auto"/>
          <w:kern w:val="0"/>
          <w:sz w:val="24"/>
          <w:lang w:bidi="ar"/>
        </w:rPr>
        <w:t>，属于</w:t>
      </w:r>
      <w:r>
        <w:rPr>
          <w:rFonts w:hint="eastAsia" w:asciiTheme="minorEastAsia" w:hAnsiTheme="minorEastAsia" w:eastAsiaTheme="minorEastAsia" w:cstheme="minorEastAsia"/>
          <w:color w:val="auto"/>
          <w:kern w:val="0"/>
          <w:sz w:val="24"/>
          <w:u w:val="single"/>
          <w:lang w:bidi="ar"/>
        </w:rPr>
        <w:t>（采购文件中明确的所属行业）</w:t>
      </w:r>
      <w:r>
        <w:rPr>
          <w:rFonts w:hint="eastAsia" w:asciiTheme="minorEastAsia" w:hAnsiTheme="minorEastAsia" w:eastAsiaTheme="minorEastAsia" w:cstheme="minorEastAsia"/>
          <w:color w:val="auto"/>
          <w:kern w:val="0"/>
          <w:sz w:val="24"/>
          <w:lang w:bidi="ar"/>
        </w:rPr>
        <w:t>行业；制造商为（企业名称），从业人员</w:t>
      </w:r>
      <w:r>
        <w:rPr>
          <w:rFonts w:hint="eastAsia" w:asciiTheme="minorEastAsia" w:hAnsiTheme="minorEastAsia" w:eastAsiaTheme="minorEastAsia" w:cstheme="minorEastAsia"/>
          <w:color w:val="auto"/>
          <w:kern w:val="0"/>
          <w:sz w:val="24"/>
          <w:u w:val="single"/>
          <w:lang w:bidi="ar"/>
        </w:rPr>
        <w:t xml:space="preserve">    </w:t>
      </w:r>
      <w:r>
        <w:rPr>
          <w:rFonts w:hint="eastAsia" w:asciiTheme="minorEastAsia" w:hAnsiTheme="minorEastAsia" w:eastAsiaTheme="minorEastAsia" w:cstheme="minorEastAsia"/>
          <w:color w:val="auto"/>
          <w:kern w:val="0"/>
          <w:sz w:val="24"/>
          <w:lang w:bidi="ar"/>
        </w:rPr>
        <w:t>人，营业收入为</w:t>
      </w:r>
      <w:r>
        <w:rPr>
          <w:rFonts w:hint="eastAsia" w:asciiTheme="minorEastAsia" w:hAnsiTheme="minorEastAsia" w:eastAsiaTheme="minorEastAsia" w:cstheme="minorEastAsia"/>
          <w:color w:val="auto"/>
          <w:kern w:val="0"/>
          <w:sz w:val="24"/>
          <w:u w:val="single"/>
          <w:lang w:bidi="ar"/>
        </w:rPr>
        <w:t xml:space="preserve">    </w:t>
      </w:r>
      <w:r>
        <w:rPr>
          <w:rFonts w:hint="eastAsia" w:asciiTheme="minorEastAsia" w:hAnsiTheme="minorEastAsia" w:eastAsiaTheme="minorEastAsia" w:cstheme="minorEastAsia"/>
          <w:color w:val="auto"/>
          <w:kern w:val="0"/>
          <w:sz w:val="24"/>
          <w:lang w:bidi="ar"/>
        </w:rPr>
        <w:t>万元，资产总额为</w:t>
      </w:r>
      <w:r>
        <w:rPr>
          <w:rFonts w:hint="eastAsia" w:asciiTheme="minorEastAsia" w:hAnsiTheme="minorEastAsia" w:eastAsiaTheme="minorEastAsia" w:cstheme="minorEastAsia"/>
          <w:color w:val="auto"/>
          <w:kern w:val="0"/>
          <w:sz w:val="24"/>
          <w:u w:val="single"/>
          <w:lang w:bidi="ar"/>
        </w:rPr>
        <w:t xml:space="preserve">    </w:t>
      </w:r>
      <w:r>
        <w:rPr>
          <w:rFonts w:hint="eastAsia" w:asciiTheme="minorEastAsia" w:hAnsiTheme="minorEastAsia" w:eastAsiaTheme="minorEastAsia" w:cstheme="minorEastAsia"/>
          <w:color w:val="auto"/>
          <w:kern w:val="0"/>
          <w:sz w:val="24"/>
          <w:lang w:bidi="ar"/>
        </w:rPr>
        <w:t xml:space="preserve">万元，属于（中型企业、小型企业、微型企业）； </w:t>
      </w:r>
    </w:p>
    <w:p w14:paraId="2DF676E8">
      <w:pPr>
        <w:widowControl/>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p>
    <w:p w14:paraId="29EA0D1B">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以上企业，不属于大企业的分支机构，不存在控股股东为大企业的情形，也不存在与大企业的负责人为同一人的情形。</w:t>
      </w:r>
    </w:p>
    <w:p w14:paraId="3BD77B16">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本企业对上述声明内容的真实性负责。如有虚假，将依法承担相应责任。 </w:t>
      </w:r>
    </w:p>
    <w:p w14:paraId="0CE1FAF3">
      <w:pPr>
        <w:widowControl/>
        <w:spacing w:line="360" w:lineRule="auto"/>
        <w:ind w:firstLine="5760" w:firstLineChars="2400"/>
        <w:jc w:val="left"/>
        <w:rPr>
          <w:rFonts w:hint="eastAsia" w:asciiTheme="minorEastAsia" w:hAnsiTheme="minorEastAsia" w:eastAsiaTheme="minorEastAsia" w:cstheme="minorEastAsia"/>
          <w:color w:val="auto"/>
          <w:kern w:val="0"/>
          <w:sz w:val="24"/>
          <w:lang w:bidi="ar"/>
        </w:rPr>
      </w:pPr>
    </w:p>
    <w:p w14:paraId="49DC8588">
      <w:pPr>
        <w:widowControl/>
        <w:spacing w:line="360" w:lineRule="auto"/>
        <w:ind w:firstLine="5760" w:firstLineChars="24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企业名称（盖章）： </w:t>
      </w:r>
    </w:p>
    <w:p w14:paraId="17BB67EF">
      <w:pPr>
        <w:widowControl/>
        <w:spacing w:line="360" w:lineRule="auto"/>
        <w:ind w:firstLine="6240" w:firstLineChars="2600"/>
        <w:jc w:val="left"/>
        <w:rPr>
          <w:rFonts w:hint="eastAsia" w:asciiTheme="minorEastAsia" w:hAnsiTheme="minorEastAsia" w:eastAsiaTheme="minorEastAsia" w:cstheme="minorEastAsia"/>
          <w:color w:val="auto"/>
          <w:kern w:val="0"/>
          <w:sz w:val="24"/>
          <w:lang w:bidi="ar"/>
        </w:rPr>
      </w:pPr>
    </w:p>
    <w:p w14:paraId="42811D48">
      <w:pPr>
        <w:widowControl/>
        <w:spacing w:line="360" w:lineRule="auto"/>
        <w:ind w:firstLine="6240" w:firstLineChars="26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日 期：</w:t>
      </w:r>
    </w:p>
    <w:p w14:paraId="2FF690B4">
      <w:pPr>
        <w:pStyle w:val="11"/>
        <w:spacing w:line="360" w:lineRule="auto"/>
        <w:ind w:firstLine="5301" w:firstLineChars="2200"/>
        <w:rPr>
          <w:rFonts w:hint="default" w:ascii="宋体" w:hAnsi="宋体" w:eastAsia="宋体" w:cs="宋体"/>
          <w:b/>
          <w:bCs/>
          <w:sz w:val="24"/>
          <w:szCs w:val="24"/>
          <w:highlight w:val="none"/>
          <w:lang w:val="en-US"/>
        </w:rPr>
        <w:sectPr>
          <w:footerReference r:id="rId12" w:type="first"/>
          <w:headerReference r:id="rId10" w:type="default"/>
          <w:footerReference r:id="rId11" w:type="default"/>
          <w:pgSz w:w="11906" w:h="16838"/>
          <w:pgMar w:top="1440" w:right="1083" w:bottom="1440" w:left="1083" w:header="850" w:footer="992" w:gutter="0"/>
          <w:pgNumType w:fmt="numberInDash"/>
          <w:cols w:space="0" w:num="1"/>
          <w:titlePg/>
          <w:rtlGutter w:val="0"/>
          <w:docGrid w:linePitch="312" w:charSpace="0"/>
        </w:sectPr>
      </w:pPr>
    </w:p>
    <w:p w14:paraId="459FC013">
      <w:pPr>
        <w:pStyle w:val="2"/>
        <w:spacing w:line="360" w:lineRule="auto"/>
        <w:jc w:val="center"/>
        <w:rPr>
          <w:rFonts w:hint="eastAsia" w:ascii="宋体" w:hAnsi="宋体" w:eastAsia="宋体" w:cs="宋体"/>
          <w:b/>
          <w:bCs/>
          <w:kern w:val="0"/>
          <w:sz w:val="36"/>
          <w:szCs w:val="36"/>
          <w:highlight w:val="none"/>
          <w:lang w:val="en-US" w:eastAsia="zh-CN" w:bidi="ar-SA"/>
        </w:rPr>
      </w:pPr>
      <w:bookmarkStart w:id="296" w:name="_Toc9162"/>
      <w:bookmarkStart w:id="297" w:name="_Toc1249"/>
      <w:bookmarkStart w:id="298" w:name="_Toc32010"/>
      <w:bookmarkStart w:id="299" w:name="_Toc14366"/>
      <w:r>
        <w:rPr>
          <w:rFonts w:hint="eastAsia" w:ascii="宋体" w:hAnsi="宋体" w:eastAsia="宋体" w:cs="宋体"/>
          <w:b/>
          <w:bCs/>
          <w:kern w:val="0"/>
          <w:sz w:val="36"/>
          <w:szCs w:val="36"/>
          <w:highlight w:val="none"/>
          <w:lang w:val="en-US" w:eastAsia="zh-CN" w:bidi="ar-SA"/>
        </w:rPr>
        <w:t>第六章、评审标准（</w:t>
      </w:r>
      <w:r>
        <w:rPr>
          <w:rFonts w:hint="eastAsia" w:ascii="宋体" w:hAnsi="宋体" w:cs="宋体"/>
          <w:b/>
          <w:bCs/>
          <w:kern w:val="0"/>
          <w:sz w:val="36"/>
          <w:szCs w:val="36"/>
          <w:highlight w:val="none"/>
          <w:lang w:val="en-US" w:eastAsia="zh-CN" w:bidi="ar-SA"/>
        </w:rPr>
        <w:t>最低评标价法</w:t>
      </w:r>
      <w:r>
        <w:rPr>
          <w:rFonts w:hint="eastAsia" w:ascii="宋体" w:hAnsi="宋体" w:eastAsia="宋体" w:cs="宋体"/>
          <w:b/>
          <w:bCs/>
          <w:kern w:val="0"/>
          <w:sz w:val="36"/>
          <w:szCs w:val="36"/>
          <w:highlight w:val="none"/>
          <w:lang w:val="en-US" w:eastAsia="zh-CN" w:bidi="ar-SA"/>
        </w:rPr>
        <w:t>）</w:t>
      </w:r>
      <w:bookmarkEnd w:id="296"/>
      <w:bookmarkEnd w:id="297"/>
      <w:bookmarkEnd w:id="298"/>
      <w:bookmarkEnd w:id="299"/>
      <w:bookmarkStart w:id="300" w:name="_Toc246216281"/>
      <w:bookmarkStart w:id="301" w:name="_Toc243905166"/>
      <w:bookmarkStart w:id="302" w:name="_Toc246216304"/>
      <w:bookmarkStart w:id="303" w:name="_Toc245369914"/>
      <w:bookmarkStart w:id="304" w:name="_Toc243906411"/>
      <w:bookmarkStart w:id="305" w:name="_Toc246216439"/>
      <w:bookmarkStart w:id="306" w:name="_Toc243907641"/>
    </w:p>
    <w:bookmarkEnd w:id="300"/>
    <w:bookmarkEnd w:id="301"/>
    <w:bookmarkEnd w:id="302"/>
    <w:bookmarkEnd w:id="303"/>
    <w:bookmarkEnd w:id="304"/>
    <w:bookmarkEnd w:id="305"/>
    <w:bookmarkEnd w:id="306"/>
    <w:p w14:paraId="2BDFE6C3">
      <w:pPr>
        <w:spacing w:line="360" w:lineRule="auto"/>
        <w:rPr>
          <w:rFonts w:hint="eastAsia" w:ascii="宋体" w:hAnsi="宋体" w:eastAsia="宋体" w:cs="宋体"/>
          <w:b/>
          <w:sz w:val="30"/>
          <w:szCs w:val="30"/>
          <w:highlight w:val="none"/>
          <w:lang w:eastAsia="zh-CN"/>
        </w:rPr>
      </w:pPr>
      <w:r>
        <w:rPr>
          <w:rFonts w:hint="eastAsia" w:ascii="宋体" w:hAnsi="宋体" w:cs="宋体"/>
          <w:b/>
          <w:sz w:val="30"/>
          <w:szCs w:val="30"/>
          <w:highlight w:val="none"/>
        </w:rPr>
        <w:t>一、</w:t>
      </w:r>
      <w:r>
        <w:rPr>
          <w:rFonts w:hint="eastAsia" w:ascii="宋体" w:hAnsi="宋体" w:cs="宋体"/>
          <w:b/>
          <w:sz w:val="30"/>
          <w:szCs w:val="30"/>
          <w:highlight w:val="none"/>
          <w:lang w:eastAsia="zh-CN"/>
        </w:rPr>
        <w:t>初步评审</w:t>
      </w:r>
    </w:p>
    <w:p w14:paraId="1CFD2353">
      <w:pPr>
        <w:spacing w:line="360" w:lineRule="auto"/>
        <w:rPr>
          <w:rFonts w:hint="eastAsia" w:ascii="宋体" w:hAnsi="宋体" w:cs="宋体"/>
          <w:b/>
          <w:bCs/>
          <w:sz w:val="28"/>
          <w:szCs w:val="21"/>
          <w:highlight w:val="none"/>
        </w:rPr>
      </w:pPr>
      <w:r>
        <w:rPr>
          <w:rFonts w:hint="eastAsia" w:ascii="宋体" w:hAnsi="宋体" w:cs="宋体"/>
          <w:b/>
          <w:bCs/>
          <w:sz w:val="28"/>
          <w:szCs w:val="21"/>
          <w:highlight w:val="none"/>
        </w:rPr>
        <w:t>1、资格性审查</w:t>
      </w:r>
    </w:p>
    <w:tbl>
      <w:tblPr>
        <w:tblStyle w:val="22"/>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1"/>
        <w:gridCol w:w="2750"/>
        <w:gridCol w:w="4708"/>
      </w:tblGrid>
      <w:tr w14:paraId="55A6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731" w:type="dxa"/>
            <w:noWrap w:val="0"/>
            <w:vAlign w:val="center"/>
          </w:tcPr>
          <w:p w14:paraId="3A0047BB">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序号</w:t>
            </w:r>
          </w:p>
        </w:tc>
        <w:tc>
          <w:tcPr>
            <w:tcW w:w="4441" w:type="dxa"/>
            <w:gridSpan w:val="2"/>
            <w:noWrap w:val="0"/>
            <w:vAlign w:val="center"/>
          </w:tcPr>
          <w:p w14:paraId="03B3998D">
            <w:pPr>
              <w:keepNext w:val="0"/>
              <w:keepLines w:val="0"/>
              <w:pageBreakBefore w:val="0"/>
              <w:widowControl w:val="0"/>
              <w:kinsoku/>
              <w:overflowPunct/>
              <w:topLinePunct w:val="0"/>
              <w:autoSpaceDE/>
              <w:autoSpaceDN/>
              <w:bidi w:val="0"/>
              <w:adjustRightInd/>
              <w:snapToGrid/>
              <w:spacing w:line="312" w:lineRule="auto"/>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检查因素</w:t>
            </w:r>
          </w:p>
        </w:tc>
        <w:tc>
          <w:tcPr>
            <w:tcW w:w="4708" w:type="dxa"/>
            <w:noWrap w:val="0"/>
            <w:vAlign w:val="center"/>
          </w:tcPr>
          <w:p w14:paraId="538C4195">
            <w:pPr>
              <w:keepNext w:val="0"/>
              <w:keepLines w:val="0"/>
              <w:pageBreakBefore w:val="0"/>
              <w:widowControl w:val="0"/>
              <w:kinsoku/>
              <w:overflowPunct/>
              <w:topLinePunct w:val="0"/>
              <w:autoSpaceDE/>
              <w:autoSpaceDN/>
              <w:bidi w:val="0"/>
              <w:adjustRightInd/>
              <w:snapToGrid/>
              <w:spacing w:line="312" w:lineRule="auto"/>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检查内容</w:t>
            </w:r>
          </w:p>
        </w:tc>
      </w:tr>
      <w:tr w14:paraId="58E7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31" w:type="dxa"/>
            <w:vMerge w:val="restart"/>
            <w:noWrap w:val="0"/>
            <w:vAlign w:val="center"/>
          </w:tcPr>
          <w:p w14:paraId="77BA3E5B">
            <w:pPr>
              <w:keepNext w:val="0"/>
              <w:keepLines w:val="0"/>
              <w:pageBreakBefore w:val="0"/>
              <w:widowControl w:val="0"/>
              <w:kinsoku/>
              <w:overflowPunct/>
              <w:topLinePunct w:val="0"/>
              <w:autoSpaceDE/>
              <w:autoSpaceDN/>
              <w:bidi w:val="0"/>
              <w:adjustRightInd/>
              <w:snapToGrid/>
              <w:spacing w:line="312" w:lineRule="auto"/>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p>
        </w:tc>
        <w:tc>
          <w:tcPr>
            <w:tcW w:w="1691" w:type="dxa"/>
            <w:vMerge w:val="restart"/>
            <w:noWrap w:val="0"/>
            <w:vAlign w:val="center"/>
          </w:tcPr>
          <w:p w14:paraId="6022E128">
            <w:pPr>
              <w:bidi w:val="0"/>
              <w:jc w:val="center"/>
              <w:rPr>
                <w:highlight w:val="none"/>
                <w:lang w:val="zh-CN" w:eastAsia="zh-CN"/>
              </w:rPr>
            </w:pPr>
            <w:r>
              <w:rPr>
                <w:rFonts w:hint="eastAsia" w:ascii="宋体" w:hAnsi="宋体" w:eastAsia="宋体" w:cs="宋体"/>
                <w:sz w:val="24"/>
                <w:szCs w:val="24"/>
                <w:highlight w:val="none"/>
              </w:rPr>
              <w:t>《中华人民共和国政府采购法》第二十二条规定</w:t>
            </w:r>
          </w:p>
        </w:tc>
        <w:tc>
          <w:tcPr>
            <w:tcW w:w="2750" w:type="dxa"/>
            <w:noWrap w:val="0"/>
            <w:vAlign w:val="center"/>
          </w:tcPr>
          <w:p w14:paraId="32A824DF">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4708" w:type="dxa"/>
            <w:noWrap w:val="0"/>
            <w:vAlign w:val="center"/>
          </w:tcPr>
          <w:p w14:paraId="4DD792A0">
            <w:pPr>
              <w:keepNext w:val="0"/>
              <w:keepLines w:val="0"/>
              <w:pageBreakBefore w:val="0"/>
              <w:widowControl w:val="0"/>
              <w:kinsoku/>
              <w:overflowPunct/>
              <w:topLinePunct w:val="0"/>
              <w:autoSpaceDE/>
              <w:autoSpaceDN/>
              <w:bidi w:val="0"/>
              <w:adjustRightInd/>
              <w:snapToGrid/>
              <w:spacing w:line="312" w:lineRule="auto"/>
              <w:textAlignment w:val="auto"/>
              <w:rPr>
                <w:rStyle w:val="25"/>
                <w:rFonts w:hint="eastAsia" w:cs="宋体"/>
                <w:b w:val="0"/>
                <w:bCs/>
                <w:color w:val="auto"/>
                <w:sz w:val="24"/>
                <w:highlight w:val="none"/>
                <w:lang w:val="en-US" w:eastAsia="zh-CN"/>
              </w:rPr>
            </w:pPr>
            <w:r>
              <w:rPr>
                <w:rStyle w:val="25"/>
                <w:rFonts w:hint="eastAsia" w:cs="宋体"/>
                <w:b w:val="0"/>
                <w:bCs/>
                <w:color w:val="auto"/>
                <w:sz w:val="24"/>
                <w:highlight w:val="none"/>
                <w:lang w:val="en-US" w:eastAsia="zh-CN"/>
              </w:rPr>
              <w:t>营业执照等证明文件。</w:t>
            </w:r>
          </w:p>
          <w:p w14:paraId="25DE63ED">
            <w:pPr>
              <w:keepNext w:val="0"/>
              <w:keepLines w:val="0"/>
              <w:pageBreakBefore w:val="0"/>
              <w:widowControl w:val="0"/>
              <w:kinsoku/>
              <w:overflowPunct/>
              <w:topLinePunct w:val="0"/>
              <w:autoSpaceDE/>
              <w:autoSpaceDN/>
              <w:bidi w:val="0"/>
              <w:adjustRightInd/>
              <w:snapToGrid/>
              <w:spacing w:line="312" w:lineRule="auto"/>
              <w:textAlignment w:val="auto"/>
              <w:rPr>
                <w:rStyle w:val="25"/>
                <w:rFonts w:hint="eastAsia" w:cs="宋体"/>
                <w:b w:val="0"/>
                <w:bCs/>
                <w:color w:val="auto"/>
                <w:sz w:val="24"/>
                <w:highlight w:val="none"/>
                <w:lang w:val="en-US" w:eastAsia="zh-CN"/>
              </w:rPr>
            </w:pPr>
            <w:r>
              <w:rPr>
                <w:rStyle w:val="25"/>
                <w:rFonts w:hint="eastAsia" w:cs="宋体"/>
                <w:b w:val="0"/>
                <w:bCs/>
                <w:color w:val="auto"/>
                <w:sz w:val="24"/>
                <w:highlight w:val="none"/>
                <w:lang w:val="en-US" w:eastAsia="zh-CN"/>
              </w:rPr>
              <w:t>法人包括企业法人、机关法人、事业单位法人和社会团体法人。</w:t>
            </w:r>
          </w:p>
          <w:p w14:paraId="36AA9AF4">
            <w:pPr>
              <w:keepNext w:val="0"/>
              <w:keepLines w:val="0"/>
              <w:pageBreakBefore w:val="0"/>
              <w:widowControl w:val="0"/>
              <w:kinsoku/>
              <w:overflowPunct/>
              <w:topLinePunct w:val="0"/>
              <w:autoSpaceDE/>
              <w:autoSpaceDN/>
              <w:bidi w:val="0"/>
              <w:adjustRightInd/>
              <w:snapToGrid/>
              <w:spacing w:line="312" w:lineRule="auto"/>
              <w:textAlignment w:val="auto"/>
              <w:rPr>
                <w:rStyle w:val="25"/>
                <w:rFonts w:hint="eastAsia" w:cs="宋体"/>
                <w:b w:val="0"/>
                <w:bCs/>
                <w:color w:val="auto"/>
                <w:sz w:val="24"/>
                <w:highlight w:val="none"/>
                <w:lang w:val="en-US" w:eastAsia="zh-CN"/>
              </w:rPr>
            </w:pPr>
            <w:r>
              <w:rPr>
                <w:rStyle w:val="25"/>
                <w:rFonts w:hint="eastAsia" w:cs="宋体"/>
                <w:b w:val="0"/>
                <w:bCs/>
                <w:color w:val="auto"/>
                <w:sz w:val="24"/>
                <w:highlight w:val="none"/>
                <w:lang w:val="en-US" w:eastAsia="zh-CN"/>
              </w:rPr>
              <w:t>其他组织主要包括合伙企业、非企业专业服务机构、个体工商户、农村承包经营户。</w:t>
            </w:r>
          </w:p>
          <w:p w14:paraId="774BC2E6">
            <w:pPr>
              <w:keepNext w:val="0"/>
              <w:keepLines w:val="0"/>
              <w:pageBreakBefore w:val="0"/>
              <w:widowControl w:val="0"/>
              <w:kinsoku/>
              <w:overflowPunct/>
              <w:topLinePunct w:val="0"/>
              <w:autoSpaceDE/>
              <w:autoSpaceDN/>
              <w:bidi w:val="0"/>
              <w:adjustRightInd/>
              <w:snapToGrid/>
              <w:spacing w:line="312" w:lineRule="auto"/>
              <w:textAlignment w:val="auto"/>
              <w:rPr>
                <w:rStyle w:val="25"/>
                <w:rFonts w:hint="eastAsia" w:cs="宋体"/>
                <w:b w:val="0"/>
                <w:bCs/>
                <w:color w:val="auto"/>
                <w:sz w:val="24"/>
                <w:highlight w:val="none"/>
                <w:lang w:val="en-US" w:eastAsia="zh-CN"/>
              </w:rPr>
            </w:pPr>
            <w:r>
              <w:rPr>
                <w:rStyle w:val="25"/>
                <w:rFonts w:hint="eastAsia" w:cs="宋体"/>
                <w:b w:val="0"/>
                <w:bCs/>
                <w:color w:val="auto"/>
                <w:sz w:val="24"/>
                <w:highlight w:val="none"/>
                <w:lang w:val="en-US" w:eastAsia="zh-CN"/>
              </w:rPr>
              <w:t>自然人是指《中华人民共和国民法典》（以下简称《民法典》）规定的具有完全民事行为能力、能够承担民事责任和义务的公民，并加盖电子签章。</w:t>
            </w:r>
          </w:p>
          <w:p w14:paraId="100A9739">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s="宋体"/>
                <w:color w:val="auto"/>
                <w:kern w:val="0"/>
                <w:sz w:val="24"/>
                <w:highlight w:val="none"/>
                <w:lang w:val="zh-CN"/>
              </w:rPr>
            </w:pPr>
            <w:r>
              <w:rPr>
                <w:rStyle w:val="25"/>
                <w:rFonts w:hint="eastAsia" w:cs="宋体"/>
                <w:b w:val="0"/>
                <w:bCs/>
                <w:color w:val="auto"/>
                <w:sz w:val="24"/>
                <w:highlight w:val="none"/>
                <w:lang w:val="en-US" w:eastAsia="zh-CN"/>
              </w:rPr>
              <w:t>分支机构根据《民法典》可以参与投标的，须提供总公司和分公司营业执照复印件及总公司出具给分支机构的授权书。</w:t>
            </w:r>
          </w:p>
        </w:tc>
      </w:tr>
      <w:tr w14:paraId="301A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1" w:type="dxa"/>
            <w:vMerge w:val="continue"/>
            <w:noWrap w:val="0"/>
            <w:vAlign w:val="center"/>
          </w:tcPr>
          <w:p w14:paraId="421A76C8">
            <w:pPr>
              <w:keepNext w:val="0"/>
              <w:keepLines w:val="0"/>
              <w:pageBreakBefore w:val="0"/>
              <w:widowControl w:val="0"/>
              <w:kinsoku/>
              <w:overflowPunct/>
              <w:topLinePunct w:val="0"/>
              <w:autoSpaceDE/>
              <w:autoSpaceDN/>
              <w:bidi w:val="0"/>
              <w:adjustRightInd/>
              <w:snapToGrid/>
              <w:spacing w:line="312" w:lineRule="auto"/>
              <w:jc w:val="center"/>
              <w:textAlignment w:val="auto"/>
              <w:rPr>
                <w:rFonts w:ascii="宋体" w:hAnsi="宋体" w:cs="宋体"/>
                <w:color w:val="auto"/>
                <w:kern w:val="0"/>
                <w:sz w:val="24"/>
                <w:highlight w:val="none"/>
                <w:lang w:val="zh-CN"/>
              </w:rPr>
            </w:pPr>
          </w:p>
        </w:tc>
        <w:tc>
          <w:tcPr>
            <w:tcW w:w="1691" w:type="dxa"/>
            <w:vMerge w:val="continue"/>
            <w:noWrap w:val="0"/>
            <w:vAlign w:val="center"/>
          </w:tcPr>
          <w:p w14:paraId="4BD97D3C">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s="宋体"/>
                <w:color w:val="auto"/>
                <w:kern w:val="0"/>
                <w:sz w:val="24"/>
                <w:highlight w:val="none"/>
                <w:lang w:val="zh-CN"/>
              </w:rPr>
            </w:pPr>
          </w:p>
        </w:tc>
        <w:tc>
          <w:tcPr>
            <w:tcW w:w="2750" w:type="dxa"/>
            <w:noWrap w:val="0"/>
            <w:vAlign w:val="center"/>
          </w:tcPr>
          <w:p w14:paraId="11F0B567">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具有良好的商业信誉和健全的财务会计制度；</w:t>
            </w:r>
          </w:p>
        </w:tc>
        <w:tc>
          <w:tcPr>
            <w:tcW w:w="4708" w:type="dxa"/>
            <w:noWrap w:val="0"/>
            <w:vAlign w:val="center"/>
          </w:tcPr>
          <w:p w14:paraId="37B5503B">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提供（202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或202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年度）财务会计报告或企业财务报表（至少包括包资产负债表）或基本开户银行出具的资信证明。供应商注册时间截至响应文件递交截止日不足一年的，也可提供在相关主管部门备案的公司章程复印件</w:t>
            </w:r>
          </w:p>
        </w:tc>
      </w:tr>
      <w:tr w14:paraId="4185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731" w:type="dxa"/>
            <w:vMerge w:val="continue"/>
            <w:noWrap w:val="0"/>
            <w:vAlign w:val="center"/>
          </w:tcPr>
          <w:p w14:paraId="07D5A620">
            <w:pPr>
              <w:keepNext w:val="0"/>
              <w:keepLines w:val="0"/>
              <w:pageBreakBefore w:val="0"/>
              <w:widowControl w:val="0"/>
              <w:kinsoku/>
              <w:overflowPunct/>
              <w:topLinePunct w:val="0"/>
              <w:autoSpaceDE/>
              <w:autoSpaceDN/>
              <w:bidi w:val="0"/>
              <w:adjustRightInd/>
              <w:snapToGrid/>
              <w:spacing w:line="312" w:lineRule="auto"/>
              <w:jc w:val="center"/>
              <w:textAlignment w:val="auto"/>
              <w:rPr>
                <w:rFonts w:ascii="宋体" w:hAnsi="宋体" w:cs="宋体"/>
                <w:color w:val="auto"/>
                <w:kern w:val="0"/>
                <w:sz w:val="24"/>
                <w:highlight w:val="none"/>
                <w:lang w:val="zh-CN"/>
              </w:rPr>
            </w:pPr>
          </w:p>
        </w:tc>
        <w:tc>
          <w:tcPr>
            <w:tcW w:w="1691" w:type="dxa"/>
            <w:vMerge w:val="continue"/>
            <w:noWrap w:val="0"/>
            <w:vAlign w:val="center"/>
          </w:tcPr>
          <w:p w14:paraId="2444F730">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s="宋体"/>
                <w:color w:val="auto"/>
                <w:kern w:val="0"/>
                <w:sz w:val="24"/>
                <w:highlight w:val="none"/>
                <w:lang w:val="zh-CN"/>
              </w:rPr>
            </w:pPr>
          </w:p>
        </w:tc>
        <w:tc>
          <w:tcPr>
            <w:tcW w:w="2750" w:type="dxa"/>
            <w:noWrap w:val="0"/>
            <w:vAlign w:val="center"/>
          </w:tcPr>
          <w:p w14:paraId="6334DCB0">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tc>
        <w:tc>
          <w:tcPr>
            <w:tcW w:w="4708" w:type="dxa"/>
            <w:noWrap w:val="0"/>
            <w:vAlign w:val="center"/>
          </w:tcPr>
          <w:p w14:paraId="60C07736">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w:t>
            </w:r>
            <w:r>
              <w:rPr>
                <w:rStyle w:val="25"/>
                <w:rFonts w:hint="eastAsia" w:ascii="宋体" w:hAnsi="宋体" w:eastAsia="宋体" w:cs="宋体"/>
                <w:b w:val="0"/>
                <w:bCs/>
                <w:color w:val="auto"/>
                <w:sz w:val="24"/>
                <w:highlight w:val="none"/>
              </w:rPr>
              <w:t>具有履行合同所必需的设备和专业技术能力的承诺书</w:t>
            </w:r>
            <w:r>
              <w:rPr>
                <w:rFonts w:hint="eastAsia" w:ascii="宋体" w:hAnsi="宋体" w:eastAsia="宋体" w:cs="宋体"/>
                <w:color w:val="auto"/>
                <w:kern w:val="0"/>
                <w:sz w:val="24"/>
                <w:highlight w:val="none"/>
              </w:rPr>
              <w:t>”，</w:t>
            </w:r>
            <w:r>
              <w:rPr>
                <w:rStyle w:val="25"/>
                <w:rFonts w:hint="eastAsia" w:ascii="宋体" w:hAnsi="宋体" w:eastAsia="宋体" w:cs="宋体"/>
                <w:b w:val="0"/>
                <w:bCs/>
                <w:color w:val="auto"/>
                <w:sz w:val="24"/>
                <w:highlight w:val="none"/>
              </w:rPr>
              <w:t xml:space="preserve">格式见“第五章  </w:t>
            </w:r>
            <w:r>
              <w:rPr>
                <w:rStyle w:val="25"/>
                <w:rFonts w:hint="eastAsia" w:ascii="宋体" w:hAnsi="宋体" w:eastAsia="宋体" w:cs="宋体"/>
                <w:b w:val="0"/>
                <w:bCs/>
                <w:color w:val="auto"/>
                <w:sz w:val="24"/>
                <w:highlight w:val="none"/>
                <w:lang w:eastAsia="zh-CN"/>
              </w:rPr>
              <w:t>响应</w:t>
            </w:r>
            <w:r>
              <w:rPr>
                <w:rStyle w:val="25"/>
                <w:rFonts w:hint="eastAsia" w:ascii="宋体" w:hAnsi="宋体" w:eastAsia="宋体" w:cs="宋体"/>
                <w:b w:val="0"/>
                <w:bCs/>
                <w:color w:val="auto"/>
                <w:sz w:val="24"/>
                <w:highlight w:val="none"/>
              </w:rPr>
              <w:t>文件格式（</w:t>
            </w:r>
            <w:r>
              <w:rPr>
                <w:rStyle w:val="25"/>
                <w:rFonts w:hint="eastAsia" w:ascii="宋体" w:hAnsi="宋体" w:eastAsia="宋体" w:cs="宋体"/>
                <w:b w:val="0"/>
                <w:bCs/>
                <w:color w:val="auto"/>
                <w:sz w:val="24"/>
                <w:highlight w:val="none"/>
                <w:lang w:val="en-US" w:eastAsia="zh-CN"/>
              </w:rPr>
              <w:t>7</w:t>
            </w:r>
            <w:r>
              <w:rPr>
                <w:rStyle w:val="25"/>
                <w:rFonts w:hint="eastAsia" w:ascii="宋体" w:hAnsi="宋体" w:eastAsia="宋体" w:cs="宋体"/>
                <w:b w:val="0"/>
                <w:bCs/>
                <w:color w:val="auto"/>
                <w:sz w:val="24"/>
                <w:highlight w:val="none"/>
              </w:rPr>
              <w:t>）”</w:t>
            </w:r>
          </w:p>
        </w:tc>
      </w:tr>
      <w:tr w14:paraId="509D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31" w:type="dxa"/>
            <w:vMerge w:val="continue"/>
            <w:noWrap w:val="0"/>
            <w:vAlign w:val="center"/>
          </w:tcPr>
          <w:p w14:paraId="489D2945">
            <w:pPr>
              <w:keepNext w:val="0"/>
              <w:keepLines w:val="0"/>
              <w:pageBreakBefore w:val="0"/>
              <w:widowControl w:val="0"/>
              <w:kinsoku/>
              <w:overflowPunct/>
              <w:topLinePunct w:val="0"/>
              <w:autoSpaceDE/>
              <w:autoSpaceDN/>
              <w:bidi w:val="0"/>
              <w:adjustRightInd/>
              <w:snapToGrid/>
              <w:spacing w:line="312" w:lineRule="auto"/>
              <w:jc w:val="center"/>
              <w:textAlignment w:val="auto"/>
              <w:rPr>
                <w:rFonts w:ascii="宋体" w:hAnsi="宋体" w:cs="宋体"/>
                <w:color w:val="auto"/>
                <w:kern w:val="0"/>
                <w:sz w:val="24"/>
                <w:highlight w:val="none"/>
                <w:lang w:val="zh-CN"/>
              </w:rPr>
            </w:pPr>
          </w:p>
        </w:tc>
        <w:tc>
          <w:tcPr>
            <w:tcW w:w="1691" w:type="dxa"/>
            <w:vMerge w:val="continue"/>
            <w:noWrap w:val="0"/>
            <w:vAlign w:val="center"/>
          </w:tcPr>
          <w:p w14:paraId="0577CEEB">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s="宋体"/>
                <w:color w:val="auto"/>
                <w:kern w:val="0"/>
                <w:sz w:val="24"/>
                <w:highlight w:val="none"/>
                <w:lang w:val="zh-CN"/>
              </w:rPr>
            </w:pPr>
          </w:p>
        </w:tc>
        <w:tc>
          <w:tcPr>
            <w:tcW w:w="2750" w:type="dxa"/>
            <w:noWrap w:val="0"/>
            <w:vAlign w:val="center"/>
          </w:tcPr>
          <w:p w14:paraId="3CBF670C">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tc>
        <w:tc>
          <w:tcPr>
            <w:tcW w:w="4708" w:type="dxa"/>
            <w:noWrap w:val="0"/>
            <w:vAlign w:val="center"/>
          </w:tcPr>
          <w:p w14:paraId="212CF034">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eastAsia="宋体" w:cs="宋体"/>
                <w:color w:val="auto"/>
                <w:kern w:val="0"/>
                <w:sz w:val="24"/>
                <w:highlight w:val="none"/>
                <w:lang w:val="zh-CN"/>
              </w:rPr>
            </w:pPr>
            <w:r>
              <w:rPr>
                <w:rStyle w:val="25"/>
                <w:rFonts w:hint="eastAsia" w:ascii="宋体" w:hAnsi="宋体" w:cs="宋体"/>
                <w:b w:val="0"/>
                <w:bCs/>
                <w:color w:val="auto"/>
                <w:sz w:val="24"/>
                <w:highlight w:val="none"/>
                <w:lang w:val="en-US" w:eastAsia="zh-CN"/>
              </w:rPr>
              <w:t>提供</w:t>
            </w:r>
            <w:r>
              <w:rPr>
                <w:rStyle w:val="25"/>
                <w:rFonts w:hint="eastAsia" w:ascii="宋体" w:hAnsi="宋体" w:eastAsia="宋体" w:cs="宋体"/>
                <w:b w:val="0"/>
                <w:bCs/>
                <w:color w:val="auto"/>
                <w:sz w:val="24"/>
                <w:highlight w:val="none"/>
                <w:lang w:eastAsia="zh-CN"/>
              </w:rPr>
              <w:t>投标截止日前六个月任意一个月依法缴纳税收和社会保障资金的良好记录的证明材料（附复印件）</w:t>
            </w:r>
            <w:r>
              <w:rPr>
                <w:rStyle w:val="25"/>
                <w:rFonts w:hint="eastAsia" w:ascii="宋体" w:hAnsi="宋体" w:eastAsia="宋体" w:cs="宋体"/>
                <w:b w:val="0"/>
                <w:bCs/>
                <w:color w:val="auto"/>
                <w:sz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w:t>
            </w:r>
            <w:r>
              <w:rPr>
                <w:rStyle w:val="25"/>
                <w:rFonts w:hint="eastAsia" w:ascii="宋体" w:hAnsi="宋体" w:eastAsia="宋体" w:cs="宋体"/>
                <w:b w:val="0"/>
                <w:bCs/>
                <w:color w:val="auto"/>
                <w:sz w:val="24"/>
                <w:highlight w:val="none"/>
                <w:lang w:eastAsia="zh-CN"/>
              </w:rPr>
              <w:t>供应商</w:t>
            </w:r>
            <w:r>
              <w:rPr>
                <w:rStyle w:val="25"/>
                <w:rFonts w:hint="eastAsia" w:ascii="宋体" w:hAnsi="宋体" w:eastAsia="宋体" w:cs="宋体"/>
                <w:b w:val="0"/>
                <w:bCs/>
                <w:color w:val="auto"/>
                <w:sz w:val="24"/>
                <w:highlight w:val="none"/>
                <w:lang w:val="en-US" w:eastAsia="zh-CN"/>
              </w:rPr>
              <w:t>所在地税务部门出具的相应证明）；</w:t>
            </w:r>
          </w:p>
        </w:tc>
      </w:tr>
      <w:tr w14:paraId="4A80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31" w:type="dxa"/>
            <w:vMerge w:val="continue"/>
            <w:noWrap w:val="0"/>
            <w:vAlign w:val="center"/>
          </w:tcPr>
          <w:p w14:paraId="7C3CE8F8">
            <w:pPr>
              <w:keepNext w:val="0"/>
              <w:keepLines w:val="0"/>
              <w:pageBreakBefore w:val="0"/>
              <w:widowControl w:val="0"/>
              <w:kinsoku/>
              <w:overflowPunct/>
              <w:topLinePunct w:val="0"/>
              <w:autoSpaceDE/>
              <w:autoSpaceDN/>
              <w:bidi w:val="0"/>
              <w:adjustRightInd/>
              <w:snapToGrid/>
              <w:spacing w:line="312" w:lineRule="auto"/>
              <w:jc w:val="center"/>
              <w:textAlignment w:val="auto"/>
              <w:rPr>
                <w:rFonts w:ascii="宋体" w:hAnsi="宋体" w:cs="宋体"/>
                <w:color w:val="auto"/>
                <w:kern w:val="0"/>
                <w:sz w:val="24"/>
                <w:highlight w:val="none"/>
                <w:lang w:val="zh-CN"/>
              </w:rPr>
            </w:pPr>
          </w:p>
        </w:tc>
        <w:tc>
          <w:tcPr>
            <w:tcW w:w="1691" w:type="dxa"/>
            <w:vMerge w:val="continue"/>
            <w:noWrap w:val="0"/>
            <w:vAlign w:val="center"/>
          </w:tcPr>
          <w:p w14:paraId="1854917D">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s="宋体"/>
                <w:color w:val="auto"/>
                <w:sz w:val="24"/>
                <w:highlight w:val="none"/>
              </w:rPr>
            </w:pPr>
          </w:p>
        </w:tc>
        <w:tc>
          <w:tcPr>
            <w:tcW w:w="2750" w:type="dxa"/>
            <w:noWrap w:val="0"/>
            <w:vAlign w:val="center"/>
          </w:tcPr>
          <w:p w14:paraId="12A50D3E">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参加政府采购活动前三年内，在经营活动中没有重大违法记录；</w:t>
            </w:r>
          </w:p>
        </w:tc>
        <w:tc>
          <w:tcPr>
            <w:tcW w:w="4708" w:type="dxa"/>
            <w:noWrap w:val="0"/>
            <w:vAlign w:val="center"/>
          </w:tcPr>
          <w:p w14:paraId="26B7A1A5">
            <w:pPr>
              <w:keepNext w:val="0"/>
              <w:keepLines w:val="0"/>
              <w:pageBreakBefore w:val="0"/>
              <w:widowControl w:val="0"/>
              <w:kinsoku/>
              <w:overflowPunct/>
              <w:topLinePunct w:val="0"/>
              <w:autoSpaceDE/>
              <w:autoSpaceDN/>
              <w:bidi w:val="0"/>
              <w:adjustRightInd/>
              <w:snapToGrid/>
              <w:spacing w:line="312" w:lineRule="auto"/>
              <w:textAlignment w:val="auto"/>
              <w:rPr>
                <w:rStyle w:val="25"/>
                <w:rFonts w:hint="eastAsia" w:ascii="宋体" w:hAnsi="宋体" w:eastAsia="宋体" w:cs="宋体"/>
                <w:b w:val="0"/>
                <w:bCs/>
                <w:color w:val="auto"/>
                <w:sz w:val="24"/>
                <w:highlight w:val="none"/>
              </w:rPr>
            </w:pPr>
            <w:r>
              <w:rPr>
                <w:rStyle w:val="25"/>
                <w:rFonts w:hint="eastAsia" w:ascii="宋体" w:hAnsi="宋体" w:eastAsia="宋体" w:cs="宋体"/>
                <w:b w:val="0"/>
                <w:bCs/>
                <w:color w:val="auto"/>
                <w:sz w:val="24"/>
                <w:highlight w:val="none"/>
              </w:rPr>
              <w:t xml:space="preserve">提供“无重大违法记录承诺书”，格式见“第五章  </w:t>
            </w:r>
            <w:r>
              <w:rPr>
                <w:rStyle w:val="25"/>
                <w:rFonts w:hint="eastAsia" w:ascii="宋体" w:hAnsi="宋体" w:eastAsia="宋体" w:cs="宋体"/>
                <w:b w:val="0"/>
                <w:bCs/>
                <w:color w:val="auto"/>
                <w:sz w:val="24"/>
                <w:highlight w:val="none"/>
                <w:lang w:eastAsia="zh-CN"/>
              </w:rPr>
              <w:t>响应</w:t>
            </w:r>
            <w:r>
              <w:rPr>
                <w:rStyle w:val="25"/>
                <w:rFonts w:hint="eastAsia" w:ascii="宋体" w:hAnsi="宋体" w:eastAsia="宋体" w:cs="宋体"/>
                <w:b w:val="0"/>
                <w:bCs/>
                <w:color w:val="auto"/>
                <w:sz w:val="24"/>
                <w:highlight w:val="none"/>
              </w:rPr>
              <w:t>文件格式（</w:t>
            </w:r>
            <w:r>
              <w:rPr>
                <w:rStyle w:val="25"/>
                <w:rFonts w:hint="eastAsia" w:ascii="宋体" w:hAnsi="宋体" w:eastAsia="宋体" w:cs="宋体"/>
                <w:b w:val="0"/>
                <w:bCs/>
                <w:color w:val="auto"/>
                <w:sz w:val="24"/>
                <w:highlight w:val="none"/>
                <w:lang w:val="en-US" w:eastAsia="zh-CN"/>
              </w:rPr>
              <w:t>6</w:t>
            </w:r>
            <w:r>
              <w:rPr>
                <w:rStyle w:val="25"/>
                <w:rFonts w:hint="eastAsia" w:ascii="宋体" w:hAnsi="宋体" w:eastAsia="宋体" w:cs="宋体"/>
                <w:b w:val="0"/>
                <w:bCs/>
                <w:color w:val="auto"/>
                <w:sz w:val="24"/>
                <w:highlight w:val="none"/>
              </w:rPr>
              <w:t>）”</w:t>
            </w:r>
          </w:p>
        </w:tc>
      </w:tr>
      <w:tr w14:paraId="212E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31" w:type="dxa"/>
            <w:noWrap w:val="0"/>
            <w:vAlign w:val="center"/>
          </w:tcPr>
          <w:p w14:paraId="24E2F351">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4441" w:type="dxa"/>
            <w:gridSpan w:val="2"/>
            <w:noWrap w:val="0"/>
            <w:vAlign w:val="center"/>
          </w:tcPr>
          <w:p w14:paraId="7158ABAC">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eastAsia="宋体" w:cs="宋体"/>
                <w:bCs/>
                <w:color w:val="auto"/>
                <w:kern w:val="0"/>
                <w:sz w:val="24"/>
                <w:szCs w:val="22"/>
                <w:highlight w:val="none"/>
                <w:lang w:val="en-US" w:eastAsia="zh-CN" w:bidi="ar-SA"/>
              </w:rPr>
            </w:pPr>
            <w:r>
              <w:rPr>
                <w:rFonts w:hint="eastAsia" w:ascii="宋体" w:hAnsi="宋体" w:cs="宋体"/>
                <w:bCs/>
                <w:color w:val="auto"/>
                <w:kern w:val="0"/>
                <w:sz w:val="24"/>
                <w:szCs w:val="22"/>
                <w:highlight w:val="none"/>
                <w:lang w:eastAsia="zh-Hans"/>
              </w:rPr>
              <w:t>供应商为</w:t>
            </w:r>
            <w:r>
              <w:rPr>
                <w:rFonts w:hint="eastAsia" w:ascii="宋体" w:hAnsi="宋体" w:cs="宋体"/>
                <w:bCs/>
                <w:color w:val="auto"/>
                <w:kern w:val="0"/>
                <w:sz w:val="24"/>
                <w:szCs w:val="22"/>
                <w:highlight w:val="none"/>
                <w:lang w:val="en-US" w:eastAsia="zh-CN"/>
              </w:rPr>
              <w:t>小微企业</w:t>
            </w:r>
          </w:p>
        </w:tc>
        <w:tc>
          <w:tcPr>
            <w:tcW w:w="4708" w:type="dxa"/>
            <w:noWrap w:val="0"/>
            <w:vAlign w:val="center"/>
          </w:tcPr>
          <w:p w14:paraId="1154D778">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cs="宋体"/>
                <w:color w:val="auto"/>
                <w:kern w:val="0"/>
                <w:sz w:val="24"/>
                <w:szCs w:val="24"/>
                <w:highlight w:val="none"/>
                <w:lang w:val="en-US" w:eastAsia="zh-Hans" w:bidi="ar-SA"/>
              </w:rPr>
            </w:pPr>
            <w:r>
              <w:rPr>
                <w:rFonts w:hint="eastAsia" w:ascii="宋体" w:hAnsi="宋体" w:cs="宋体"/>
                <w:color w:val="auto"/>
                <w:kern w:val="0"/>
                <w:sz w:val="24"/>
                <w:highlight w:val="none"/>
                <w:lang w:eastAsia="zh-Hans"/>
              </w:rPr>
              <w:t>根据采购文件要求，提供“中小企业声明函”</w:t>
            </w:r>
          </w:p>
        </w:tc>
      </w:tr>
    </w:tbl>
    <w:p w14:paraId="65B18F8A">
      <w:pPr>
        <w:spacing w:line="360" w:lineRule="auto"/>
        <w:rPr>
          <w:rFonts w:hint="eastAsia" w:ascii="宋体" w:hAnsi="宋体" w:cs="宋体"/>
          <w:b/>
          <w:bCs/>
          <w:sz w:val="28"/>
          <w:szCs w:val="21"/>
          <w:highlight w:val="none"/>
        </w:rPr>
      </w:pPr>
    </w:p>
    <w:p w14:paraId="07BA53F2">
      <w:pPr>
        <w:rPr>
          <w:rFonts w:hint="eastAsia" w:ascii="宋体" w:hAnsi="宋体" w:cs="宋体"/>
          <w:b/>
          <w:bCs/>
          <w:sz w:val="28"/>
          <w:szCs w:val="21"/>
          <w:highlight w:val="none"/>
        </w:rPr>
      </w:pPr>
      <w:r>
        <w:rPr>
          <w:rFonts w:hint="eastAsia" w:ascii="宋体" w:hAnsi="宋体" w:cs="宋体"/>
          <w:b/>
          <w:bCs/>
          <w:sz w:val="28"/>
          <w:szCs w:val="21"/>
          <w:highlight w:val="none"/>
        </w:rPr>
        <w:br w:type="page"/>
      </w:r>
    </w:p>
    <w:p w14:paraId="70CA6CED">
      <w:pPr>
        <w:spacing w:line="360" w:lineRule="auto"/>
        <w:rPr>
          <w:rFonts w:hint="eastAsia" w:ascii="宋体" w:hAnsi="宋体" w:cs="宋体"/>
          <w:b/>
          <w:bCs/>
          <w:sz w:val="28"/>
          <w:szCs w:val="21"/>
          <w:highlight w:val="none"/>
        </w:rPr>
      </w:pPr>
      <w:r>
        <w:rPr>
          <w:rFonts w:hint="eastAsia" w:ascii="宋体" w:hAnsi="宋体" w:cs="宋体"/>
          <w:b/>
          <w:bCs/>
          <w:sz w:val="28"/>
          <w:szCs w:val="21"/>
          <w:highlight w:val="none"/>
        </w:rPr>
        <w:t>2、符合性审查</w:t>
      </w:r>
    </w:p>
    <w:tbl>
      <w:tblPr>
        <w:tblStyle w:val="22"/>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66"/>
        <w:gridCol w:w="2884"/>
        <w:gridCol w:w="4764"/>
      </w:tblGrid>
      <w:tr w14:paraId="2E50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90" w:type="dxa"/>
            <w:noWrap w:val="0"/>
            <w:vAlign w:val="center"/>
          </w:tcPr>
          <w:p w14:paraId="76C2A718">
            <w:pPr>
              <w:spacing w:line="288"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序号</w:t>
            </w:r>
          </w:p>
        </w:tc>
        <w:tc>
          <w:tcPr>
            <w:tcW w:w="4450" w:type="dxa"/>
            <w:gridSpan w:val="2"/>
            <w:noWrap w:val="0"/>
            <w:vAlign w:val="center"/>
          </w:tcPr>
          <w:p w14:paraId="46547560">
            <w:pPr>
              <w:spacing w:line="288"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评审因素</w:t>
            </w:r>
          </w:p>
        </w:tc>
        <w:tc>
          <w:tcPr>
            <w:tcW w:w="4764" w:type="dxa"/>
            <w:noWrap w:val="0"/>
            <w:vAlign w:val="center"/>
          </w:tcPr>
          <w:p w14:paraId="18DCCE88">
            <w:pPr>
              <w:spacing w:line="288"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评审标准</w:t>
            </w:r>
          </w:p>
        </w:tc>
      </w:tr>
      <w:tr w14:paraId="0840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90" w:type="dxa"/>
            <w:vMerge w:val="restart"/>
            <w:noWrap w:val="0"/>
            <w:vAlign w:val="center"/>
          </w:tcPr>
          <w:p w14:paraId="36FEBAA5">
            <w:pPr>
              <w:spacing w:line="288"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1566" w:type="dxa"/>
            <w:vMerge w:val="restart"/>
            <w:noWrap w:val="0"/>
            <w:vAlign w:val="center"/>
          </w:tcPr>
          <w:p w14:paraId="3FD1A881">
            <w:pPr>
              <w:spacing w:line="288"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有效性审查</w:t>
            </w:r>
          </w:p>
        </w:tc>
        <w:tc>
          <w:tcPr>
            <w:tcW w:w="2884" w:type="dxa"/>
            <w:noWrap w:val="0"/>
            <w:vAlign w:val="center"/>
          </w:tcPr>
          <w:p w14:paraId="23C7BA94">
            <w:pPr>
              <w:spacing w:line="288" w:lineRule="auto"/>
              <w:rPr>
                <w:rFonts w:hint="eastAsia" w:ascii="宋体" w:hAnsi="宋体" w:cs="宋体"/>
                <w:kern w:val="0"/>
                <w:sz w:val="24"/>
                <w:szCs w:val="24"/>
                <w:highlight w:val="none"/>
              </w:rPr>
            </w:pPr>
            <w:r>
              <w:rPr>
                <w:rFonts w:hint="eastAsia" w:ascii="宋体" w:hAnsi="宋体" w:cs="宋体"/>
                <w:sz w:val="24"/>
                <w:szCs w:val="24"/>
                <w:highlight w:val="none"/>
                <w:lang w:val="zh-CN"/>
              </w:rPr>
              <w:t>响应文件</w:t>
            </w:r>
            <w:r>
              <w:rPr>
                <w:rFonts w:hint="eastAsia" w:ascii="宋体" w:hAnsi="宋体" w:cs="宋体"/>
                <w:sz w:val="24"/>
                <w:szCs w:val="24"/>
                <w:highlight w:val="none"/>
              </w:rPr>
              <w:t>签署</w:t>
            </w:r>
          </w:p>
        </w:tc>
        <w:tc>
          <w:tcPr>
            <w:tcW w:w="4764" w:type="dxa"/>
            <w:noWrap w:val="0"/>
            <w:vAlign w:val="center"/>
          </w:tcPr>
          <w:p w14:paraId="4585D6DC">
            <w:pPr>
              <w:spacing w:line="288" w:lineRule="auto"/>
              <w:rPr>
                <w:rFonts w:hint="eastAsia" w:ascii="宋体" w:hAnsi="宋体" w:cs="宋体"/>
                <w:kern w:val="0"/>
                <w:sz w:val="24"/>
                <w:szCs w:val="24"/>
                <w:highlight w:val="none"/>
              </w:rPr>
            </w:pPr>
            <w:r>
              <w:rPr>
                <w:rFonts w:hint="eastAsia" w:ascii="宋体" w:hAnsi="宋体" w:cs="宋体"/>
                <w:sz w:val="24"/>
                <w:szCs w:val="24"/>
                <w:highlight w:val="none"/>
                <w:lang w:val="zh-CN"/>
              </w:rPr>
              <w:t>响应文件签署是否齐全，是否完整</w:t>
            </w:r>
          </w:p>
        </w:tc>
      </w:tr>
      <w:tr w14:paraId="6FC0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90" w:type="dxa"/>
            <w:vMerge w:val="continue"/>
            <w:noWrap w:val="0"/>
            <w:vAlign w:val="center"/>
          </w:tcPr>
          <w:p w14:paraId="17B036B0">
            <w:pPr>
              <w:spacing w:line="288" w:lineRule="auto"/>
              <w:jc w:val="center"/>
              <w:rPr>
                <w:rFonts w:hint="eastAsia" w:ascii="宋体" w:hAnsi="宋体" w:cs="宋体"/>
                <w:kern w:val="0"/>
                <w:sz w:val="24"/>
                <w:szCs w:val="24"/>
                <w:highlight w:val="none"/>
              </w:rPr>
            </w:pPr>
          </w:p>
        </w:tc>
        <w:tc>
          <w:tcPr>
            <w:tcW w:w="1566" w:type="dxa"/>
            <w:vMerge w:val="continue"/>
            <w:noWrap w:val="0"/>
            <w:vAlign w:val="center"/>
          </w:tcPr>
          <w:p w14:paraId="1855E69F">
            <w:pPr>
              <w:spacing w:line="288" w:lineRule="auto"/>
              <w:jc w:val="center"/>
              <w:rPr>
                <w:rFonts w:hint="eastAsia" w:ascii="宋体" w:hAnsi="宋体" w:cs="宋体"/>
                <w:kern w:val="0"/>
                <w:sz w:val="24"/>
                <w:szCs w:val="24"/>
                <w:highlight w:val="none"/>
              </w:rPr>
            </w:pPr>
          </w:p>
        </w:tc>
        <w:tc>
          <w:tcPr>
            <w:tcW w:w="2884" w:type="dxa"/>
            <w:noWrap w:val="0"/>
            <w:vAlign w:val="center"/>
          </w:tcPr>
          <w:p w14:paraId="3FB23069">
            <w:pPr>
              <w:spacing w:line="288" w:lineRule="auto"/>
              <w:rPr>
                <w:rFonts w:hint="eastAsia" w:ascii="宋体" w:hAnsi="宋体" w:cs="宋体"/>
                <w:sz w:val="24"/>
                <w:szCs w:val="24"/>
                <w:highlight w:val="none"/>
                <w:lang w:val="zh-CN"/>
              </w:rPr>
            </w:pPr>
            <w:r>
              <w:rPr>
                <w:rFonts w:hint="eastAsia" w:ascii="宋体" w:hAnsi="宋体" w:cs="宋体"/>
                <w:sz w:val="24"/>
                <w:szCs w:val="24"/>
                <w:highlight w:val="none"/>
              </w:rPr>
              <w:t>法定代表人身份证明及授权委托书</w:t>
            </w:r>
          </w:p>
        </w:tc>
        <w:tc>
          <w:tcPr>
            <w:tcW w:w="4764" w:type="dxa"/>
            <w:noWrap w:val="0"/>
            <w:vAlign w:val="center"/>
          </w:tcPr>
          <w:p w14:paraId="5853FD18">
            <w:pPr>
              <w:spacing w:line="288" w:lineRule="auto"/>
              <w:rPr>
                <w:rFonts w:hint="eastAsia" w:ascii="宋体" w:hAnsi="宋体" w:cs="宋体"/>
                <w:sz w:val="24"/>
                <w:szCs w:val="24"/>
                <w:highlight w:val="none"/>
                <w:lang w:val="zh-CN"/>
              </w:rPr>
            </w:pPr>
            <w:r>
              <w:rPr>
                <w:rFonts w:hint="eastAsia" w:ascii="宋体" w:hAnsi="宋体" w:cs="宋体"/>
                <w:sz w:val="24"/>
                <w:szCs w:val="24"/>
                <w:highlight w:val="none"/>
              </w:rPr>
              <w:t>法定代表人身份证明及授权委托书有效，且符合</w:t>
            </w:r>
            <w:r>
              <w:rPr>
                <w:rFonts w:hint="eastAsia" w:ascii="宋体" w:hAnsi="宋体" w:cs="宋体"/>
                <w:sz w:val="24"/>
                <w:szCs w:val="24"/>
                <w:highlight w:val="none"/>
                <w:lang w:eastAsia="zh-CN"/>
              </w:rPr>
              <w:t>谈判文件</w:t>
            </w:r>
            <w:r>
              <w:rPr>
                <w:rFonts w:hint="eastAsia" w:ascii="宋体" w:hAnsi="宋体" w:cs="宋体"/>
                <w:sz w:val="24"/>
                <w:szCs w:val="24"/>
                <w:highlight w:val="none"/>
              </w:rPr>
              <w:t>规定的格式，签字或盖章齐全。</w:t>
            </w:r>
          </w:p>
        </w:tc>
      </w:tr>
      <w:tr w14:paraId="219B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0" w:type="dxa"/>
            <w:vMerge w:val="continue"/>
            <w:noWrap w:val="0"/>
            <w:vAlign w:val="center"/>
          </w:tcPr>
          <w:p w14:paraId="546472F1">
            <w:pPr>
              <w:spacing w:line="288" w:lineRule="auto"/>
              <w:jc w:val="center"/>
              <w:rPr>
                <w:rFonts w:hint="eastAsia" w:ascii="宋体" w:hAnsi="宋体" w:cs="宋体"/>
                <w:kern w:val="0"/>
                <w:sz w:val="24"/>
                <w:szCs w:val="24"/>
                <w:highlight w:val="none"/>
              </w:rPr>
            </w:pPr>
          </w:p>
        </w:tc>
        <w:tc>
          <w:tcPr>
            <w:tcW w:w="1566" w:type="dxa"/>
            <w:vMerge w:val="continue"/>
            <w:noWrap w:val="0"/>
            <w:vAlign w:val="center"/>
          </w:tcPr>
          <w:p w14:paraId="723BD6B4">
            <w:pPr>
              <w:spacing w:line="288" w:lineRule="auto"/>
              <w:jc w:val="center"/>
              <w:rPr>
                <w:rFonts w:hint="eastAsia" w:ascii="宋体" w:hAnsi="宋体" w:cs="宋体"/>
                <w:kern w:val="0"/>
                <w:sz w:val="24"/>
                <w:szCs w:val="24"/>
                <w:highlight w:val="none"/>
              </w:rPr>
            </w:pPr>
          </w:p>
        </w:tc>
        <w:tc>
          <w:tcPr>
            <w:tcW w:w="2884" w:type="dxa"/>
            <w:noWrap w:val="0"/>
            <w:vAlign w:val="center"/>
          </w:tcPr>
          <w:p w14:paraId="6F50728F">
            <w:pPr>
              <w:spacing w:line="288" w:lineRule="auto"/>
              <w:rPr>
                <w:rFonts w:hint="eastAsia" w:ascii="宋体" w:hAnsi="宋体" w:cs="宋体"/>
                <w:sz w:val="24"/>
                <w:szCs w:val="24"/>
                <w:highlight w:val="none"/>
                <w:lang w:val="zh-CN"/>
              </w:rPr>
            </w:pPr>
            <w:r>
              <w:rPr>
                <w:rFonts w:hint="eastAsia" w:ascii="宋体" w:hAnsi="宋体" w:cs="宋体"/>
                <w:sz w:val="24"/>
                <w:szCs w:val="24"/>
                <w:highlight w:val="none"/>
                <w:lang w:val="zh-CN"/>
              </w:rPr>
              <w:t>投标方案</w:t>
            </w:r>
          </w:p>
        </w:tc>
        <w:tc>
          <w:tcPr>
            <w:tcW w:w="4764" w:type="dxa"/>
            <w:noWrap w:val="0"/>
            <w:vAlign w:val="center"/>
          </w:tcPr>
          <w:p w14:paraId="49C3C35C">
            <w:pPr>
              <w:spacing w:line="288" w:lineRule="auto"/>
              <w:rPr>
                <w:rFonts w:hint="eastAsia" w:ascii="宋体" w:hAnsi="宋体" w:cs="宋体"/>
                <w:sz w:val="24"/>
                <w:szCs w:val="24"/>
                <w:highlight w:val="none"/>
                <w:lang w:val="zh-CN"/>
              </w:rPr>
            </w:pPr>
            <w:r>
              <w:rPr>
                <w:rFonts w:hint="eastAsia" w:ascii="宋体" w:hAnsi="宋体" w:cs="宋体"/>
                <w:sz w:val="24"/>
                <w:szCs w:val="24"/>
                <w:highlight w:val="none"/>
                <w:lang w:val="zh-CN"/>
              </w:rPr>
              <w:t>只能有一个方案投标。</w:t>
            </w:r>
          </w:p>
        </w:tc>
      </w:tr>
      <w:tr w14:paraId="3127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90" w:type="dxa"/>
            <w:vMerge w:val="continue"/>
            <w:noWrap w:val="0"/>
            <w:vAlign w:val="center"/>
          </w:tcPr>
          <w:p w14:paraId="448CB80C">
            <w:pPr>
              <w:spacing w:line="288" w:lineRule="auto"/>
              <w:jc w:val="center"/>
              <w:rPr>
                <w:rFonts w:hint="eastAsia" w:ascii="宋体" w:hAnsi="宋体" w:cs="宋体"/>
                <w:kern w:val="0"/>
                <w:sz w:val="24"/>
                <w:szCs w:val="24"/>
                <w:highlight w:val="none"/>
              </w:rPr>
            </w:pPr>
          </w:p>
        </w:tc>
        <w:tc>
          <w:tcPr>
            <w:tcW w:w="1566" w:type="dxa"/>
            <w:vMerge w:val="continue"/>
            <w:noWrap w:val="0"/>
            <w:vAlign w:val="center"/>
          </w:tcPr>
          <w:p w14:paraId="76F3124E">
            <w:pPr>
              <w:spacing w:line="288" w:lineRule="auto"/>
              <w:jc w:val="center"/>
              <w:rPr>
                <w:rFonts w:hint="eastAsia" w:ascii="宋体" w:hAnsi="宋体" w:cs="宋体"/>
                <w:kern w:val="0"/>
                <w:sz w:val="24"/>
                <w:szCs w:val="24"/>
                <w:highlight w:val="none"/>
              </w:rPr>
            </w:pPr>
          </w:p>
        </w:tc>
        <w:tc>
          <w:tcPr>
            <w:tcW w:w="2884" w:type="dxa"/>
            <w:noWrap w:val="0"/>
            <w:vAlign w:val="center"/>
          </w:tcPr>
          <w:p w14:paraId="63CDAA53">
            <w:pPr>
              <w:spacing w:line="288" w:lineRule="auto"/>
              <w:rPr>
                <w:rFonts w:hint="eastAsia" w:ascii="宋体" w:hAnsi="宋体" w:cs="宋体"/>
                <w:sz w:val="24"/>
                <w:szCs w:val="24"/>
                <w:highlight w:val="none"/>
                <w:lang w:val="zh-CN"/>
              </w:rPr>
            </w:pPr>
            <w:r>
              <w:rPr>
                <w:rFonts w:hint="eastAsia" w:ascii="宋体" w:hAnsi="宋体" w:cs="宋体"/>
                <w:sz w:val="24"/>
                <w:szCs w:val="24"/>
                <w:highlight w:val="none"/>
                <w:lang w:val="zh-CN"/>
              </w:rPr>
              <w:t>报价唯一</w:t>
            </w:r>
          </w:p>
        </w:tc>
        <w:tc>
          <w:tcPr>
            <w:tcW w:w="4764" w:type="dxa"/>
            <w:noWrap w:val="0"/>
            <w:vAlign w:val="center"/>
          </w:tcPr>
          <w:p w14:paraId="57214ADB">
            <w:pPr>
              <w:spacing w:line="288" w:lineRule="auto"/>
              <w:rPr>
                <w:rFonts w:hint="eastAsia" w:ascii="宋体" w:hAnsi="宋体" w:cs="宋体"/>
                <w:sz w:val="24"/>
                <w:szCs w:val="24"/>
                <w:highlight w:val="none"/>
                <w:lang w:val="zh-CN"/>
              </w:rPr>
            </w:pPr>
            <w:r>
              <w:rPr>
                <w:rFonts w:hint="eastAsia" w:ascii="宋体" w:hAnsi="宋体" w:cs="宋体"/>
                <w:sz w:val="24"/>
                <w:szCs w:val="24"/>
                <w:highlight w:val="none"/>
                <w:lang w:val="zh-CN"/>
              </w:rPr>
              <w:t>只能有一个有效报价，不得提交选择性报价。</w:t>
            </w:r>
          </w:p>
        </w:tc>
      </w:tr>
      <w:tr w14:paraId="24BB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90" w:type="dxa"/>
            <w:vMerge w:val="continue"/>
            <w:noWrap w:val="0"/>
            <w:vAlign w:val="center"/>
          </w:tcPr>
          <w:p w14:paraId="4FD1EE2D">
            <w:pPr>
              <w:spacing w:line="288" w:lineRule="auto"/>
              <w:jc w:val="center"/>
              <w:rPr>
                <w:rFonts w:hint="eastAsia" w:ascii="宋体" w:hAnsi="宋体" w:cs="宋体"/>
                <w:kern w:val="0"/>
                <w:sz w:val="24"/>
                <w:szCs w:val="24"/>
                <w:highlight w:val="none"/>
              </w:rPr>
            </w:pPr>
          </w:p>
        </w:tc>
        <w:tc>
          <w:tcPr>
            <w:tcW w:w="1566" w:type="dxa"/>
            <w:vMerge w:val="continue"/>
            <w:noWrap w:val="0"/>
            <w:vAlign w:val="center"/>
          </w:tcPr>
          <w:p w14:paraId="72C0ABFF">
            <w:pPr>
              <w:spacing w:line="288" w:lineRule="auto"/>
              <w:jc w:val="center"/>
              <w:rPr>
                <w:rFonts w:hint="eastAsia" w:ascii="宋体" w:hAnsi="宋体" w:cs="宋体"/>
                <w:kern w:val="0"/>
                <w:sz w:val="24"/>
                <w:szCs w:val="24"/>
                <w:highlight w:val="none"/>
              </w:rPr>
            </w:pPr>
          </w:p>
        </w:tc>
        <w:tc>
          <w:tcPr>
            <w:tcW w:w="2884" w:type="dxa"/>
            <w:noWrap w:val="0"/>
            <w:vAlign w:val="center"/>
          </w:tcPr>
          <w:p w14:paraId="03564ECE">
            <w:pPr>
              <w:spacing w:line="288"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报价合理性</w:t>
            </w:r>
          </w:p>
        </w:tc>
        <w:tc>
          <w:tcPr>
            <w:tcW w:w="4764" w:type="dxa"/>
            <w:noWrap w:val="0"/>
            <w:vAlign w:val="center"/>
          </w:tcPr>
          <w:p w14:paraId="765C29F4">
            <w:pPr>
              <w:spacing w:line="288" w:lineRule="auto"/>
              <w:rPr>
                <w:rFonts w:hint="eastAsia" w:ascii="宋体" w:hAnsi="宋体" w:cs="宋体"/>
                <w:sz w:val="24"/>
                <w:szCs w:val="24"/>
                <w:highlight w:val="none"/>
                <w:lang w:val="zh-CN"/>
              </w:rPr>
            </w:pPr>
            <w:r>
              <w:rPr>
                <w:rFonts w:hint="eastAsia" w:ascii="宋体" w:hAnsi="宋体" w:cs="宋体"/>
                <w:sz w:val="24"/>
                <w:szCs w:val="24"/>
                <w:highlight w:val="none"/>
                <w:lang w:val="zh-CN"/>
              </w:rPr>
              <w:t>报价合理，或</w:t>
            </w:r>
            <w:r>
              <w:rPr>
                <w:rFonts w:hint="eastAsia" w:ascii="宋体" w:hAnsi="宋体" w:cs="宋体"/>
                <w:sz w:val="24"/>
                <w:szCs w:val="24"/>
                <w:highlight w:val="none"/>
                <w:lang w:val="zh-CN" w:eastAsia="zh-CN"/>
              </w:rPr>
              <w:t>供应商</w:t>
            </w:r>
            <w:r>
              <w:rPr>
                <w:rFonts w:hint="eastAsia" w:ascii="宋体" w:hAnsi="宋体" w:cs="宋体"/>
                <w:sz w:val="24"/>
                <w:szCs w:val="24"/>
                <w:highlight w:val="none"/>
                <w:lang w:val="zh-CN"/>
              </w:rPr>
              <w:t>的报价明显低于其他通过符合性审查</w:t>
            </w:r>
            <w:r>
              <w:rPr>
                <w:rFonts w:hint="eastAsia" w:ascii="宋体" w:hAnsi="宋体" w:cs="宋体"/>
                <w:sz w:val="24"/>
                <w:szCs w:val="24"/>
                <w:highlight w:val="none"/>
                <w:lang w:val="zh-CN" w:eastAsia="zh-CN"/>
              </w:rPr>
              <w:t>供应商</w:t>
            </w:r>
            <w:r>
              <w:rPr>
                <w:rFonts w:hint="eastAsia" w:ascii="宋体" w:hAnsi="宋体" w:cs="宋体"/>
                <w:sz w:val="24"/>
                <w:szCs w:val="24"/>
                <w:highlight w:val="none"/>
                <w:lang w:val="zh-CN"/>
              </w:rPr>
              <w:t>的报价，有可能影响产品质量或者不能诚信履约的，能够应</w:t>
            </w:r>
            <w:r>
              <w:rPr>
                <w:rFonts w:hint="eastAsia" w:ascii="宋体" w:hAnsi="宋体" w:cs="宋体"/>
                <w:sz w:val="24"/>
                <w:szCs w:val="24"/>
                <w:highlight w:val="none"/>
                <w:lang w:val="zh-CN" w:eastAsia="zh-CN"/>
              </w:rPr>
              <w:t>专家评审小组</w:t>
            </w:r>
            <w:r>
              <w:rPr>
                <w:rFonts w:hint="eastAsia" w:ascii="宋体" w:hAnsi="宋体" w:cs="宋体"/>
                <w:sz w:val="24"/>
                <w:szCs w:val="24"/>
                <w:highlight w:val="none"/>
                <w:lang w:val="zh-CN"/>
              </w:rPr>
              <w:t>要求在规定时间内证明其报价合理性的</w:t>
            </w:r>
            <w:r>
              <w:rPr>
                <w:rFonts w:hint="eastAsia" w:ascii="宋体" w:hAnsi="宋体" w:cs="宋体"/>
                <w:sz w:val="24"/>
                <w:szCs w:val="24"/>
                <w:highlight w:val="none"/>
                <w:lang w:val="zh-CN" w:eastAsia="zh-CN"/>
              </w:rPr>
              <w:t>。</w:t>
            </w:r>
          </w:p>
        </w:tc>
      </w:tr>
      <w:tr w14:paraId="3F82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0" w:type="dxa"/>
            <w:vMerge w:val="continue"/>
            <w:noWrap w:val="0"/>
            <w:vAlign w:val="center"/>
          </w:tcPr>
          <w:p w14:paraId="52AB0B20">
            <w:pPr>
              <w:spacing w:line="288" w:lineRule="auto"/>
              <w:jc w:val="center"/>
              <w:rPr>
                <w:rFonts w:hint="eastAsia" w:ascii="宋体" w:hAnsi="宋体" w:cs="宋体"/>
                <w:kern w:val="0"/>
                <w:sz w:val="24"/>
                <w:szCs w:val="24"/>
                <w:highlight w:val="none"/>
              </w:rPr>
            </w:pPr>
          </w:p>
        </w:tc>
        <w:tc>
          <w:tcPr>
            <w:tcW w:w="1566" w:type="dxa"/>
            <w:vMerge w:val="continue"/>
            <w:noWrap w:val="0"/>
            <w:vAlign w:val="center"/>
          </w:tcPr>
          <w:p w14:paraId="5D0B7C64">
            <w:pPr>
              <w:spacing w:line="288" w:lineRule="auto"/>
              <w:jc w:val="center"/>
              <w:rPr>
                <w:rFonts w:hint="eastAsia" w:ascii="宋体" w:hAnsi="宋体" w:cs="宋体"/>
                <w:kern w:val="0"/>
                <w:sz w:val="24"/>
                <w:szCs w:val="24"/>
                <w:highlight w:val="none"/>
              </w:rPr>
            </w:pPr>
          </w:p>
        </w:tc>
        <w:tc>
          <w:tcPr>
            <w:tcW w:w="2884" w:type="dxa"/>
            <w:noWrap w:val="0"/>
            <w:vAlign w:val="center"/>
          </w:tcPr>
          <w:p w14:paraId="2F601C15">
            <w:pPr>
              <w:spacing w:line="288" w:lineRule="auto"/>
              <w:rPr>
                <w:rFonts w:hint="eastAsia" w:ascii="宋体" w:hAnsi="宋体" w:cs="宋体"/>
                <w:sz w:val="24"/>
                <w:szCs w:val="24"/>
                <w:highlight w:val="none"/>
                <w:lang w:val="zh-CN"/>
              </w:rPr>
            </w:pPr>
            <w:r>
              <w:rPr>
                <w:rFonts w:hint="eastAsia" w:ascii="宋体" w:hAnsi="宋体" w:cs="宋体"/>
                <w:sz w:val="24"/>
                <w:szCs w:val="24"/>
                <w:highlight w:val="none"/>
                <w:lang w:val="zh-CN"/>
              </w:rPr>
              <w:t>响应文件内容</w:t>
            </w:r>
          </w:p>
        </w:tc>
        <w:tc>
          <w:tcPr>
            <w:tcW w:w="4764" w:type="dxa"/>
            <w:noWrap w:val="0"/>
            <w:vAlign w:val="center"/>
          </w:tcPr>
          <w:p w14:paraId="585340D8">
            <w:pPr>
              <w:spacing w:line="288" w:lineRule="auto"/>
              <w:rPr>
                <w:rFonts w:hint="eastAsia" w:ascii="宋体" w:hAnsi="宋体" w:cs="宋体"/>
                <w:sz w:val="24"/>
                <w:szCs w:val="24"/>
                <w:highlight w:val="none"/>
                <w:lang w:val="zh-CN"/>
              </w:rPr>
            </w:pPr>
            <w:r>
              <w:rPr>
                <w:rFonts w:hint="eastAsia" w:ascii="宋体" w:hAnsi="宋体" w:cs="宋体"/>
                <w:sz w:val="24"/>
                <w:szCs w:val="24"/>
                <w:highlight w:val="none"/>
                <w:lang w:val="zh-CN"/>
              </w:rPr>
              <w:t>响应文件内容齐全、无遗漏。</w:t>
            </w:r>
          </w:p>
        </w:tc>
      </w:tr>
      <w:tr w14:paraId="62B8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0" w:type="dxa"/>
            <w:vMerge w:val="restart"/>
            <w:noWrap w:val="0"/>
            <w:vAlign w:val="center"/>
          </w:tcPr>
          <w:p w14:paraId="4F68BADF">
            <w:pPr>
              <w:spacing w:line="288"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w:t>
            </w:r>
          </w:p>
        </w:tc>
        <w:tc>
          <w:tcPr>
            <w:tcW w:w="1566" w:type="dxa"/>
            <w:vMerge w:val="restart"/>
            <w:noWrap w:val="0"/>
            <w:vAlign w:val="center"/>
          </w:tcPr>
          <w:p w14:paraId="2CC3DD07">
            <w:pPr>
              <w:spacing w:line="288" w:lineRule="auto"/>
              <w:jc w:val="center"/>
              <w:rPr>
                <w:rFonts w:hint="eastAsia" w:ascii="宋体" w:hAnsi="宋体" w:cs="宋体"/>
                <w:sz w:val="24"/>
                <w:szCs w:val="24"/>
                <w:highlight w:val="none"/>
                <w:lang w:val="zh-CN"/>
              </w:rPr>
            </w:pPr>
            <w:r>
              <w:rPr>
                <w:rFonts w:hint="eastAsia" w:ascii="宋体" w:hAnsi="宋体" w:cs="宋体"/>
                <w:kern w:val="0"/>
                <w:sz w:val="24"/>
                <w:szCs w:val="24"/>
                <w:highlight w:val="none"/>
                <w:lang w:eastAsia="zh-CN"/>
              </w:rPr>
              <w:t>谈判文件</w:t>
            </w:r>
            <w:r>
              <w:rPr>
                <w:rFonts w:hint="eastAsia" w:ascii="宋体" w:hAnsi="宋体" w:cs="宋体"/>
                <w:kern w:val="0"/>
                <w:sz w:val="24"/>
                <w:szCs w:val="24"/>
                <w:highlight w:val="none"/>
              </w:rPr>
              <w:t>的响应程度审查</w:t>
            </w:r>
          </w:p>
        </w:tc>
        <w:tc>
          <w:tcPr>
            <w:tcW w:w="2884" w:type="dxa"/>
            <w:noWrap w:val="0"/>
            <w:vAlign w:val="center"/>
          </w:tcPr>
          <w:p w14:paraId="7D27A9F8">
            <w:pPr>
              <w:spacing w:line="288" w:lineRule="auto"/>
              <w:rPr>
                <w:rFonts w:hint="eastAsia" w:ascii="宋体" w:hAnsi="宋体" w:cs="宋体"/>
                <w:kern w:val="0"/>
                <w:sz w:val="24"/>
                <w:szCs w:val="24"/>
                <w:highlight w:val="none"/>
              </w:rPr>
            </w:pPr>
            <w:r>
              <w:rPr>
                <w:rFonts w:hint="eastAsia" w:ascii="宋体" w:hAnsi="宋体" w:cs="宋体"/>
                <w:sz w:val="24"/>
                <w:szCs w:val="24"/>
                <w:highlight w:val="none"/>
                <w:lang w:val="zh-CN"/>
              </w:rPr>
              <w:t>响应文件</w:t>
            </w:r>
            <w:r>
              <w:rPr>
                <w:rFonts w:hint="eastAsia" w:ascii="宋体" w:hAnsi="宋体" w:cs="宋体"/>
                <w:kern w:val="0"/>
                <w:sz w:val="24"/>
                <w:szCs w:val="24"/>
                <w:highlight w:val="none"/>
              </w:rPr>
              <w:t>有效期</w:t>
            </w:r>
          </w:p>
        </w:tc>
        <w:tc>
          <w:tcPr>
            <w:tcW w:w="4764" w:type="dxa"/>
            <w:noWrap w:val="0"/>
            <w:vAlign w:val="center"/>
          </w:tcPr>
          <w:p w14:paraId="6602C5E4">
            <w:pPr>
              <w:spacing w:line="288" w:lineRule="auto"/>
              <w:rPr>
                <w:rFonts w:hint="eastAsia" w:ascii="宋体" w:hAnsi="宋体" w:cs="宋体"/>
                <w:kern w:val="0"/>
                <w:sz w:val="24"/>
                <w:szCs w:val="24"/>
                <w:highlight w:val="none"/>
              </w:rPr>
            </w:pPr>
            <w:r>
              <w:rPr>
                <w:rFonts w:hint="eastAsia" w:ascii="宋体" w:hAnsi="宋体" w:cs="宋体"/>
                <w:kern w:val="0"/>
                <w:sz w:val="24"/>
                <w:szCs w:val="24"/>
                <w:highlight w:val="none"/>
              </w:rPr>
              <w:t>满足</w:t>
            </w:r>
            <w:r>
              <w:rPr>
                <w:rFonts w:hint="eastAsia" w:ascii="宋体" w:hAnsi="宋体" w:cs="宋体"/>
                <w:kern w:val="0"/>
                <w:sz w:val="24"/>
                <w:szCs w:val="24"/>
                <w:highlight w:val="none"/>
                <w:lang w:eastAsia="zh-CN"/>
              </w:rPr>
              <w:t>谈判文件</w:t>
            </w:r>
            <w:r>
              <w:rPr>
                <w:rFonts w:hint="eastAsia" w:ascii="宋体" w:hAnsi="宋体" w:cs="宋体"/>
                <w:sz w:val="24"/>
                <w:szCs w:val="24"/>
                <w:highlight w:val="none"/>
                <w:lang w:val="zh-CN"/>
              </w:rPr>
              <w:t>规定。</w:t>
            </w:r>
          </w:p>
        </w:tc>
      </w:tr>
      <w:tr w14:paraId="3079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0" w:type="dxa"/>
            <w:vMerge w:val="continue"/>
            <w:noWrap w:val="0"/>
            <w:vAlign w:val="center"/>
          </w:tcPr>
          <w:p w14:paraId="4C4CE560">
            <w:pPr>
              <w:spacing w:line="288" w:lineRule="auto"/>
              <w:jc w:val="center"/>
              <w:rPr>
                <w:rFonts w:hint="eastAsia" w:ascii="宋体" w:hAnsi="宋体" w:cs="宋体"/>
                <w:kern w:val="0"/>
                <w:sz w:val="24"/>
                <w:szCs w:val="24"/>
                <w:highlight w:val="none"/>
              </w:rPr>
            </w:pPr>
          </w:p>
        </w:tc>
        <w:tc>
          <w:tcPr>
            <w:tcW w:w="1566" w:type="dxa"/>
            <w:vMerge w:val="continue"/>
            <w:noWrap w:val="0"/>
            <w:vAlign w:val="center"/>
          </w:tcPr>
          <w:p w14:paraId="11273404">
            <w:pPr>
              <w:spacing w:line="288" w:lineRule="auto"/>
              <w:jc w:val="center"/>
              <w:rPr>
                <w:rFonts w:hint="eastAsia" w:ascii="宋体" w:hAnsi="宋体" w:cs="宋体"/>
                <w:kern w:val="0"/>
                <w:sz w:val="24"/>
                <w:szCs w:val="24"/>
                <w:highlight w:val="none"/>
                <w:lang w:eastAsia="zh-CN"/>
              </w:rPr>
            </w:pPr>
          </w:p>
        </w:tc>
        <w:tc>
          <w:tcPr>
            <w:tcW w:w="2884" w:type="dxa"/>
            <w:noWrap w:val="0"/>
            <w:vAlign w:val="center"/>
          </w:tcPr>
          <w:p w14:paraId="36F017EE">
            <w:pPr>
              <w:spacing w:line="288"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供货期、质保期</w:t>
            </w:r>
          </w:p>
        </w:tc>
        <w:tc>
          <w:tcPr>
            <w:tcW w:w="4764" w:type="dxa"/>
            <w:noWrap w:val="0"/>
            <w:vAlign w:val="center"/>
          </w:tcPr>
          <w:p w14:paraId="0DB08AF9">
            <w:pPr>
              <w:spacing w:line="288" w:lineRule="auto"/>
              <w:rPr>
                <w:rFonts w:hint="eastAsia" w:ascii="宋体" w:hAnsi="宋体" w:cs="宋体"/>
                <w:kern w:val="0"/>
                <w:sz w:val="24"/>
                <w:szCs w:val="24"/>
                <w:highlight w:val="none"/>
              </w:rPr>
            </w:pPr>
            <w:r>
              <w:rPr>
                <w:rFonts w:hint="eastAsia" w:ascii="宋体" w:hAnsi="宋体" w:cs="宋体"/>
                <w:kern w:val="0"/>
                <w:sz w:val="24"/>
                <w:szCs w:val="24"/>
                <w:highlight w:val="none"/>
              </w:rPr>
              <w:t>满足</w:t>
            </w:r>
            <w:r>
              <w:rPr>
                <w:rFonts w:hint="eastAsia" w:ascii="宋体" w:hAnsi="宋体" w:cs="宋体"/>
                <w:kern w:val="0"/>
                <w:sz w:val="24"/>
                <w:szCs w:val="24"/>
                <w:highlight w:val="none"/>
                <w:lang w:eastAsia="zh-CN"/>
              </w:rPr>
              <w:t>谈判文件</w:t>
            </w:r>
            <w:r>
              <w:rPr>
                <w:rFonts w:hint="eastAsia" w:ascii="宋体" w:hAnsi="宋体" w:cs="宋体"/>
                <w:sz w:val="24"/>
                <w:szCs w:val="24"/>
                <w:highlight w:val="none"/>
                <w:lang w:val="zh-CN"/>
              </w:rPr>
              <w:t>规定</w:t>
            </w:r>
          </w:p>
        </w:tc>
      </w:tr>
      <w:tr w14:paraId="7027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0" w:type="dxa"/>
            <w:vMerge w:val="continue"/>
            <w:noWrap w:val="0"/>
            <w:vAlign w:val="center"/>
          </w:tcPr>
          <w:p w14:paraId="0D93A69B">
            <w:pPr>
              <w:spacing w:line="288" w:lineRule="auto"/>
              <w:jc w:val="center"/>
              <w:rPr>
                <w:rFonts w:hint="eastAsia" w:ascii="宋体" w:hAnsi="宋体" w:cs="宋体"/>
                <w:kern w:val="0"/>
                <w:sz w:val="24"/>
                <w:szCs w:val="24"/>
                <w:highlight w:val="none"/>
              </w:rPr>
            </w:pPr>
          </w:p>
        </w:tc>
        <w:tc>
          <w:tcPr>
            <w:tcW w:w="1566" w:type="dxa"/>
            <w:vMerge w:val="continue"/>
            <w:noWrap w:val="0"/>
            <w:vAlign w:val="center"/>
          </w:tcPr>
          <w:p w14:paraId="2B94B0A7">
            <w:pPr>
              <w:spacing w:line="288" w:lineRule="auto"/>
              <w:rPr>
                <w:rFonts w:hint="eastAsia" w:ascii="宋体" w:hAnsi="宋体" w:cs="宋体"/>
                <w:sz w:val="24"/>
                <w:szCs w:val="24"/>
                <w:highlight w:val="none"/>
                <w:lang w:val="zh-CN"/>
              </w:rPr>
            </w:pPr>
          </w:p>
        </w:tc>
        <w:tc>
          <w:tcPr>
            <w:tcW w:w="2884" w:type="dxa"/>
            <w:noWrap w:val="0"/>
            <w:vAlign w:val="center"/>
          </w:tcPr>
          <w:p w14:paraId="511910D5">
            <w:pPr>
              <w:spacing w:line="288" w:lineRule="auto"/>
              <w:rPr>
                <w:rFonts w:hint="eastAsia" w:ascii="宋体" w:hAnsi="宋体" w:cs="宋体"/>
                <w:sz w:val="24"/>
                <w:szCs w:val="24"/>
                <w:highlight w:val="none"/>
              </w:rPr>
            </w:pPr>
            <w:r>
              <w:rPr>
                <w:rFonts w:hint="eastAsia" w:ascii="宋体" w:hAnsi="宋体" w:cs="宋体"/>
                <w:sz w:val="24"/>
                <w:szCs w:val="24"/>
                <w:highlight w:val="none"/>
                <w:lang w:val="zh-CN"/>
              </w:rPr>
              <w:t>其他</w:t>
            </w:r>
          </w:p>
        </w:tc>
        <w:tc>
          <w:tcPr>
            <w:tcW w:w="4764" w:type="dxa"/>
            <w:noWrap w:val="0"/>
            <w:vAlign w:val="center"/>
          </w:tcPr>
          <w:p w14:paraId="241FBB2A">
            <w:pPr>
              <w:spacing w:line="288" w:lineRule="auto"/>
              <w:rPr>
                <w:rFonts w:hint="eastAsia" w:ascii="宋体" w:hAnsi="宋体" w:cs="宋体"/>
                <w:sz w:val="24"/>
                <w:szCs w:val="24"/>
                <w:highlight w:val="none"/>
              </w:rPr>
            </w:pPr>
            <w:r>
              <w:rPr>
                <w:rFonts w:hint="eastAsia" w:ascii="宋体" w:hAnsi="宋体" w:cs="宋体"/>
                <w:sz w:val="24"/>
                <w:szCs w:val="24"/>
                <w:highlight w:val="none"/>
                <w:lang w:val="en-US" w:eastAsia="zh-CN"/>
              </w:rPr>
              <w:t>完全响应谈判文件中采购需求</w:t>
            </w:r>
          </w:p>
        </w:tc>
      </w:tr>
    </w:tbl>
    <w:p w14:paraId="5076E62D">
      <w:pPr>
        <w:spacing w:line="360" w:lineRule="auto"/>
        <w:rPr>
          <w:rFonts w:hint="eastAsia" w:ascii="宋体" w:hAnsi="宋体" w:eastAsia="宋体" w:cs="宋体"/>
          <w:highlight w:val="none"/>
          <w:lang w:eastAsia="zh-CN"/>
        </w:rPr>
        <w:sectPr>
          <w:headerReference r:id="rId13" w:type="default"/>
          <w:footerReference r:id="rId14" w:type="default"/>
          <w:pgSz w:w="11906" w:h="16838"/>
          <w:pgMar w:top="1440" w:right="1083" w:bottom="1440" w:left="1083" w:header="850" w:footer="992" w:gutter="0"/>
          <w:pgNumType w:fmt="numberInDash"/>
          <w:cols w:space="0" w:num="1"/>
          <w:titlePg/>
          <w:rtlGutter w:val="0"/>
          <w:docGrid w:linePitch="312" w:charSpace="0"/>
        </w:sectPr>
      </w:pPr>
      <w:r>
        <w:rPr>
          <w:rFonts w:hint="eastAsia" w:ascii="宋体" w:hAnsi="宋体" w:cs="宋体"/>
          <w:b/>
          <w:sz w:val="24"/>
          <w:szCs w:val="24"/>
          <w:highlight w:val="none"/>
        </w:rPr>
        <w:t>注：以上评审内容，有一项不通过者，视为</w:t>
      </w:r>
      <w:r>
        <w:rPr>
          <w:rFonts w:hint="eastAsia" w:ascii="宋体" w:hAnsi="宋体" w:cs="宋体"/>
          <w:b/>
          <w:sz w:val="24"/>
          <w:szCs w:val="24"/>
          <w:highlight w:val="none"/>
          <w:lang w:eastAsia="zh-CN"/>
        </w:rPr>
        <w:t>供应商</w:t>
      </w:r>
      <w:r>
        <w:rPr>
          <w:rFonts w:hint="eastAsia" w:ascii="宋体" w:hAnsi="宋体" w:cs="宋体"/>
          <w:b/>
          <w:sz w:val="24"/>
          <w:szCs w:val="24"/>
          <w:highlight w:val="none"/>
        </w:rPr>
        <w:t>初步评审不通过，未通过初审的其</w:t>
      </w:r>
      <w:r>
        <w:rPr>
          <w:rFonts w:hint="eastAsia" w:ascii="宋体" w:hAnsi="宋体" w:cs="宋体"/>
          <w:b/>
          <w:sz w:val="24"/>
          <w:szCs w:val="24"/>
          <w:highlight w:val="none"/>
          <w:lang w:eastAsia="zh-CN"/>
        </w:rPr>
        <w:t>响应文件</w:t>
      </w:r>
      <w:r>
        <w:rPr>
          <w:rFonts w:hint="eastAsia" w:ascii="宋体" w:hAnsi="宋体" w:cs="宋体"/>
          <w:b/>
          <w:sz w:val="24"/>
          <w:szCs w:val="24"/>
          <w:highlight w:val="none"/>
        </w:rPr>
        <w:t>将按照无效响应</w:t>
      </w:r>
      <w:r>
        <w:rPr>
          <w:rFonts w:hint="eastAsia" w:ascii="宋体" w:hAnsi="宋体" w:cs="宋体"/>
          <w:b/>
          <w:sz w:val="24"/>
          <w:szCs w:val="24"/>
          <w:highlight w:val="none"/>
          <w:lang w:eastAsia="zh-CN"/>
        </w:rPr>
        <w:t>。</w:t>
      </w:r>
    </w:p>
    <w:p w14:paraId="720AC656">
      <w:pPr>
        <w:rPr>
          <w:highlight w:val="none"/>
        </w:rPr>
      </w:pPr>
    </w:p>
    <w:sectPr>
      <w:headerReference r:id="rId15" w:type="default"/>
      <w:footerReference r:id="rId16" w:type="default"/>
      <w:pgSz w:w="11906" w:h="16838"/>
      <w:pgMar w:top="1440" w:right="1083" w:bottom="1440" w:left="1083" w:header="850" w:footer="992"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0335">
    <w:pPr>
      <w:pStyle w:val="1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DC8B">
    <w:pPr>
      <w:pStyle w:val="15"/>
      <w:framePr w:wrap="around" w:vAnchor="text" w:hAnchor="margin" w:xAlign="center" w:y="1"/>
      <w:rPr>
        <w:rStyle w:val="26"/>
      </w:rPr>
    </w:pPr>
    <w:r>
      <w:fldChar w:fldCharType="begin"/>
    </w:r>
    <w:r>
      <w:rPr>
        <w:rStyle w:val="26"/>
      </w:rPr>
      <w:instrText xml:space="preserve">PAGE  </w:instrText>
    </w:r>
    <w:r>
      <w:fldChar w:fldCharType="end"/>
    </w:r>
  </w:p>
  <w:p w14:paraId="5A82CEC4">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148F">
    <w:pPr>
      <w:pStyle w:val="15"/>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E80FD0">
                          <w:pPr>
                            <w:pStyle w:val="15"/>
                            <w:rPr>
                              <w:rStyle w:val="26"/>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0E80FD0">
                    <w:pPr>
                      <w:pStyle w:val="15"/>
                      <w:rPr>
                        <w:rStyle w:val="2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340A4">
    <w:pPr>
      <w:pStyle w:val="15"/>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2CF34">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002CF34">
                    <w:pPr>
                      <w:pStyle w:val="15"/>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EC636B">
                          <w:pPr>
                            <w:pStyle w:val="15"/>
                            <w:rPr>
                              <w:rStyle w:val="26"/>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7EC636B">
                    <w:pPr>
                      <w:pStyle w:val="15"/>
                      <w:rPr>
                        <w:rStyle w:val="26"/>
                      </w:rPr>
                    </w:pP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137B">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03FC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903FC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DE3F">
    <w:pPr>
      <w:pStyle w:val="15"/>
      <w:ind w:right="360" w:firstLine="6840" w:firstLineChars="38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664B3">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38664B3">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C5BE5">
    <w:pPr>
      <w:pStyle w:val="15"/>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44BB2">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A844BB2">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752EC">
    <w:pPr>
      <w:pStyle w:val="16"/>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061DF">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3419F">
    <w:pPr>
      <w:pStyle w:val="16"/>
      <w:pBdr>
        <w:bottom w:val="none" w:color="auto" w:sz="0" w:space="1"/>
      </w:pBdr>
      <w:jc w:val="both"/>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C3CF">
    <w:pPr>
      <w:pStyle w:val="16"/>
      <w:pBdr>
        <w:bottom w:val="none" w:color="auto" w:sz="0" w:space="1"/>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D4A9">
    <w:pPr>
      <w:pBdr>
        <w:bottom w:val="none" w:color="auto" w:sz="0" w:space="0"/>
      </w:pBdr>
      <w:overflowPunct w:val="0"/>
      <w:spacing w:line="500" w:lineRule="exact"/>
      <w:jc w:val="right"/>
      <w:rPr>
        <w:rFonts w:hint="eastAsia"/>
      </w:rPr>
    </w:pPr>
    <w:r>
      <w:rPr>
        <w:rFonts w:hint="eastAsia" w:ascii="宋体" w:hAnsi="宋体" w:eastAsia="宋体" w:cs="宋体"/>
        <w:b/>
        <w:szCs w:val="21"/>
      </w:rPr>
      <w:t xml:space="preserve"> </w:t>
    </w:r>
    <w:r>
      <w:rPr>
        <w:rFonts w:hint="eastAsia" w:ascii="仿宋" w:hAnsi="仿宋" w:eastAsia="仿宋" w:cs="仿宋"/>
        <w:b/>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DD3E">
    <w:pPr>
      <w:pStyle w:val="16"/>
      <w:pBdr>
        <w:bottom w:val="none" w:color="auto" w:sz="0" w:space="1"/>
      </w:pBdr>
      <w:jc w:val="center"/>
      <w:rPr>
        <w:b/>
        <w:b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5FA0">
    <w:pPr>
      <w:pBdr>
        <w:bottom w:val="none" w:color="auto" w:sz="0" w:space="0"/>
      </w:pBdr>
      <w:overflowPunct w:val="0"/>
      <w:spacing w:line="500" w:lineRule="exact"/>
      <w:jc w:val="right"/>
      <w:rPr>
        <w:rFonts w:hint="eastAsia"/>
      </w:rPr>
    </w:pPr>
    <w:r>
      <w:rPr>
        <w:rFonts w:hint="eastAsia" w:ascii="仿宋" w:hAnsi="仿宋" w:eastAsia="仿宋" w:cs="仿宋"/>
        <w:b/>
        <w:szCs w:val="21"/>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7964"/>
    <w:multiLevelType w:val="singleLevel"/>
    <w:tmpl w:val="81E07964"/>
    <w:lvl w:ilvl="0" w:tentative="0">
      <w:start w:val="3"/>
      <w:numFmt w:val="chineseCounting"/>
      <w:suff w:val="nothing"/>
      <w:lvlText w:val="%1、"/>
      <w:lvlJc w:val="left"/>
      <w:rPr>
        <w:rFonts w:hint="eastAsia"/>
      </w:rPr>
    </w:lvl>
  </w:abstractNum>
  <w:abstractNum w:abstractNumId="1">
    <w:nsid w:val="0A4765D5"/>
    <w:multiLevelType w:val="singleLevel"/>
    <w:tmpl w:val="0A4765D5"/>
    <w:lvl w:ilvl="0" w:tentative="0">
      <w:start w:val="1"/>
      <w:numFmt w:val="decimal"/>
      <w:suff w:val="nothing"/>
      <w:lvlText w:val="%1．"/>
      <w:lvlJc w:val="left"/>
      <w:pPr>
        <w:ind w:left="0" w:firstLine="400"/>
      </w:pPr>
      <w:rPr>
        <w:rFonts w:hint="default"/>
      </w:rPr>
    </w:lvl>
  </w:abstractNum>
  <w:abstractNum w:abstractNumId="2">
    <w:nsid w:val="20BDB3FC"/>
    <w:multiLevelType w:val="singleLevel"/>
    <w:tmpl w:val="20BDB3FC"/>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7FC7200"/>
    <w:rsid w:val="01166F24"/>
    <w:rsid w:val="01603852"/>
    <w:rsid w:val="0361440A"/>
    <w:rsid w:val="038E05E4"/>
    <w:rsid w:val="06427F85"/>
    <w:rsid w:val="07F35760"/>
    <w:rsid w:val="0A002C7E"/>
    <w:rsid w:val="0B4577BD"/>
    <w:rsid w:val="0BD574AE"/>
    <w:rsid w:val="0C8607AA"/>
    <w:rsid w:val="0C881FD2"/>
    <w:rsid w:val="10B02D63"/>
    <w:rsid w:val="12635AA8"/>
    <w:rsid w:val="13C74E39"/>
    <w:rsid w:val="141379A2"/>
    <w:rsid w:val="153D3CCE"/>
    <w:rsid w:val="15591767"/>
    <w:rsid w:val="16FC1FCC"/>
    <w:rsid w:val="17BF778E"/>
    <w:rsid w:val="17CE118E"/>
    <w:rsid w:val="1A7154EF"/>
    <w:rsid w:val="1B5A3D5D"/>
    <w:rsid w:val="1B776A68"/>
    <w:rsid w:val="1C3663D4"/>
    <w:rsid w:val="1C9550ED"/>
    <w:rsid w:val="1DA433CF"/>
    <w:rsid w:val="1DFC3255"/>
    <w:rsid w:val="1EEC78F5"/>
    <w:rsid w:val="1EF56BF6"/>
    <w:rsid w:val="1F3B158A"/>
    <w:rsid w:val="20C27B76"/>
    <w:rsid w:val="215F5F1E"/>
    <w:rsid w:val="224F536F"/>
    <w:rsid w:val="2298179E"/>
    <w:rsid w:val="22FE5379"/>
    <w:rsid w:val="24D87938"/>
    <w:rsid w:val="26D251BE"/>
    <w:rsid w:val="27397700"/>
    <w:rsid w:val="283A128D"/>
    <w:rsid w:val="292667D4"/>
    <w:rsid w:val="2975636C"/>
    <w:rsid w:val="29893184"/>
    <w:rsid w:val="2A3F0751"/>
    <w:rsid w:val="2A7D3AEC"/>
    <w:rsid w:val="2D902A3C"/>
    <w:rsid w:val="2EDB3FE4"/>
    <w:rsid w:val="30083A5D"/>
    <w:rsid w:val="30B7758F"/>
    <w:rsid w:val="31F46812"/>
    <w:rsid w:val="337D1C2C"/>
    <w:rsid w:val="339E11AD"/>
    <w:rsid w:val="33FD1324"/>
    <w:rsid w:val="34A838D6"/>
    <w:rsid w:val="34CE72B0"/>
    <w:rsid w:val="359C5BCE"/>
    <w:rsid w:val="372F43C3"/>
    <w:rsid w:val="377D7015"/>
    <w:rsid w:val="37844784"/>
    <w:rsid w:val="37880213"/>
    <w:rsid w:val="38AD434C"/>
    <w:rsid w:val="39273424"/>
    <w:rsid w:val="392F0EB2"/>
    <w:rsid w:val="39743AD8"/>
    <w:rsid w:val="39815C60"/>
    <w:rsid w:val="3A7544C4"/>
    <w:rsid w:val="3BDA2C82"/>
    <w:rsid w:val="3C67733A"/>
    <w:rsid w:val="3D6633E7"/>
    <w:rsid w:val="3DA62A38"/>
    <w:rsid w:val="3E7762B4"/>
    <w:rsid w:val="3E9B456D"/>
    <w:rsid w:val="3EB70DA6"/>
    <w:rsid w:val="3F537159"/>
    <w:rsid w:val="3F8D4B70"/>
    <w:rsid w:val="40620545"/>
    <w:rsid w:val="40BB2B60"/>
    <w:rsid w:val="40F2256A"/>
    <w:rsid w:val="411A45A9"/>
    <w:rsid w:val="41543C29"/>
    <w:rsid w:val="41B60048"/>
    <w:rsid w:val="420A3368"/>
    <w:rsid w:val="42310D2C"/>
    <w:rsid w:val="426674CC"/>
    <w:rsid w:val="437529BD"/>
    <w:rsid w:val="44767A8E"/>
    <w:rsid w:val="451B6858"/>
    <w:rsid w:val="459F41C9"/>
    <w:rsid w:val="45AA0509"/>
    <w:rsid w:val="485A44B1"/>
    <w:rsid w:val="487E46E3"/>
    <w:rsid w:val="48E56510"/>
    <w:rsid w:val="4A6A3171"/>
    <w:rsid w:val="4B00417F"/>
    <w:rsid w:val="4BD832CD"/>
    <w:rsid w:val="4DC83C20"/>
    <w:rsid w:val="4E0562C4"/>
    <w:rsid w:val="4E1A4F20"/>
    <w:rsid w:val="4F734876"/>
    <w:rsid w:val="4FA7451F"/>
    <w:rsid w:val="4FB96B04"/>
    <w:rsid w:val="4FD26B37"/>
    <w:rsid w:val="501716A5"/>
    <w:rsid w:val="50C57645"/>
    <w:rsid w:val="52227611"/>
    <w:rsid w:val="522D29AA"/>
    <w:rsid w:val="534B2048"/>
    <w:rsid w:val="54604B65"/>
    <w:rsid w:val="5472334E"/>
    <w:rsid w:val="549F23FA"/>
    <w:rsid w:val="55316E4A"/>
    <w:rsid w:val="56C34B91"/>
    <w:rsid w:val="57DA74B2"/>
    <w:rsid w:val="57FC7200"/>
    <w:rsid w:val="5838665C"/>
    <w:rsid w:val="591E2664"/>
    <w:rsid w:val="594900CB"/>
    <w:rsid w:val="5A1C4FD5"/>
    <w:rsid w:val="5AA32359"/>
    <w:rsid w:val="5AE05A7D"/>
    <w:rsid w:val="5D107309"/>
    <w:rsid w:val="5DAC6417"/>
    <w:rsid w:val="5E0076AA"/>
    <w:rsid w:val="5EA902B4"/>
    <w:rsid w:val="5FAD16DE"/>
    <w:rsid w:val="60774B8E"/>
    <w:rsid w:val="60AE7E03"/>
    <w:rsid w:val="60C34A1A"/>
    <w:rsid w:val="6132054D"/>
    <w:rsid w:val="61DE457E"/>
    <w:rsid w:val="61F90D62"/>
    <w:rsid w:val="62C27B96"/>
    <w:rsid w:val="63441FC8"/>
    <w:rsid w:val="63AA06E6"/>
    <w:rsid w:val="63E56536"/>
    <w:rsid w:val="641549C4"/>
    <w:rsid w:val="643822E8"/>
    <w:rsid w:val="66577A0E"/>
    <w:rsid w:val="665E1984"/>
    <w:rsid w:val="66C32BE9"/>
    <w:rsid w:val="67D37CEA"/>
    <w:rsid w:val="69B423E3"/>
    <w:rsid w:val="6C631C5F"/>
    <w:rsid w:val="6C6E0826"/>
    <w:rsid w:val="6C700663"/>
    <w:rsid w:val="6CBF3079"/>
    <w:rsid w:val="6E1A6732"/>
    <w:rsid w:val="6FB228CC"/>
    <w:rsid w:val="6FE07FF9"/>
    <w:rsid w:val="6FE54ECA"/>
    <w:rsid w:val="708C17E3"/>
    <w:rsid w:val="70A82764"/>
    <w:rsid w:val="717F138E"/>
    <w:rsid w:val="731B5C61"/>
    <w:rsid w:val="73337CF4"/>
    <w:rsid w:val="735A1167"/>
    <w:rsid w:val="737A2D9F"/>
    <w:rsid w:val="745F6056"/>
    <w:rsid w:val="754829CA"/>
    <w:rsid w:val="76334E79"/>
    <w:rsid w:val="7830114B"/>
    <w:rsid w:val="78686692"/>
    <w:rsid w:val="79B51823"/>
    <w:rsid w:val="7A5F4B5C"/>
    <w:rsid w:val="7BBC46E0"/>
    <w:rsid w:val="7C541568"/>
    <w:rsid w:val="7D0C5D51"/>
    <w:rsid w:val="7E003312"/>
    <w:rsid w:val="7EE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widowControl/>
      <w:spacing w:before="240" w:after="240" w:line="36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link w:val="30"/>
    <w:semiHidden/>
    <w:unhideWhenUsed/>
    <w:qFormat/>
    <w:uiPriority w:val="0"/>
    <w:pPr>
      <w:keepNext/>
      <w:keepLines/>
      <w:spacing w:before="240" w:after="240" w:line="360" w:lineRule="auto"/>
      <w:jc w:val="left"/>
      <w:outlineLvl w:val="1"/>
    </w:pPr>
    <w:rPr>
      <w:rFonts w:ascii="Arial" w:hAnsi="Arial" w:eastAsia="宋体" w:cs="Arial"/>
      <w:b/>
      <w:bCs/>
      <w:sz w:val="30"/>
      <w:szCs w:val="32"/>
    </w:rPr>
  </w:style>
  <w:style w:type="paragraph" w:styleId="4">
    <w:name w:val="heading 3"/>
    <w:basedOn w:val="1"/>
    <w:link w:val="29"/>
    <w:autoRedefine/>
    <w:semiHidden/>
    <w:unhideWhenUsed/>
    <w:qFormat/>
    <w:uiPriority w:val="0"/>
    <w:pPr>
      <w:keepNext/>
      <w:keepLines/>
      <w:spacing w:before="240" w:after="240" w:line="360" w:lineRule="auto"/>
      <w:jc w:val="left"/>
      <w:outlineLvl w:val="2"/>
    </w:pPr>
    <w:rPr>
      <w:rFonts w:ascii="Calibri" w:hAnsi="Calibri" w:eastAsia="宋体" w:cs="Arial"/>
      <w:b/>
      <w:bCs/>
      <w:sz w:val="28"/>
      <w:szCs w:val="32"/>
    </w:rPr>
  </w:style>
  <w:style w:type="paragraph" w:styleId="5">
    <w:name w:val="heading 4"/>
    <w:basedOn w:val="1"/>
    <w:next w:val="1"/>
    <w:semiHidden/>
    <w:unhideWhenUsed/>
    <w:qFormat/>
    <w:uiPriority w:val="0"/>
    <w:pPr>
      <w:keepNext/>
      <w:keepLines/>
      <w:spacing w:before="240" w:beforeLines="0" w:beforeAutospacing="0" w:after="240" w:afterLines="0" w:afterAutospacing="0" w:line="360" w:lineRule="auto"/>
      <w:jc w:val="center"/>
      <w:outlineLvl w:val="3"/>
    </w:pPr>
    <w:rPr>
      <w:rFonts w:ascii="Arial" w:hAnsi="Arial" w:eastAsia="宋体" w:cs="Arial"/>
      <w:b/>
      <w:sz w:val="24"/>
      <w:szCs w:val="24"/>
    </w:rPr>
  </w:style>
  <w:style w:type="character" w:default="1" w:styleId="24">
    <w:name w:val="Default Paragraph Font"/>
    <w:autoRedefine/>
    <w:unhideWhenUsed/>
    <w:qFormat/>
    <w:uiPriority w:val="1"/>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toa heading"/>
    <w:basedOn w:val="1"/>
    <w:next w:val="1"/>
    <w:autoRedefine/>
    <w:unhideWhenUsed/>
    <w:qFormat/>
    <w:uiPriority w:val="99"/>
    <w:pPr>
      <w:spacing w:before="120"/>
    </w:pPr>
    <w:rPr>
      <w:rFonts w:ascii="Cambria" w:hAnsi="Cambria" w:cs="Times New Roman"/>
      <w:sz w:val="24"/>
      <w:szCs w:val="24"/>
    </w:rPr>
  </w:style>
  <w:style w:type="paragraph" w:styleId="8">
    <w:name w:val="Body Text"/>
    <w:basedOn w:val="1"/>
    <w:autoRedefine/>
    <w:semiHidden/>
    <w:qFormat/>
    <w:uiPriority w:val="0"/>
    <w:pPr>
      <w:autoSpaceDE w:val="0"/>
      <w:autoSpaceDN w:val="0"/>
      <w:adjustRightInd w:val="0"/>
      <w:spacing w:before="40" w:after="40" w:line="320" w:lineRule="atLeast"/>
      <w:ind w:firstLine="357"/>
      <w:textAlignment w:val="baseline"/>
    </w:pPr>
    <w:rPr>
      <w:sz w:val="18"/>
    </w:rPr>
  </w:style>
  <w:style w:type="paragraph" w:styleId="9">
    <w:name w:val="Body Text Indent"/>
    <w:basedOn w:val="1"/>
    <w:autoRedefine/>
    <w:qFormat/>
    <w:uiPriority w:val="0"/>
    <w:pPr>
      <w:spacing w:after="120"/>
      <w:ind w:left="420" w:leftChars="200"/>
    </w:pPr>
  </w:style>
  <w:style w:type="paragraph" w:styleId="10">
    <w:name w:val="HTML Address"/>
    <w:basedOn w:val="1"/>
    <w:autoRedefine/>
    <w:qFormat/>
    <w:uiPriority w:val="0"/>
    <w:rPr>
      <w:i/>
      <w:iCs/>
    </w:rPr>
  </w:style>
  <w:style w:type="paragraph" w:styleId="11">
    <w:name w:val="Plain Text"/>
    <w:basedOn w:val="1"/>
    <w:next w:val="12"/>
    <w:autoRedefine/>
    <w:qFormat/>
    <w:uiPriority w:val="0"/>
    <w:rPr>
      <w:rFonts w:ascii="宋体" w:hAnsi="Courier New"/>
    </w:rPr>
  </w:style>
  <w:style w:type="paragraph" w:styleId="12">
    <w:name w:val="index 7"/>
    <w:basedOn w:val="1"/>
    <w:next w:val="1"/>
    <w:link w:val="40"/>
    <w:autoRedefine/>
    <w:semiHidden/>
    <w:qFormat/>
    <w:uiPriority w:val="0"/>
    <w:pPr>
      <w:ind w:left="2520"/>
    </w:pPr>
  </w:style>
  <w:style w:type="paragraph" w:styleId="13">
    <w:name w:val="Date"/>
    <w:basedOn w:val="1"/>
    <w:next w:val="1"/>
    <w:autoRedefine/>
    <w:qFormat/>
    <w:uiPriority w:val="0"/>
    <w:pPr>
      <w:ind w:left="100"/>
    </w:pPr>
    <w:rPr>
      <w:sz w:val="28"/>
    </w:rPr>
  </w:style>
  <w:style w:type="paragraph" w:styleId="14">
    <w:name w:val="Body Text Indent 2"/>
    <w:basedOn w:val="1"/>
    <w:autoRedefine/>
    <w:qFormat/>
    <w:uiPriority w:val="0"/>
    <w:pPr>
      <w:spacing w:line="360" w:lineRule="auto"/>
      <w:ind w:left="839" w:hanging="839" w:hangingChars="355"/>
    </w:pPr>
    <w:rPr>
      <w:b/>
      <w:kern w:val="0"/>
      <w:sz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0"/>
    <w:pPr>
      <w:autoSpaceDE w:val="0"/>
      <w:autoSpaceDN w:val="0"/>
      <w:adjustRightInd w:val="0"/>
      <w:spacing w:line="312" w:lineRule="atLeast"/>
      <w:textAlignment w:val="baseline"/>
    </w:pPr>
    <w:rPr>
      <w:kern w:val="0"/>
    </w:rPr>
  </w:style>
  <w:style w:type="paragraph" w:styleId="18">
    <w:name w:val="List"/>
    <w:basedOn w:val="1"/>
    <w:autoRedefine/>
    <w:qFormat/>
    <w:uiPriority w:val="0"/>
    <w:pPr>
      <w:ind w:left="200" w:hanging="200" w:hangingChars="200"/>
    </w:pPr>
  </w:style>
  <w:style w:type="paragraph" w:styleId="19">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18"/>
      <w:szCs w:val="18"/>
    </w:rPr>
  </w:style>
  <w:style w:type="paragraph" w:styleId="20">
    <w:name w:val="Body Text First Indent"/>
    <w:basedOn w:val="8"/>
    <w:autoRedefine/>
    <w:qFormat/>
    <w:uiPriority w:val="0"/>
    <w:pPr>
      <w:tabs>
        <w:tab w:val="left" w:pos="630"/>
      </w:tabs>
      <w:spacing w:after="120" w:afterLines="0"/>
      <w:ind w:firstLine="100" w:firstLineChars="100"/>
      <w:jc w:val="both"/>
      <w:textAlignment w:val="auto"/>
    </w:pPr>
    <w:rPr>
      <w:rFonts w:ascii="Times New Roman"/>
      <w:sz w:val="21"/>
      <w:szCs w:val="24"/>
    </w:rPr>
  </w:style>
  <w:style w:type="paragraph" w:styleId="21">
    <w:name w:val="Body Text First Indent 2"/>
    <w:basedOn w:val="9"/>
    <w:autoRedefine/>
    <w:semiHidden/>
    <w:qFormat/>
    <w:uiPriority w:val="0"/>
    <w:pPr>
      <w:ind w:firstLine="420" w:firstLineChars="200"/>
    </w:pPr>
  </w:style>
  <w:style w:type="table" w:styleId="23">
    <w:name w:val="Table Grid"/>
    <w:basedOn w:val="2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customStyle="1" w:styleId="27">
    <w:name w:val="标题 1 Char"/>
    <w:link w:val="2"/>
    <w:autoRedefine/>
    <w:qFormat/>
    <w:uiPriority w:val="0"/>
    <w:rPr>
      <w:rFonts w:ascii="Times New Roman" w:hAnsi="Times New Roman" w:eastAsia="宋体" w:cs="Times New Roman"/>
      <w:b/>
      <w:bCs/>
      <w:kern w:val="44"/>
      <w:sz w:val="32"/>
      <w:szCs w:val="44"/>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标题 3 Char"/>
    <w:basedOn w:val="24"/>
    <w:link w:val="4"/>
    <w:autoRedefine/>
    <w:qFormat/>
    <w:uiPriority w:val="0"/>
    <w:rPr>
      <w:rFonts w:ascii="Calibri" w:hAnsi="Calibri" w:eastAsia="宋体" w:cs="Arial"/>
      <w:b/>
      <w:bCs/>
      <w:sz w:val="28"/>
      <w:szCs w:val="32"/>
    </w:rPr>
  </w:style>
  <w:style w:type="character" w:customStyle="1" w:styleId="30">
    <w:name w:val="标题 2 Char"/>
    <w:basedOn w:val="24"/>
    <w:link w:val="3"/>
    <w:qFormat/>
    <w:uiPriority w:val="99"/>
    <w:rPr>
      <w:rFonts w:ascii="Arial" w:hAnsi="Arial" w:eastAsia="宋体" w:cs="Arial"/>
      <w:b/>
      <w:bCs/>
      <w:sz w:val="30"/>
      <w:szCs w:val="32"/>
    </w:rPr>
  </w:style>
  <w:style w:type="paragraph" w:customStyle="1" w:styleId="31">
    <w:name w:val="表格文字"/>
    <w:basedOn w:val="1"/>
    <w:next w:val="8"/>
    <w:autoRedefine/>
    <w:qFormat/>
    <w:uiPriority w:val="0"/>
    <w:pPr>
      <w:jc w:val="left"/>
    </w:pPr>
    <w:rPr>
      <w:bCs/>
      <w:spacing w:val="10"/>
      <w:sz w:val="24"/>
    </w:rPr>
  </w:style>
  <w:style w:type="paragraph" w:customStyle="1" w:styleId="3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p0"/>
    <w:basedOn w:val="1"/>
    <w:qFormat/>
    <w:uiPriority w:val="0"/>
    <w:pPr>
      <w:widowControl/>
    </w:pPr>
    <w:rPr>
      <w:rFonts w:ascii="Courier New" w:hAnsi="Courier New" w:cs="Courier New"/>
      <w:kern w:val="0"/>
      <w:szCs w:val="21"/>
      <w:lang w:bidi="ar-SA"/>
    </w:rPr>
  </w:style>
  <w:style w:type="paragraph" w:customStyle="1" w:styleId="34">
    <w:name w:val="Body Text First Indent 21"/>
    <w:basedOn w:val="35"/>
    <w:qFormat/>
    <w:uiPriority w:val="0"/>
    <w:pPr>
      <w:ind w:left="420" w:firstLine="420" w:firstLineChars="200"/>
    </w:pPr>
    <w:rPr>
      <w:rFonts w:eastAsia="宋?"/>
    </w:rPr>
  </w:style>
  <w:style w:type="paragraph" w:customStyle="1" w:styleId="35">
    <w:name w:val="Body Text Indent1"/>
    <w:basedOn w:val="1"/>
    <w:next w:val="36"/>
    <w:qFormat/>
    <w:uiPriority w:val="0"/>
    <w:pPr>
      <w:ind w:left="200" w:leftChars="200"/>
    </w:pPr>
  </w:style>
  <w:style w:type="paragraph" w:customStyle="1" w:styleId="36">
    <w:name w:val="envelope return1"/>
    <w:basedOn w:val="1"/>
    <w:qFormat/>
    <w:uiPriority w:val="0"/>
    <w:rPr>
      <w:rFonts w:ascii="Arial" w:hAnsi="Arial"/>
    </w:rPr>
  </w:style>
  <w:style w:type="paragraph" w:customStyle="1" w:styleId="37">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8">
    <w:name w:val="*正文"/>
    <w:basedOn w:val="1"/>
    <w:autoRedefine/>
    <w:qFormat/>
    <w:uiPriority w:val="0"/>
    <w:pPr>
      <w:keepNext w:val="0"/>
      <w:keepLines w:val="0"/>
      <w:widowControl w:val="0"/>
      <w:suppressLineNumbers w:val="0"/>
      <w:spacing w:before="0" w:beforeAutospacing="0" w:after="0" w:afterAutospacing="0"/>
      <w:ind w:left="0" w:right="0" w:firstLine="200" w:firstLineChars="200"/>
      <w:jc w:val="both"/>
    </w:pPr>
    <w:rPr>
      <w:rFonts w:hint="eastAsia" w:ascii="宋体" w:hAnsi="宋体" w:eastAsia="宋体" w:cs="仿宋_GB2312"/>
      <w:color w:val="auto"/>
      <w:kern w:val="2"/>
      <w:sz w:val="21"/>
      <w:szCs w:val="22"/>
      <w:lang w:val="en-US" w:eastAsia="zh-CN" w:bidi="ar"/>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索引 7 Char"/>
    <w:link w:val="12"/>
    <w:qFormat/>
    <w:uiPriority w:val="0"/>
  </w:style>
  <w:style w:type="paragraph" w:customStyle="1" w:styleId="41">
    <w:name w:val="Default Text"/>
    <w:basedOn w:val="1"/>
    <w:qFormat/>
    <w:uiPriority w:val="0"/>
    <w:pPr>
      <w:autoSpaceDE w:val="0"/>
      <w:autoSpaceDN w:val="0"/>
      <w:adjustRightInd w:val="0"/>
      <w:jc w:val="left"/>
    </w:pPr>
    <w:rPr>
      <w:rFonts w:ascii="Times New Roman" w:hAnsi="Times New Roman" w:eastAsia="宋体" w:cs="Times New Roman"/>
      <w:color w:val="000000"/>
      <w:kern w:val="0"/>
      <w:sz w:val="24"/>
    </w:rPr>
  </w:style>
  <w:style w:type="paragraph" w:customStyle="1" w:styleId="42">
    <w:name w:val="采购正文"/>
    <w:qFormat/>
    <w:uiPriority w:val="0"/>
    <w:pPr>
      <w:widowControl w:val="0"/>
      <w:autoSpaceDE w:val="0"/>
      <w:autoSpaceDN w:val="0"/>
      <w:spacing w:line="560" w:lineRule="exact"/>
      <w:ind w:firstLine="480" w:firstLineChars="200"/>
      <w:contextualSpacing/>
      <w:jc w:val="both"/>
    </w:pPr>
    <w:rPr>
      <w:rFonts w:ascii="仿宋" w:hAnsi="仿宋" w:eastAsia="仿宋" w:cs="Times New Roman"/>
      <w:kern w:val="24"/>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25964</Words>
  <Characters>27391</Characters>
  <Lines>0</Lines>
  <Paragraphs>0</Paragraphs>
  <TotalTime>2</TotalTime>
  <ScaleCrop>false</ScaleCrop>
  <LinksUpToDate>false</LinksUpToDate>
  <CharactersWithSpaces>28965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2023-07-13T06:14:00Z</dcterms:created>
  <dc:creator>奔赴.</dc:creator>
  <cp:lastModifiedBy>奔赴.</cp:lastModifiedBy>
  <cp:lastPrinted>2023-11-20T09:25:00Z</cp:lastPrinted>
  <dcterms:modified xsi:type="dcterms:W3CDTF">2025-06-19T05:20:28Z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9EDB27474A914FFCA3EC619D3F97B931_13</vt:lpwstr>
  </property>
  <property fmtid="{D5CDD505-2E9C-101B-9397-08002B2CF9AE}" pid="4" name="KSOTemplateDocerSaveRecord">
    <vt:lpwstr>eyJoZGlkIjoiNzc2YzgyMzBmNmM2Yjg3ZmQzNDZlNTdjNTg2MGYzMDkiLCJ1c2VySWQiOiIyNjgxNzY5ODcifQ==</vt:lpwstr>
  </property>
</Properties>
</file>