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0B66C">
      <w:pPr>
        <w:rPr>
          <w:rFonts w:hint="eastAsia" w:ascii="仿宋" w:hAnsi="仿宋" w:eastAsia="仿宋" w:cs="仿宋"/>
        </w:rPr>
      </w:pPr>
    </w:p>
    <w:p w14:paraId="255053FD">
      <w:pPr>
        <w:rPr>
          <w:rFonts w:hint="eastAsia" w:ascii="仿宋" w:hAnsi="仿宋" w:eastAsia="仿宋" w:cs="仿宋"/>
        </w:rPr>
      </w:pPr>
      <w:r>
        <w:rPr>
          <w:rFonts w:hint="eastAsia" w:ascii="仿宋" w:hAnsi="仿宋" w:eastAsia="仿宋" w:cs="仿宋"/>
          <w:sz w:val="21"/>
        </w:rPr>
        <mc:AlternateContent>
          <mc:Choice Requires="wps">
            <w:drawing>
              <wp:anchor distT="0" distB="0" distL="114300" distR="114300" simplePos="0" relativeHeight="251662336" behindDoc="0" locked="0" layoutInCell="1" allowOverlap="1">
                <wp:simplePos x="0" y="0"/>
                <wp:positionH relativeFrom="column">
                  <wp:posOffset>-1172845</wp:posOffset>
                </wp:positionH>
                <wp:positionV relativeFrom="paragraph">
                  <wp:posOffset>167640</wp:posOffset>
                </wp:positionV>
                <wp:extent cx="7621270" cy="19640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964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A1DEA">
                            <w:pPr>
                              <w:adjustRightInd w:val="0"/>
                              <w:snapToGrid w:val="0"/>
                              <w:spacing w:line="240" w:lineRule="auto"/>
                              <w:ind w:firstLine="720" w:firstLineChars="100"/>
                              <w:jc w:val="center"/>
                              <w:rPr>
                                <w:rFonts w:hint="default" w:ascii="微软雅黑" w:hAnsi="微软雅黑" w:eastAsia="微软雅黑" w:cs="微软雅黑"/>
                                <w:b/>
                                <w:bCs/>
                                <w:color w:val="2E93B0"/>
                                <w:kern w:val="0"/>
                                <w:sz w:val="72"/>
                                <w:szCs w:val="72"/>
                                <w:lang w:val="en-US" w:eastAsia="zh-CN" w:bidi="ar-SA"/>
                              </w:rPr>
                            </w:pPr>
                            <w:r>
                              <w:rPr>
                                <w:rFonts w:hint="eastAsia" w:ascii="微软雅黑" w:hAnsi="微软雅黑" w:eastAsia="微软雅黑" w:cs="微软雅黑"/>
                                <w:b/>
                                <w:bCs/>
                                <w:color w:val="2E93B0"/>
                                <w:kern w:val="0"/>
                                <w:sz w:val="72"/>
                                <w:szCs w:val="72"/>
                                <w:lang w:val="en-US" w:eastAsia="zh-CN" w:bidi="ar-SA"/>
                              </w:rPr>
                              <w:t>塔城地区全民所有自然资源资产清查、编制地籍图项目</w:t>
                            </w:r>
                          </w:p>
                          <w:p w14:paraId="4E063ABF">
                            <w:pPr>
                              <w:adjustRightInd w:val="0"/>
                              <w:snapToGrid w:val="0"/>
                              <w:spacing w:line="360" w:lineRule="auto"/>
                              <w:ind w:firstLine="560" w:firstLineChars="200"/>
                              <w:jc w:val="center"/>
                              <w:rPr>
                                <w:rFonts w:hint="eastAsia" w:ascii="宋体" w:hAnsi="宋体" w:eastAsia="宋体" w:cs="宋体"/>
                                <w:color w:val="000000"/>
                                <w:kern w:val="0"/>
                                <w:sz w:val="30"/>
                                <w:szCs w:val="30"/>
                                <w:lang w:eastAsia="zh-CN"/>
                              </w:rPr>
                            </w:pPr>
                            <w:r>
                              <w:rPr>
                                <w:rFonts w:hint="eastAsia" w:ascii="微软雅黑" w:hAnsi="微软雅黑" w:eastAsia="微软雅黑" w:cs="微软雅黑"/>
                                <w:b/>
                                <w:bCs/>
                                <w:color w:val="237085"/>
                                <w:sz w:val="28"/>
                                <w:szCs w:val="28"/>
                                <w:lang w:val="en-US" w:eastAsia="zh-CN"/>
                              </w:rPr>
                              <w:t>（项目编号：HSH2025-ZB-17）</w:t>
                            </w:r>
                          </w:p>
                          <w:p w14:paraId="14D0FA5C">
                            <w:pPr>
                              <w:jc w:val="center"/>
                              <w:rPr>
                                <w:rFonts w:hint="default" w:ascii="微软雅黑" w:hAnsi="微软雅黑" w:eastAsia="微软雅黑" w:cs="微软雅黑"/>
                                <w:b/>
                                <w:bCs/>
                                <w:color w:val="237085"/>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13.2pt;height:154.65pt;width:600.1pt;z-index:251662336;mso-width-relative:page;mso-height-relative:page;" filled="f" stroked="f" coordsize="21600,21600" o:gfxdata="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JtkPp3gAAAAwBAAAPAAAAAAAAAAEAIAAAACIA&#10;AABkcnMvZG93bnJldi54bWxQSwECFAAUAAAACACHTuJAYB+DHjwCAABnBAAADgAAAAAAAAABACAA&#10;AAAtAQAAZHJzL2Uyb0RvYy54bWxQSwUGAAAAAAYABgBZAQAA2wUAAAAA&#10;">
                <v:fill on="f" focussize="0,0"/>
                <v:stroke on="f" weight="0.5pt"/>
                <v:imagedata o:title=""/>
                <o:lock v:ext="edit" aspectratio="f"/>
                <v:textbox>
                  <w:txbxContent>
                    <w:p w14:paraId="6FBA1DEA">
                      <w:pPr>
                        <w:adjustRightInd w:val="0"/>
                        <w:snapToGrid w:val="0"/>
                        <w:spacing w:line="240" w:lineRule="auto"/>
                        <w:ind w:firstLine="720" w:firstLineChars="100"/>
                        <w:jc w:val="center"/>
                        <w:rPr>
                          <w:rFonts w:hint="default" w:ascii="微软雅黑" w:hAnsi="微软雅黑" w:eastAsia="微软雅黑" w:cs="微软雅黑"/>
                          <w:b/>
                          <w:bCs/>
                          <w:color w:val="2E93B0"/>
                          <w:kern w:val="0"/>
                          <w:sz w:val="72"/>
                          <w:szCs w:val="72"/>
                          <w:lang w:val="en-US" w:eastAsia="zh-CN" w:bidi="ar-SA"/>
                        </w:rPr>
                      </w:pPr>
                      <w:r>
                        <w:rPr>
                          <w:rFonts w:hint="eastAsia" w:ascii="微软雅黑" w:hAnsi="微软雅黑" w:eastAsia="微软雅黑" w:cs="微软雅黑"/>
                          <w:b/>
                          <w:bCs/>
                          <w:color w:val="2E93B0"/>
                          <w:kern w:val="0"/>
                          <w:sz w:val="72"/>
                          <w:szCs w:val="72"/>
                          <w:lang w:val="en-US" w:eastAsia="zh-CN" w:bidi="ar-SA"/>
                        </w:rPr>
                        <w:t>塔城地区全民所有自然资源资产清查、编制地籍图项目</w:t>
                      </w:r>
                    </w:p>
                    <w:p w14:paraId="4E063ABF">
                      <w:pPr>
                        <w:adjustRightInd w:val="0"/>
                        <w:snapToGrid w:val="0"/>
                        <w:spacing w:line="360" w:lineRule="auto"/>
                        <w:ind w:firstLine="560" w:firstLineChars="200"/>
                        <w:jc w:val="center"/>
                        <w:rPr>
                          <w:rFonts w:hint="eastAsia" w:ascii="宋体" w:hAnsi="宋体" w:eastAsia="宋体" w:cs="宋体"/>
                          <w:color w:val="000000"/>
                          <w:kern w:val="0"/>
                          <w:sz w:val="30"/>
                          <w:szCs w:val="30"/>
                          <w:lang w:eastAsia="zh-CN"/>
                        </w:rPr>
                      </w:pPr>
                      <w:r>
                        <w:rPr>
                          <w:rFonts w:hint="eastAsia" w:ascii="微软雅黑" w:hAnsi="微软雅黑" w:eastAsia="微软雅黑" w:cs="微软雅黑"/>
                          <w:b/>
                          <w:bCs/>
                          <w:color w:val="237085"/>
                          <w:sz w:val="28"/>
                          <w:szCs w:val="28"/>
                          <w:lang w:val="en-US" w:eastAsia="zh-CN"/>
                        </w:rPr>
                        <w:t>（项目编号：HSH2025-ZB-17）</w:t>
                      </w:r>
                    </w:p>
                    <w:p w14:paraId="14D0FA5C">
                      <w:pPr>
                        <w:jc w:val="center"/>
                        <w:rPr>
                          <w:rFonts w:hint="default" w:ascii="微软雅黑" w:hAnsi="微软雅黑" w:eastAsia="微软雅黑" w:cs="微软雅黑"/>
                          <w:b/>
                          <w:bCs/>
                          <w:color w:val="237085"/>
                          <w:sz w:val="28"/>
                          <w:szCs w:val="28"/>
                          <w:lang w:val="en-US" w:eastAsia="zh-CN"/>
                        </w:rPr>
                      </w:pPr>
                    </w:p>
                  </w:txbxContent>
                </v:textbox>
              </v:shape>
            </w:pict>
          </mc:Fallback>
        </mc:AlternateContent>
      </w:r>
    </w:p>
    <w:p w14:paraId="1EBF5ABA">
      <w:pPr>
        <w:tabs>
          <w:tab w:val="left" w:pos="5196"/>
        </w:tabs>
        <w:jc w:val="left"/>
        <w:rPr>
          <w:rFonts w:hint="eastAsia" w:ascii="仿宋" w:hAnsi="仿宋" w:eastAsia="仿宋" w:cs="仿宋"/>
          <w:sz w:val="36"/>
          <w:szCs w:val="36"/>
          <w:lang w:eastAsia="zh-CN"/>
        </w:rPr>
      </w:pPr>
      <w:r>
        <w:rPr>
          <w:rFonts w:hint="eastAsia" w:ascii="仿宋" w:hAnsi="仿宋" w:eastAsia="仿宋" w:cs="仿宋"/>
          <w:sz w:val="36"/>
          <w:szCs w:val="36"/>
          <w:lang w:eastAsia="zh-CN"/>
        </w:rPr>
        <w:tab/>
      </w:r>
    </w:p>
    <w:p w14:paraId="0A2CB8AC">
      <w:pPr>
        <w:jc w:val="center"/>
        <w:rPr>
          <w:rFonts w:hint="eastAsia" w:ascii="仿宋" w:hAnsi="仿宋" w:eastAsia="仿宋" w:cs="仿宋"/>
          <w:sz w:val="32"/>
          <w:szCs w:val="32"/>
        </w:rPr>
        <w:sectPr>
          <w:footerReference r:id="rId3" w:type="default"/>
          <w:pgSz w:w="11906" w:h="16838"/>
          <w:pgMar w:top="1440" w:right="1800" w:bottom="1440" w:left="1800" w:header="851" w:footer="992" w:gutter="0"/>
          <w:pgNumType w:fmt="numberInDash"/>
          <w:cols w:space="0" w:num="1"/>
          <w:rtlGutter w:val="0"/>
          <w:docGrid w:type="lines" w:linePitch="387" w:charSpace="0"/>
        </w:sectPr>
      </w:pPr>
      <w:r>
        <w:rPr>
          <w:rFonts w:hint="eastAsia" w:ascii="仿宋" w:hAnsi="仿宋" w:eastAsia="仿宋" w:cs="仿宋"/>
          <w:sz w:val="21"/>
        </w:rPr>
        <mc:AlternateContent>
          <mc:Choice Requires="wps">
            <w:drawing>
              <wp:anchor distT="0" distB="0" distL="114300" distR="114300" simplePos="0" relativeHeight="251665408" behindDoc="0" locked="0" layoutInCell="1" allowOverlap="1">
                <wp:simplePos x="0" y="0"/>
                <wp:positionH relativeFrom="column">
                  <wp:posOffset>-119380</wp:posOffset>
                </wp:positionH>
                <wp:positionV relativeFrom="paragraph">
                  <wp:posOffset>4523105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9D7C6">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采购人：伊犁哈萨克自治州塔城地区自然资源局（盖章）</w:t>
                            </w:r>
                          </w:p>
                          <w:p w14:paraId="0874A5FA">
                            <w:pPr>
                              <w:jc w:val="left"/>
                              <w:rPr>
                                <w:rFonts w:hint="eastAsia" w:ascii="微软雅黑" w:hAnsi="微软雅黑" w:eastAsia="微软雅黑" w:cs="微软雅黑"/>
                                <w:b/>
                                <w:bCs/>
                                <w:color w:val="237085"/>
                                <w:sz w:val="32"/>
                                <w:szCs w:val="32"/>
                                <w:lang w:val="en-US" w:eastAsia="zh-CN"/>
                              </w:rPr>
                            </w:pPr>
                          </w:p>
                          <w:p w14:paraId="1304C7C4">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采购代理机构：新疆恒晟华工程项目管理有限公司</w:t>
                            </w:r>
                            <w:r>
                              <w:rPr>
                                <w:rFonts w:hint="eastAsia" w:ascii="宋体" w:hAnsi="宋体" w:eastAsia="宋体" w:cs="宋体"/>
                                <w:color w:val="000000"/>
                                <w:kern w:val="0"/>
                                <w:sz w:val="24"/>
                                <w:szCs w:val="21"/>
                                <w:lang w:bidi="ar"/>
                              </w:rPr>
                              <w:t xml:space="preserve"> </w:t>
                            </w:r>
                            <w:r>
                              <w:rPr>
                                <w:rFonts w:hint="eastAsia" w:ascii="微软雅黑" w:hAnsi="微软雅黑" w:eastAsia="微软雅黑" w:cs="微软雅黑"/>
                                <w:b/>
                                <w:bCs/>
                                <w:color w:val="237085"/>
                                <w:sz w:val="32"/>
                                <w:szCs w:val="32"/>
                                <w:lang w:val="en-US" w:eastAsia="zh-CN"/>
                              </w:rPr>
                              <w:t>（盖章）</w:t>
                            </w:r>
                          </w:p>
                          <w:p w14:paraId="62B03090">
                            <w:pPr>
                              <w:jc w:val="center"/>
                              <w:rPr>
                                <w:rFonts w:hint="eastAsia" w:ascii="微软雅黑" w:hAnsi="微软雅黑" w:eastAsia="微软雅黑" w:cs="微软雅黑"/>
                                <w:b/>
                                <w:bCs/>
                                <w:color w:val="237085"/>
                                <w:sz w:val="32"/>
                                <w:szCs w:val="32"/>
                                <w:lang w:val="en-US" w:eastAsia="zh-CN"/>
                              </w:rPr>
                            </w:pPr>
                          </w:p>
                          <w:p w14:paraId="5137AEDE">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日期：2025年07月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pt;margin-top:356.15pt;height:195.75pt;width:430.25pt;z-index:251665408;mso-width-relative:page;mso-height-relative:page;" filled="f" stroked="f" coordsize="21600,21600" o:gfxdata="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jhpMNwAAAAMAQAADwAAAAAAAAABACAAAAAiAAAA&#10;ZHJzL2Rvd25yZXYueG1sUEsBAhQAFAAAAAgAh07iQL0H0aI8AgAAZwQAAA4AAAAAAAAAAQAgAAAA&#10;KwEAAGRycy9lMm9Eb2MueG1sUEsFBgAAAAAGAAYAWQEAANkFAAAAAA==&#10;">
                <v:fill on="f" focussize="0,0"/>
                <v:stroke on="f" weight="0.5pt"/>
                <v:imagedata o:title=""/>
                <o:lock v:ext="edit" aspectratio="f"/>
                <v:textbox>
                  <w:txbxContent>
                    <w:p w14:paraId="6BF9D7C6">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采购人：伊犁哈萨克自治州塔城地区自然资源局（盖章）</w:t>
                      </w:r>
                    </w:p>
                    <w:p w14:paraId="0874A5FA">
                      <w:pPr>
                        <w:jc w:val="left"/>
                        <w:rPr>
                          <w:rFonts w:hint="eastAsia" w:ascii="微软雅黑" w:hAnsi="微软雅黑" w:eastAsia="微软雅黑" w:cs="微软雅黑"/>
                          <w:b/>
                          <w:bCs/>
                          <w:color w:val="237085"/>
                          <w:sz w:val="32"/>
                          <w:szCs w:val="32"/>
                          <w:lang w:val="en-US" w:eastAsia="zh-CN"/>
                        </w:rPr>
                      </w:pPr>
                    </w:p>
                    <w:p w14:paraId="1304C7C4">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采购代理机构：新疆恒晟华工程项目管理有限公司</w:t>
                      </w:r>
                      <w:r>
                        <w:rPr>
                          <w:rFonts w:hint="eastAsia" w:ascii="宋体" w:hAnsi="宋体" w:eastAsia="宋体" w:cs="宋体"/>
                          <w:color w:val="000000"/>
                          <w:kern w:val="0"/>
                          <w:sz w:val="24"/>
                          <w:szCs w:val="21"/>
                          <w:lang w:bidi="ar"/>
                        </w:rPr>
                        <w:t xml:space="preserve"> </w:t>
                      </w:r>
                      <w:r>
                        <w:rPr>
                          <w:rFonts w:hint="eastAsia" w:ascii="微软雅黑" w:hAnsi="微软雅黑" w:eastAsia="微软雅黑" w:cs="微软雅黑"/>
                          <w:b/>
                          <w:bCs/>
                          <w:color w:val="237085"/>
                          <w:sz w:val="32"/>
                          <w:szCs w:val="32"/>
                          <w:lang w:val="en-US" w:eastAsia="zh-CN"/>
                        </w:rPr>
                        <w:t>（盖章）</w:t>
                      </w:r>
                    </w:p>
                    <w:p w14:paraId="62B03090">
                      <w:pPr>
                        <w:jc w:val="center"/>
                        <w:rPr>
                          <w:rFonts w:hint="eastAsia" w:ascii="微软雅黑" w:hAnsi="微软雅黑" w:eastAsia="微软雅黑" w:cs="微软雅黑"/>
                          <w:b/>
                          <w:bCs/>
                          <w:color w:val="237085"/>
                          <w:sz w:val="32"/>
                          <w:szCs w:val="32"/>
                          <w:lang w:val="en-US" w:eastAsia="zh-CN"/>
                        </w:rPr>
                      </w:pPr>
                    </w:p>
                    <w:p w14:paraId="5137AEDE">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日期：2025年07月</w:t>
                      </w:r>
                    </w:p>
                  </w:txbxContent>
                </v:textbox>
              </v:shape>
            </w:pict>
          </mc:Fallback>
        </mc:AlternateContent>
      </w:r>
      <w:r>
        <w:rPr>
          <w:rFonts w:hint="eastAsia" w:ascii="仿宋" w:hAnsi="仿宋" w:eastAsia="仿宋" w:cs="仿宋"/>
          <w:sz w:val="21"/>
        </w:rPr>
        <mc:AlternateContent>
          <mc:Choice Requires="wps">
            <w:drawing>
              <wp:anchor distT="0" distB="0" distL="114300" distR="114300" simplePos="0" relativeHeight="251664384" behindDoc="0" locked="0" layoutInCell="1" allowOverlap="1">
                <wp:simplePos x="0" y="0"/>
                <wp:positionH relativeFrom="column">
                  <wp:posOffset>1325880</wp:posOffset>
                </wp:positionH>
                <wp:positionV relativeFrom="paragraph">
                  <wp:posOffset>3195320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51.6pt;height:7.85pt;width:208.55pt;z-index:251664384;v-text-anchor:middle;mso-width-relative:page;mso-height-relative:page;" fillcolor="#2E93B0" filled="t" stroked="f" coordsize="21600,21600" o:gfxdata="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Sgl9t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hint="eastAsia" w:ascii="仿宋" w:hAnsi="仿宋" w:eastAsia="仿宋" w:cs="仿宋"/>
          <w:sz w:val="21"/>
        </w:rPr>
        <mc:AlternateContent>
          <mc:Choice Requires="wps">
            <w:drawing>
              <wp:anchor distT="0" distB="0" distL="114300" distR="114300" simplePos="0" relativeHeight="251663360" behindDoc="0" locked="0" layoutInCell="1" allowOverlap="1">
                <wp:simplePos x="0" y="0"/>
                <wp:positionH relativeFrom="column">
                  <wp:posOffset>-889635</wp:posOffset>
                </wp:positionH>
                <wp:positionV relativeFrom="paragraph">
                  <wp:posOffset>2136775</wp:posOffset>
                </wp:positionV>
                <wp:extent cx="7130415" cy="98488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984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09CDF">
                            <w:pPr>
                              <w:pStyle w:val="1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竞争性磋商采购文件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05pt;margin-top:168.25pt;height:77.55pt;width:561.45pt;z-index:251663360;mso-width-relative:page;mso-height-relative:page;" filled="f" stroked="f" coordsize="21600,21600" o:gfxdata="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rE2bL3QAAAAwBAAAPAAAAAAAAAAEAIAAAACIA&#10;AABkcnMvZG93bnJldi54bWxQSwECFAAUAAAACACHTuJARb/aFT0CAABoBAAADgAAAAAAAAABACAA&#10;AAAsAQAAZHJzL2Uyb0RvYy54bWxQSwUGAAAAAAYABgBZAQAA2wUAAAAA&#10;">
                <v:fill on="f" focussize="0,0"/>
                <v:stroke on="f" weight="0.5pt"/>
                <v:imagedata o:title=""/>
                <o:lock v:ext="edit" aspectratio="f"/>
                <v:textbox>
                  <w:txbxContent>
                    <w:p w14:paraId="50009CDF">
                      <w:pPr>
                        <w:pStyle w:val="1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竞争性磋商采购文件</w:t>
                      </w:r>
                    </w:p>
                  </w:txbxContent>
                </v:textbox>
              </v:shape>
            </w:pict>
          </mc:Fallback>
        </mc:AlternateContent>
      </w:r>
      <w:r>
        <w:rPr>
          <w:rFonts w:hint="eastAsia" w:ascii="仿宋" w:hAnsi="仿宋" w:eastAsia="仿宋" w:cs="仿宋"/>
        </w:rPr>
        <w:drawing>
          <wp:anchor distT="0" distB="0" distL="114300" distR="114300" simplePos="0" relativeHeight="251661312" behindDoc="1" locked="0" layoutInCell="1" allowOverlap="1">
            <wp:simplePos x="0" y="0"/>
            <wp:positionH relativeFrom="column">
              <wp:posOffset>-1240155</wp:posOffset>
            </wp:positionH>
            <wp:positionV relativeFrom="paragraph">
              <wp:posOffset>-1894205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7769225" cy="10739755"/>
                    </a:xfrm>
                    <a:prstGeom prst="rect">
                      <a:avLst/>
                    </a:prstGeom>
                    <a:noFill/>
                    <a:ln>
                      <a:noFill/>
                    </a:ln>
                  </pic:spPr>
                </pic:pic>
              </a:graphicData>
            </a:graphic>
          </wp:anchor>
        </w:drawing>
      </w:r>
    </w:p>
    <w:p w14:paraId="520ADF72">
      <w:pPr>
        <w:pStyle w:val="15"/>
        <w:rPr>
          <w:rFonts w:hint="eastAsia" w:ascii="仿宋" w:hAnsi="仿宋" w:eastAsia="仿宋" w:cs="仿宋"/>
        </w:rPr>
      </w:pPr>
    </w:p>
    <w:tbl>
      <w:tblPr>
        <w:tblStyle w:val="27"/>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8293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5" w:hRule="atLeast"/>
          <w:jc w:val="center"/>
        </w:trPr>
        <w:tc>
          <w:tcPr>
            <w:tcW w:w="9280" w:type="dxa"/>
            <w:tcBorders>
              <w:tl2br w:val="nil"/>
              <w:tr2bl w:val="nil"/>
            </w:tcBorders>
            <w:noWrap w:val="0"/>
            <w:vAlign w:val="top"/>
          </w:tcPr>
          <w:p w14:paraId="7DB3E499">
            <w:pPr>
              <w:spacing w:line="360" w:lineRule="auto"/>
              <w:ind w:right="36" w:rightChars="15"/>
              <w:jc w:val="center"/>
              <w:rPr>
                <w:rFonts w:hint="eastAsia" w:ascii="仿宋" w:hAnsi="仿宋" w:eastAsia="仿宋" w:cs="仿宋"/>
                <w:b/>
                <w:bCs/>
                <w:sz w:val="32"/>
                <w:szCs w:val="32"/>
              </w:rPr>
            </w:pPr>
          </w:p>
          <w:p w14:paraId="66A2FF2E">
            <w:pPr>
              <w:spacing w:line="360" w:lineRule="auto"/>
              <w:ind w:right="36" w:rightChars="15"/>
              <w:jc w:val="center"/>
              <w:rPr>
                <w:rFonts w:hint="eastAsia" w:ascii="仿宋" w:hAnsi="仿宋" w:eastAsia="仿宋" w:cs="仿宋"/>
                <w:b/>
                <w:bCs/>
                <w:sz w:val="32"/>
                <w:szCs w:val="32"/>
              </w:rPr>
            </w:pPr>
          </w:p>
          <w:p w14:paraId="2850F425">
            <w:pPr>
              <w:spacing w:line="360" w:lineRule="auto"/>
              <w:ind w:right="36" w:rightChars="15"/>
              <w:jc w:val="center"/>
              <w:rPr>
                <w:rFonts w:hint="eastAsia" w:ascii="仿宋" w:hAnsi="仿宋" w:eastAsia="仿宋" w:cs="仿宋"/>
                <w:b/>
                <w:bCs/>
                <w:sz w:val="32"/>
                <w:szCs w:val="32"/>
              </w:rPr>
            </w:pPr>
            <w:r>
              <w:rPr>
                <w:rFonts w:hint="eastAsia" w:ascii="仿宋" w:hAnsi="仿宋" w:eastAsia="仿宋" w:cs="仿宋"/>
                <w:b/>
                <w:bCs/>
                <w:sz w:val="32"/>
                <w:szCs w:val="32"/>
              </w:rPr>
              <w:t>采购文件确认</w:t>
            </w:r>
            <w:r>
              <w:rPr>
                <w:rFonts w:hint="eastAsia" w:ascii="仿宋" w:hAnsi="仿宋" w:eastAsia="仿宋" w:cs="仿宋"/>
                <w:b/>
                <w:bCs/>
                <w:sz w:val="32"/>
                <w:szCs w:val="32"/>
                <w:lang w:val="en-US" w:eastAsia="zh-CN"/>
              </w:rPr>
              <w:t>表</w:t>
            </w:r>
          </w:p>
          <w:p w14:paraId="09E8645B">
            <w:pPr>
              <w:spacing w:line="360" w:lineRule="auto"/>
              <w:ind w:firstLine="720" w:firstLineChars="300"/>
              <w:jc w:val="both"/>
              <w:rPr>
                <w:rFonts w:hint="eastAsia" w:ascii="仿宋" w:hAnsi="仿宋" w:eastAsia="仿宋" w:cs="仿宋"/>
                <w:sz w:val="24"/>
                <w:szCs w:val="24"/>
                <w:lang w:val="en-US" w:eastAsia="zh-CN"/>
              </w:rPr>
            </w:pPr>
          </w:p>
          <w:p w14:paraId="6BCF4C0C">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新疆恒晟华工程项目管理有限公司</w:t>
            </w:r>
            <w:r>
              <w:rPr>
                <w:rFonts w:hint="eastAsia" w:ascii="宋体" w:hAnsi="宋体" w:eastAsia="宋体" w:cs="宋体"/>
                <w:color w:val="000000"/>
                <w:kern w:val="0"/>
                <w:sz w:val="24"/>
                <w:szCs w:val="21"/>
                <w:lang w:bidi="ar"/>
              </w:rPr>
              <w:t xml:space="preserve"> </w:t>
            </w:r>
            <w:r>
              <w:rPr>
                <w:rFonts w:hint="eastAsia" w:ascii="仿宋" w:hAnsi="仿宋" w:eastAsia="仿宋" w:cs="仿宋"/>
                <w:sz w:val="28"/>
                <w:szCs w:val="28"/>
                <w:lang w:val="en-US" w:eastAsia="zh-CN"/>
              </w:rPr>
              <w:t>：</w:t>
            </w:r>
          </w:p>
          <w:p w14:paraId="04F62072">
            <w:pPr>
              <w:pStyle w:val="13"/>
              <w:kinsoku w:val="0"/>
              <w:overflowPunct w:val="0"/>
              <w:spacing w:before="14" w:line="360" w:lineRule="auto"/>
              <w:ind w:firstLine="840" w:firstLineChars="300"/>
              <w:jc w:val="both"/>
              <w:rPr>
                <w:rFonts w:hint="eastAsia" w:ascii="仿宋" w:hAnsi="仿宋" w:eastAsia="仿宋" w:cs="仿宋"/>
                <w:sz w:val="28"/>
                <w:szCs w:val="28"/>
                <w:lang w:val="en-US" w:eastAsia="zh-CN"/>
              </w:rPr>
            </w:pPr>
            <w:r>
              <w:rPr>
                <w:rFonts w:hint="eastAsia" w:ascii="仿宋" w:hAnsi="仿宋" w:eastAsia="仿宋" w:cs="仿宋"/>
                <w:kern w:val="2"/>
                <w:sz w:val="28"/>
                <w:szCs w:val="28"/>
                <w:highlight w:val="none"/>
                <w:u w:val="single"/>
                <w:lang w:val="en-US" w:eastAsia="zh-CN" w:bidi="ar-SA"/>
              </w:rPr>
              <w:t>塔城地区全民所有自然资源资产清查、编制地籍图项目</w:t>
            </w:r>
            <w:r>
              <w:rPr>
                <w:rFonts w:hint="eastAsia" w:ascii="仿宋" w:hAnsi="仿宋" w:eastAsia="仿宋" w:cs="仿宋"/>
                <w:sz w:val="28"/>
                <w:szCs w:val="28"/>
                <w:highlight w:val="none"/>
                <w:u w:val="single"/>
                <w:lang w:val="en-US" w:eastAsia="zh-CN"/>
              </w:rPr>
              <w:t>（项目编号:</w:t>
            </w:r>
            <w:r>
              <w:rPr>
                <w:rFonts w:hint="eastAsia" w:ascii="仿宋" w:hAnsi="仿宋" w:eastAsia="仿宋" w:cs="仿宋"/>
                <w:kern w:val="2"/>
                <w:sz w:val="28"/>
                <w:szCs w:val="28"/>
                <w:highlight w:val="none"/>
                <w:u w:val="single"/>
                <w:lang w:val="en-US" w:eastAsia="zh-CN" w:bidi="ar-SA"/>
              </w:rPr>
              <w:t>HSH2025-ZB-17</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lang w:val="en-US" w:eastAsia="zh-CN"/>
              </w:rPr>
              <w:t>采购文件，经我单位审核符合我单位提出的招标（采购）要求，同意对外发布。</w:t>
            </w:r>
          </w:p>
          <w:p w14:paraId="231E5F40">
            <w:pPr>
              <w:spacing w:line="360" w:lineRule="auto"/>
              <w:ind w:right="240"/>
              <w:jc w:val="both"/>
              <w:rPr>
                <w:rFonts w:hint="eastAsia" w:ascii="仿宋" w:hAnsi="仿宋" w:eastAsia="仿宋" w:cs="仿宋"/>
                <w:sz w:val="28"/>
                <w:szCs w:val="28"/>
              </w:rPr>
            </w:pPr>
          </w:p>
          <w:p w14:paraId="50667643">
            <w:pPr>
              <w:spacing w:line="360" w:lineRule="auto"/>
              <w:ind w:right="240"/>
              <w:jc w:val="both"/>
              <w:rPr>
                <w:rFonts w:hint="eastAsia" w:ascii="仿宋" w:hAnsi="仿宋" w:eastAsia="仿宋" w:cs="仿宋"/>
                <w:sz w:val="28"/>
                <w:szCs w:val="28"/>
              </w:rPr>
            </w:pPr>
          </w:p>
          <w:p w14:paraId="7417F333">
            <w:pPr>
              <w:spacing w:line="360" w:lineRule="auto"/>
              <w:ind w:right="840"/>
              <w:jc w:val="both"/>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highlight w:val="none"/>
                <w:lang w:val="en-US" w:eastAsia="zh-CN"/>
              </w:rPr>
              <w:t xml:space="preserve"> 采购人：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（盖章）</w:t>
            </w:r>
          </w:p>
          <w:p w14:paraId="76689257">
            <w:pPr>
              <w:spacing w:line="360" w:lineRule="auto"/>
              <w:ind w:right="960"/>
              <w:jc w:val="both"/>
              <w:rPr>
                <w:rFonts w:hint="eastAsia" w:ascii="仿宋" w:hAnsi="仿宋" w:eastAsia="仿宋" w:cs="仿宋"/>
                <w:b/>
                <w:sz w:val="40"/>
                <w:szCs w:val="32"/>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p>
        </w:tc>
      </w:tr>
    </w:tbl>
    <w:p w14:paraId="0451AA27">
      <w:pPr>
        <w:jc w:val="center"/>
        <w:rPr>
          <w:rFonts w:hint="eastAsia" w:ascii="仿宋" w:hAnsi="仿宋" w:eastAsia="仿宋" w:cs="仿宋"/>
          <w:sz w:val="32"/>
          <w:szCs w:val="32"/>
          <w:lang w:val="en-US" w:eastAsia="zh-CN"/>
        </w:rPr>
        <w:sectPr>
          <w:headerReference r:id="rId4" w:type="default"/>
          <w:pgSz w:w="11906" w:h="16838"/>
          <w:pgMar w:top="1440" w:right="1800" w:bottom="1440" w:left="1800" w:header="851" w:footer="992" w:gutter="0"/>
          <w:pgNumType w:fmt="numberInDash"/>
          <w:cols w:space="0" w:num="1"/>
          <w:rtlGutter w:val="0"/>
          <w:docGrid w:type="lines" w:linePitch="387" w:charSpace="0"/>
        </w:sectPr>
      </w:pPr>
    </w:p>
    <w:p w14:paraId="0214660D">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 录</w:t>
      </w:r>
    </w:p>
    <w:p w14:paraId="2FB9BE5D">
      <w:pPr>
        <w:jc w:val="both"/>
        <w:rPr>
          <w:rFonts w:hint="eastAsia" w:ascii="仿宋" w:hAnsi="仿宋" w:eastAsia="仿宋" w:cs="仿宋"/>
          <w:sz w:val="24"/>
          <w:szCs w:val="24"/>
          <w:lang w:val="en-US" w:eastAsia="zh-CN"/>
        </w:rPr>
      </w:pPr>
    </w:p>
    <w:sdt>
      <w:sdtPr>
        <w:rPr>
          <w:rFonts w:hint="eastAsia" w:ascii="仿宋" w:hAnsi="仿宋" w:eastAsia="仿宋" w:cs="仿宋"/>
          <w:kern w:val="2"/>
          <w:sz w:val="21"/>
          <w:szCs w:val="24"/>
          <w:lang w:val="en-US" w:eastAsia="zh-CN" w:bidi="ar-SA"/>
        </w:rPr>
        <w:id w:val="147458556"/>
        <w15:color w:val="DBDBDB"/>
        <w:docPartObj>
          <w:docPartGallery w:val="Table of Contents"/>
          <w:docPartUnique/>
        </w:docPartObj>
      </w:sdtPr>
      <w:sdtEndPr>
        <w:rPr>
          <w:rFonts w:hint="eastAsia" w:ascii="仿宋" w:hAnsi="仿宋" w:eastAsia="仿宋" w:cs="仿宋"/>
          <w:b/>
          <w:kern w:val="2"/>
          <w:sz w:val="21"/>
          <w:szCs w:val="24"/>
          <w:lang w:val="en-US" w:eastAsia="zh-CN" w:bidi="ar-SA"/>
        </w:rPr>
      </w:sdtEndPr>
      <w:sdtContent>
        <w:p w14:paraId="2C962208">
          <w:pPr>
            <w:jc w:val="both"/>
            <w:rPr>
              <w:rFonts w:hint="eastAsia" w:ascii="仿宋" w:hAnsi="仿宋" w:eastAsia="仿宋" w:cs="仿宋"/>
              <w:b/>
              <w:kern w:val="2"/>
              <w:sz w:val="24"/>
              <w:szCs w:val="24"/>
              <w:lang w:val="en-US" w:eastAsia="zh-CN" w:bidi="ar-SA"/>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TOC \o "1-2" \h \u </w:instrText>
          </w:r>
          <w:r>
            <w:rPr>
              <w:rFonts w:hint="eastAsia" w:ascii="仿宋" w:hAnsi="仿宋" w:eastAsia="仿宋" w:cs="仿宋"/>
              <w:sz w:val="24"/>
              <w:szCs w:val="24"/>
              <w:lang w:val="en-US" w:eastAsia="zh-CN"/>
            </w:rPr>
            <w:fldChar w:fldCharType="separate"/>
          </w:r>
        </w:p>
        <w:p w14:paraId="2895DADB">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fldChar w:fldCharType="begin"/>
          </w:r>
          <w:r>
            <w:rPr>
              <w:rFonts w:hint="eastAsia" w:ascii="仿宋" w:hAnsi="仿宋" w:eastAsia="仿宋" w:cs="仿宋"/>
              <w:b/>
              <w:bCs/>
              <w:sz w:val="28"/>
              <w:szCs w:val="28"/>
              <w:lang w:val="en-US" w:eastAsia="zh-CN"/>
            </w:rPr>
            <w:instrText xml:space="preserve"> HYPERLINK \l _Toc30793 </w:instrText>
          </w:r>
          <w:r>
            <w:rPr>
              <w:rFonts w:hint="eastAsia" w:ascii="仿宋" w:hAnsi="仿宋" w:eastAsia="仿宋" w:cs="仿宋"/>
              <w:b/>
              <w:bCs/>
              <w:sz w:val="28"/>
              <w:szCs w:val="28"/>
              <w:lang w:val="en-US" w:eastAsia="zh-CN"/>
            </w:rPr>
            <w:fldChar w:fldCharType="separate"/>
          </w:r>
          <w:r>
            <w:rPr>
              <w:rFonts w:hint="eastAsia" w:ascii="仿宋" w:hAnsi="仿宋" w:eastAsia="仿宋" w:cs="仿宋"/>
              <w:b/>
              <w:bCs/>
              <w:sz w:val="28"/>
              <w:szCs w:val="28"/>
            </w:rPr>
            <w:t xml:space="preserve">第一章 </w:t>
          </w:r>
          <w:r>
            <w:rPr>
              <w:rFonts w:hint="eastAsia" w:ascii="仿宋" w:hAnsi="仿宋" w:eastAsia="仿宋" w:cs="仿宋"/>
              <w:b/>
              <w:bCs/>
              <w:sz w:val="28"/>
              <w:szCs w:val="28"/>
              <w:lang w:val="en-US" w:eastAsia="zh-CN"/>
            </w:rPr>
            <w:t>竞争性磋商</w:t>
          </w:r>
          <w:r>
            <w:rPr>
              <w:rFonts w:hint="eastAsia" w:ascii="仿宋" w:hAnsi="仿宋" w:eastAsia="仿宋" w:cs="仿宋"/>
              <w:b/>
              <w:bCs/>
              <w:sz w:val="28"/>
              <w:szCs w:val="28"/>
            </w:rPr>
            <w:t>公告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_Toc30793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fldChar w:fldCharType="end"/>
          </w:r>
        </w:p>
        <w:p w14:paraId="47471B82">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fldChar w:fldCharType="begin"/>
          </w:r>
          <w:r>
            <w:rPr>
              <w:rFonts w:hint="eastAsia" w:ascii="仿宋" w:hAnsi="仿宋" w:eastAsia="仿宋" w:cs="仿宋"/>
              <w:b/>
              <w:bCs/>
              <w:sz w:val="28"/>
              <w:szCs w:val="28"/>
              <w:lang w:val="en-US" w:eastAsia="zh-CN"/>
            </w:rPr>
            <w:instrText xml:space="preserve"> HYPERLINK \l _Toc17816 </w:instrText>
          </w:r>
          <w:r>
            <w:rPr>
              <w:rFonts w:hint="eastAsia" w:ascii="仿宋" w:hAnsi="仿宋" w:eastAsia="仿宋" w:cs="仿宋"/>
              <w:b/>
              <w:bCs/>
              <w:sz w:val="28"/>
              <w:szCs w:val="28"/>
              <w:lang w:val="en-US" w:eastAsia="zh-CN"/>
            </w:rPr>
            <w:fldChar w:fldCharType="separate"/>
          </w:r>
          <w:r>
            <w:rPr>
              <w:rFonts w:hint="eastAsia" w:ascii="仿宋" w:hAnsi="仿宋" w:eastAsia="仿宋" w:cs="仿宋"/>
              <w:b/>
              <w:bCs/>
              <w:sz w:val="28"/>
              <w:szCs w:val="28"/>
              <w:lang w:val="en-US" w:eastAsia="zh-CN"/>
            </w:rPr>
            <w:t>第二章 供应商须知前附表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_Toc17816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w:t>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fldChar w:fldCharType="end"/>
          </w:r>
        </w:p>
        <w:p w14:paraId="0AE5346F">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fldChar w:fldCharType="begin"/>
          </w:r>
          <w:r>
            <w:rPr>
              <w:rFonts w:hint="eastAsia" w:ascii="仿宋" w:hAnsi="仿宋" w:eastAsia="仿宋" w:cs="仿宋"/>
              <w:b/>
              <w:bCs/>
              <w:sz w:val="28"/>
              <w:szCs w:val="28"/>
              <w:lang w:val="en-US" w:eastAsia="zh-CN"/>
            </w:rPr>
            <w:instrText xml:space="preserve"> HYPERLINK \l _Toc13270 </w:instrText>
          </w:r>
          <w:r>
            <w:rPr>
              <w:rFonts w:hint="eastAsia" w:ascii="仿宋" w:hAnsi="仿宋" w:eastAsia="仿宋" w:cs="仿宋"/>
              <w:b/>
              <w:bCs/>
              <w:sz w:val="28"/>
              <w:szCs w:val="28"/>
              <w:lang w:val="en-US" w:eastAsia="zh-CN"/>
            </w:rPr>
            <w:fldChar w:fldCharType="separate"/>
          </w:r>
          <w:r>
            <w:rPr>
              <w:rFonts w:hint="eastAsia" w:ascii="仿宋" w:hAnsi="仿宋" w:eastAsia="仿宋" w:cs="仿宋"/>
              <w:b/>
              <w:bCs/>
              <w:sz w:val="28"/>
              <w:szCs w:val="28"/>
              <w:lang w:val="en-US" w:eastAsia="zh-CN"/>
            </w:rPr>
            <w:t>第三章 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_Toc13270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13</w:t>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fldChar w:fldCharType="end"/>
          </w:r>
        </w:p>
        <w:p w14:paraId="46BA7ABB">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fldChar w:fldCharType="begin"/>
          </w:r>
          <w:r>
            <w:rPr>
              <w:rFonts w:hint="eastAsia" w:ascii="仿宋" w:hAnsi="仿宋" w:eastAsia="仿宋" w:cs="仿宋"/>
              <w:b/>
              <w:bCs/>
              <w:sz w:val="28"/>
              <w:szCs w:val="28"/>
              <w:lang w:val="en-US" w:eastAsia="zh-CN"/>
            </w:rPr>
            <w:instrText xml:space="preserve"> HYPERLINK \l _Toc19762 </w:instrText>
          </w:r>
          <w:r>
            <w:rPr>
              <w:rFonts w:hint="eastAsia" w:ascii="仿宋" w:hAnsi="仿宋" w:eastAsia="仿宋" w:cs="仿宋"/>
              <w:b/>
              <w:bCs/>
              <w:sz w:val="28"/>
              <w:szCs w:val="28"/>
              <w:lang w:val="en-US" w:eastAsia="zh-CN"/>
            </w:rPr>
            <w:fldChar w:fldCharType="separate"/>
          </w:r>
          <w:r>
            <w:rPr>
              <w:rFonts w:hint="eastAsia" w:ascii="仿宋" w:hAnsi="仿宋" w:eastAsia="仿宋" w:cs="仿宋"/>
              <w:b/>
              <w:bCs/>
              <w:sz w:val="28"/>
              <w:szCs w:val="28"/>
              <w:lang w:val="en-US" w:eastAsia="zh-CN"/>
            </w:rPr>
            <w:t>第四章 政府采购合同</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_Toc19762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30</w:t>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fldChar w:fldCharType="end"/>
          </w:r>
        </w:p>
        <w:p w14:paraId="3C9C8AB2">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fldChar w:fldCharType="begin"/>
          </w:r>
          <w:r>
            <w:rPr>
              <w:rFonts w:hint="eastAsia" w:ascii="仿宋" w:hAnsi="仿宋" w:eastAsia="仿宋" w:cs="仿宋"/>
              <w:b/>
              <w:bCs/>
              <w:sz w:val="28"/>
              <w:szCs w:val="28"/>
              <w:lang w:val="en-US" w:eastAsia="zh-CN"/>
            </w:rPr>
            <w:instrText xml:space="preserve"> HYPERLINK \l _Toc32043 </w:instrText>
          </w:r>
          <w:r>
            <w:rPr>
              <w:rFonts w:hint="eastAsia" w:ascii="仿宋" w:hAnsi="仿宋" w:eastAsia="仿宋" w:cs="仿宋"/>
              <w:b/>
              <w:bCs/>
              <w:sz w:val="28"/>
              <w:szCs w:val="28"/>
              <w:lang w:val="en-US" w:eastAsia="zh-CN"/>
            </w:rPr>
            <w:fldChar w:fldCharType="separate"/>
          </w:r>
          <w:r>
            <w:rPr>
              <w:rFonts w:hint="eastAsia" w:ascii="仿宋" w:hAnsi="仿宋" w:eastAsia="仿宋" w:cs="仿宋"/>
              <w:b/>
              <w:bCs/>
              <w:sz w:val="28"/>
              <w:szCs w:val="28"/>
              <w:lang w:val="en-US" w:eastAsia="zh-CN"/>
            </w:rPr>
            <w:t>第五章 采购需求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_Toc32043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37</w:t>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fldChar w:fldCharType="end"/>
          </w:r>
        </w:p>
        <w:p w14:paraId="0F32DE43">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fldChar w:fldCharType="begin"/>
          </w:r>
          <w:r>
            <w:rPr>
              <w:rFonts w:hint="eastAsia" w:ascii="仿宋" w:hAnsi="仿宋" w:eastAsia="仿宋" w:cs="仿宋"/>
              <w:b/>
              <w:bCs/>
              <w:sz w:val="28"/>
              <w:szCs w:val="28"/>
              <w:lang w:val="en-US" w:eastAsia="zh-CN"/>
            </w:rPr>
            <w:instrText xml:space="preserve"> HYPERLINK \l _Toc20162 </w:instrText>
          </w:r>
          <w:r>
            <w:rPr>
              <w:rFonts w:hint="eastAsia" w:ascii="仿宋" w:hAnsi="仿宋" w:eastAsia="仿宋" w:cs="仿宋"/>
              <w:b/>
              <w:bCs/>
              <w:sz w:val="28"/>
              <w:szCs w:val="28"/>
              <w:lang w:val="en-US" w:eastAsia="zh-CN"/>
            </w:rPr>
            <w:fldChar w:fldCharType="separate"/>
          </w:r>
          <w:r>
            <w:rPr>
              <w:rFonts w:hint="eastAsia" w:ascii="仿宋" w:hAnsi="仿宋" w:eastAsia="仿宋" w:cs="仿宋"/>
              <w:b/>
              <w:bCs/>
              <w:sz w:val="28"/>
              <w:szCs w:val="28"/>
              <w:lang w:val="en-US" w:eastAsia="zh-CN"/>
            </w:rPr>
            <w:t>第六章 评标程序、评标方法和评标标准</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_Toc20162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51</w:t>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fldChar w:fldCharType="end"/>
          </w:r>
        </w:p>
        <w:p w14:paraId="760CF551">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b/>
              <w:bCs/>
              <w:sz w:val="28"/>
              <w:szCs w:val="28"/>
              <w:lang w:val="en-US" w:eastAsia="zh-CN"/>
            </w:rPr>
            <w:fldChar w:fldCharType="begin"/>
          </w:r>
          <w:r>
            <w:rPr>
              <w:rFonts w:hint="eastAsia" w:ascii="仿宋" w:hAnsi="仿宋" w:eastAsia="仿宋" w:cs="仿宋"/>
              <w:b/>
              <w:bCs/>
              <w:sz w:val="28"/>
              <w:szCs w:val="28"/>
              <w:lang w:val="en-US" w:eastAsia="zh-CN"/>
            </w:rPr>
            <w:instrText xml:space="preserve"> HYPERLINK \l _Toc9602 </w:instrText>
          </w:r>
          <w:r>
            <w:rPr>
              <w:rFonts w:hint="eastAsia" w:ascii="仿宋" w:hAnsi="仿宋" w:eastAsia="仿宋" w:cs="仿宋"/>
              <w:b/>
              <w:bCs/>
              <w:sz w:val="28"/>
              <w:szCs w:val="28"/>
              <w:lang w:val="en-US" w:eastAsia="zh-CN"/>
            </w:rPr>
            <w:fldChar w:fldCharType="separate"/>
          </w:r>
          <w:r>
            <w:rPr>
              <w:rFonts w:hint="eastAsia" w:ascii="仿宋" w:hAnsi="仿宋" w:eastAsia="仿宋" w:cs="仿宋"/>
              <w:b/>
              <w:bCs/>
              <w:sz w:val="28"/>
              <w:szCs w:val="28"/>
              <w:lang w:val="en-US" w:eastAsia="zh-CN"/>
            </w:rPr>
            <w:t>第七章 响应文件格式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_Toc9602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62</w:t>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fldChar w:fldCharType="end"/>
          </w:r>
        </w:p>
        <w:p w14:paraId="2B4B7140">
          <w:pPr>
            <w:pStyle w:val="23"/>
            <w:tabs>
              <w:tab w:val="right" w:leader="dot" w:pos="8306"/>
            </w:tabs>
          </w:pPr>
        </w:p>
        <w:p w14:paraId="7CA82629">
          <w:pPr>
            <w:spacing w:before="0" w:beforeLines="0" w:after="0" w:afterLines="0" w:line="240" w:lineRule="auto"/>
            <w:ind w:left="0" w:leftChars="0" w:right="0" w:rightChars="0" w:firstLine="0" w:firstLineChars="0"/>
            <w:jc w:val="center"/>
            <w:rPr>
              <w:rFonts w:hint="eastAsia" w:ascii="仿宋" w:hAnsi="仿宋" w:eastAsia="仿宋" w:cs="仿宋"/>
              <w:sz w:val="24"/>
              <w:szCs w:val="24"/>
              <w:lang w:val="en-US" w:eastAsia="zh-CN"/>
            </w:rPr>
          </w:pPr>
          <w:r>
            <w:rPr>
              <w:rFonts w:hint="eastAsia" w:ascii="仿宋" w:hAnsi="仿宋" w:eastAsia="仿宋" w:cs="仿宋"/>
              <w:b/>
              <w:szCs w:val="24"/>
              <w:lang w:val="en-US" w:eastAsia="zh-CN"/>
            </w:rPr>
            <w:fldChar w:fldCharType="end"/>
          </w:r>
        </w:p>
      </w:sdtContent>
    </w:sdt>
    <w:p w14:paraId="7255C250">
      <w:pPr>
        <w:pStyle w:val="2"/>
        <w:numPr>
          <w:ilvl w:val="0"/>
          <w:numId w:val="1"/>
        </w:numPr>
        <w:bidi w:val="0"/>
        <w:jc w:val="center"/>
        <w:rPr>
          <w:rFonts w:hint="eastAsia" w:ascii="仿宋" w:hAnsi="仿宋" w:eastAsia="仿宋" w:cs="仿宋"/>
          <w:sz w:val="32"/>
          <w:szCs w:val="32"/>
        </w:rPr>
        <w:sectPr>
          <w:footerReference r:id="rId5" w:type="default"/>
          <w:pgSz w:w="11906" w:h="16838"/>
          <w:pgMar w:top="1440" w:right="1800" w:bottom="1440" w:left="1800" w:header="851" w:footer="992" w:gutter="0"/>
          <w:pgNumType w:fmt="numberInDash"/>
          <w:cols w:space="0" w:num="1"/>
          <w:rtlGutter w:val="0"/>
          <w:docGrid w:type="lines" w:linePitch="387" w:charSpace="0"/>
        </w:sectPr>
      </w:pPr>
    </w:p>
    <w:p w14:paraId="328D8508">
      <w:pPr>
        <w:pStyle w:val="2"/>
        <w:numPr>
          <w:ilvl w:val="0"/>
          <w:numId w:val="1"/>
        </w:numPr>
        <w:bidi w:val="0"/>
        <w:jc w:val="center"/>
        <w:rPr>
          <w:rFonts w:hint="eastAsia" w:ascii="仿宋" w:hAnsi="仿宋" w:eastAsia="仿宋" w:cs="仿宋"/>
          <w:sz w:val="32"/>
          <w:szCs w:val="32"/>
        </w:rPr>
      </w:pPr>
      <w:bookmarkStart w:id="0" w:name="_Toc30793"/>
      <w:r>
        <w:rPr>
          <w:rFonts w:hint="eastAsia" w:ascii="仿宋" w:hAnsi="仿宋" w:eastAsia="仿宋" w:cs="仿宋"/>
          <w:sz w:val="32"/>
          <w:szCs w:val="32"/>
          <w:lang w:val="en-US" w:eastAsia="zh-CN"/>
        </w:rPr>
        <w:t>竞争性磋商</w:t>
      </w:r>
      <w:r>
        <w:rPr>
          <w:rFonts w:hint="eastAsia" w:ascii="仿宋" w:hAnsi="仿宋" w:eastAsia="仿宋" w:cs="仿宋"/>
          <w:sz w:val="32"/>
          <w:szCs w:val="32"/>
        </w:rPr>
        <w:t>公告</w:t>
      </w:r>
      <w:bookmarkEnd w:id="0"/>
    </w:p>
    <w:p w14:paraId="312B56AD">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 xml:space="preserve">项目概况 </w:t>
      </w:r>
      <w:r>
        <w:rPr>
          <w:rFonts w:hint="eastAsia" w:ascii="仿宋" w:hAnsi="仿宋" w:eastAsia="仿宋" w:cs="仿宋"/>
          <w:color w:val="auto"/>
          <w:highlight w:val="none"/>
        </w:rPr>
        <w:t xml:space="preserve">                                                   </w:t>
      </w:r>
    </w:p>
    <w:p w14:paraId="3D01799F">
      <w:pPr>
        <w:pStyle w:val="13"/>
        <w:kinsoku w:val="0"/>
        <w:overflowPunct w:val="0"/>
        <w:spacing w:before="14" w:line="360" w:lineRule="auto"/>
        <w:ind w:firstLine="480" w:firstLineChars="200"/>
        <w:jc w:val="both"/>
        <w:rPr>
          <w:rFonts w:hint="eastAsia" w:ascii="仿宋" w:hAnsi="仿宋" w:eastAsia="仿宋" w:cs="仿宋"/>
          <w:sz w:val="32"/>
          <w:szCs w:val="32"/>
        </w:rPr>
      </w:pPr>
      <w:r>
        <w:rPr>
          <w:rFonts w:hint="eastAsia" w:ascii="仿宋" w:hAnsi="仿宋" w:eastAsia="仿宋" w:cs="仿宋"/>
          <w:color w:val="auto"/>
          <w:highlight w:val="none"/>
          <w:lang w:val="en-US" w:eastAsia="zh-CN"/>
        </w:rPr>
        <w:t>塔城地区全民所有自然资源资产清查、编制地籍图项目</w:t>
      </w:r>
      <w:r>
        <w:rPr>
          <w:rFonts w:hint="eastAsia" w:ascii="仿宋" w:hAnsi="仿宋" w:eastAsia="仿宋" w:cs="仿宋"/>
          <w:color w:val="auto"/>
          <w:highlight w:val="none"/>
        </w:rPr>
        <w:t>的潜在供应商应在政采云平台http://www.zcygov.cn/获取采购文件，并于</w:t>
      </w:r>
      <w:r>
        <w:rPr>
          <w:rFonts w:hint="eastAsia" w:ascii="仿宋" w:hAnsi="仿宋" w:eastAsia="仿宋" w:cs="仿宋"/>
          <w:color w:val="auto"/>
          <w:highlight w:val="none"/>
          <w:lang w:val="en-US" w:eastAsia="zh-CN"/>
        </w:rPr>
        <w:t>2025年07月15日16:00（北京时间）前</w:t>
      </w:r>
      <w:r>
        <w:rPr>
          <w:rFonts w:hint="eastAsia" w:ascii="仿宋" w:hAnsi="仿宋" w:eastAsia="仿宋" w:cs="仿宋"/>
          <w:color w:val="auto"/>
          <w:highlight w:val="none"/>
        </w:rPr>
        <w:t>提交响应性文件。</w:t>
      </w:r>
    </w:p>
    <w:p w14:paraId="0995A091">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bookmarkStart w:id="1" w:name="_Toc6343"/>
      <w:r>
        <w:rPr>
          <w:rFonts w:hint="eastAsia" w:ascii="仿宋" w:hAnsi="仿宋" w:eastAsia="仿宋" w:cs="仿宋"/>
          <w:b/>
          <w:bCs/>
          <w:sz w:val="24"/>
          <w:szCs w:val="24"/>
        </w:rPr>
        <w:t>项目基本情况</w:t>
      </w:r>
      <w:bookmarkEnd w:id="1"/>
    </w:p>
    <w:p w14:paraId="7F8AB264">
      <w:pPr>
        <w:pStyle w:val="25"/>
        <w:adjustRightInd w:val="0"/>
        <w:snapToGrid w:val="0"/>
        <w:spacing w:before="0" w:beforeAutospacing="0" w:after="0" w:afterAutospacing="0" w:line="440" w:lineRule="exact"/>
        <w:jc w:val="both"/>
        <w:rPr>
          <w:rFonts w:hint="default" w:eastAsia="宋体"/>
          <w:color w:val="000000"/>
          <w:lang w:val="en-US" w:eastAsia="zh-CN"/>
        </w:rPr>
      </w:pPr>
      <w:r>
        <w:rPr>
          <w:rFonts w:hint="eastAsia" w:ascii="仿宋" w:hAnsi="仿宋" w:eastAsia="仿宋" w:cs="仿宋"/>
          <w:sz w:val="24"/>
          <w:szCs w:val="24"/>
          <w:highlight w:val="none"/>
        </w:rPr>
        <w:t>项目编号</w:t>
      </w:r>
      <w:r>
        <w:rPr>
          <w:rFonts w:hint="eastAsia" w:ascii="仿宋" w:hAnsi="仿宋" w:eastAsia="仿宋" w:cs="仿宋"/>
          <w:kern w:val="2"/>
          <w:sz w:val="24"/>
          <w:szCs w:val="24"/>
          <w:highlight w:val="none"/>
          <w:lang w:val="en-US" w:eastAsia="zh-CN" w:bidi="ar-SA"/>
        </w:rPr>
        <w:t>：HSH2025-ZB-17</w:t>
      </w:r>
    </w:p>
    <w:p w14:paraId="4F724857">
      <w:pPr>
        <w:pStyle w:val="13"/>
        <w:kinsoku w:val="0"/>
        <w:overflowPunct w:val="0"/>
        <w:spacing w:before="14" w:line="360" w:lineRule="auto"/>
        <w:jc w:val="both"/>
        <w:rPr>
          <w:rFonts w:hint="default" w:ascii="宋体" w:hAnsi="宋体" w:eastAsia="宋体" w:cs="宋体"/>
          <w:color w:val="000000"/>
          <w:szCs w:val="21"/>
          <w:lang w:val="en-US" w:bidi="ar"/>
        </w:rPr>
      </w:pPr>
      <w:r>
        <w:rPr>
          <w:rFonts w:hint="eastAsia" w:ascii="仿宋" w:hAnsi="仿宋" w:eastAsia="仿宋" w:cs="仿宋"/>
          <w:sz w:val="24"/>
          <w:szCs w:val="24"/>
          <w:highlight w:val="none"/>
        </w:rPr>
        <w:t>项目名称：</w:t>
      </w:r>
      <w:r>
        <w:rPr>
          <w:rFonts w:hint="eastAsia" w:ascii="仿宋" w:hAnsi="仿宋" w:eastAsia="仿宋" w:cs="仿宋"/>
          <w:color w:val="auto"/>
          <w:highlight w:val="none"/>
          <w:lang w:val="en-US" w:eastAsia="zh-CN"/>
        </w:rPr>
        <w:t>塔城地区全民所有自然资源资产清查、编制地籍图项目</w:t>
      </w:r>
    </w:p>
    <w:p w14:paraId="57938D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采购方式：</w:t>
      </w:r>
      <w:r>
        <w:rPr>
          <w:rFonts w:hint="eastAsia" w:ascii="仿宋" w:hAnsi="仿宋" w:eastAsia="仿宋" w:cs="仿宋"/>
          <w:sz w:val="24"/>
          <w:szCs w:val="24"/>
          <w:highlight w:val="none"/>
          <w:lang w:val="en-US" w:eastAsia="zh-CN"/>
        </w:rPr>
        <w:t>竞争性磋商</w:t>
      </w:r>
    </w:p>
    <w:p w14:paraId="008CD5C0">
      <w:pPr>
        <w:pStyle w:val="25"/>
        <w:adjustRightInd w:val="0"/>
        <w:snapToGrid w:val="0"/>
        <w:spacing w:before="0" w:beforeAutospacing="0" w:after="0" w:afterAutospacing="0" w:line="4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 xml:space="preserve"> </w:t>
      </w:r>
      <w:r>
        <w:rPr>
          <w:rFonts w:hint="eastAsia" w:ascii="仿宋" w:hAnsi="仿宋" w:eastAsia="仿宋" w:cs="仿宋_GB2312"/>
          <w:sz w:val="24"/>
          <w:lang w:val="en-US" w:eastAsia="zh-CN"/>
        </w:rPr>
        <w:t>1763500</w:t>
      </w:r>
      <w:r>
        <w:rPr>
          <w:rFonts w:hint="eastAsia" w:ascii="仿宋" w:hAnsi="仿宋" w:eastAsia="仿宋" w:cs="仿宋"/>
          <w:sz w:val="24"/>
          <w:szCs w:val="24"/>
          <w:highlight w:val="none"/>
          <w:lang w:val="en-US" w:eastAsia="zh-CN"/>
        </w:rPr>
        <w:t>元</w:t>
      </w:r>
    </w:p>
    <w:p w14:paraId="4CE3B0AF">
      <w:pPr>
        <w:pStyle w:val="25"/>
        <w:adjustRightInd w:val="0"/>
        <w:snapToGrid w:val="0"/>
        <w:spacing w:before="0" w:beforeAutospacing="0" w:after="0" w:afterAutospacing="0" w:line="4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 xml:space="preserve"> </w:t>
      </w:r>
      <w:r>
        <w:rPr>
          <w:rFonts w:hint="eastAsia" w:ascii="仿宋" w:hAnsi="仿宋" w:eastAsia="仿宋" w:cs="仿宋_GB2312"/>
          <w:sz w:val="24"/>
          <w:lang w:val="en-US" w:eastAsia="zh-CN"/>
        </w:rPr>
        <w:t>1763500</w:t>
      </w:r>
      <w:r>
        <w:rPr>
          <w:rFonts w:hint="eastAsia" w:ascii="仿宋" w:hAnsi="仿宋" w:eastAsia="仿宋" w:cs="仿宋"/>
          <w:sz w:val="24"/>
          <w:szCs w:val="24"/>
          <w:highlight w:val="none"/>
          <w:lang w:val="en-US" w:eastAsia="zh-CN"/>
        </w:rPr>
        <w:t>元</w:t>
      </w:r>
    </w:p>
    <w:p w14:paraId="361895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val="en-US" w:eastAsia="zh-CN"/>
        </w:rPr>
        <w:t>/</w:t>
      </w:r>
    </w:p>
    <w:p w14:paraId="41C76C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标项一:</w:t>
      </w:r>
    </w:p>
    <w:p w14:paraId="2AB179D3">
      <w:pPr>
        <w:pStyle w:val="13"/>
        <w:kinsoku w:val="0"/>
        <w:overflowPunct w:val="0"/>
        <w:spacing w:before="14" w:line="360" w:lineRule="auto"/>
        <w:jc w:val="both"/>
        <w:rPr>
          <w:rFonts w:hint="default" w:ascii="宋体" w:hAnsi="宋体" w:eastAsia="宋体" w:cs="宋体"/>
          <w:color w:val="000000"/>
          <w:szCs w:val="21"/>
          <w:lang w:val="en-US" w:bidi="ar"/>
        </w:rPr>
      </w:pPr>
      <w:r>
        <w:rPr>
          <w:rFonts w:hint="eastAsia" w:ascii="仿宋" w:hAnsi="仿宋" w:eastAsia="仿宋" w:cs="仿宋"/>
          <w:sz w:val="24"/>
          <w:szCs w:val="24"/>
          <w:highlight w:val="none"/>
        </w:rPr>
        <w:t>标项名称:</w:t>
      </w:r>
      <w:r>
        <w:rPr>
          <w:rFonts w:hint="eastAsia" w:ascii="仿宋" w:hAnsi="仿宋" w:eastAsia="仿宋" w:cs="仿宋"/>
          <w:color w:val="auto"/>
          <w:highlight w:val="none"/>
          <w:lang w:val="en-US" w:eastAsia="zh-CN"/>
        </w:rPr>
        <w:t>塔城地区全民所有自然资源资产清查、编制地籍图项目</w:t>
      </w:r>
    </w:p>
    <w:p w14:paraId="308A304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不限</w:t>
      </w:r>
    </w:p>
    <w:p w14:paraId="05113B1A">
      <w:pPr>
        <w:pStyle w:val="25"/>
        <w:adjustRightInd w:val="0"/>
        <w:snapToGrid w:val="0"/>
        <w:spacing w:before="0" w:beforeAutospacing="0" w:after="0" w:afterAutospacing="0" w:line="4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 xml:space="preserve"> </w:t>
      </w:r>
      <w:r>
        <w:rPr>
          <w:rFonts w:hint="eastAsia" w:ascii="仿宋" w:hAnsi="仿宋" w:eastAsia="仿宋" w:cs="仿宋_GB2312"/>
          <w:sz w:val="24"/>
          <w:lang w:val="en-US" w:eastAsia="zh-CN"/>
        </w:rPr>
        <w:t>1763500</w:t>
      </w:r>
    </w:p>
    <w:p w14:paraId="23E43B16">
      <w:pPr>
        <w:widowControl/>
        <w:adjustRightInd w:val="0"/>
        <w:snapToGrid w:val="0"/>
        <w:spacing w:line="440" w:lineRule="exact"/>
        <w:rPr>
          <w:rFonts w:hint="eastAsia" w:ascii="仿宋" w:hAnsi="仿宋" w:eastAsia="仿宋" w:cs="仿宋"/>
          <w:b/>
          <w:bCs/>
          <w:color w:val="auto"/>
          <w:sz w:val="24"/>
          <w:szCs w:val="24"/>
          <w:highlight w:val="none"/>
          <w:lang w:val="en-US" w:eastAsia="zh-CN"/>
        </w:rPr>
      </w:pPr>
      <w:r>
        <w:rPr>
          <w:rFonts w:hint="eastAsia" w:ascii="仿宋" w:hAnsi="仿宋" w:eastAsia="仿宋" w:cs="微软雅黑"/>
          <w:color w:val="auto"/>
          <w:sz w:val="24"/>
          <w:highlight w:val="none"/>
          <w:lang w:val="en-US" w:eastAsia="zh-CN"/>
        </w:rPr>
        <w:t>简要规格描述或项目基本概况介绍、用途：</w:t>
      </w:r>
      <w:r>
        <w:rPr>
          <w:rFonts w:hint="eastAsia" w:ascii="仿宋" w:hAnsi="仿宋" w:eastAsia="仿宋" w:cs="微软雅黑"/>
          <w:color w:val="auto"/>
          <w:sz w:val="24"/>
          <w:highlight w:val="none"/>
          <w:lang w:eastAsia="zh-CN"/>
        </w:rPr>
        <w:t>预检、汇总县（市）资产清查、各类地籍调查（编制地籍图）、确权登记成果等，建立健全地区地籍数据库等，并汇交至部。指导、检查县（市）开展辖区内全民所有自然资源资产实物量和价值量清查，理清使用权状况（包括地籍调查覆盖范围内），配合自治区完成相关工作</w:t>
      </w:r>
      <w:r>
        <w:rPr>
          <w:rFonts w:hint="eastAsia" w:ascii="仿宋" w:hAnsi="仿宋" w:eastAsia="仿宋" w:cs="微软雅黑"/>
          <w:color w:val="auto"/>
          <w:sz w:val="24"/>
          <w:highlight w:val="none"/>
          <w:lang w:val="en-US" w:eastAsia="zh-CN"/>
        </w:rPr>
        <w:t>。</w:t>
      </w:r>
      <w:r>
        <w:rPr>
          <w:rFonts w:hint="eastAsia" w:ascii="仿宋" w:hAnsi="仿宋" w:eastAsia="仿宋" w:cs="微软雅黑"/>
          <w:color w:val="auto"/>
          <w:sz w:val="24"/>
          <w:highlight w:val="none"/>
          <w:lang w:eastAsia="zh-CN"/>
        </w:rPr>
        <w:t>具体详见</w:t>
      </w:r>
      <w:r>
        <w:rPr>
          <w:rFonts w:hint="eastAsia" w:ascii="仿宋" w:hAnsi="仿宋" w:eastAsia="仿宋" w:cs="微软雅黑"/>
          <w:color w:val="auto"/>
          <w:sz w:val="24"/>
          <w:highlight w:val="none"/>
          <w:lang w:val="en-US" w:eastAsia="zh-CN"/>
        </w:rPr>
        <w:t>磋商</w:t>
      </w:r>
      <w:r>
        <w:rPr>
          <w:rFonts w:hint="eastAsia" w:ascii="仿宋" w:hAnsi="仿宋" w:eastAsia="仿宋" w:cs="微软雅黑"/>
          <w:color w:val="auto"/>
          <w:sz w:val="24"/>
          <w:highlight w:val="none"/>
          <w:lang w:eastAsia="zh-CN"/>
        </w:rPr>
        <w:t>文件</w:t>
      </w:r>
      <w:r>
        <w:rPr>
          <w:rFonts w:hint="eastAsia" w:ascii="仿宋" w:hAnsi="仿宋" w:eastAsia="仿宋" w:cs="宋体"/>
          <w:color w:val="auto"/>
          <w:sz w:val="24"/>
          <w:highlight w:val="none"/>
        </w:rPr>
        <w:t>采购需求。</w:t>
      </w:r>
    </w:p>
    <w:p w14:paraId="59C2D2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备注：</w:t>
      </w:r>
      <w:r>
        <w:rPr>
          <w:rFonts w:hint="eastAsia" w:ascii="仿宋" w:hAnsi="仿宋" w:eastAsia="仿宋" w:cs="仿宋"/>
          <w:sz w:val="24"/>
          <w:szCs w:val="24"/>
          <w:highlight w:val="none"/>
          <w:lang w:val="en-US" w:eastAsia="zh-CN"/>
        </w:rPr>
        <w:t>/</w:t>
      </w:r>
    </w:p>
    <w:p w14:paraId="20E691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_GB2312"/>
          <w:sz w:val="24"/>
          <w:highlight w:val="none"/>
          <w:lang w:val="en-US" w:eastAsia="zh-CN"/>
        </w:rPr>
      </w:pPr>
      <w:r>
        <w:rPr>
          <w:rFonts w:hint="eastAsia" w:ascii="仿宋" w:hAnsi="仿宋" w:eastAsia="仿宋" w:cs="仿宋"/>
          <w:sz w:val="24"/>
          <w:szCs w:val="24"/>
          <w:highlight w:val="none"/>
        </w:rPr>
        <w:t>合同履约期限：</w:t>
      </w:r>
      <w:r>
        <w:rPr>
          <w:rFonts w:hint="eastAsia" w:ascii="仿宋" w:hAnsi="仿宋" w:eastAsia="仿宋" w:cs="宋体"/>
          <w:color w:val="auto"/>
          <w:sz w:val="24"/>
          <w:highlight w:val="none"/>
          <w:lang w:val="en-US" w:eastAsia="zh-CN"/>
        </w:rPr>
        <w:t>以甲乙双方签订合同为准</w:t>
      </w:r>
    </w:p>
    <w:p w14:paraId="25ACB68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本项目（否）接受联合体投标。</w:t>
      </w:r>
    </w:p>
    <w:p w14:paraId="6E80207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rPr>
      </w:pPr>
      <w:bookmarkStart w:id="2" w:name="_Toc7676"/>
      <w:r>
        <w:rPr>
          <w:rFonts w:hint="eastAsia" w:ascii="仿宋" w:hAnsi="仿宋" w:eastAsia="仿宋" w:cs="仿宋"/>
          <w:b/>
          <w:bCs/>
          <w:sz w:val="24"/>
          <w:szCs w:val="24"/>
        </w:rPr>
        <w:t>申请人的资格要求：</w:t>
      </w:r>
      <w:bookmarkEnd w:id="2"/>
    </w:p>
    <w:p w14:paraId="7E396D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1.满足《中华人民共和国政府采购法》第二十二条规定；</w:t>
      </w:r>
    </w:p>
    <w:p w14:paraId="45B9FF0B">
      <w:pPr>
        <w:pStyle w:val="15"/>
        <w:keepNext w:val="0"/>
        <w:keepLines w:val="0"/>
        <w:pageBreakBefore w:val="0"/>
        <w:widowControl w:val="0"/>
        <w:kinsoku/>
        <w:wordWrap/>
        <w:overflowPunct/>
        <w:topLinePunct w:val="0"/>
        <w:bidi w:val="0"/>
        <w:adjustRightInd/>
        <w:snapToGrid/>
        <w:spacing w:after="0" w:line="500" w:lineRule="exact"/>
        <w:ind w:left="0" w:leftChars="0" w:firstLine="0"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2.落实政府采购政策需满足的资格要求</w:t>
      </w:r>
      <w:r>
        <w:rPr>
          <w:rFonts w:hint="eastAsia" w:ascii="仿宋" w:hAnsi="仿宋" w:eastAsia="仿宋" w:cs="仿宋"/>
          <w:b w:val="0"/>
          <w:bCs w:val="0"/>
          <w:sz w:val="24"/>
          <w:szCs w:val="24"/>
          <w:highlight w:val="none"/>
          <w:lang w:val="en-US" w:eastAsia="zh-CN"/>
        </w:rPr>
        <w:t>：</w:t>
      </w:r>
      <w:r>
        <w:rPr>
          <w:rFonts w:hint="eastAsia" w:ascii="仿宋" w:hAnsi="仿宋" w:eastAsia="仿宋" w:cs="仿宋"/>
          <w:sz w:val="24"/>
          <w:highlight w:val="none"/>
          <w:lang w:val="en-US" w:bidi="zh-CN"/>
        </w:rPr>
        <w:t>本项目</w:t>
      </w:r>
      <w:r>
        <w:rPr>
          <w:rFonts w:hint="eastAsia" w:ascii="仿宋" w:hAnsi="仿宋" w:eastAsia="仿宋" w:cs="仿宋"/>
          <w:sz w:val="24"/>
          <w:highlight w:val="none"/>
          <w:lang w:val="zh-CN" w:bidi="zh-CN"/>
        </w:rPr>
        <w:t>专门面向</w:t>
      </w:r>
      <w:r>
        <w:rPr>
          <w:rFonts w:hint="eastAsia" w:ascii="仿宋" w:hAnsi="仿宋" w:eastAsia="仿宋" w:cs="仿宋"/>
          <w:sz w:val="24"/>
          <w:lang w:bidi="zh-CN"/>
        </w:rPr>
        <w:t>中型、小型、微型企业采购。</w:t>
      </w:r>
    </w:p>
    <w:p w14:paraId="43DA6844">
      <w:pPr>
        <w:widowControl/>
        <w:adjustRightInd w:val="0"/>
        <w:snapToGrid w:val="0"/>
        <w:spacing w:line="440" w:lineRule="exact"/>
        <w:ind w:firstLine="0" w:firstLineChars="0"/>
        <w:rPr>
          <w:rFonts w:hint="default" w:ascii="仿宋" w:hAnsi="仿宋" w:eastAsia="仿宋" w:cs="仿宋"/>
          <w:b w:val="0"/>
          <w:bCs w:val="0"/>
          <w:color w:val="C00000"/>
          <w:sz w:val="24"/>
          <w:szCs w:val="24"/>
          <w:highlight w:val="none"/>
          <w:lang w:val="en-US" w:eastAsia="zh-CN"/>
        </w:rPr>
      </w:pPr>
      <w:r>
        <w:rPr>
          <w:rFonts w:hint="eastAsia" w:ascii="仿宋" w:hAnsi="仿宋" w:eastAsia="仿宋" w:cs="仿宋"/>
          <w:b w:val="0"/>
          <w:bCs w:val="0"/>
          <w:sz w:val="24"/>
          <w:szCs w:val="24"/>
          <w:highlight w:val="none"/>
          <w:lang w:val="en-US" w:eastAsia="zh-CN"/>
        </w:rPr>
        <w:t>3.本</w:t>
      </w:r>
      <w:r>
        <w:rPr>
          <w:rFonts w:hint="eastAsia" w:ascii="仿宋" w:hAnsi="仿宋" w:eastAsia="仿宋" w:cs="微软雅黑"/>
          <w:color w:val="auto"/>
          <w:sz w:val="24"/>
          <w:highlight w:val="none"/>
          <w:lang w:val="en-US" w:eastAsia="zh-CN"/>
        </w:rPr>
        <w:t>项目的特定资格要求：具备测绘乙级（含乙级）以上资质</w:t>
      </w:r>
      <w:r>
        <w:rPr>
          <w:rFonts w:hint="eastAsia" w:ascii="仿宋" w:hAnsi="仿宋" w:eastAsia="仿宋" w:cs="微软雅黑"/>
          <w:color w:val="auto"/>
          <w:sz w:val="24"/>
          <w:highlight w:val="none"/>
          <w:lang w:val="zh-CN" w:eastAsia="zh-CN"/>
        </w:rPr>
        <w:t>（范围包含界线与不动产测绘、地图编制和地理信息系统工程）。</w:t>
      </w:r>
    </w:p>
    <w:p w14:paraId="4A3A98D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3" w:name="_Toc19394"/>
      <w:r>
        <w:rPr>
          <w:rFonts w:hint="eastAsia" w:ascii="仿宋" w:hAnsi="仿宋" w:eastAsia="仿宋" w:cs="仿宋"/>
          <w:b/>
          <w:bCs/>
          <w:sz w:val="24"/>
          <w:szCs w:val="24"/>
          <w:highlight w:val="none"/>
          <w:lang w:val="en-US" w:eastAsia="zh-CN"/>
        </w:rPr>
        <w:t>获取采购文件</w:t>
      </w:r>
      <w:bookmarkEnd w:id="3"/>
    </w:p>
    <w:p w14:paraId="627627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yellow"/>
          <w:lang w:val="en-US" w:eastAsia="zh-CN"/>
        </w:rPr>
      </w:pPr>
      <w:r>
        <w:rPr>
          <w:rFonts w:hint="eastAsia" w:ascii="仿宋" w:hAnsi="仿宋" w:eastAsia="仿宋" w:cs="仿宋"/>
          <w:b w:val="0"/>
          <w:bCs w:val="0"/>
          <w:sz w:val="24"/>
          <w:szCs w:val="24"/>
          <w:lang w:val="en-US" w:eastAsia="zh-CN"/>
        </w:rPr>
        <w:t>时间：</w:t>
      </w:r>
      <w:r>
        <w:rPr>
          <w:rFonts w:hint="eastAsia" w:ascii="仿宋" w:hAnsi="仿宋" w:eastAsia="仿宋" w:cs="微软雅黑"/>
          <w:color w:val="auto"/>
          <w:sz w:val="24"/>
          <w:highlight w:val="none"/>
          <w:lang w:val="en-US" w:eastAsia="zh-CN"/>
        </w:rPr>
        <w:t>2025年07月04 日至2025年07月 11日，每天上午00:00至12:00，下午12:00至23:59（北京时间，法定节假日除外）</w:t>
      </w:r>
    </w:p>
    <w:p w14:paraId="165A2A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地点：政采云平台（https://www.zcygov.cn/）</w:t>
      </w:r>
    </w:p>
    <w:p w14:paraId="23F434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方式：供应商登录政采云平台https://www.zcygov.cn/在线申请获取采购文件（进入“项目采购”应用，在获取采购文件菜单中选择项目，申请获取采购文件）本次招标不提供纸质版采购文件。</w:t>
      </w:r>
    </w:p>
    <w:p w14:paraId="370D0F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 xml:space="preserve">售价（元）：0元 </w:t>
      </w:r>
    </w:p>
    <w:p w14:paraId="35F5C6A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rPr>
      </w:pPr>
      <w:bookmarkStart w:id="4" w:name="_Toc30188"/>
      <w:r>
        <w:rPr>
          <w:rFonts w:hint="eastAsia" w:ascii="仿宋" w:hAnsi="仿宋" w:eastAsia="仿宋" w:cs="仿宋"/>
          <w:b/>
          <w:bCs/>
          <w:sz w:val="24"/>
          <w:szCs w:val="24"/>
          <w:lang w:val="en-US" w:eastAsia="zh-CN"/>
        </w:rPr>
        <w:t>响应文件提交</w:t>
      </w:r>
      <w:bookmarkEnd w:id="4"/>
      <w:r>
        <w:rPr>
          <w:rFonts w:hint="eastAsia" w:ascii="仿宋" w:hAnsi="仿宋" w:eastAsia="仿宋" w:cs="仿宋"/>
          <w:b/>
          <w:bCs/>
          <w:sz w:val="24"/>
          <w:szCs w:val="24"/>
          <w:lang w:val="en-US" w:eastAsia="zh-CN"/>
        </w:rPr>
        <w:t xml:space="preserve"> </w:t>
      </w:r>
    </w:p>
    <w:p w14:paraId="4DB909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截止时间：2025年07月15日 16:00（北京时间）</w:t>
      </w:r>
    </w:p>
    <w:p w14:paraId="692EFF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地    点：政采云平台（https://www.zcygov.cn/），本项目采用不见面开标，加密的电子响应文件在响应截止时间前在政采云平台上传。</w:t>
      </w:r>
    </w:p>
    <w:p w14:paraId="554DD210">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rPr>
      </w:pPr>
      <w:bookmarkStart w:id="5" w:name="_Toc23021"/>
      <w:r>
        <w:rPr>
          <w:rFonts w:hint="eastAsia" w:ascii="仿宋" w:hAnsi="仿宋" w:eastAsia="仿宋" w:cs="仿宋"/>
          <w:b/>
          <w:bCs/>
          <w:sz w:val="24"/>
          <w:szCs w:val="24"/>
          <w:lang w:val="en-US" w:eastAsia="zh-CN"/>
        </w:rPr>
        <w:t>响应文件开启</w:t>
      </w:r>
      <w:bookmarkEnd w:id="5"/>
    </w:p>
    <w:p w14:paraId="22CB56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开标时间：2025年07月15 日 16:00（北京时间）</w:t>
      </w:r>
    </w:p>
    <w:p w14:paraId="63472D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开标地点：政采云平台（https://www.zcygov.cn/）不见面开标系统</w:t>
      </w:r>
    </w:p>
    <w:p w14:paraId="1D4EAD80">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rPr>
      </w:pPr>
      <w:bookmarkStart w:id="6" w:name="_Toc20378"/>
      <w:r>
        <w:rPr>
          <w:rFonts w:hint="eastAsia" w:ascii="仿宋" w:hAnsi="仿宋" w:eastAsia="仿宋" w:cs="仿宋"/>
          <w:b/>
          <w:bCs/>
          <w:sz w:val="24"/>
          <w:szCs w:val="24"/>
          <w:lang w:val="en-US" w:eastAsia="zh-CN"/>
        </w:rPr>
        <w:t>公告期限</w:t>
      </w:r>
      <w:bookmarkEnd w:id="6"/>
      <w:r>
        <w:rPr>
          <w:rFonts w:hint="eastAsia" w:ascii="仿宋" w:hAnsi="仿宋" w:eastAsia="仿宋" w:cs="仿宋"/>
          <w:b/>
          <w:bCs/>
          <w:sz w:val="24"/>
          <w:szCs w:val="24"/>
          <w:lang w:val="en-US" w:eastAsia="zh-CN"/>
        </w:rPr>
        <w:t xml:space="preserve"> </w:t>
      </w:r>
    </w:p>
    <w:p w14:paraId="28DEA8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自本公告发布之日起</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个工作日。</w:t>
      </w:r>
    </w:p>
    <w:p w14:paraId="6BAD3F62">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rPr>
      </w:pPr>
      <w:bookmarkStart w:id="7" w:name="_Toc28152"/>
      <w:r>
        <w:rPr>
          <w:rFonts w:hint="eastAsia" w:ascii="仿宋" w:hAnsi="仿宋" w:eastAsia="仿宋" w:cs="仿宋"/>
          <w:b/>
          <w:bCs/>
          <w:sz w:val="24"/>
          <w:szCs w:val="24"/>
          <w:lang w:val="en-US" w:eastAsia="zh-CN"/>
        </w:rPr>
        <w:t>其他补充事宜</w:t>
      </w:r>
      <w:bookmarkEnd w:id="7"/>
      <w:r>
        <w:rPr>
          <w:rFonts w:hint="eastAsia" w:ascii="仿宋" w:hAnsi="仿宋" w:eastAsia="仿宋" w:cs="仿宋"/>
          <w:b/>
          <w:bCs/>
          <w:sz w:val="24"/>
          <w:szCs w:val="24"/>
          <w:lang w:val="en-US" w:eastAsia="zh-CN"/>
        </w:rPr>
        <w:t xml:space="preserve"> </w:t>
      </w:r>
    </w:p>
    <w:p w14:paraId="314A51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1、关于本项目所有公告、公示在新疆政府采购网发布。</w:t>
      </w:r>
    </w:p>
    <w:p w14:paraId="58484C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2、请</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供应商随时关注本项目的澄清、答疑、变更事项。</w:t>
      </w:r>
    </w:p>
    <w:p w14:paraId="524ACC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3、本项目实行电子招投标，供应商须登录政采云平台申请获取</w:t>
      </w:r>
      <w:r>
        <w:rPr>
          <w:rFonts w:hint="eastAsia" w:ascii="仿宋" w:hAnsi="仿宋" w:eastAsia="仿宋" w:cs="仿宋"/>
          <w:b w:val="0"/>
          <w:bCs w:val="0"/>
          <w:sz w:val="24"/>
          <w:szCs w:val="24"/>
          <w:lang w:eastAsia="zh-CN"/>
        </w:rPr>
        <w:t>采购文件</w:t>
      </w:r>
      <w:r>
        <w:rPr>
          <w:rFonts w:hint="eastAsia" w:ascii="仿宋" w:hAnsi="仿宋" w:eastAsia="仿宋" w:cs="仿宋"/>
          <w:b w:val="0"/>
          <w:bCs w:val="0"/>
          <w:sz w:val="24"/>
          <w:szCs w:val="24"/>
        </w:rPr>
        <w:t>，并通过政采云电子投标客户端制作响应文件，同时自行承担与投标有关的一切费用。</w:t>
      </w:r>
    </w:p>
    <w:p w14:paraId="78355E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4、各供应商应在开标前确保成为新疆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兵团</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政府采购网正式注册入库供应商，并完成CA数字证书申领。因未注册入库、未办理CA数字证书等原因造成无法投标或投标失败等后果由供应商自行承担。</w:t>
      </w:r>
    </w:p>
    <w:p w14:paraId="353C8CB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5、有意向参与电子开评标的供应商，可访问新疆数字证书认证中心官方网站（https://www.xjca.com.cn/）或下载“新疆政务通”APP自行进行申领。如需咨询，请联系新疆CA服务热线0991-2819290。</w:t>
      </w:r>
    </w:p>
    <w:p w14:paraId="704262E0">
      <w:pPr>
        <w:pStyle w:val="26"/>
        <w:ind w:firstLine="0" w:firstLineChars="0"/>
        <w:rPr>
          <w:rFonts w:hint="eastAsia" w:ascii="仿宋" w:hAnsi="仿宋" w:eastAsia="仿宋" w:cs="仿宋_GB2312"/>
          <w:sz w:val="24"/>
          <w:lang w:val="en-US" w:eastAsia="zh-CN"/>
        </w:rPr>
      </w:pPr>
      <w:r>
        <w:rPr>
          <w:rFonts w:hint="eastAsia" w:ascii="仿宋" w:hAnsi="仿宋" w:eastAsia="仿宋" w:cs="仿宋_GB2312"/>
          <w:sz w:val="24"/>
          <w:lang w:val="en-US" w:eastAsia="zh-CN"/>
        </w:rPr>
        <w:t>6、同级监督部门：塔城地区财政局</w:t>
      </w:r>
    </w:p>
    <w:p w14:paraId="5AE5E4CF">
      <w:pPr>
        <w:pStyle w:val="26"/>
        <w:ind w:firstLine="0" w:firstLineChars="0"/>
        <w:rPr>
          <w:rFonts w:hint="eastAsia" w:ascii="仿宋" w:hAnsi="仿宋" w:eastAsia="仿宋" w:cs="仿宋"/>
          <w:b w:val="0"/>
          <w:bCs w:val="0"/>
          <w:sz w:val="24"/>
          <w:szCs w:val="24"/>
        </w:rPr>
      </w:pPr>
      <w:r>
        <w:rPr>
          <w:rFonts w:hint="eastAsia" w:ascii="仿宋" w:hAnsi="仿宋" w:eastAsia="仿宋" w:cs="仿宋_GB2312"/>
          <w:sz w:val="24"/>
          <w:lang w:val="en-US" w:eastAsia="zh-CN"/>
        </w:rPr>
        <w:t>7、监督电话：0901-6249351</w:t>
      </w:r>
    </w:p>
    <w:p w14:paraId="78F776FF">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rPr>
      </w:pPr>
      <w:bookmarkStart w:id="8" w:name="_Toc10078"/>
      <w:r>
        <w:rPr>
          <w:rFonts w:hint="eastAsia" w:ascii="仿宋" w:hAnsi="仿宋" w:eastAsia="仿宋" w:cs="仿宋"/>
          <w:b/>
          <w:bCs/>
          <w:sz w:val="24"/>
          <w:szCs w:val="24"/>
        </w:rPr>
        <w:t>对本次采购提出询问，请按以下方式联系</w:t>
      </w:r>
      <w:bookmarkEnd w:id="8"/>
    </w:p>
    <w:p w14:paraId="7243541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40CD95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r>
        <w:rPr>
          <w:rFonts w:hint="eastAsia" w:ascii="仿宋" w:hAnsi="仿宋" w:eastAsia="仿宋" w:cs="仿宋"/>
          <w:b w:val="0"/>
          <w:bCs w:val="0"/>
          <w:color w:val="auto"/>
          <w:kern w:val="0"/>
          <w:sz w:val="24"/>
          <w:szCs w:val="24"/>
          <w:highlight w:val="none"/>
          <w:u w:val="none"/>
          <w:vertAlign w:val="baseline"/>
          <w:lang w:val="en-US" w:eastAsia="zh-CN" w:bidi="ar"/>
        </w:rPr>
        <w:t>伊犁哈萨克自治州塔城地区自然资源局</w:t>
      </w:r>
      <w:r>
        <w:rPr>
          <w:rFonts w:hint="eastAsia" w:ascii="仿宋" w:hAnsi="仿宋" w:eastAsia="仿宋" w:cs="仿宋"/>
          <w:sz w:val="24"/>
          <w:szCs w:val="24"/>
          <w:lang w:val="en-US" w:eastAsia="zh-CN"/>
        </w:rPr>
        <w:t>　　　　　　　　　　　　</w:t>
      </w:r>
    </w:p>
    <w:p w14:paraId="6D6CABF4">
      <w:pPr>
        <w:spacing w:line="500" w:lineRule="exact"/>
        <w:rPr>
          <w:rFonts w:hint="default"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sz w:val="24"/>
          <w:szCs w:val="24"/>
          <w:lang w:val="en-US" w:eastAsia="zh-CN"/>
        </w:rPr>
        <w:t>地址：</w:t>
      </w:r>
      <w:r>
        <w:rPr>
          <w:rFonts w:hint="eastAsia" w:ascii="仿宋" w:hAnsi="仿宋" w:eastAsia="仿宋" w:cs="仿宋"/>
          <w:b w:val="0"/>
          <w:bCs w:val="0"/>
          <w:color w:val="auto"/>
          <w:kern w:val="0"/>
          <w:sz w:val="24"/>
          <w:szCs w:val="24"/>
          <w:highlight w:val="none"/>
          <w:u w:val="none"/>
          <w:vertAlign w:val="baseline"/>
          <w:lang w:val="en-US" w:eastAsia="zh-CN" w:bidi="ar"/>
        </w:rPr>
        <w:t>塔城地区塔城市</w:t>
      </w:r>
      <w:r>
        <w:rPr>
          <w:rFonts w:hint="eastAsia" w:ascii="仿宋" w:hAnsi="仿宋" w:eastAsia="仿宋" w:cs="仿宋"/>
          <w:kern w:val="0"/>
          <w:sz w:val="24"/>
          <w:lang w:eastAsia="zh-CN" w:bidi="ar"/>
        </w:rPr>
        <w:t>红楼街</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号</w:t>
      </w:r>
    </w:p>
    <w:p w14:paraId="15C55AB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联系人：尚明玉</w:t>
      </w:r>
    </w:p>
    <w:p w14:paraId="4639933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17397796259</w:t>
      </w:r>
    </w:p>
    <w:p w14:paraId="1646A4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采购代理机构信息</w:t>
      </w:r>
    </w:p>
    <w:p w14:paraId="6EA52C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名 称：新疆恒晟华工程项目管理有限公司</w:t>
      </w:r>
    </w:p>
    <w:p w14:paraId="523B8B2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地 址：新疆乌鲁木齐市新市区新医路9号诚信大厦1单元2105室</w:t>
      </w:r>
      <w:r>
        <w:rPr>
          <w:rFonts w:hint="eastAsia" w:ascii="宋体" w:hAnsi="宋体" w:eastAsia="宋体" w:cs="宋体"/>
          <w:color w:val="000000"/>
          <w:kern w:val="0"/>
          <w:sz w:val="24"/>
          <w:szCs w:val="21"/>
          <w:lang w:bidi="ar"/>
        </w:rPr>
        <w:t xml:space="preserve">  </w:t>
      </w:r>
    </w:p>
    <w:p w14:paraId="740FA10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18399663832</w:t>
      </w:r>
    </w:p>
    <w:p w14:paraId="64A6BC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727FF40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项目联系人：</w:t>
      </w:r>
      <w:r>
        <w:rPr>
          <w:rFonts w:hint="eastAsia" w:ascii="仿宋" w:hAnsi="仿宋" w:eastAsia="仿宋" w:cs="仿宋"/>
          <w:sz w:val="24"/>
          <w:szCs w:val="24"/>
          <w:lang w:val="en-US" w:eastAsia="zh-CN"/>
        </w:rPr>
        <w:t>李工</w:t>
      </w:r>
    </w:p>
    <w:p w14:paraId="5F1BF5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电话</w:t>
      </w:r>
      <w:r>
        <w:rPr>
          <w:rFonts w:hint="eastAsia" w:ascii="仿宋" w:hAnsi="仿宋" w:eastAsia="仿宋" w:cs="仿宋"/>
          <w:sz w:val="24"/>
          <w:szCs w:val="24"/>
        </w:rPr>
        <w:t>：</w:t>
      </w:r>
      <w:r>
        <w:rPr>
          <w:rFonts w:hint="eastAsia" w:ascii="仿宋" w:hAnsi="仿宋" w:eastAsia="仿宋" w:cs="仿宋"/>
          <w:sz w:val="24"/>
          <w:szCs w:val="24"/>
          <w:lang w:val="en-US" w:eastAsia="zh-CN"/>
        </w:rPr>
        <w:t>18399663832</w:t>
      </w:r>
    </w:p>
    <w:p w14:paraId="444505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p>
    <w:p w14:paraId="25E4964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4B430F80">
      <w:pPr>
        <w:pStyle w:val="2"/>
        <w:numPr>
          <w:ilvl w:val="0"/>
          <w:numId w:val="3"/>
        </w:numPr>
        <w:bidi w:val="0"/>
        <w:jc w:val="center"/>
        <w:rPr>
          <w:rFonts w:hint="eastAsia" w:ascii="仿宋" w:hAnsi="仿宋" w:eastAsia="仿宋" w:cs="仿宋"/>
          <w:sz w:val="32"/>
          <w:szCs w:val="32"/>
          <w:lang w:val="en-US" w:eastAsia="zh-CN"/>
        </w:rPr>
      </w:pPr>
      <w:bookmarkStart w:id="9" w:name="_Toc17816"/>
      <w:r>
        <w:rPr>
          <w:rFonts w:hint="eastAsia" w:ascii="仿宋" w:hAnsi="仿宋" w:eastAsia="仿宋" w:cs="仿宋"/>
          <w:sz w:val="32"/>
          <w:szCs w:val="32"/>
          <w:lang w:val="en-US" w:eastAsia="zh-CN"/>
        </w:rPr>
        <w:t>供应商须知前附表</w:t>
      </w:r>
      <w:bookmarkEnd w:id="9"/>
    </w:p>
    <w:p w14:paraId="7119F4FC">
      <w:pPr>
        <w:rPr>
          <w:rFonts w:hint="eastAsia" w:ascii="仿宋" w:hAnsi="仿宋" w:eastAsia="仿宋" w:cs="仿宋"/>
          <w:sz w:val="24"/>
          <w:szCs w:val="24"/>
          <w:lang w:val="en-US" w:eastAsia="zh-CN"/>
        </w:rPr>
      </w:pPr>
    </w:p>
    <w:p w14:paraId="1676F0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本表是本采购项目的具体资料，是对供应商须知的具体补充和修改，如有矛盾，应以本前附表为准。</w:t>
      </w:r>
    </w:p>
    <w:tbl>
      <w:tblPr>
        <w:tblStyle w:val="28"/>
        <w:tblW w:w="8522"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30"/>
        <w:gridCol w:w="6992"/>
      </w:tblGrid>
      <w:tr w14:paraId="374F8A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448023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条款号</w:t>
            </w:r>
          </w:p>
        </w:tc>
        <w:tc>
          <w:tcPr>
            <w:tcW w:w="6992" w:type="dxa"/>
            <w:tcBorders>
              <w:tl2br w:val="nil"/>
              <w:tr2bl w:val="nil"/>
            </w:tcBorders>
          </w:tcPr>
          <w:p w14:paraId="3CC75C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内容</w:t>
            </w:r>
          </w:p>
        </w:tc>
      </w:tr>
      <w:tr w14:paraId="21B03A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393B53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6992" w:type="dxa"/>
            <w:tcBorders>
              <w:tl2br w:val="nil"/>
              <w:tr2bl w:val="nil"/>
            </w:tcBorders>
            <w:vAlign w:val="center"/>
          </w:tcPr>
          <w:p w14:paraId="4776B777">
            <w:pPr>
              <w:pStyle w:val="13"/>
              <w:tabs>
                <w:tab w:val="left" w:pos="1590"/>
                <w:tab w:val="left" w:pos="2948"/>
              </w:tabs>
              <w:kinsoku w:val="0"/>
              <w:overflowPunct w:val="0"/>
              <w:autoSpaceDE w:val="0"/>
              <w:autoSpaceDN w:val="0"/>
              <w:adjustRightInd w:val="0"/>
              <w:snapToGrid/>
              <w:spacing w:line="288" w:lineRule="auto"/>
              <w:jc w:val="both"/>
              <w:rPr>
                <w:rFonts w:ascii="宋体" w:hAnsi="宋体" w:eastAsia="宋体" w:cs="宋体"/>
                <w:color w:val="000000"/>
                <w:szCs w:val="21"/>
                <w:lang w:bidi="ar"/>
              </w:rPr>
            </w:pPr>
            <w:r>
              <w:rPr>
                <w:rFonts w:hint="eastAsia" w:ascii="仿宋" w:hAnsi="仿宋" w:eastAsia="仿宋" w:cs="仿宋"/>
                <w:color w:val="auto"/>
                <w:sz w:val="24"/>
                <w:szCs w:val="24"/>
                <w:highlight w:val="none"/>
                <w:vertAlign w:val="baseline"/>
                <w:lang w:val="en-US" w:eastAsia="zh-CN"/>
              </w:rPr>
              <w:t>采购人：</w:t>
            </w:r>
            <w:r>
              <w:rPr>
                <w:rFonts w:hint="eastAsia" w:ascii="仿宋" w:hAnsi="仿宋" w:eastAsia="仿宋" w:cs="仿宋"/>
                <w:b w:val="0"/>
                <w:bCs w:val="0"/>
                <w:color w:val="auto"/>
                <w:kern w:val="0"/>
                <w:sz w:val="24"/>
                <w:szCs w:val="24"/>
                <w:highlight w:val="none"/>
                <w:u w:val="none"/>
                <w:vertAlign w:val="baseline"/>
                <w:lang w:val="en-US" w:eastAsia="zh-CN" w:bidi="ar"/>
              </w:rPr>
              <w:t>伊犁哈萨克自治州塔城地区自然资源局</w:t>
            </w:r>
          </w:p>
          <w:p w14:paraId="10F73DC9">
            <w:pPr>
              <w:spacing w:line="500" w:lineRule="exac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地  址：</w:t>
            </w:r>
            <w:r>
              <w:rPr>
                <w:rFonts w:hint="eastAsia" w:ascii="仿宋" w:hAnsi="仿宋" w:eastAsia="仿宋" w:cs="仿宋"/>
                <w:b w:val="0"/>
                <w:bCs w:val="0"/>
                <w:color w:val="auto"/>
                <w:kern w:val="0"/>
                <w:sz w:val="24"/>
                <w:szCs w:val="24"/>
                <w:highlight w:val="none"/>
                <w:u w:val="none"/>
                <w:vertAlign w:val="baseline"/>
                <w:lang w:val="en-US" w:eastAsia="zh-CN" w:bidi="ar"/>
              </w:rPr>
              <w:t>塔城地区塔城市</w:t>
            </w:r>
            <w:r>
              <w:rPr>
                <w:rFonts w:hint="eastAsia" w:ascii="仿宋" w:hAnsi="仿宋" w:eastAsia="仿宋" w:cs="仿宋"/>
                <w:kern w:val="0"/>
                <w:sz w:val="24"/>
                <w:lang w:eastAsia="zh-CN" w:bidi="ar"/>
              </w:rPr>
              <w:t>红楼街</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号</w:t>
            </w:r>
          </w:p>
          <w:p w14:paraId="249B083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 xml:space="preserve">联系人：尚明玉  </w:t>
            </w:r>
          </w:p>
          <w:p w14:paraId="5B38793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eastAsia="zh-CN"/>
              </w:rPr>
            </w:pPr>
            <w:r>
              <w:rPr>
                <w:rFonts w:hint="eastAsia" w:ascii="仿宋" w:hAnsi="仿宋" w:eastAsia="仿宋" w:cs="仿宋"/>
                <w:b w:val="0"/>
                <w:bCs w:val="0"/>
                <w:color w:val="auto"/>
                <w:kern w:val="0"/>
                <w:sz w:val="24"/>
                <w:szCs w:val="24"/>
                <w:highlight w:val="none"/>
                <w:u w:val="none"/>
                <w:vertAlign w:val="baseline"/>
                <w:lang w:val="en-US" w:eastAsia="zh-CN" w:bidi="ar"/>
              </w:rPr>
              <w:t>联系电话：</w:t>
            </w:r>
            <w:r>
              <w:rPr>
                <w:rFonts w:hint="eastAsia" w:ascii="仿宋" w:hAnsi="仿宋" w:eastAsia="仿宋" w:cs="仿宋"/>
                <w:sz w:val="24"/>
                <w:szCs w:val="24"/>
                <w:highlight w:val="none"/>
                <w:lang w:val="en-US" w:eastAsia="zh-CN"/>
              </w:rPr>
              <w:t>17397796259</w:t>
            </w:r>
          </w:p>
        </w:tc>
      </w:tr>
      <w:tr w14:paraId="23290D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380107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6992" w:type="dxa"/>
            <w:tcBorders>
              <w:tl2br w:val="nil"/>
              <w:tr2bl w:val="nil"/>
            </w:tcBorders>
            <w:vAlign w:val="center"/>
          </w:tcPr>
          <w:p w14:paraId="53498D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vertAlign w:val="baseline"/>
              </w:rPr>
              <w:t>采购代理机构：</w:t>
            </w:r>
            <w:r>
              <w:rPr>
                <w:rFonts w:hint="eastAsia" w:ascii="仿宋" w:hAnsi="仿宋" w:eastAsia="仿宋" w:cs="仿宋"/>
                <w:sz w:val="24"/>
                <w:szCs w:val="24"/>
              </w:rPr>
              <w:t>新疆恒晟华工程项目管理有限公司</w:t>
            </w:r>
          </w:p>
          <w:p w14:paraId="015A55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地址：</w:t>
            </w:r>
            <w:r>
              <w:rPr>
                <w:rFonts w:hint="eastAsia" w:ascii="仿宋" w:hAnsi="仿宋" w:eastAsia="仿宋" w:cs="仿宋"/>
                <w:sz w:val="24"/>
                <w:szCs w:val="24"/>
              </w:rPr>
              <w:t>新疆乌鲁木齐市新市区新医路9号诚信大厦1单元2105室</w:t>
            </w:r>
            <w:r>
              <w:rPr>
                <w:rFonts w:hint="eastAsia" w:ascii="宋体" w:hAnsi="宋体" w:eastAsia="宋体" w:cs="宋体"/>
                <w:color w:val="000000"/>
                <w:kern w:val="0"/>
                <w:sz w:val="24"/>
                <w:szCs w:val="21"/>
                <w:lang w:bidi="ar"/>
              </w:rPr>
              <w:t xml:space="preserve">  </w:t>
            </w:r>
          </w:p>
          <w:p w14:paraId="316A05C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rPr>
              <w:t>联系人：</w:t>
            </w:r>
            <w:r>
              <w:rPr>
                <w:rFonts w:hint="eastAsia" w:ascii="仿宋" w:hAnsi="仿宋" w:eastAsia="仿宋" w:cs="仿宋"/>
                <w:sz w:val="24"/>
                <w:szCs w:val="24"/>
                <w:lang w:val="en-US" w:eastAsia="zh-CN"/>
              </w:rPr>
              <w:t>李工</w:t>
            </w:r>
            <w:r>
              <w:rPr>
                <w:rFonts w:hint="eastAsia" w:ascii="仿宋" w:hAnsi="仿宋" w:eastAsia="仿宋" w:cs="仿宋"/>
                <w:sz w:val="24"/>
                <w:szCs w:val="24"/>
                <w:vertAlign w:val="baseline"/>
              </w:rPr>
              <w:t xml:space="preserve">      </w:t>
            </w:r>
            <w:r>
              <w:rPr>
                <w:rFonts w:hint="eastAsia" w:ascii="仿宋" w:hAnsi="仿宋" w:eastAsia="仿宋" w:cs="仿宋"/>
                <w:sz w:val="24"/>
                <w:szCs w:val="24"/>
                <w:vertAlign w:val="baseline"/>
                <w:lang w:val="en-US" w:eastAsia="zh-CN"/>
              </w:rPr>
              <w:t xml:space="preserve">  </w:t>
            </w:r>
          </w:p>
          <w:p w14:paraId="0A5F9AA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联系</w:t>
            </w:r>
            <w:r>
              <w:rPr>
                <w:rFonts w:hint="eastAsia" w:ascii="仿宋" w:hAnsi="仿宋" w:eastAsia="仿宋" w:cs="仿宋"/>
                <w:sz w:val="24"/>
                <w:szCs w:val="24"/>
                <w:vertAlign w:val="baseline"/>
              </w:rPr>
              <w:t>电话：</w:t>
            </w:r>
            <w:r>
              <w:rPr>
                <w:rFonts w:hint="eastAsia" w:ascii="仿宋" w:hAnsi="仿宋" w:eastAsia="仿宋" w:cs="仿宋"/>
                <w:sz w:val="24"/>
                <w:szCs w:val="24"/>
                <w:vertAlign w:val="baseline"/>
                <w:lang w:val="en-US" w:eastAsia="zh-CN"/>
              </w:rPr>
              <w:t>18399663832</w:t>
            </w:r>
          </w:p>
          <w:p w14:paraId="38032F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电子邮箱：</w:t>
            </w:r>
            <w:r>
              <w:rPr>
                <w:rFonts w:hint="eastAsia" w:ascii="仿宋" w:hAnsi="仿宋" w:eastAsia="仿宋" w:cs="仿宋"/>
                <w:sz w:val="24"/>
                <w:szCs w:val="24"/>
                <w:lang w:val="en-US" w:eastAsia="zh-CN"/>
              </w:rPr>
              <w:t>271892368@qq.com</w:t>
            </w:r>
          </w:p>
        </w:tc>
      </w:tr>
      <w:tr w14:paraId="434874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00F72A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1.3.3</w:t>
            </w:r>
          </w:p>
        </w:tc>
        <w:tc>
          <w:tcPr>
            <w:tcW w:w="6992" w:type="dxa"/>
            <w:tcBorders>
              <w:tl2br w:val="nil"/>
              <w:tr2bl w:val="nil"/>
            </w:tcBorders>
            <w:vAlign w:val="center"/>
          </w:tcPr>
          <w:p w14:paraId="3551BD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合格</w:t>
            </w:r>
            <w:r>
              <w:rPr>
                <w:rFonts w:hint="eastAsia" w:ascii="仿宋" w:hAnsi="仿宋" w:eastAsia="仿宋" w:cs="仿宋"/>
                <w:sz w:val="24"/>
                <w:szCs w:val="24"/>
                <w:highlight w:val="none"/>
                <w:vertAlign w:val="baseline"/>
                <w:lang w:val="en-US" w:eastAsia="zh-CN"/>
              </w:rPr>
              <w:t>供应商</w:t>
            </w:r>
            <w:r>
              <w:rPr>
                <w:rFonts w:hint="eastAsia" w:ascii="仿宋" w:hAnsi="仿宋" w:eastAsia="仿宋" w:cs="仿宋"/>
                <w:sz w:val="24"/>
                <w:szCs w:val="24"/>
                <w:highlight w:val="none"/>
                <w:vertAlign w:val="baseline"/>
              </w:rPr>
              <w:t>的其他资格要求：</w:t>
            </w:r>
            <w:r>
              <w:rPr>
                <w:rFonts w:hint="eastAsia" w:ascii="仿宋" w:hAnsi="仿宋" w:eastAsia="仿宋" w:cs="仿宋_GB2312"/>
                <w:sz w:val="24"/>
              </w:rPr>
              <w:t>供应商未被列入“信用中国”网站（ www.creditchina.gov.cn）信用记录失信被执行人、税收违法黑名单以及政府采购严重违法失信行为记录名单。</w:t>
            </w:r>
          </w:p>
        </w:tc>
      </w:tr>
      <w:tr w14:paraId="407BDF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53EEE0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6992" w:type="dxa"/>
            <w:tcBorders>
              <w:tl2br w:val="nil"/>
              <w:tr2bl w:val="nil"/>
            </w:tcBorders>
            <w:vAlign w:val="center"/>
          </w:tcPr>
          <w:p w14:paraId="1322C5E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是否允许采购进口产品：否</w:t>
            </w:r>
          </w:p>
        </w:tc>
      </w:tr>
      <w:tr w14:paraId="35FE6C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69AFCE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1.5.1</w:t>
            </w:r>
          </w:p>
        </w:tc>
        <w:tc>
          <w:tcPr>
            <w:tcW w:w="6992" w:type="dxa"/>
            <w:tcBorders>
              <w:tl2br w:val="nil"/>
              <w:tr2bl w:val="nil"/>
            </w:tcBorders>
            <w:vAlign w:val="center"/>
          </w:tcPr>
          <w:p w14:paraId="0B2D12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highlight w:val="none"/>
                <w:vertAlign w:val="baseline"/>
              </w:rPr>
              <w:t>所属行业</w:t>
            </w:r>
            <w:r>
              <w:rPr>
                <w:rFonts w:hint="eastAsia" w:ascii="仿宋" w:hAnsi="仿宋" w:eastAsia="仿宋" w:cs="仿宋_GB2312"/>
                <w:sz w:val="24"/>
              </w:rPr>
              <w:t>：其他未列明行业</w:t>
            </w:r>
          </w:p>
        </w:tc>
      </w:tr>
      <w:tr w14:paraId="088A2A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0641BACE">
            <w:pPr>
              <w:spacing w:line="500" w:lineRule="exact"/>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rPr>
              <w:t>1.5.2</w:t>
            </w:r>
          </w:p>
        </w:tc>
        <w:tc>
          <w:tcPr>
            <w:tcW w:w="6992" w:type="dxa"/>
            <w:tcBorders>
              <w:tl2br w:val="nil"/>
              <w:tr2bl w:val="nil"/>
            </w:tcBorders>
            <w:vAlign w:val="center"/>
          </w:tcPr>
          <w:p w14:paraId="0C1FE6F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标项1 非</w:t>
            </w:r>
            <w:r>
              <w:rPr>
                <w:rFonts w:hint="eastAsia" w:ascii="仿宋" w:hAnsi="仿宋" w:eastAsia="仿宋" w:cs="仿宋_GB2312"/>
                <w:color w:val="auto"/>
                <w:sz w:val="24"/>
                <w:highlight w:val="none"/>
              </w:rPr>
              <w:t>专门面向中小企业预留采购份额。</w:t>
            </w:r>
          </w:p>
          <w:p w14:paraId="5840DA07">
            <w:pPr>
              <w:pStyle w:val="15"/>
              <w:keepNext w:val="0"/>
              <w:keepLines w:val="0"/>
              <w:pageBreakBefore w:val="0"/>
              <w:widowControl w:val="0"/>
              <w:kinsoku/>
              <w:wordWrap/>
              <w:overflowPunct/>
              <w:topLinePunct w:val="0"/>
              <w:bidi w:val="0"/>
              <w:adjustRightInd/>
              <w:snapToGrid/>
              <w:spacing w:after="0" w:line="500" w:lineRule="exact"/>
              <w:ind w:left="0" w:leftChars="0" w:firstLine="0"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标项1</w:t>
            </w:r>
            <w:r>
              <w:rPr>
                <w:rFonts w:hint="eastAsia" w:ascii="仿宋" w:hAnsi="仿宋" w:eastAsia="仿宋" w:cs="仿宋"/>
                <w:b w:val="0"/>
                <w:bCs w:val="0"/>
                <w:color w:val="auto"/>
                <w:sz w:val="24"/>
                <w:szCs w:val="24"/>
                <w:highlight w:val="none"/>
                <w:lang w:val="en-US" w:eastAsia="zh-CN"/>
              </w:rPr>
              <w:t>专门面向中小企业采购，投标单位应符合《政府采购促进中小企业发展管理办法》(财库〔2020〕46号) 第四条规定的情形，且应当提供《政府采购促进中小企业发展管理办法》(财库〔2020〕46号)规定的《中小企业声明函》。</w:t>
            </w:r>
          </w:p>
          <w:p w14:paraId="2500ED4C">
            <w:pPr>
              <w:pStyle w:val="15"/>
              <w:keepNext w:val="0"/>
              <w:keepLines w:val="0"/>
              <w:pageBreakBefore w:val="0"/>
              <w:widowControl w:val="0"/>
              <w:kinsoku/>
              <w:wordWrap/>
              <w:overflowPunct/>
              <w:topLinePunct w:val="0"/>
              <w:bidi w:val="0"/>
              <w:adjustRightInd/>
              <w:snapToGrid/>
              <w:spacing w:after="0" w:line="500" w:lineRule="exact"/>
              <w:ind w:left="0" w:leftChars="0" w:firstLine="0" w:firstLineChars="0"/>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标项1</w:t>
            </w:r>
            <w:r>
              <w:rPr>
                <w:rFonts w:hint="eastAsia" w:ascii="仿宋" w:hAnsi="仿宋" w:eastAsia="仿宋" w:cs="仿宋"/>
                <w:b w:val="0"/>
                <w:bCs w:val="0"/>
                <w:color w:val="auto"/>
                <w:sz w:val="24"/>
                <w:szCs w:val="24"/>
                <w:highlight w:val="none"/>
                <w:lang w:val="en-US" w:eastAsia="zh-CN"/>
              </w:rPr>
              <w:t>专门面向小微企业采购，投标单位应符合《政府采购促进中小企业发展管理办法》(财库〔2020〕46号) 第四条规定的情形，且应当提供《政府采购促进中小企业发展管理办法》(财库〔2020〕46号)规定的《中小企业声明函》。</w:t>
            </w:r>
          </w:p>
          <w:p w14:paraId="5A1D35C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本项目预留部分采购项目预算专门面向中小企业采购。对于预留份额，</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提供的货物由符合政策要求的中小企业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由符合政策要求的中小企业</w:t>
            </w:r>
            <w:r>
              <w:rPr>
                <w:rFonts w:hint="eastAsia" w:ascii="仿宋" w:hAnsi="仿宋" w:eastAsia="仿宋" w:cs="仿宋_GB2312"/>
                <w:color w:val="auto"/>
                <w:sz w:val="24"/>
                <w:highlight w:val="none"/>
                <w:lang w:val="en-US" w:eastAsia="zh-CN"/>
              </w:rPr>
              <w:t>或监狱企业或残疾人福利性单位</w:t>
            </w:r>
            <w:r>
              <w:rPr>
                <w:rFonts w:hint="eastAsia" w:ascii="仿宋" w:hAnsi="仿宋" w:eastAsia="仿宋" w:cs="仿宋_GB2312"/>
                <w:color w:val="auto"/>
                <w:sz w:val="24"/>
                <w:highlight w:val="none"/>
              </w:rPr>
              <w:t>承接。预留份额通过以下措施进行</w:t>
            </w:r>
            <w:r>
              <w:rPr>
                <w:rFonts w:hint="eastAsia" w:ascii="仿宋" w:hAnsi="仿宋" w:eastAsia="仿宋" w:cs="仿宋_GB2312"/>
                <w:color w:val="auto"/>
                <w:sz w:val="24"/>
                <w:highlight w:val="none"/>
                <w:lang w:eastAsia="zh-CN"/>
              </w:rPr>
              <w:t>：</w:t>
            </w:r>
          </w:p>
          <w:p w14:paraId="1E6041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Arial" w:hAnsi="Arial" w:cs="Times New Roman" w:eastAsiaTheme="minorEastAsia"/>
                <w:kern w:val="2"/>
                <w:sz w:val="24"/>
                <w:szCs w:val="24"/>
                <w:highlight w:val="none"/>
                <w:lang w:val="en-US" w:eastAsia="zh-CN" w:bidi="ar-SA"/>
              </w:rPr>
            </w:pPr>
            <w:r>
              <w:rPr>
                <w:rFonts w:hint="eastAsia" w:ascii="仿宋" w:hAnsi="仿宋" w:eastAsia="仿宋" w:cs="仿宋_GB2312"/>
                <w:color w:val="auto"/>
                <w:sz w:val="24"/>
                <w:highlight w:val="none"/>
                <w:u w:val="single"/>
                <w:lang w:val="en-US" w:eastAsia="zh-CN"/>
              </w:rPr>
              <w:t xml:space="preserve">                    </w:t>
            </w:r>
          </w:p>
        </w:tc>
      </w:tr>
      <w:tr w14:paraId="525617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5EC719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1.10</w:t>
            </w:r>
          </w:p>
        </w:tc>
        <w:tc>
          <w:tcPr>
            <w:tcW w:w="6992" w:type="dxa"/>
            <w:tcBorders>
              <w:tl2br w:val="nil"/>
              <w:tr2bl w:val="nil"/>
            </w:tcBorders>
            <w:vAlign w:val="center"/>
          </w:tcPr>
          <w:p w14:paraId="3577143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_GB2312"/>
                <w:color w:val="auto"/>
                <w:sz w:val="24"/>
                <w:highlight w:val="none"/>
              </w:rPr>
              <w:t>是否允许联合体参加</w:t>
            </w:r>
            <w:r>
              <w:rPr>
                <w:rFonts w:hint="eastAsia" w:ascii="仿宋" w:hAnsi="仿宋" w:eastAsia="仿宋" w:cs="仿宋_GB2312"/>
                <w:color w:val="auto"/>
                <w:sz w:val="24"/>
                <w:highlight w:val="none"/>
                <w:lang w:eastAsia="zh-CN"/>
              </w:rPr>
              <w:t>磋商</w:t>
            </w:r>
            <w:r>
              <w:rPr>
                <w:rFonts w:hint="eastAsia" w:ascii="仿宋" w:hAnsi="仿宋" w:eastAsia="仿宋" w:cs="仿宋"/>
                <w:sz w:val="24"/>
                <w:szCs w:val="24"/>
                <w:vertAlign w:val="baseline"/>
              </w:rPr>
              <w:t>：否</w:t>
            </w:r>
          </w:p>
          <w:p w14:paraId="366BB03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联合体的其他资格要求：无</w:t>
            </w:r>
          </w:p>
        </w:tc>
      </w:tr>
      <w:tr w14:paraId="194FB9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2A6DA3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w:t>
            </w:r>
          </w:p>
        </w:tc>
        <w:tc>
          <w:tcPr>
            <w:tcW w:w="6992" w:type="dxa"/>
            <w:tcBorders>
              <w:tl2br w:val="nil"/>
              <w:tr2bl w:val="nil"/>
            </w:tcBorders>
            <w:vAlign w:val="center"/>
          </w:tcPr>
          <w:p w14:paraId="48D582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_GB2312"/>
                <w:sz w:val="24"/>
                <w:lang w:val="en-US" w:eastAsia="zh-CN"/>
              </w:rPr>
              <w:t>1763500</w:t>
            </w:r>
            <w:r>
              <w:rPr>
                <w:rFonts w:hint="eastAsia" w:ascii="仿宋" w:hAnsi="仿宋" w:eastAsia="仿宋" w:cs="仿宋"/>
                <w:sz w:val="24"/>
                <w:szCs w:val="24"/>
                <w:highlight w:val="none"/>
                <w:lang w:val="en-US" w:eastAsia="zh-CN"/>
              </w:rPr>
              <w:t>元</w:t>
            </w:r>
          </w:p>
          <w:p w14:paraId="355879D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eastAsia="zh-CN"/>
              </w:rPr>
              <w:t xml:space="preserve"> </w:t>
            </w:r>
            <w:r>
              <w:rPr>
                <w:rFonts w:hint="eastAsia" w:ascii="仿宋" w:hAnsi="仿宋" w:eastAsia="仿宋" w:cs="仿宋_GB2312"/>
                <w:sz w:val="24"/>
                <w:lang w:val="en-US" w:eastAsia="zh-CN"/>
              </w:rPr>
              <w:t>1763500</w:t>
            </w:r>
            <w:r>
              <w:rPr>
                <w:rFonts w:hint="eastAsia" w:ascii="仿宋" w:hAnsi="仿宋" w:eastAsia="仿宋" w:cs="仿宋"/>
                <w:sz w:val="24"/>
                <w:szCs w:val="24"/>
                <w:highlight w:val="none"/>
                <w:lang w:val="en-US" w:eastAsia="zh-CN"/>
              </w:rPr>
              <w:t>元</w:t>
            </w:r>
          </w:p>
        </w:tc>
      </w:tr>
      <w:tr w14:paraId="1B82C1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1CB45C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w:t>
            </w:r>
          </w:p>
        </w:tc>
        <w:tc>
          <w:tcPr>
            <w:tcW w:w="6992" w:type="dxa"/>
            <w:tcBorders>
              <w:tl2br w:val="nil"/>
              <w:tr2bl w:val="nil"/>
            </w:tcBorders>
            <w:vAlign w:val="center"/>
          </w:tcPr>
          <w:p w14:paraId="2156FBD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是否组织现场考察或者召开答疑会：否 </w:t>
            </w:r>
          </w:p>
          <w:p w14:paraId="1E06A91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组织现场考察或者召开答疑会相关要求：/</w:t>
            </w:r>
          </w:p>
        </w:tc>
      </w:tr>
      <w:tr w14:paraId="644D8F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1075B2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5.7 </w:t>
            </w:r>
          </w:p>
        </w:tc>
        <w:tc>
          <w:tcPr>
            <w:tcW w:w="6992" w:type="dxa"/>
            <w:tcBorders>
              <w:tl2br w:val="nil"/>
              <w:tr2bl w:val="nil"/>
            </w:tcBorders>
            <w:vAlign w:val="center"/>
          </w:tcPr>
          <w:p w14:paraId="53D675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是否需要提供样品：否 </w:t>
            </w:r>
          </w:p>
          <w:p w14:paraId="24001F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rPr>
              <w:t>提供样品要求包括：（样品的制作标准和要求、接收及退还，样品检测报告，检测机构、检测内容等内容）</w:t>
            </w:r>
          </w:p>
        </w:tc>
      </w:tr>
      <w:tr w14:paraId="2FF35B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59D0C8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7.1 </w:t>
            </w:r>
          </w:p>
        </w:tc>
        <w:tc>
          <w:tcPr>
            <w:tcW w:w="6992" w:type="dxa"/>
            <w:tcBorders>
              <w:tl2br w:val="nil"/>
              <w:tr2bl w:val="nil"/>
            </w:tcBorders>
            <w:vAlign w:val="center"/>
          </w:tcPr>
          <w:p w14:paraId="55710D71">
            <w:pPr>
              <w:spacing w:line="500" w:lineRule="exact"/>
              <w:rPr>
                <w:rFonts w:hint="eastAsia" w:ascii="仿宋" w:hAnsi="仿宋" w:eastAsia="仿宋" w:cs="仿宋"/>
                <w:sz w:val="24"/>
                <w:szCs w:val="24"/>
                <w:highlight w:val="none"/>
                <w:vertAlign w:val="baseline"/>
              </w:rPr>
            </w:pPr>
            <w:r>
              <w:rPr>
                <w:rFonts w:hint="eastAsia" w:ascii="仿宋" w:hAnsi="仿宋" w:eastAsia="仿宋" w:cs="仿宋_GB2312"/>
                <w:sz w:val="24"/>
                <w:highlight w:val="none"/>
              </w:rPr>
              <w:t>如供应商对多个包进行投标，可以中标</w:t>
            </w:r>
            <w:r>
              <w:rPr>
                <w:rFonts w:hint="eastAsia" w:ascii="仿宋" w:hAnsi="仿宋" w:eastAsia="仿宋" w:cs="仿宋_GB2312"/>
                <w:b/>
                <w:bCs/>
                <w:sz w:val="24"/>
                <w:highlight w:val="none"/>
                <w:u w:val="single"/>
              </w:rPr>
              <w:t>多</w:t>
            </w:r>
            <w:r>
              <w:rPr>
                <w:rFonts w:hint="eastAsia" w:ascii="仿宋" w:hAnsi="仿宋" w:eastAsia="仿宋" w:cs="仿宋_GB2312"/>
                <w:sz w:val="24"/>
                <w:highlight w:val="none"/>
              </w:rPr>
              <w:t>包</w:t>
            </w:r>
            <w:r>
              <w:rPr>
                <w:rFonts w:hint="eastAsia" w:ascii="仿宋" w:hAnsi="仿宋" w:eastAsia="仿宋" w:cs="仿宋_GB2312"/>
                <w:b/>
                <w:bCs/>
                <w:sz w:val="24"/>
                <w:highlight w:val="none"/>
              </w:rPr>
              <w:t>（本项目不适用</w:t>
            </w:r>
            <w:r>
              <w:rPr>
                <w:rFonts w:hint="eastAsia" w:ascii="仿宋" w:hAnsi="仿宋" w:eastAsia="仿宋" w:cs="仿宋_GB2312"/>
                <w:b/>
                <w:bCs/>
                <w:sz w:val="24"/>
                <w:highlight w:val="none"/>
                <w:lang w:eastAsia="zh-CN"/>
              </w:rPr>
              <w:t>）</w:t>
            </w:r>
          </w:p>
        </w:tc>
      </w:tr>
      <w:tr w14:paraId="0F2384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316001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6992" w:type="dxa"/>
            <w:tcBorders>
              <w:tl2br w:val="nil"/>
              <w:tr2bl w:val="nil"/>
            </w:tcBorders>
            <w:vAlign w:val="center"/>
          </w:tcPr>
          <w:p w14:paraId="5D95B05D">
            <w:pPr>
              <w:rPr>
                <w:rFonts w:hint="eastAsia" w:ascii="仿宋" w:hAnsi="仿宋" w:eastAsia="仿宋" w:cs="仿宋"/>
                <w:sz w:val="24"/>
                <w:szCs w:val="24"/>
                <w:highlight w:val="none"/>
                <w:vertAlign w:val="baseline"/>
              </w:rPr>
            </w:pPr>
            <w:r>
              <w:rPr>
                <w:rFonts w:hint="eastAsia" w:ascii="仿宋" w:hAnsi="仿宋" w:eastAsia="仿宋" w:cs="仿宋"/>
                <w:sz w:val="24"/>
                <w:szCs w:val="24"/>
                <w:vertAlign w:val="baseline"/>
              </w:rPr>
              <w:t>保证金</w:t>
            </w:r>
            <w:r>
              <w:rPr>
                <w:rFonts w:hint="eastAsia" w:ascii="仿宋" w:hAnsi="仿宋" w:eastAsia="仿宋" w:cs="仿宋"/>
                <w:sz w:val="24"/>
                <w:szCs w:val="24"/>
                <w:highlight w:val="none"/>
                <w:vertAlign w:val="baseline"/>
              </w:rPr>
              <w:t>形式：电汇或银行转账或投标保函</w:t>
            </w:r>
            <w:r>
              <w:rPr>
                <w:rFonts w:hint="eastAsia" w:ascii="仿宋" w:hAnsi="仿宋" w:eastAsia="仿宋" w:cs="仿宋"/>
                <w:sz w:val="24"/>
                <w:szCs w:val="24"/>
                <w:highlight w:val="none"/>
                <w:vertAlign w:val="baseline"/>
                <w:lang w:val="en-US" w:eastAsia="zh-CN"/>
              </w:rPr>
              <w:t>等非现金方式</w:t>
            </w:r>
          </w:p>
          <w:p w14:paraId="01BBB7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保证金数额：</w:t>
            </w:r>
            <w:r>
              <w:rPr>
                <w:rFonts w:hint="eastAsia" w:ascii="仿宋" w:hAnsi="仿宋" w:eastAsia="仿宋" w:cs="仿宋"/>
                <w:sz w:val="24"/>
                <w:szCs w:val="24"/>
                <w:highlight w:val="none"/>
                <w:vertAlign w:val="baseline"/>
                <w:lang w:val="en-US" w:eastAsia="zh-CN"/>
              </w:rPr>
              <w:t>1.5</w:t>
            </w:r>
            <w:r>
              <w:rPr>
                <w:rFonts w:hint="eastAsia" w:ascii="仿宋" w:hAnsi="仿宋" w:eastAsia="仿宋" w:cs="仿宋"/>
                <w:sz w:val="24"/>
                <w:szCs w:val="24"/>
                <w:highlight w:val="none"/>
                <w:vertAlign w:val="baseline"/>
              </w:rPr>
              <w:t xml:space="preserve">万元 </w:t>
            </w:r>
          </w:p>
          <w:p w14:paraId="4A11EE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一、电汇或银行转账方式信息</w:t>
            </w:r>
          </w:p>
          <w:p w14:paraId="1F375F7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保证金收款人：</w:t>
            </w:r>
            <w:r>
              <w:rPr>
                <w:rFonts w:hint="eastAsia" w:ascii="仿宋" w:hAnsi="仿宋" w:eastAsia="仿宋" w:cs="仿宋"/>
                <w:sz w:val="24"/>
                <w:szCs w:val="24"/>
                <w:vertAlign w:val="baseline"/>
                <w:lang w:eastAsia="zh-CN"/>
              </w:rPr>
              <w:t>新疆恒晟华工程项目管理有限公司</w:t>
            </w:r>
          </w:p>
          <w:p w14:paraId="1E101E86">
            <w:pPr>
              <w:spacing w:line="360" w:lineRule="auto"/>
              <w:rPr>
                <w:color w:val="000000"/>
                <w:szCs w:val="21"/>
              </w:rPr>
            </w:pPr>
            <w:r>
              <w:rPr>
                <w:rFonts w:hint="eastAsia" w:ascii="仿宋" w:hAnsi="仿宋" w:eastAsia="仿宋" w:cs="仿宋"/>
                <w:sz w:val="24"/>
                <w:szCs w:val="24"/>
                <w:vertAlign w:val="baseline"/>
              </w:rPr>
              <w:t>保证金收款账号：</w:t>
            </w:r>
            <w:r>
              <w:rPr>
                <w:rFonts w:hint="eastAsia" w:ascii="仿宋" w:hAnsi="仿宋" w:eastAsia="仿宋" w:cs="仿宋"/>
                <w:sz w:val="24"/>
                <w:szCs w:val="24"/>
                <w:vertAlign w:val="baseline"/>
                <w:lang w:eastAsia="zh-CN"/>
              </w:rPr>
              <w:t>0000020070110051237322</w:t>
            </w:r>
          </w:p>
          <w:p w14:paraId="37B60C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保证</w:t>
            </w:r>
            <w:r>
              <w:rPr>
                <w:rFonts w:hint="eastAsia" w:ascii="仿宋" w:hAnsi="仿宋" w:eastAsia="仿宋" w:cs="仿宋"/>
                <w:sz w:val="24"/>
                <w:szCs w:val="24"/>
                <w:vertAlign w:val="baseline"/>
                <w:lang w:val="en-US" w:eastAsia="zh-CN"/>
              </w:rPr>
              <w:t>金</w:t>
            </w:r>
            <w:r>
              <w:rPr>
                <w:rFonts w:hint="eastAsia" w:ascii="仿宋" w:hAnsi="仿宋" w:eastAsia="仿宋" w:cs="仿宋"/>
                <w:sz w:val="24"/>
                <w:szCs w:val="24"/>
                <w:vertAlign w:val="baseline"/>
                <w:lang w:eastAsia="zh-CN"/>
              </w:rPr>
              <w:t>收款银行:</w:t>
            </w:r>
            <w:r>
              <w:rPr>
                <w:rFonts w:hint="eastAsia"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乌鲁木齐银行股份有限公司乌鲁木齐振华街支行</w:t>
            </w:r>
            <w:r>
              <w:rPr>
                <w:rFonts w:hint="eastAsia" w:ascii="仿宋" w:hAnsi="仿宋" w:eastAsia="仿宋" w:cs="仿宋"/>
                <w:sz w:val="24"/>
                <w:szCs w:val="24"/>
                <w:vertAlign w:val="baseline"/>
              </w:rPr>
              <w:t>以电汇或银行转账形式缴纳保证金的</w:t>
            </w:r>
            <w:r>
              <w:rPr>
                <w:rFonts w:hint="eastAsia" w:ascii="仿宋" w:hAnsi="仿宋" w:eastAsia="仿宋" w:cs="仿宋"/>
                <w:sz w:val="24"/>
                <w:szCs w:val="24"/>
                <w:vertAlign w:val="baseline"/>
                <w:lang w:eastAsia="zh-CN"/>
              </w:rPr>
              <w:t>供应商</w:t>
            </w:r>
            <w:r>
              <w:rPr>
                <w:rFonts w:hint="eastAsia" w:ascii="仿宋" w:hAnsi="仿宋" w:eastAsia="仿宋" w:cs="仿宋"/>
                <w:sz w:val="24"/>
                <w:szCs w:val="24"/>
                <w:vertAlign w:val="baseline"/>
              </w:rPr>
              <w:t>注意事项：</w:t>
            </w:r>
          </w:p>
          <w:p w14:paraId="077EC99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在汇款附言（或银行摘要）中，标明项目编号、包号（如分包）。每个项目须按照分包分别提交</w:t>
            </w:r>
            <w:r>
              <w:rPr>
                <w:rFonts w:hint="eastAsia" w:ascii="仿宋" w:hAnsi="仿宋" w:eastAsia="仿宋" w:cs="仿宋"/>
                <w:sz w:val="24"/>
                <w:szCs w:val="24"/>
                <w:vertAlign w:val="baseline"/>
                <w:lang w:eastAsia="zh-CN"/>
              </w:rPr>
              <w:t>磋商保证金</w:t>
            </w:r>
            <w:r>
              <w:rPr>
                <w:rFonts w:hint="eastAsia" w:ascii="仿宋" w:hAnsi="仿宋" w:eastAsia="仿宋" w:cs="仿宋"/>
                <w:sz w:val="24"/>
                <w:szCs w:val="24"/>
                <w:vertAlign w:val="baseline"/>
              </w:rPr>
              <w:t>。</w:t>
            </w:r>
          </w:p>
          <w:p w14:paraId="28A4D4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(2)磋商保证金必须以网银、电汇、银行柜台公对公等转账的形式由供应商的企业基本账户汇出(个体工商户除外) ，并开具银行汇款凭证。 </w:t>
            </w:r>
          </w:p>
          <w:p w14:paraId="300BB59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(3)磋商保证金的提交以招标公司账户到账时间为准，开标时若查询不到，视同未交纳磋商保证金，不允许参加投标。</w:t>
            </w:r>
          </w:p>
          <w:p w14:paraId="2F1E60D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二、</w:t>
            </w:r>
            <w:r>
              <w:rPr>
                <w:rFonts w:hint="eastAsia" w:ascii="仿宋" w:hAnsi="仿宋" w:eastAsia="仿宋" w:cs="仿宋"/>
                <w:sz w:val="24"/>
                <w:szCs w:val="24"/>
                <w:vertAlign w:val="baseline"/>
              </w:rPr>
              <w:t>投标保函提交方式：供应商可通过"政采云平台金融服务中心"(https://jinrong.zcygov.cn/)，申请办理投标电子保函，成功出函的等效于缴纳</w:t>
            </w:r>
            <w:r>
              <w:rPr>
                <w:rFonts w:hint="eastAsia" w:ascii="仿宋" w:hAnsi="仿宋" w:eastAsia="仿宋" w:cs="仿宋"/>
                <w:sz w:val="24"/>
                <w:szCs w:val="24"/>
                <w:vertAlign w:val="baseline"/>
                <w:lang w:eastAsia="zh-CN"/>
              </w:rPr>
              <w:t>磋商保证金</w:t>
            </w:r>
            <w:r>
              <w:rPr>
                <w:rFonts w:hint="eastAsia" w:ascii="仿宋" w:hAnsi="仿宋" w:eastAsia="仿宋" w:cs="仿宋"/>
                <w:sz w:val="24"/>
                <w:szCs w:val="24"/>
                <w:vertAlign w:val="baseline"/>
              </w:rPr>
              <w:t>。</w:t>
            </w:r>
          </w:p>
          <w:p w14:paraId="027A096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b/>
                <w:bCs/>
                <w:sz w:val="24"/>
                <w:szCs w:val="24"/>
                <w:vertAlign w:val="baseline"/>
                <w:lang w:eastAsia="zh-CN"/>
              </w:rPr>
              <w:t>磋商保证金</w:t>
            </w:r>
            <w:r>
              <w:rPr>
                <w:rFonts w:hint="eastAsia" w:ascii="仿宋" w:hAnsi="仿宋" w:eastAsia="仿宋" w:cs="仿宋"/>
                <w:b/>
                <w:bCs/>
                <w:sz w:val="24"/>
                <w:szCs w:val="24"/>
                <w:vertAlign w:val="baseline"/>
              </w:rPr>
              <w:t>（投标电子保函）有效期与</w:t>
            </w:r>
            <w:r>
              <w:rPr>
                <w:rFonts w:hint="eastAsia" w:ascii="仿宋" w:hAnsi="仿宋" w:eastAsia="仿宋" w:cs="仿宋"/>
                <w:b/>
                <w:bCs/>
                <w:sz w:val="24"/>
                <w:szCs w:val="24"/>
                <w:vertAlign w:val="baseline"/>
                <w:lang w:eastAsia="zh-CN"/>
              </w:rPr>
              <w:t>响应有效期</w:t>
            </w:r>
            <w:r>
              <w:rPr>
                <w:rFonts w:hint="eastAsia" w:ascii="仿宋" w:hAnsi="仿宋" w:eastAsia="仿宋" w:cs="仿宋"/>
                <w:b/>
                <w:bCs/>
                <w:sz w:val="24"/>
                <w:szCs w:val="24"/>
                <w:vertAlign w:val="baseline"/>
              </w:rPr>
              <w:t>一致。</w:t>
            </w:r>
          </w:p>
        </w:tc>
      </w:tr>
      <w:tr w14:paraId="7540EC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1201BE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11.1</w:t>
            </w:r>
          </w:p>
        </w:tc>
        <w:tc>
          <w:tcPr>
            <w:tcW w:w="6992" w:type="dxa"/>
            <w:tcBorders>
              <w:tl2br w:val="nil"/>
              <w:tr2bl w:val="nil"/>
            </w:tcBorders>
            <w:vAlign w:val="center"/>
          </w:tcPr>
          <w:p w14:paraId="504AD9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vertAlign w:val="baseline"/>
              </w:rPr>
            </w:pPr>
            <w:r>
              <w:rPr>
                <w:rFonts w:hint="eastAsia" w:ascii="仿宋" w:hAnsi="仿宋" w:eastAsia="仿宋" w:cs="仿宋"/>
                <w:b w:val="0"/>
                <w:bCs w:val="0"/>
                <w:sz w:val="24"/>
                <w:szCs w:val="24"/>
                <w:vertAlign w:val="baseline"/>
                <w:lang w:val="en-US" w:eastAsia="zh-CN"/>
              </w:rPr>
              <w:t>响应文件</w:t>
            </w:r>
            <w:r>
              <w:rPr>
                <w:rFonts w:hint="eastAsia" w:ascii="仿宋" w:hAnsi="仿宋" w:eastAsia="仿宋" w:cs="仿宋"/>
                <w:b w:val="0"/>
                <w:bCs w:val="0"/>
                <w:sz w:val="24"/>
                <w:szCs w:val="24"/>
                <w:vertAlign w:val="baseline"/>
              </w:rPr>
              <w:t>有效期：90 日历日</w:t>
            </w:r>
          </w:p>
        </w:tc>
      </w:tr>
      <w:tr w14:paraId="549BA6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7706F6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13.1</w:t>
            </w:r>
          </w:p>
        </w:tc>
        <w:tc>
          <w:tcPr>
            <w:tcW w:w="6992" w:type="dxa"/>
            <w:tcBorders>
              <w:tl2br w:val="nil"/>
              <w:tr2bl w:val="nil"/>
            </w:tcBorders>
            <w:vAlign w:val="center"/>
          </w:tcPr>
          <w:p w14:paraId="160D536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yellow"/>
                <w:vertAlign w:val="baseline"/>
                <w:lang w:val="en-US" w:eastAsia="zh-CN"/>
              </w:rPr>
            </w:pPr>
            <w:r>
              <w:rPr>
                <w:rFonts w:hint="eastAsia" w:ascii="仿宋" w:hAnsi="仿宋" w:eastAsia="仿宋" w:cs="仿宋"/>
                <w:b w:val="0"/>
                <w:bCs w:val="0"/>
                <w:sz w:val="24"/>
                <w:szCs w:val="24"/>
                <w:vertAlign w:val="baseline"/>
                <w:lang w:val="en-US" w:eastAsia="zh-CN"/>
              </w:rPr>
              <w:t>响应截止时间：</w:t>
            </w:r>
            <w:r>
              <w:rPr>
                <w:rFonts w:hint="eastAsia" w:ascii="仿宋" w:hAnsi="仿宋" w:eastAsia="仿宋" w:cs="仿宋"/>
                <w:b w:val="0"/>
                <w:bCs w:val="0"/>
                <w:sz w:val="24"/>
                <w:szCs w:val="24"/>
                <w:vertAlign w:val="baseline"/>
                <w:lang w:eastAsia="zh-CN"/>
              </w:rPr>
              <w:t>202</w:t>
            </w:r>
            <w:r>
              <w:rPr>
                <w:rFonts w:hint="eastAsia" w:ascii="仿宋" w:hAnsi="仿宋" w:eastAsia="仿宋" w:cs="仿宋"/>
                <w:b w:val="0"/>
                <w:bCs w:val="0"/>
                <w:sz w:val="24"/>
                <w:szCs w:val="24"/>
                <w:vertAlign w:val="baseline"/>
                <w:lang w:val="en-US" w:eastAsia="zh-CN"/>
              </w:rPr>
              <w:t>5</w:t>
            </w:r>
            <w:r>
              <w:rPr>
                <w:rFonts w:hint="eastAsia" w:ascii="仿宋" w:hAnsi="仿宋" w:eastAsia="仿宋" w:cs="仿宋"/>
                <w:b w:val="0"/>
                <w:bCs w:val="0"/>
                <w:sz w:val="24"/>
                <w:szCs w:val="24"/>
                <w:vertAlign w:val="baseline"/>
                <w:lang w:eastAsia="zh-CN"/>
              </w:rPr>
              <w:t>年0</w:t>
            </w:r>
            <w:r>
              <w:rPr>
                <w:rFonts w:hint="eastAsia" w:ascii="仿宋" w:hAnsi="仿宋" w:eastAsia="仿宋" w:cs="仿宋"/>
                <w:b w:val="0"/>
                <w:bCs w:val="0"/>
                <w:sz w:val="24"/>
                <w:szCs w:val="24"/>
                <w:vertAlign w:val="baseline"/>
                <w:lang w:val="en-US" w:eastAsia="zh-CN"/>
              </w:rPr>
              <w:t>7</w:t>
            </w:r>
            <w:r>
              <w:rPr>
                <w:rFonts w:hint="eastAsia" w:ascii="仿宋" w:hAnsi="仿宋" w:eastAsia="仿宋" w:cs="仿宋"/>
                <w:b w:val="0"/>
                <w:bCs w:val="0"/>
                <w:sz w:val="24"/>
                <w:szCs w:val="24"/>
                <w:vertAlign w:val="baseline"/>
                <w:lang w:eastAsia="zh-CN"/>
              </w:rPr>
              <w:t>月</w:t>
            </w:r>
            <w:r>
              <w:rPr>
                <w:rFonts w:hint="eastAsia" w:ascii="仿宋" w:hAnsi="仿宋" w:eastAsia="仿宋" w:cs="仿宋"/>
                <w:b w:val="0"/>
                <w:bCs w:val="0"/>
                <w:sz w:val="24"/>
                <w:szCs w:val="24"/>
                <w:vertAlign w:val="baseline"/>
                <w:lang w:val="en-US" w:eastAsia="zh-CN"/>
              </w:rPr>
              <w:t>15</w:t>
            </w:r>
            <w:r>
              <w:rPr>
                <w:rFonts w:hint="eastAsia" w:ascii="仿宋" w:hAnsi="仿宋" w:eastAsia="仿宋" w:cs="仿宋"/>
                <w:b w:val="0"/>
                <w:bCs w:val="0"/>
                <w:sz w:val="24"/>
                <w:szCs w:val="24"/>
                <w:vertAlign w:val="baseline"/>
                <w:lang w:eastAsia="zh-CN"/>
              </w:rPr>
              <w:t>日</w:t>
            </w:r>
            <w:r>
              <w:rPr>
                <w:rFonts w:hint="eastAsia" w:ascii="仿宋" w:hAnsi="仿宋" w:eastAsia="仿宋" w:cs="仿宋"/>
                <w:b w:val="0"/>
                <w:bCs w:val="0"/>
                <w:sz w:val="24"/>
                <w:szCs w:val="24"/>
                <w:vertAlign w:val="baseline"/>
              </w:rPr>
              <w:t xml:space="preserve"> 1</w:t>
            </w:r>
            <w:r>
              <w:rPr>
                <w:rFonts w:hint="eastAsia" w:ascii="仿宋" w:hAnsi="仿宋" w:eastAsia="仿宋" w:cs="仿宋"/>
                <w:b w:val="0"/>
                <w:bCs w:val="0"/>
                <w:sz w:val="24"/>
                <w:szCs w:val="24"/>
                <w:vertAlign w:val="baseline"/>
                <w:lang w:val="en-US" w:eastAsia="zh-CN"/>
              </w:rPr>
              <w:t>6</w:t>
            </w:r>
            <w:r>
              <w:rPr>
                <w:rFonts w:hint="eastAsia" w:ascii="仿宋" w:hAnsi="仿宋" w:eastAsia="仿宋" w:cs="仿宋"/>
                <w:b w:val="0"/>
                <w:bCs w:val="0"/>
                <w:sz w:val="24"/>
                <w:szCs w:val="24"/>
                <w:vertAlign w:val="baseline"/>
              </w:rPr>
              <w:t>:00（北京时间）</w:t>
            </w:r>
          </w:p>
        </w:tc>
      </w:tr>
      <w:tr w14:paraId="3406DA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2E8072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14.1</w:t>
            </w:r>
          </w:p>
        </w:tc>
        <w:tc>
          <w:tcPr>
            <w:tcW w:w="6992" w:type="dxa"/>
            <w:tcBorders>
              <w:tl2br w:val="nil"/>
              <w:tr2bl w:val="nil"/>
            </w:tcBorders>
            <w:vAlign w:val="center"/>
          </w:tcPr>
          <w:p w14:paraId="2691D2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开标时间：同响应截止时间 </w:t>
            </w:r>
          </w:p>
          <w:p w14:paraId="65235D4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yellow"/>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58371E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1530" w:type="dxa"/>
            <w:tcBorders>
              <w:tl2br w:val="nil"/>
              <w:tr2bl w:val="nil"/>
            </w:tcBorders>
            <w:vAlign w:val="center"/>
          </w:tcPr>
          <w:p w14:paraId="3C69B4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18.1</w:t>
            </w:r>
          </w:p>
        </w:tc>
        <w:tc>
          <w:tcPr>
            <w:tcW w:w="6992" w:type="dxa"/>
            <w:tcBorders>
              <w:tl2br w:val="nil"/>
              <w:tr2bl w:val="nil"/>
            </w:tcBorders>
            <w:vAlign w:val="center"/>
          </w:tcPr>
          <w:p w14:paraId="22C50D9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采购人是否委托磋商小组直接确定中标人：否 </w:t>
            </w:r>
          </w:p>
        </w:tc>
      </w:tr>
      <w:tr w14:paraId="57EDEA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530" w:type="dxa"/>
            <w:tcBorders>
              <w:tl2br w:val="nil"/>
              <w:tr2bl w:val="nil"/>
            </w:tcBorders>
            <w:vAlign w:val="center"/>
          </w:tcPr>
          <w:p w14:paraId="3726C1E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22.1</w:t>
            </w:r>
          </w:p>
        </w:tc>
        <w:tc>
          <w:tcPr>
            <w:tcW w:w="6992" w:type="dxa"/>
            <w:tcBorders>
              <w:tl2br w:val="nil"/>
              <w:tr2bl w:val="nil"/>
            </w:tcBorders>
            <w:vAlign w:val="center"/>
          </w:tcPr>
          <w:p w14:paraId="23BB17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提交履约保证金的时间：/</w:t>
            </w:r>
          </w:p>
          <w:p w14:paraId="7B4A4C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履约保证金金额：/</w:t>
            </w:r>
          </w:p>
          <w:p w14:paraId="701E607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w:t>
            </w:r>
          </w:p>
        </w:tc>
      </w:tr>
      <w:tr w14:paraId="4CD2B2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9" w:hRule="atLeast"/>
        </w:trPr>
        <w:tc>
          <w:tcPr>
            <w:tcW w:w="1530" w:type="dxa"/>
            <w:tcBorders>
              <w:tl2br w:val="nil"/>
              <w:tr2bl w:val="nil"/>
            </w:tcBorders>
            <w:vAlign w:val="center"/>
          </w:tcPr>
          <w:p w14:paraId="686371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23.1</w:t>
            </w:r>
          </w:p>
        </w:tc>
        <w:tc>
          <w:tcPr>
            <w:tcW w:w="6992" w:type="dxa"/>
            <w:tcBorders>
              <w:tl2br w:val="nil"/>
              <w:tr2bl w:val="nil"/>
            </w:tcBorders>
            <w:vAlign w:val="center"/>
          </w:tcPr>
          <w:p w14:paraId="0FE504C3">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1、是否由中标人缴纳招标代理费：是 </w:t>
            </w:r>
          </w:p>
          <w:p w14:paraId="35E101D5">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招标代理费：</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 xml:space="preserve">参照原国家计委计价格【2002】1980 号文的计算方法收取。  </w:t>
            </w:r>
          </w:p>
          <w:p w14:paraId="43DB260A">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本项目招标代理费   万元  </w:t>
            </w:r>
          </w:p>
          <w:p w14:paraId="4FCC7E3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支付形式：支票、电汇等形式 </w:t>
            </w:r>
          </w:p>
          <w:p w14:paraId="5913207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3、支付时间：领取中标通知书的同时</w:t>
            </w:r>
          </w:p>
          <w:p w14:paraId="083DBE6B">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4、服务费缴纳账号： </w:t>
            </w:r>
          </w:p>
          <w:p w14:paraId="064FD6BE">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收款单位全称：新疆恒晟华工程项目管理有限公司</w:t>
            </w:r>
          </w:p>
          <w:p w14:paraId="31434856">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银行账号：0000020070110051237322</w:t>
            </w:r>
          </w:p>
          <w:p w14:paraId="276A5033">
            <w:pPr>
              <w:spacing w:line="360" w:lineRule="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sz w:val="24"/>
                <w:szCs w:val="24"/>
                <w:highlight w:val="none"/>
                <w:lang w:val="en-US" w:eastAsia="zh-CN"/>
              </w:rPr>
              <w:t>开户行： 乌鲁木齐银行股份有限公司乌鲁木齐振华街支行</w:t>
            </w:r>
          </w:p>
        </w:tc>
      </w:tr>
      <w:tr w14:paraId="3684B9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5FEF310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适用于本供应商须知的额外增加的变动：</w:t>
            </w:r>
          </w:p>
        </w:tc>
      </w:tr>
      <w:tr w14:paraId="69E375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530" w:type="dxa"/>
            <w:tcBorders>
              <w:top w:val="single" w:color="auto" w:sz="4" w:space="0"/>
              <w:bottom w:val="single" w:color="auto" w:sz="4" w:space="0"/>
              <w:tl2br w:val="nil"/>
              <w:tr2bl w:val="nil"/>
            </w:tcBorders>
            <w:vAlign w:val="center"/>
          </w:tcPr>
          <w:p w14:paraId="2C973C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992" w:type="dxa"/>
            <w:tcBorders>
              <w:top w:val="single" w:color="auto" w:sz="4" w:space="0"/>
              <w:bottom w:val="single" w:color="auto" w:sz="4" w:space="0"/>
              <w:tl2br w:val="nil"/>
              <w:tr2bl w:val="nil"/>
            </w:tcBorders>
            <w:vAlign w:val="center"/>
          </w:tcPr>
          <w:p w14:paraId="06831C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核心产品：/</w:t>
            </w:r>
          </w:p>
        </w:tc>
      </w:tr>
      <w:tr w14:paraId="4D2418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530" w:type="dxa"/>
            <w:tcBorders>
              <w:top w:val="single" w:color="auto" w:sz="4" w:space="0"/>
              <w:bottom w:val="single" w:color="auto" w:sz="4" w:space="0"/>
              <w:tl2br w:val="nil"/>
              <w:tr2bl w:val="nil"/>
            </w:tcBorders>
            <w:vAlign w:val="center"/>
          </w:tcPr>
          <w:p w14:paraId="540BF2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992" w:type="dxa"/>
            <w:tcBorders>
              <w:top w:val="single" w:color="auto" w:sz="4" w:space="0"/>
              <w:bottom w:val="single" w:color="auto" w:sz="4" w:space="0"/>
              <w:tl2br w:val="nil"/>
              <w:tr2bl w:val="nil"/>
            </w:tcBorders>
            <w:vAlign w:val="center"/>
          </w:tcPr>
          <w:p w14:paraId="203D32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3A7EB4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530" w:type="dxa"/>
            <w:tcBorders>
              <w:top w:val="single" w:color="auto" w:sz="4" w:space="0"/>
              <w:bottom w:val="single" w:color="auto" w:sz="4" w:space="0"/>
              <w:tl2br w:val="nil"/>
              <w:tr2bl w:val="nil"/>
            </w:tcBorders>
            <w:vAlign w:val="center"/>
          </w:tcPr>
          <w:p w14:paraId="0B9C85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992" w:type="dxa"/>
            <w:tcBorders>
              <w:top w:val="single" w:color="auto" w:sz="4" w:space="0"/>
              <w:tl2br w:val="nil"/>
              <w:tr2bl w:val="nil"/>
            </w:tcBorders>
            <w:vAlign w:val="center"/>
          </w:tcPr>
          <w:p w14:paraId="0DB401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lang w:val="en-US" w:eastAsia="zh-CN"/>
              </w:rPr>
            </w:pPr>
            <w:r>
              <w:rPr>
                <w:rFonts w:hint="eastAsia" w:ascii="仿宋" w:hAnsi="仿宋" w:eastAsia="仿宋" w:cs="仿宋"/>
                <w:b w:val="0"/>
                <w:bCs w:val="0"/>
                <w:sz w:val="24"/>
                <w:szCs w:val="24"/>
                <w:highlight w:val="none"/>
                <w:vertAlign w:val="baseline"/>
                <w:lang w:val="en-US" w:eastAsia="zh-CN"/>
              </w:rPr>
              <w:t>项目属性：服务</w:t>
            </w:r>
          </w:p>
        </w:tc>
      </w:tr>
      <w:tr w14:paraId="333B97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530" w:type="dxa"/>
            <w:tcBorders>
              <w:top w:val="single" w:color="auto" w:sz="4" w:space="0"/>
              <w:bottom w:val="single" w:color="auto" w:sz="4" w:space="0"/>
              <w:tl2br w:val="nil"/>
              <w:tr2bl w:val="nil"/>
            </w:tcBorders>
            <w:vAlign w:val="center"/>
          </w:tcPr>
          <w:p w14:paraId="7623B9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992" w:type="dxa"/>
            <w:tcBorders>
              <w:top w:val="single" w:color="auto" w:sz="4" w:space="0"/>
              <w:tl2br w:val="nil"/>
              <w:tr2bl w:val="nil"/>
            </w:tcBorders>
            <w:vAlign w:val="center"/>
          </w:tcPr>
          <w:p w14:paraId="0C07B86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是否允许合同分包：□允许  </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 xml:space="preserve"> 不允许</w:t>
            </w:r>
          </w:p>
        </w:tc>
      </w:tr>
      <w:tr w14:paraId="39F9CC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530" w:type="dxa"/>
            <w:tcBorders>
              <w:top w:val="single" w:color="auto" w:sz="4" w:space="0"/>
              <w:bottom w:val="single" w:color="auto" w:sz="4" w:space="0"/>
              <w:tl2br w:val="nil"/>
              <w:tr2bl w:val="nil"/>
            </w:tcBorders>
            <w:vAlign w:val="center"/>
          </w:tcPr>
          <w:p w14:paraId="4D4BBF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992" w:type="dxa"/>
            <w:tcBorders>
              <w:top w:val="single" w:color="auto" w:sz="4" w:space="0"/>
              <w:tl2br w:val="nil"/>
              <w:tr2bl w:val="nil"/>
            </w:tcBorders>
            <w:vAlign w:val="center"/>
          </w:tcPr>
          <w:p w14:paraId="285BC14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highlight w:val="none"/>
              </w:rPr>
              <w:t>合同履约期限</w:t>
            </w:r>
            <w:r>
              <w:rPr>
                <w:rFonts w:hint="eastAsia" w:ascii="仿宋" w:hAnsi="仿宋" w:eastAsia="仿宋" w:cs="仿宋"/>
                <w:sz w:val="24"/>
                <w:szCs w:val="24"/>
                <w:highlight w:val="none"/>
                <w:lang w:val="en-US" w:eastAsia="zh-CN"/>
              </w:rPr>
              <w:t>：</w:t>
            </w:r>
            <w:r>
              <w:rPr>
                <w:rFonts w:hint="eastAsia" w:ascii="仿宋" w:hAnsi="仿宋" w:eastAsia="仿宋" w:cs="宋体"/>
                <w:color w:val="auto"/>
                <w:sz w:val="24"/>
                <w:highlight w:val="none"/>
                <w:lang w:val="en-US" w:eastAsia="zh-CN"/>
              </w:rPr>
              <w:t>以甲乙双方签订合同为准</w:t>
            </w:r>
          </w:p>
        </w:tc>
      </w:tr>
      <w:tr w14:paraId="5B8AE9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530" w:type="dxa"/>
            <w:tcBorders>
              <w:top w:val="single" w:color="auto" w:sz="4" w:space="0"/>
              <w:bottom w:val="single" w:color="auto" w:sz="4" w:space="0"/>
              <w:tl2br w:val="nil"/>
              <w:tr2bl w:val="nil"/>
            </w:tcBorders>
            <w:vAlign w:val="center"/>
          </w:tcPr>
          <w:p w14:paraId="17F753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992" w:type="dxa"/>
            <w:tcBorders>
              <w:top w:val="single" w:color="auto" w:sz="4" w:space="0"/>
              <w:tl2br w:val="nil"/>
              <w:tr2bl w:val="nil"/>
            </w:tcBorders>
            <w:vAlign w:val="center"/>
          </w:tcPr>
          <w:p w14:paraId="79D99D3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仿宋" w:hAnsi="仿宋" w:eastAsia="仿宋" w:cs="仿宋"/>
                <w:b w:val="0"/>
                <w:bCs w:val="0"/>
                <w:kern w:val="2"/>
                <w:sz w:val="24"/>
                <w:szCs w:val="24"/>
                <w:highlight w:val="yellow"/>
                <w:lang w:val="en-US" w:eastAsia="zh-CN" w:bidi="ar-SA"/>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HYPERLINK "mailto:开标结束后，请将生成的备份标书（未加密）发邮箱593778797@qq.com。填写邮件时标题\“项目简称+公司全称\”。" </w:instrText>
            </w:r>
            <w:r>
              <w:rPr>
                <w:rFonts w:hint="eastAsia" w:ascii="仿宋" w:hAnsi="仿宋" w:eastAsia="仿宋" w:cs="仿宋"/>
                <w:kern w:val="0"/>
                <w:sz w:val="24"/>
                <w:szCs w:val="24"/>
                <w:highlight w:val="none"/>
              </w:rPr>
              <w:fldChar w:fldCharType="separate"/>
            </w:r>
            <w:r>
              <w:rPr>
                <w:rStyle w:val="32"/>
                <w:rFonts w:hint="eastAsia" w:ascii="仿宋" w:hAnsi="仿宋" w:eastAsia="仿宋" w:cs="仿宋"/>
                <w:color w:val="auto"/>
                <w:kern w:val="0"/>
                <w:sz w:val="24"/>
                <w:szCs w:val="24"/>
                <w:highlight w:val="none"/>
                <w:u w:val="none"/>
              </w:rPr>
              <w:t>开标结束后</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lang w:eastAsia="zh-CN"/>
              </w:rPr>
              <w:t>，</w:t>
            </w:r>
            <w:r>
              <w:rPr>
                <w:rFonts w:hint="eastAsia" w:ascii="仿宋" w:hAnsi="仿宋" w:eastAsia="仿宋" w:cs="仿宋"/>
                <w:sz w:val="24"/>
                <w:szCs w:val="24"/>
                <w:highlight w:val="none"/>
              </w:rPr>
              <w:t>中标单位需在中标后五个工作日内提供纸质版</w:t>
            </w:r>
            <w:r>
              <w:rPr>
                <w:rFonts w:hint="eastAsia" w:ascii="仿宋" w:hAnsi="仿宋" w:eastAsia="仿宋" w:cs="仿宋"/>
                <w:sz w:val="24"/>
                <w:szCs w:val="24"/>
                <w:highlight w:val="none"/>
                <w:lang w:eastAsia="zh-CN"/>
              </w:rPr>
              <w:t>响应文件正本</w:t>
            </w:r>
            <w:r>
              <w:rPr>
                <w:rFonts w:hint="eastAsia" w:ascii="仿宋" w:hAnsi="仿宋" w:eastAsia="仿宋" w:cs="仿宋"/>
                <w:sz w:val="24"/>
                <w:szCs w:val="24"/>
                <w:highlight w:val="none"/>
                <w:lang w:val="en-US" w:eastAsia="zh-CN"/>
              </w:rPr>
              <w:t>1份，副本2份</w:t>
            </w:r>
            <w:r>
              <w:rPr>
                <w:rFonts w:hint="eastAsia" w:ascii="仿宋" w:hAnsi="仿宋" w:eastAsia="仿宋" w:cs="仿宋"/>
                <w:sz w:val="24"/>
                <w:szCs w:val="24"/>
                <w:highlight w:val="none"/>
              </w:rPr>
              <w:t>，至新疆乌鲁木齐市新市区新医路9号诚信大厦1单元2105室 。（要求盖章+胶装）</w:t>
            </w:r>
          </w:p>
        </w:tc>
      </w:tr>
      <w:tr w14:paraId="073351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33" w:hRule="atLeast"/>
        </w:trPr>
        <w:tc>
          <w:tcPr>
            <w:tcW w:w="8522" w:type="dxa"/>
            <w:gridSpan w:val="2"/>
            <w:tcBorders>
              <w:tl2br w:val="nil"/>
              <w:tr2bl w:val="nil"/>
            </w:tcBorders>
            <w:vAlign w:val="center"/>
          </w:tcPr>
          <w:p w14:paraId="086C7B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适用于本供应商须知的额外增加的变动：</w:t>
            </w:r>
          </w:p>
          <w:p w14:paraId="6A1F34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1、关于本项目所有公告、公示在新疆(兵团）政府采购网发布。</w:t>
            </w:r>
          </w:p>
          <w:p w14:paraId="3083D1F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2、请参加磋商供应商随时关注本项目的澄清、答疑、变更事项。</w:t>
            </w:r>
          </w:p>
          <w:p w14:paraId="10C5FF1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3、本项目实行电子招投标，供应商须登录政采云平台申请获取采购文件，并通过政采云电子投标客户端制作响应文件，同时自行承担与投标有关的一切费用。</w:t>
            </w:r>
          </w:p>
          <w:p w14:paraId="38DC60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5A85ACA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5、有意向参与新疆区域电子开评标的供应商，可访问新疆数字证书认证中心官方网站（https://www.xjca.com.cn/）或下载“新疆政务通”APP自行进行申领。如需咨询，请联系新疆CA服务热线0991-2819290。</w:t>
            </w:r>
          </w:p>
          <w:p w14:paraId="7D8B1D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B661F1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ACEC55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lang w:val="en-US" w:eastAsia="zh-CN"/>
              </w:rPr>
            </w:pPr>
            <w:r>
              <w:rPr>
                <w:rFonts w:hint="eastAsia" w:ascii="仿宋" w:hAnsi="仿宋" w:eastAsia="仿宋" w:cs="仿宋"/>
                <w:lang w:val="en-US" w:eastAsia="zh-CN"/>
              </w:rPr>
              <w:t>8、供应商在开标前须提前配置好电脑浏览器（建议使用360浏览器或谷歌浏览器），开标时请使用制作加密电子响应文件的CA锁进行解密及报价确认。本项目响应文件解密时间定为30分钟，如供应商因自身原因导致在规定的时间无法正常解密，视为开标后撤销其响应文件，磋商保证金招标人有权不予退还。</w:t>
            </w:r>
          </w:p>
          <w:p w14:paraId="1B1F56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9、本项目磋商轮次：本项目进行两轮报价，第一轮报价为响应文件中首次报价，第二轮报价为最后报价。</w:t>
            </w:r>
            <w:r>
              <w:rPr>
                <w:rFonts w:hint="eastAsia" w:ascii="仿宋" w:hAnsi="仿宋" w:eastAsia="仿宋" w:cs="仿宋"/>
                <w:b/>
                <w:bCs/>
                <w:sz w:val="24"/>
                <w:szCs w:val="24"/>
                <w:lang w:val="en-US" w:eastAsia="zh-CN"/>
              </w:rPr>
              <w:t>如最后报价未要求填报报价明细表，则最后报价明细表报价</w:t>
            </w:r>
            <w:r>
              <w:rPr>
                <w:rFonts w:hint="eastAsia" w:ascii="仿宋" w:hAnsi="仿宋" w:eastAsia="仿宋" w:cs="仿宋"/>
                <w:b/>
                <w:bCs/>
                <w:sz w:val="24"/>
                <w:szCs w:val="24"/>
                <w:lang w:val="zh-CN" w:eastAsia="zh-CN"/>
              </w:rPr>
              <w:t>统一按</w:t>
            </w:r>
            <w:r>
              <w:rPr>
                <w:rFonts w:hint="eastAsia" w:ascii="仿宋" w:hAnsi="仿宋" w:eastAsia="仿宋" w:cs="仿宋"/>
                <w:b/>
                <w:bCs/>
                <w:sz w:val="24"/>
                <w:szCs w:val="24"/>
                <w:lang w:val="en-US" w:eastAsia="zh-CN"/>
              </w:rPr>
              <w:t>最终</w:t>
            </w:r>
            <w:r>
              <w:rPr>
                <w:rFonts w:hint="eastAsia" w:ascii="仿宋" w:hAnsi="仿宋" w:eastAsia="仿宋" w:cs="仿宋"/>
                <w:b/>
                <w:bCs/>
                <w:sz w:val="24"/>
                <w:szCs w:val="24"/>
                <w:lang w:val="zh-CN" w:eastAsia="zh-CN"/>
              </w:rPr>
              <w:t>总报价</w:t>
            </w:r>
            <w:r>
              <w:rPr>
                <w:rFonts w:hint="eastAsia" w:ascii="仿宋" w:hAnsi="仿宋" w:eastAsia="仿宋" w:cs="仿宋"/>
                <w:b/>
                <w:bCs/>
                <w:sz w:val="24"/>
                <w:szCs w:val="24"/>
                <w:lang w:val="en-US" w:eastAsia="zh-CN"/>
              </w:rPr>
              <w:t>与第一轮报价的调整</w:t>
            </w:r>
            <w:r>
              <w:rPr>
                <w:rFonts w:hint="eastAsia" w:ascii="仿宋" w:hAnsi="仿宋" w:eastAsia="仿宋" w:cs="仿宋"/>
                <w:b/>
                <w:bCs/>
                <w:sz w:val="24"/>
                <w:szCs w:val="24"/>
                <w:lang w:val="zh-CN" w:eastAsia="zh-CN"/>
              </w:rPr>
              <w:t>幅度调整，</w:t>
            </w:r>
            <w:r>
              <w:rPr>
                <w:rFonts w:hint="eastAsia" w:ascii="仿宋" w:hAnsi="仿宋" w:eastAsia="仿宋" w:cs="仿宋"/>
                <w:b/>
                <w:bCs/>
                <w:sz w:val="24"/>
                <w:szCs w:val="24"/>
                <w:lang w:val="en-US" w:eastAsia="zh-CN"/>
              </w:rPr>
              <w:t>采购文件中</w:t>
            </w:r>
            <w:r>
              <w:rPr>
                <w:rFonts w:hint="eastAsia" w:ascii="仿宋" w:hAnsi="仿宋" w:eastAsia="仿宋" w:cs="仿宋"/>
                <w:b/>
                <w:bCs/>
                <w:sz w:val="24"/>
                <w:szCs w:val="24"/>
                <w:lang w:val="zh-CN" w:eastAsia="zh-CN"/>
              </w:rPr>
              <w:t>明确列出的金额（</w:t>
            </w:r>
            <w:r>
              <w:rPr>
                <w:rFonts w:hint="eastAsia" w:ascii="仿宋" w:hAnsi="仿宋" w:eastAsia="仿宋" w:cs="仿宋"/>
                <w:b/>
                <w:bCs/>
                <w:sz w:val="24"/>
                <w:szCs w:val="24"/>
                <w:lang w:val="en-US" w:eastAsia="zh-CN"/>
              </w:rPr>
              <w:t>并要求按此金额包含在报价中，如工程项目的材料暂估价、专业工程暂估价、暂列金额等）不参与调整幅度计算</w:t>
            </w:r>
            <w:r>
              <w:rPr>
                <w:rFonts w:hint="eastAsia" w:ascii="仿宋" w:hAnsi="仿宋" w:eastAsia="仿宋" w:cs="仿宋"/>
                <w:b/>
                <w:bCs/>
                <w:sz w:val="24"/>
                <w:szCs w:val="24"/>
                <w:lang w:val="zh-CN" w:eastAsia="zh-CN"/>
              </w:rPr>
              <w:t>；</w:t>
            </w:r>
            <w:r>
              <w:rPr>
                <w:rFonts w:hint="eastAsia" w:ascii="仿宋" w:hAnsi="仿宋" w:eastAsia="仿宋" w:cs="仿宋"/>
                <w:b/>
                <w:bCs/>
                <w:sz w:val="24"/>
                <w:szCs w:val="24"/>
                <w:lang w:val="en-US" w:eastAsia="zh-CN"/>
              </w:rPr>
              <w:t>采购文件中</w:t>
            </w:r>
            <w:r>
              <w:rPr>
                <w:rFonts w:hint="eastAsia" w:ascii="仿宋" w:hAnsi="仿宋" w:eastAsia="仿宋" w:cs="仿宋"/>
                <w:b/>
                <w:bCs/>
                <w:sz w:val="24"/>
                <w:szCs w:val="24"/>
                <w:lang w:val="zh-CN" w:eastAsia="zh-CN"/>
              </w:rPr>
              <w:t>明确列出（</w:t>
            </w:r>
            <w:r>
              <w:rPr>
                <w:rFonts w:hint="eastAsia" w:ascii="仿宋" w:hAnsi="仿宋" w:eastAsia="仿宋" w:cs="仿宋"/>
                <w:b/>
                <w:bCs/>
                <w:sz w:val="24"/>
                <w:szCs w:val="24"/>
                <w:lang w:val="en-US" w:eastAsia="zh-CN"/>
              </w:rPr>
              <w:t>如工程项目的材料暂估价、专业工程暂估价、暂列金额等）的</w:t>
            </w:r>
            <w:r>
              <w:rPr>
                <w:rFonts w:hint="eastAsia" w:ascii="仿宋" w:hAnsi="仿宋" w:eastAsia="仿宋" w:cs="仿宋"/>
                <w:b/>
                <w:bCs/>
                <w:sz w:val="24"/>
                <w:szCs w:val="24"/>
                <w:lang w:val="zh-CN" w:eastAsia="zh-CN"/>
              </w:rPr>
              <w:t>金额</w:t>
            </w:r>
            <w:r>
              <w:rPr>
                <w:rFonts w:hint="eastAsia" w:ascii="仿宋" w:hAnsi="仿宋" w:eastAsia="仿宋" w:cs="仿宋"/>
                <w:b/>
                <w:bCs/>
                <w:sz w:val="24"/>
                <w:szCs w:val="24"/>
                <w:lang w:val="en-US" w:eastAsia="zh-CN"/>
              </w:rPr>
              <w:t>报价与采购文件保持一致</w:t>
            </w:r>
            <w:r>
              <w:rPr>
                <w:rFonts w:hint="eastAsia" w:ascii="仿宋" w:hAnsi="仿宋" w:eastAsia="仿宋" w:cs="仿宋"/>
                <w:b/>
                <w:bCs/>
                <w:sz w:val="24"/>
                <w:szCs w:val="24"/>
                <w:lang w:val="zh-CN" w:eastAsia="zh-CN"/>
              </w:rPr>
              <w:t>。</w:t>
            </w:r>
          </w:p>
        </w:tc>
      </w:tr>
    </w:tbl>
    <w:p w14:paraId="2BD0FA9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02929DD4">
      <w:pPr>
        <w:pStyle w:val="2"/>
        <w:numPr>
          <w:ilvl w:val="0"/>
          <w:numId w:val="5"/>
        </w:numPr>
        <w:bidi w:val="0"/>
        <w:jc w:val="center"/>
        <w:rPr>
          <w:rFonts w:hint="eastAsia" w:ascii="仿宋" w:hAnsi="仿宋" w:eastAsia="仿宋" w:cs="仿宋"/>
          <w:sz w:val="32"/>
          <w:szCs w:val="32"/>
          <w:lang w:val="en-US" w:eastAsia="zh-CN"/>
        </w:rPr>
      </w:pPr>
      <w:bookmarkStart w:id="10" w:name="_Toc13270"/>
      <w:r>
        <w:rPr>
          <w:rFonts w:hint="eastAsia" w:ascii="仿宋" w:hAnsi="仿宋" w:eastAsia="仿宋" w:cs="仿宋"/>
          <w:sz w:val="32"/>
          <w:szCs w:val="32"/>
          <w:lang w:val="en-US" w:eastAsia="zh-CN"/>
        </w:rPr>
        <w:t>供应商须知</w:t>
      </w:r>
      <w:bookmarkEnd w:id="10"/>
    </w:p>
    <w:p w14:paraId="095156C9">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rPr>
      </w:pPr>
      <w:bookmarkStart w:id="11" w:name="_Toc21962"/>
      <w:r>
        <w:rPr>
          <w:rFonts w:hint="eastAsia" w:ascii="仿宋" w:hAnsi="仿宋" w:eastAsia="仿宋" w:cs="仿宋"/>
          <w:b/>
          <w:bCs/>
          <w:sz w:val="24"/>
          <w:szCs w:val="24"/>
        </w:rPr>
        <w:t>说 明</w:t>
      </w:r>
      <w:bookmarkEnd w:id="11"/>
    </w:p>
    <w:p w14:paraId="416461E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采购人、采购代理机构及供应商</w:t>
      </w:r>
    </w:p>
    <w:p w14:paraId="6B830624">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采购人：是指依法进行政府采购的国家机构、事业单位、团体组织。</w:t>
      </w:r>
    </w:p>
    <w:p w14:paraId="7516C003">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采购代理机构：本次招标的采购代理机构为新疆恒晟华工程项目管理有限公司。</w:t>
      </w:r>
    </w:p>
    <w:p w14:paraId="74C9D752">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供应商：是指向采购人提供货物、工程或者服务的法人、其他组织或者自然人。</w:t>
      </w:r>
    </w:p>
    <w:p w14:paraId="434F7B3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供应商须满足以下条件：</w:t>
      </w:r>
    </w:p>
    <w:p w14:paraId="74A411B4">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具备《中华人民共和国政府采购法》第二十二条关于供应商条件的规定，遵守国家、本项目采购人本级和上级财政部门政府采购的有关规定。</w:t>
      </w:r>
    </w:p>
    <w:p w14:paraId="76AF655E">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以采购文件规定的方式获得了本项目的采购文件。</w:t>
      </w:r>
    </w:p>
    <w:p w14:paraId="5D4FFE25">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中规定的其他资格要求。</w:t>
      </w:r>
    </w:p>
    <w:p w14:paraId="6AECB63D">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符合</w:t>
      </w:r>
      <w:r>
        <w:rPr>
          <w:rFonts w:hint="eastAsia" w:ascii="仿宋" w:hAnsi="仿宋" w:eastAsia="仿宋" w:cs="仿宋"/>
          <w:b w:val="0"/>
          <w:bCs w:val="0"/>
          <w:sz w:val="24"/>
          <w:szCs w:val="24"/>
          <w:u w:val="single"/>
          <w:lang w:val="en-US" w:eastAsia="zh-CN"/>
        </w:rPr>
        <w:t>竞争性磋商公告</w:t>
      </w:r>
      <w:r>
        <w:rPr>
          <w:rFonts w:hint="eastAsia" w:ascii="仿宋" w:hAnsi="仿宋" w:eastAsia="仿宋" w:cs="仿宋"/>
          <w:b w:val="0"/>
          <w:bCs w:val="0"/>
          <w:sz w:val="24"/>
          <w:szCs w:val="24"/>
          <w:u w:val="none"/>
          <w:lang w:val="en-US" w:eastAsia="zh-CN"/>
        </w:rPr>
        <w:t>规定的本项目特定资格要求。</w:t>
      </w:r>
    </w:p>
    <w:p w14:paraId="782AE711">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如经财政主管部门批准可以采购进口产品，将在供应商须知前附表中写明。但供应商应保证所投产品可履行合法报海关手续进入中国关境内。若</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中未写明允许采购进口产品，如供应商所投产品为进口产品，其响应文件将作为</w:t>
      </w:r>
      <w:r>
        <w:rPr>
          <w:rFonts w:hint="eastAsia" w:ascii="仿宋" w:hAnsi="仿宋" w:eastAsia="仿宋" w:cs="仿宋"/>
          <w:b/>
          <w:bCs/>
          <w:sz w:val="24"/>
          <w:szCs w:val="24"/>
          <w:lang w:val="en-US" w:eastAsia="zh-CN"/>
        </w:rPr>
        <w:t>无效响应</w:t>
      </w:r>
      <w:r>
        <w:rPr>
          <w:rFonts w:hint="eastAsia" w:ascii="仿宋" w:hAnsi="仿宋" w:eastAsia="仿宋" w:cs="仿宋"/>
          <w:b w:val="0"/>
          <w:bCs w:val="0"/>
          <w:sz w:val="24"/>
          <w:szCs w:val="24"/>
          <w:lang w:val="en-US" w:eastAsia="zh-CN"/>
        </w:rPr>
        <w:t xml:space="preserve">被拒绝。 </w:t>
      </w:r>
    </w:p>
    <w:p w14:paraId="66282F10">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中小企业、监狱企业及残疾人福利性单位。</w:t>
      </w:r>
    </w:p>
    <w:p w14:paraId="3A653DE7">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采购标的对应的中小企业划分标准所属行业见</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w:t>
      </w:r>
    </w:p>
    <w:p w14:paraId="6DA75575">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若</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中写明专门面向中小企业采购的，如供应商所提供的货物为非中小企业制造或提供的服务、工程为非中小企业承接，其响应文件将被认定为</w:t>
      </w:r>
      <w:r>
        <w:rPr>
          <w:rFonts w:hint="eastAsia" w:ascii="仿宋" w:hAnsi="仿宋" w:eastAsia="仿宋" w:cs="仿宋"/>
          <w:b/>
          <w:bCs/>
          <w:sz w:val="24"/>
          <w:szCs w:val="24"/>
          <w:lang w:val="en-US" w:eastAsia="zh-CN"/>
        </w:rPr>
        <w:t>无效响应</w:t>
      </w:r>
      <w:r>
        <w:rPr>
          <w:rFonts w:hint="eastAsia" w:ascii="仿宋" w:hAnsi="仿宋" w:eastAsia="仿宋" w:cs="仿宋"/>
          <w:b w:val="0"/>
          <w:bCs w:val="0"/>
          <w:sz w:val="24"/>
          <w:szCs w:val="24"/>
          <w:lang w:val="en-US" w:eastAsia="zh-CN"/>
        </w:rPr>
        <w:t>。承接企业如为监狱企业或残疾人福利性单位的，视同为小型、微型企业。本项目是否面向中小企业采购预留份额、措施及比例见</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，未达到上述比例的响应文件将被认定为</w:t>
      </w:r>
      <w:r>
        <w:rPr>
          <w:rFonts w:hint="eastAsia" w:ascii="仿宋" w:hAnsi="仿宋" w:eastAsia="仿宋" w:cs="仿宋"/>
          <w:b/>
          <w:bCs/>
          <w:sz w:val="24"/>
          <w:szCs w:val="24"/>
          <w:lang w:val="en-US" w:eastAsia="zh-CN"/>
        </w:rPr>
        <w:t>无效响应</w:t>
      </w:r>
      <w:r>
        <w:rPr>
          <w:rFonts w:hint="eastAsia" w:ascii="仿宋" w:hAnsi="仿宋" w:eastAsia="仿宋" w:cs="仿宋"/>
          <w:b w:val="0"/>
          <w:bCs w:val="0"/>
          <w:sz w:val="24"/>
          <w:szCs w:val="24"/>
          <w:lang w:val="en-US" w:eastAsia="zh-CN"/>
        </w:rPr>
        <w:t>。承接企业如为监狱企业或残疾人福利性单位的，视同为小型、微型企业。</w:t>
      </w:r>
    </w:p>
    <w:p w14:paraId="1969DBBA">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911362D">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供应商提供的货物、工程或者服务符合下列情形的，享受中小企业扶持政策：</w:t>
      </w:r>
    </w:p>
    <w:p w14:paraId="5585597D">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在货物采购项目中，货物由中小企业制造，即货物由中小企业生产且使用该中小企业商号或者注册商标；</w:t>
      </w:r>
    </w:p>
    <w:p w14:paraId="44A296C8">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在工程采购项目中，工程由中小企业承建，即工程施工单位为中小企业；</w:t>
      </w:r>
    </w:p>
    <w:p w14:paraId="4E023143">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在服务采购项目中，服务由中小企业承接，即提供服务的人员为中小企业依照《中华人民共和国劳动合同法》订立劳动合同的从业人员。 </w:t>
      </w:r>
    </w:p>
    <w:p w14:paraId="636195A3">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在货物采购项目中，供应商提供的货物既有中小企业制造货物，也有大型企业制造货物的，不享受中小企业扶持政策。 </w:t>
      </w:r>
    </w:p>
    <w:p w14:paraId="1ECAB8B8">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以联合体形式参加政府采购活动，联合体各方均为中小企业的，联合体视同中小企业。其中，联合体各方均为小微企业的，联合体视同小微企业。</w:t>
      </w:r>
    </w:p>
    <w:p w14:paraId="28658B72">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3ED87A78">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享受政府采购支持政策的残疾人福利性单位根据《关于促进残疾人就业政府采购政策的通知》（财库〔2017〕141号）应当同时满足以下条件： </w:t>
      </w:r>
    </w:p>
    <w:p w14:paraId="75871D6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安置的残疾人占本单位在职职工人数的比例不低于25%（含25%），并且安置的残疾人人数不少于10人（含10人）； </w:t>
      </w:r>
    </w:p>
    <w:p w14:paraId="673CFEC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依法与安置的每位残疾人签订了一年以上（含一年）的劳动合同或服务协议；</w:t>
      </w:r>
    </w:p>
    <w:p w14:paraId="5B4A6F7C">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为安置的每位残疾人按月足额缴纳了基本养老保险、基本医疗保险、失业保险、工伤保险和生育保险等社会保险费；</w:t>
      </w:r>
    </w:p>
    <w:p w14:paraId="6E4DB01E">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通过银行等金融机构向安置的每位残疾人，按月支付了不低于单位所在区县适用的经省级人民政府批准的月最低工资标准的工资；</w:t>
      </w:r>
    </w:p>
    <w:p w14:paraId="2E9192C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提供本单位制造的货物、承担的工程或者服务，或者提供其他残疾人福利性单位制造的货物（不包括使用非残疾人福利性单位注册商标的货物）。</w:t>
      </w:r>
    </w:p>
    <w:p w14:paraId="0A2EB90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B9BB75">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享受中小企业扶持政策获得政府采购合同的，小微企业不得将合同分包给大中型企业，中型企业不得将合同分包给大型企业。</w:t>
      </w:r>
    </w:p>
    <w:p w14:paraId="2A25061C">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政府采购节能产品、环境标志产品</w:t>
      </w:r>
    </w:p>
    <w:p w14:paraId="066D831B">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CFAC55D">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57846FAB">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如本项目采购产品属于实施政府强制采购品目清单范围的节能产品，则供应商所报产品必须获得国家确定的认证机构出具的、处于有效期之内的节能产品认证证书，否则为</w:t>
      </w:r>
      <w:r>
        <w:rPr>
          <w:rFonts w:hint="eastAsia" w:ascii="仿宋" w:hAnsi="仿宋" w:eastAsia="仿宋" w:cs="仿宋"/>
          <w:b/>
          <w:bCs/>
          <w:sz w:val="24"/>
          <w:szCs w:val="24"/>
          <w:lang w:val="en-US" w:eastAsia="zh-CN"/>
        </w:rPr>
        <w:t>无效响应</w:t>
      </w:r>
      <w:r>
        <w:rPr>
          <w:rFonts w:hint="eastAsia" w:ascii="仿宋" w:hAnsi="仿宋" w:eastAsia="仿宋" w:cs="仿宋"/>
          <w:b w:val="0"/>
          <w:bCs w:val="0"/>
          <w:sz w:val="24"/>
          <w:szCs w:val="24"/>
          <w:lang w:val="en-US" w:eastAsia="zh-CN"/>
        </w:rPr>
        <w:t>；</w:t>
      </w:r>
    </w:p>
    <w:p w14:paraId="7220613C">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非政府强制采购的节能产品或环境标志产品，依据品目清单和认证证书实施政府优先采购。优先采购的具体规定见第六章《评标程序、评标方法和评标标准》（如涉及）。</w:t>
      </w:r>
    </w:p>
    <w:p w14:paraId="4D2CC481">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支持乡村产业振兴管理</w:t>
      </w:r>
    </w:p>
    <w:p w14:paraId="58C1AD0A">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1DDE2D57">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正版软件</w:t>
      </w:r>
    </w:p>
    <w:p w14:paraId="6711ECEE">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为</w:t>
      </w:r>
      <w:r>
        <w:rPr>
          <w:rFonts w:hint="eastAsia" w:ascii="仿宋" w:hAnsi="仿宋" w:eastAsia="仿宋" w:cs="仿宋"/>
          <w:b/>
          <w:bCs/>
          <w:sz w:val="24"/>
          <w:szCs w:val="24"/>
          <w:lang w:val="en-US" w:eastAsia="zh-CN"/>
        </w:rPr>
        <w:t>无效响应</w:t>
      </w:r>
      <w:r>
        <w:rPr>
          <w:rFonts w:hint="eastAsia" w:ascii="仿宋" w:hAnsi="仿宋" w:eastAsia="仿宋" w:cs="仿宋"/>
          <w:b w:val="0"/>
          <w:bCs w:val="0"/>
          <w:sz w:val="24"/>
          <w:szCs w:val="24"/>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490E8F2">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3B8B7435">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信息安全产品</w:t>
      </w:r>
    </w:p>
    <w:p w14:paraId="4893BF26">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所投产品属于《关于调整信息安全产品强制性认证实施要求的公告》（2009 年第 33 号）范围的，采购经国家认证的信息安全产品，否则为</w:t>
      </w:r>
      <w:r>
        <w:rPr>
          <w:rFonts w:hint="eastAsia" w:ascii="仿宋" w:hAnsi="仿宋" w:eastAsia="仿宋" w:cs="仿宋"/>
          <w:b/>
          <w:bCs/>
          <w:sz w:val="24"/>
          <w:szCs w:val="24"/>
          <w:lang w:val="en-US" w:eastAsia="zh-CN"/>
        </w:rPr>
        <w:t>无效响应</w:t>
      </w:r>
      <w:r>
        <w:rPr>
          <w:rFonts w:hint="eastAsia" w:ascii="仿宋" w:hAnsi="仿宋" w:eastAsia="仿宋" w:cs="仿宋"/>
          <w:b w:val="0"/>
          <w:bCs w:val="0"/>
          <w:sz w:val="24"/>
          <w:szCs w:val="24"/>
          <w:lang w:val="en-US" w:eastAsia="zh-CN"/>
        </w:rPr>
        <w:t>。关于信息安全相关规定依据《关于信息安全产品实施政府采购的通知》（财库〔2010〕48 号）。</w:t>
      </w:r>
    </w:p>
    <w:p w14:paraId="0CFFDCE7">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中允许联合体投标，对联合体规定如下：</w:t>
      </w:r>
    </w:p>
    <w:p w14:paraId="5B0D9D8A">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两个以上供应商可以组成一个联合体，以一个供应商的身份参加采购活动。</w:t>
      </w:r>
    </w:p>
    <w:p w14:paraId="2C196863">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联合体各方均应符合《中华人民共和国政府采购法》第二十二条规定的条件，遵守国家、本项目采购人本级和上级财政部门政府采购的有关规定。</w:t>
      </w:r>
    </w:p>
    <w:p w14:paraId="7A22C0BC">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采购人根据采购项目对供应商的特殊要求，联合体中至少应当有一方符合相关规定。</w:t>
      </w:r>
    </w:p>
    <w:p w14:paraId="0AE4B73F">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联合体各方应签订联合体协议，明确约定联合体各方承担的工作和相应的责任，并将联合体连同响应文件一并提交采购人或采购代理机构。</w:t>
      </w:r>
    </w:p>
    <w:p w14:paraId="51D5EBD3">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中型企业、自然人、法人或者其他组织与小型、微型企业组成联合体共同参加采购活动，共同联合体协议中应写明小型、微型企业的协议合同金额占到联合体协议报价总金额的比例。联合体各方均为中小企业的，联合体视同中小企业。其中，联合体各方均为小微企业的，联合体视同小微企业。</w:t>
      </w:r>
    </w:p>
    <w:p w14:paraId="4E089312">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联合体中有同类资质的供应商按照联合体分工承担相同工作的，按照资质等级较低的供应商确定资质等级。</w:t>
      </w:r>
    </w:p>
    <w:p w14:paraId="292CD945">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对联合体投标的其他资格要求见</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w:t>
      </w:r>
    </w:p>
    <w:p w14:paraId="3DAEA144">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单位负责人为同一人或者存在直接控股、管理关系的不同供应商，其响应文件将被认定为</w:t>
      </w:r>
      <w:r>
        <w:rPr>
          <w:rFonts w:hint="eastAsia" w:ascii="仿宋" w:hAnsi="仿宋" w:eastAsia="仿宋" w:cs="仿宋"/>
          <w:b/>
          <w:bCs/>
          <w:sz w:val="24"/>
          <w:szCs w:val="24"/>
          <w:lang w:val="en-US" w:eastAsia="zh-CN"/>
        </w:rPr>
        <w:t>无效响应</w:t>
      </w:r>
      <w:r>
        <w:rPr>
          <w:rFonts w:hint="eastAsia" w:ascii="仿宋" w:hAnsi="仿宋" w:eastAsia="仿宋" w:cs="仿宋"/>
          <w:b w:val="0"/>
          <w:bCs w:val="0"/>
          <w:sz w:val="24"/>
          <w:szCs w:val="24"/>
          <w:lang w:val="en-US" w:eastAsia="zh-CN"/>
        </w:rPr>
        <w:t xml:space="preserve">。 </w:t>
      </w:r>
    </w:p>
    <w:p w14:paraId="7C03A278">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为本项目提供整体设计、规范编制或者项目管理、监理、检测等服务的供应商，其响应文件将被认定为</w:t>
      </w:r>
      <w:r>
        <w:rPr>
          <w:rFonts w:hint="eastAsia" w:ascii="仿宋" w:hAnsi="仿宋" w:eastAsia="仿宋" w:cs="仿宋"/>
          <w:b/>
          <w:bCs/>
          <w:sz w:val="24"/>
          <w:szCs w:val="24"/>
          <w:lang w:val="en-US" w:eastAsia="zh-CN"/>
        </w:rPr>
        <w:t>无效响应</w:t>
      </w:r>
      <w:r>
        <w:rPr>
          <w:rFonts w:hint="eastAsia" w:ascii="仿宋" w:hAnsi="仿宋" w:eastAsia="仿宋" w:cs="仿宋"/>
          <w:b w:val="0"/>
          <w:bCs w:val="0"/>
          <w:sz w:val="24"/>
          <w:szCs w:val="24"/>
          <w:lang w:val="en-US" w:eastAsia="zh-CN"/>
        </w:rPr>
        <w:t>。</w:t>
      </w:r>
    </w:p>
    <w:p w14:paraId="79C97E7A">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资金来源 </w:t>
      </w:r>
    </w:p>
    <w:p w14:paraId="00DB797B">
      <w:pPr>
        <w:keepNext w:val="0"/>
        <w:keepLines w:val="0"/>
        <w:pageBreakBefore w:val="0"/>
        <w:widowControl w:val="0"/>
        <w:numPr>
          <w:ilvl w:val="1"/>
          <w:numId w:val="11"/>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本项目的采购人已获得足以支付本次采购活动后所签订的合同项下的资金（包括财政性资金和本项目采购中无法与财政性资金分割的非财政性资金）。 </w:t>
      </w:r>
    </w:p>
    <w:p w14:paraId="2E40B43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项目预算金额和最高限价见</w:t>
      </w:r>
      <w:r>
        <w:rPr>
          <w:rFonts w:hint="eastAsia" w:ascii="仿宋" w:hAnsi="仿宋" w:eastAsia="仿宋" w:cs="仿宋"/>
          <w:sz w:val="24"/>
          <w:szCs w:val="24"/>
          <w:u w:val="single"/>
          <w:lang w:val="en-US" w:eastAsia="zh-CN"/>
        </w:rPr>
        <w:t>供应商须知前附表</w:t>
      </w:r>
      <w:r>
        <w:rPr>
          <w:rFonts w:hint="eastAsia" w:ascii="仿宋" w:hAnsi="仿宋" w:eastAsia="仿宋" w:cs="仿宋"/>
          <w:sz w:val="24"/>
          <w:szCs w:val="24"/>
          <w:lang w:val="en-US" w:eastAsia="zh-CN"/>
        </w:rPr>
        <w:t>。</w:t>
      </w:r>
    </w:p>
    <w:p w14:paraId="0DB248F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供应商报价超过采购文件规定的预算金额或者最高限价的，其响应文件将被认定为</w:t>
      </w:r>
      <w:r>
        <w:rPr>
          <w:rFonts w:hint="eastAsia" w:ascii="仿宋" w:hAnsi="仿宋" w:eastAsia="仿宋" w:cs="仿宋"/>
          <w:b/>
          <w:bCs/>
          <w:sz w:val="24"/>
          <w:szCs w:val="24"/>
          <w:lang w:val="en-US" w:eastAsia="zh-CN"/>
        </w:rPr>
        <w:t>无效响应</w:t>
      </w:r>
      <w:r>
        <w:rPr>
          <w:rFonts w:hint="eastAsia" w:ascii="仿宋" w:hAnsi="仿宋" w:eastAsia="仿宋" w:cs="仿宋"/>
          <w:sz w:val="24"/>
          <w:szCs w:val="24"/>
          <w:lang w:val="en-US" w:eastAsia="zh-CN"/>
        </w:rPr>
        <w:t>。</w:t>
      </w:r>
    </w:p>
    <w:p w14:paraId="509B508F">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费用</w:t>
      </w:r>
    </w:p>
    <w:p w14:paraId="1FC740D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供应商应自行承担所有与准备和参加采购活动有关的费用，无论结果如何，采购人或采购代理机构在任何情况下均无承担这些费用的义务和责任。</w:t>
      </w:r>
    </w:p>
    <w:p w14:paraId="31C614B9">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适用法律</w:t>
      </w:r>
    </w:p>
    <w:p w14:paraId="41EBC7E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采购人、采购代理机构、供应商、评审专家的相关行为均受《中华人民共和国政府采购法》、《中华人民共和国政府采购法实施条例》、《政府采购竞争性磋商采购方式管理暂行办法》（财库〔2014〕214号）及本项目本级和上级财政部门政府采购有关规定的约束，其权利受到上述法律法规的保护。</w:t>
      </w:r>
    </w:p>
    <w:p w14:paraId="20FE38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sz w:val="24"/>
          <w:szCs w:val="24"/>
          <w:lang w:val="en-US" w:eastAsia="zh-CN"/>
        </w:rPr>
      </w:pPr>
    </w:p>
    <w:p w14:paraId="55BA4B02">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2" w:name="_Toc5010"/>
      <w:r>
        <w:rPr>
          <w:rFonts w:hint="eastAsia" w:ascii="仿宋" w:hAnsi="仿宋" w:eastAsia="仿宋" w:cs="仿宋"/>
          <w:b/>
          <w:bCs/>
          <w:sz w:val="24"/>
          <w:szCs w:val="24"/>
          <w:lang w:val="en-US" w:eastAsia="zh-CN"/>
        </w:rPr>
        <w:t>采购文件</w:t>
      </w:r>
      <w:bookmarkEnd w:id="12"/>
    </w:p>
    <w:p w14:paraId="6BE5F28E">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采购文件构成</w:t>
      </w:r>
    </w:p>
    <w:p w14:paraId="6ED443B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采购文件包括以下部分：</w:t>
      </w:r>
    </w:p>
    <w:p w14:paraId="0A406B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第一章 竞争性磋商公告 </w:t>
      </w:r>
    </w:p>
    <w:p w14:paraId="5BD9AB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第二章 供应商须知前附表 </w:t>
      </w:r>
    </w:p>
    <w:p w14:paraId="714B3C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第三章 供应商须知</w:t>
      </w:r>
    </w:p>
    <w:p w14:paraId="4A2BD9D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第四章 政府采购合同 </w:t>
      </w:r>
    </w:p>
    <w:p w14:paraId="6215D5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第五章 采购需求 </w:t>
      </w:r>
    </w:p>
    <w:p w14:paraId="4B188A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第六章 评标程序、评标方法和评标标准</w:t>
      </w:r>
    </w:p>
    <w:p w14:paraId="05E005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第七章 响应文件格式   </w:t>
      </w:r>
    </w:p>
    <w:p w14:paraId="2CCC3A7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供应商应认真阅读采购文件的全部内容。供应商应按照采购文件要求提交响应文件并保证所提供的全部资料的真实性，并对采购文件做出实质性响应，否则其响应文件将被认定为</w:t>
      </w:r>
      <w:r>
        <w:rPr>
          <w:rFonts w:hint="eastAsia" w:ascii="仿宋" w:hAnsi="仿宋" w:eastAsia="仿宋" w:cs="仿宋"/>
          <w:b/>
          <w:bCs/>
          <w:sz w:val="24"/>
          <w:szCs w:val="24"/>
          <w:lang w:val="en-US" w:eastAsia="zh-CN"/>
        </w:rPr>
        <w:t>响应无效。</w:t>
      </w:r>
    </w:p>
    <w:p w14:paraId="57C7DE4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采购文件中有不一致的，有澄清的部分以最终的澄清更正内容为准；未澄清的，以供应商须知前附表为准；供应商须知前附表不涉及的内容，以编排在后的最后描述为准。</w:t>
      </w:r>
    </w:p>
    <w:p w14:paraId="2CD50AB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现场考察或者答疑会及相关事项见</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w:t>
      </w:r>
    </w:p>
    <w:p w14:paraId="74B462F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采购人在踏勘现场中介绍的资料和数据等，只是为了使供应商能够利用采购人现有的资料。采购人对供应商由此而作出的推论、解释和结论概不负责。</w:t>
      </w:r>
    </w:p>
    <w:p w14:paraId="343F5EA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供应商自行承担踏勘现场发生的责任、风险和自身费用。</w:t>
      </w:r>
    </w:p>
    <w:p w14:paraId="76B8187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原则上采购人、采购代理机构不要求供应商提供样品。除仅凭书面方式不能准确描述采购需求，或者需要对样品进行主观判断以确认是否满足采购需求等特殊情况除外。如需提供样品，对样品相关要求见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，对样品的评审方法及评审标准见采购文件第六章《评标程序、评标方法和评标标准》。</w:t>
      </w:r>
    </w:p>
    <w:p w14:paraId="4826199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采购文件规定供应商提交样品的，样品属于响应文件的组成部分。样品的生产、运输、安装、保全等一切费用由供应商自理。</w:t>
      </w:r>
    </w:p>
    <w:p w14:paraId="0E123BB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10428EA3">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对采购文件的澄清或修改</w:t>
      </w:r>
    </w:p>
    <w:p w14:paraId="4B24730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对已发出的采购文件进行必要澄清或者修改的，将在原公告发布媒体（网站）上发布更正公告（通知），因供应商未及时登陆媒体（网站）查看导致通知未及时收到通知的，采购人或采购代理机构不承担责任。</w:t>
      </w:r>
    </w:p>
    <w:p w14:paraId="2A09D6B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更正公告及其所发布的内容或信息（包括但不限于：采购文件的澄清或修改、现场考察或答疑会的有关事宜等）作为采购文件的组成部分，对供应商具有约束力。一经在指定媒体上发布后，更正公告将作为通知所有采购文件收受人的书面形式。</w:t>
      </w:r>
    </w:p>
    <w:p w14:paraId="560DE0D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澄清或者修改的内容为采购文件的组成部分，并对所有获取采购文件的供应商具有约束力。澄清或者修改的内容可能影响采购文件编制的，将在投标截止时间至少 5 日前发布；不足 5 日的，将顺延提交响应文件的截止时间和开标时间。</w:t>
      </w:r>
    </w:p>
    <w:p w14:paraId="10CDFDA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为了保证对采购文件的澄清和修改满足法律的时限要求，任何要求对采购文件进行澄清的供应商，均应在投标截止期 5 日前，以书面形式将澄清要求通知采购人或采购代理机构。</w:t>
      </w:r>
    </w:p>
    <w:p w14:paraId="5CE5A00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如更正公告有重新发布电子采购文件的，供应商应登录电子招投标平台下载最新发布的电子采购文件制作响应文件。</w:t>
      </w:r>
    </w:p>
    <w:p w14:paraId="5DFD6EE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供应商在规定的时间内未对采购文件提出疑问、质疑或要求澄清的，将视其为无异议。对采购文件中描述有歧义或前后不一致的地方，磋商小组有权进行评判，但对同一条款的评判应适用于每个供应商。</w:t>
      </w:r>
    </w:p>
    <w:p w14:paraId="72673F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1CF35C7E">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3" w:name="_Toc29248"/>
      <w:r>
        <w:rPr>
          <w:rFonts w:hint="eastAsia" w:ascii="仿宋" w:hAnsi="仿宋" w:eastAsia="仿宋" w:cs="仿宋"/>
          <w:b/>
          <w:bCs/>
          <w:sz w:val="24"/>
          <w:szCs w:val="24"/>
          <w:lang w:val="en-US" w:eastAsia="zh-CN"/>
        </w:rPr>
        <w:t>响应文件的编制</w:t>
      </w:r>
      <w:bookmarkEnd w:id="13"/>
    </w:p>
    <w:p w14:paraId="628C1480">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响应范围、响应文件中计量单位的使用及磋商语言</w:t>
      </w:r>
    </w:p>
    <w:p w14:paraId="75C6010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供应商可对采购文件中一个或几个分包进行响应，除非在</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 xml:space="preserve">中另有规定。 </w:t>
      </w:r>
    </w:p>
    <w:p w14:paraId="43A811F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供应商应当对所投采购包对应第五章《采购需求》所列的全部内容进行响应，如仅响应采购包中的部分内容，其该包响应文件将被认定为</w:t>
      </w:r>
      <w:r>
        <w:rPr>
          <w:rFonts w:hint="eastAsia" w:ascii="仿宋" w:hAnsi="仿宋" w:eastAsia="仿宋" w:cs="仿宋"/>
          <w:b/>
          <w:bCs/>
          <w:sz w:val="24"/>
          <w:szCs w:val="24"/>
          <w:lang w:val="en-US" w:eastAsia="zh-CN"/>
        </w:rPr>
        <w:t>响应无效</w:t>
      </w:r>
      <w:r>
        <w:rPr>
          <w:rFonts w:hint="eastAsia" w:ascii="仿宋" w:hAnsi="仿宋" w:eastAsia="仿宋" w:cs="仿宋"/>
          <w:b w:val="0"/>
          <w:bCs w:val="0"/>
          <w:sz w:val="24"/>
          <w:szCs w:val="24"/>
          <w:lang w:val="en-US" w:eastAsia="zh-CN"/>
        </w:rPr>
        <w:t>。</w:t>
      </w:r>
    </w:p>
    <w:p w14:paraId="204D8F4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无论采购文件中是否要求，供应商所投货物或服务或工程均应符合国家强制性标准。</w:t>
      </w:r>
    </w:p>
    <w:p w14:paraId="071A5E61">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除采购文件有特殊要求外，本项目磋商所使用的计量单位，应采用中华人民共和国法定计量单位。</w:t>
      </w:r>
    </w:p>
    <w:p w14:paraId="1356E8F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4940B2C">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响应文件构成</w:t>
      </w:r>
    </w:p>
    <w:p w14:paraId="105867C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供应商应当按照采购文件的要求编制响应文件。响应文件应由资格证明文件、报价文件、商务技术文件三部分构成。响应文件的部分格式要求，见第七章《响应文件格式》。</w:t>
      </w:r>
    </w:p>
    <w:p w14:paraId="4997CC0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第五章《采购需求》及第六章《评标程序、评标方法和评标标准》中涉及的证明文件。</w:t>
      </w:r>
    </w:p>
    <w:p w14:paraId="377DBF7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照第五章《采购需求》，说明所提供货物或服务或工程已对第五章《采购需求》做出了响应，或申明与第五章《采购需求》的偏差和例外。如第五章《采购需求》中要求提供证明文件的，供应商应当按具体要求提供证明文件。</w:t>
      </w:r>
    </w:p>
    <w:p w14:paraId="673802D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供应商认为应附的其他材料。</w:t>
      </w:r>
    </w:p>
    <w:p w14:paraId="448655C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上述文件应按照采购文件的规定签署和盖公章或经公章授权的其他单位章（以下统称公章）。采用公章授权方式的，应当在响应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采购文件要求在响应文件指定位置进行签名（含电子签名）和盖章（含电子印章），对允许采用手写签名的文件，应在纸质文件手写签名后，提供文件的彩色扫描电子文档进行后续操作。</w:t>
      </w:r>
    </w:p>
    <w:p w14:paraId="5A5383B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响应报价</w:t>
      </w:r>
    </w:p>
    <w:p w14:paraId="5C4E844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所有响应均以人民币报价。</w:t>
      </w:r>
    </w:p>
    <w:p w14:paraId="3E3140E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的报价应当包括满足本次采购文件全部采购需求所应提供的全部内容。供应商的响应报价应遵守《中华人民共和国价格法》。同时，根据《中华人民共和国政府采购法》及相关配套法律、法规的规定，为保证公平竞争，如供应商有赠与行为的，将导致其</w:t>
      </w:r>
      <w:r>
        <w:rPr>
          <w:rFonts w:hint="eastAsia" w:ascii="仿宋" w:hAnsi="仿宋" w:eastAsia="仿宋" w:cs="仿宋"/>
          <w:b/>
          <w:bCs/>
          <w:sz w:val="24"/>
          <w:szCs w:val="24"/>
          <w:lang w:val="en-US" w:eastAsia="zh-CN"/>
        </w:rPr>
        <w:t>响应文件被拒绝</w:t>
      </w:r>
      <w:r>
        <w:rPr>
          <w:rFonts w:hint="eastAsia" w:ascii="仿宋" w:hAnsi="仿宋" w:eastAsia="仿宋" w:cs="仿宋"/>
          <w:b w:val="0"/>
          <w:bCs w:val="0"/>
          <w:sz w:val="24"/>
          <w:szCs w:val="24"/>
          <w:lang w:val="en-US" w:eastAsia="zh-CN"/>
        </w:rPr>
        <w:t>。</w:t>
      </w:r>
    </w:p>
    <w:p w14:paraId="06F9EBD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供应商所报的各分项响应单价在合同履行过程中是固定不变的，不得以任何理由予以变更。任何包含价格调整要求的响应，将被认定为其</w:t>
      </w:r>
      <w:r>
        <w:rPr>
          <w:rFonts w:hint="eastAsia" w:ascii="仿宋" w:hAnsi="仿宋" w:eastAsia="仿宋" w:cs="仿宋"/>
          <w:b/>
          <w:bCs/>
          <w:sz w:val="24"/>
          <w:szCs w:val="24"/>
          <w:lang w:val="en-US" w:eastAsia="zh-CN"/>
        </w:rPr>
        <w:t>响应文件无效</w:t>
      </w:r>
      <w:r>
        <w:rPr>
          <w:rFonts w:hint="eastAsia" w:ascii="仿宋" w:hAnsi="仿宋" w:eastAsia="仿宋" w:cs="仿宋"/>
          <w:b w:val="0"/>
          <w:bCs w:val="0"/>
          <w:sz w:val="24"/>
          <w:szCs w:val="24"/>
          <w:lang w:val="en-US" w:eastAsia="zh-CN"/>
        </w:rPr>
        <w:t>。</w:t>
      </w:r>
    </w:p>
    <w:p w14:paraId="3537BDA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按照““第五章采购需求”的需求内容、责任范围以及第四章政府采购合同”进行报价。并按“报价一览表”和“分项报价表”规定的格式报出总价和分项价格。响应总价中不得包含采购文件要求以外的内容，否则，在评审时不予核减。</w:t>
      </w:r>
    </w:p>
    <w:p w14:paraId="5B975C69">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磋商保证金</w:t>
      </w:r>
    </w:p>
    <w:p w14:paraId="4F4C578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供应商应按</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中规定的金额及要求缴纳保证金，并作为其响应文件的一部分。</w:t>
      </w:r>
    </w:p>
    <w:p w14:paraId="533B068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交纳保证金的形式除</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中另有约定外，可采用的形式：政府采购法律法规接受的支票、汇票、本票、网上银行支付或者金融机构、担保机构出具的保函等非现金形式。</w:t>
      </w:r>
    </w:p>
    <w:p w14:paraId="4308A53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保证金到账（保函提交）截止时间同响应截止时间。以支票、汇票、本票、网上银行支付等形式提交保证金的，应在响应截止时间前到账。由于到账时间晚于响应截止时间的，或者票据错误、印鉴不清等原因导致不能到账的，其</w:t>
      </w:r>
      <w:r>
        <w:rPr>
          <w:rFonts w:hint="eastAsia" w:ascii="仿宋" w:hAnsi="仿宋" w:eastAsia="仿宋" w:cs="仿宋"/>
          <w:b/>
          <w:bCs/>
          <w:i w:val="0"/>
          <w:iCs w:val="0"/>
          <w:sz w:val="24"/>
          <w:szCs w:val="24"/>
          <w:lang w:val="en-US" w:eastAsia="zh-CN"/>
        </w:rPr>
        <w:t>响应文件无效</w:t>
      </w:r>
      <w:r>
        <w:rPr>
          <w:rFonts w:hint="eastAsia" w:ascii="仿宋" w:hAnsi="仿宋" w:eastAsia="仿宋" w:cs="仿宋"/>
          <w:b w:val="0"/>
          <w:bCs w:val="0"/>
          <w:sz w:val="24"/>
          <w:szCs w:val="24"/>
          <w:lang w:val="en-US" w:eastAsia="zh-CN"/>
        </w:rPr>
        <w:t>。</w:t>
      </w:r>
    </w:p>
    <w:p w14:paraId="1A20E22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如采用金融机构、专业担保机构开具的投标担保函、投标保证保险函等形式提交磋商保证金的，投标担保函或投标保证保险函须开具给采购人（保险受益人须为采购人），否则其</w:t>
      </w:r>
      <w:r>
        <w:rPr>
          <w:rFonts w:hint="eastAsia" w:ascii="仿宋" w:hAnsi="仿宋" w:eastAsia="仿宋" w:cs="仿宋"/>
          <w:b/>
          <w:bCs/>
          <w:sz w:val="24"/>
          <w:szCs w:val="24"/>
          <w:lang w:val="en-US" w:eastAsia="zh-CN"/>
        </w:rPr>
        <w:t>响应文件无效</w:t>
      </w:r>
      <w:r>
        <w:rPr>
          <w:rFonts w:hint="eastAsia" w:ascii="仿宋" w:hAnsi="仿宋" w:eastAsia="仿宋" w:cs="仿宋"/>
          <w:b w:val="0"/>
          <w:bCs w:val="0"/>
          <w:sz w:val="24"/>
          <w:szCs w:val="24"/>
          <w:lang w:val="en-US" w:eastAsia="zh-CN"/>
        </w:rPr>
        <w:t>。电子保函与纸质保函具有同样效力。</w:t>
      </w:r>
    </w:p>
    <w:p w14:paraId="5234A02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保证金（保函）有效期同响应文件有效期。</w:t>
      </w:r>
    </w:p>
    <w:p w14:paraId="059E062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联合体磋商的，可以由联合体中的一方或者共同提交保证金，以一方名义提交磋商保证金（保函）的，对联合体各方均具有约束力。</w:t>
      </w:r>
    </w:p>
    <w:p w14:paraId="01BCDDA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采购代理机构将及时退还供应商的磋商保证金，采用银行保函、担保机构担保函等形式递交的磋商保证金，经供应商同意后采购人、采购代理机构可以不再退还，但因供应商自身原因导致无法及时退还的除外。</w:t>
      </w:r>
    </w:p>
    <w:p w14:paraId="5EC42B5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供应商在响应截止时间前撤回已提交的响应文件的，自收到供应商书面撤回通知之日起 5 个工作日内退还已收取的磋商保证金。 </w:t>
      </w:r>
    </w:p>
    <w:p w14:paraId="47ECF5F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成交人的磋商保证金，自采购合同签订之日起 5 个工作日内退还中标人。 </w:t>
      </w:r>
    </w:p>
    <w:p w14:paraId="7009C8E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未成交人的磋商保证金，自成交通知书发出之日起 5 个工作日内退还未成交人。</w:t>
      </w:r>
    </w:p>
    <w:p w14:paraId="71041A3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终止采购活动的项目已经收取磋商保证金的，自终止采购活动后 5 个工作日内退还已收取的磋商保证金。</w:t>
      </w:r>
    </w:p>
    <w:p w14:paraId="6AD3260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有下列情形之一的，采购人或采购代理机构可以不予退还磋商保证金：</w:t>
      </w:r>
    </w:p>
    <w:p w14:paraId="3E547D72">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在响应文件有效期内，供应商撤回响应文件的； </w:t>
      </w:r>
    </w:p>
    <w:p w14:paraId="33B4C5A4">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成交人不按本采购文件的规定与采购人签订合同的； </w:t>
      </w:r>
    </w:p>
    <w:p w14:paraId="15028AC5">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成交人不按本采购文件的规定提交履约保证金的； </w:t>
      </w:r>
    </w:p>
    <w:p w14:paraId="3581A8C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成交人不按本采购文件的规定缴纳招标代理服务费的； </w:t>
      </w:r>
    </w:p>
    <w:p w14:paraId="12182C0F">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存在的串通投标情形的； </w:t>
      </w:r>
    </w:p>
    <w:p w14:paraId="635EBEE6">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存在向采购人、代理机构或评标专家行贿事实的； </w:t>
      </w:r>
    </w:p>
    <w:p w14:paraId="7C35C216">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法律、法规规定的其他情况。</w:t>
      </w:r>
    </w:p>
    <w:p w14:paraId="2C96DC7F">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响应文件有效期</w:t>
      </w:r>
    </w:p>
    <w:p w14:paraId="6F85FDB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响应文件应在</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中规定的响应文件有效期内保持有效，响应文件有效期少于采购文件规定期限的，其</w:t>
      </w:r>
      <w:r>
        <w:rPr>
          <w:rFonts w:hint="eastAsia" w:ascii="仿宋" w:hAnsi="仿宋" w:eastAsia="仿宋" w:cs="仿宋"/>
          <w:b/>
          <w:bCs/>
          <w:sz w:val="24"/>
          <w:szCs w:val="24"/>
          <w:lang w:val="en-US" w:eastAsia="zh-CN"/>
        </w:rPr>
        <w:t>响应文件无效</w:t>
      </w:r>
      <w:r>
        <w:rPr>
          <w:rFonts w:hint="eastAsia" w:ascii="仿宋" w:hAnsi="仿宋" w:eastAsia="仿宋" w:cs="仿宋"/>
          <w:b w:val="0"/>
          <w:bCs w:val="0"/>
          <w:sz w:val="24"/>
          <w:szCs w:val="24"/>
          <w:lang w:val="en-US" w:eastAsia="zh-CN"/>
        </w:rPr>
        <w:t>。</w:t>
      </w:r>
    </w:p>
    <w:p w14:paraId="26EE5A6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可根据实际情况，在原响应文件有效期截止之前，要求供应商延长响应文件有效期。接受该要求的供应商将不会被要求和允许修正其响应文件，且本须知中有关磋商保证金的要求须在延长的有效期内继续有效。供应商也可以拒绝延长响应文件有效期的要求，退还其磋商保证金。上述要求和答复都应以书面形式提交。</w:t>
      </w:r>
    </w:p>
    <w:p w14:paraId="168BAFF3">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响应文件的制作</w:t>
      </w:r>
    </w:p>
    <w:p w14:paraId="345AA79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响应文件中，所有内容均以电子文件编制，如因不按电子招投标平台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14:paraId="7F3BA02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供应商应使用电子招投标平台提供的投标客户端编制、标记、加密响应文件，成功加密后将生成指定格式的电子响应文件和电子备用响应文件</w:t>
      </w:r>
    </w:p>
    <w:p w14:paraId="13AC334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如有对多个采购包响应的，要对每个采购包独立制作电子响应文件。</w:t>
      </w:r>
    </w:p>
    <w:p w14:paraId="438559C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供应商须对采购文件的对应要求给予唯一的实质性响应，否则将视为不响应。</w:t>
      </w:r>
    </w:p>
    <w:p w14:paraId="5FFE36A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按采购文件的规定及附件要求的内容和格式完整地填写和提供资料。供应商必须对响应文件所提供的全部资料的真实性承担法律责任，并无条件接受采购人和政府采购监督管理部门对其中任何资料进行核实（核对原件）的要求。</w:t>
      </w:r>
    </w:p>
    <w:p w14:paraId="5F96027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4" w:name="_Toc17753"/>
      <w:r>
        <w:rPr>
          <w:rFonts w:hint="eastAsia" w:ascii="仿宋" w:hAnsi="仿宋" w:eastAsia="仿宋" w:cs="仿宋"/>
          <w:b/>
          <w:bCs/>
          <w:sz w:val="24"/>
          <w:szCs w:val="24"/>
          <w:lang w:val="en-US" w:eastAsia="zh-CN"/>
        </w:rPr>
        <w:t>响应文件的提交</w:t>
      </w:r>
      <w:bookmarkEnd w:id="14"/>
    </w:p>
    <w:p w14:paraId="471DC7BC">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响应文件的提交</w:t>
      </w:r>
    </w:p>
    <w:p w14:paraId="12968F0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供应商应在</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规定的截止时间前，将响应文件递交到采购文件中规定的电子招投标平台。时间以电子招投标平台系统服务器从中国科学院国家授时中心取得的北京时间为准，响应截止时间结束后，系统将不允许供应商上传响应文件，已上传响应文件但未完成传输的文件系统将拒绝接收。</w:t>
      </w:r>
    </w:p>
    <w:p w14:paraId="7258726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代理机构对因不可抗力事件造成的响应文件的损坏、丢失的，不承担责任。</w:t>
      </w:r>
    </w:p>
    <w:p w14:paraId="666B618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出现下述情形之一，属于未成功提交响应文件，按</w:t>
      </w:r>
      <w:r>
        <w:rPr>
          <w:rFonts w:hint="eastAsia" w:ascii="仿宋" w:hAnsi="仿宋" w:eastAsia="仿宋" w:cs="仿宋"/>
          <w:b/>
          <w:bCs/>
          <w:sz w:val="24"/>
          <w:szCs w:val="24"/>
          <w:lang w:val="en-US" w:eastAsia="zh-CN"/>
        </w:rPr>
        <w:t>响应无效</w:t>
      </w:r>
      <w:r>
        <w:rPr>
          <w:rFonts w:hint="eastAsia" w:ascii="仿宋" w:hAnsi="仿宋" w:eastAsia="仿宋" w:cs="仿宋"/>
          <w:b w:val="0"/>
          <w:bCs w:val="0"/>
          <w:sz w:val="24"/>
          <w:szCs w:val="24"/>
          <w:lang w:val="en-US" w:eastAsia="zh-CN"/>
        </w:rPr>
        <w:t>处理：</w:t>
      </w:r>
    </w:p>
    <w:p w14:paraId="22B79F7D">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至提交响应文件截止时，响应文件未完整上传的。 </w:t>
      </w:r>
    </w:p>
    <w:p w14:paraId="6898EF3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响应文件未按响应格式中注明需签字盖章的要求进行签名（含电子签名）和加盖电子印章，或签名（含电子签名）或电子印章不完整的。</w:t>
      </w:r>
    </w:p>
    <w:p w14:paraId="73954C1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响应文件损坏或格式不正确的。</w:t>
      </w:r>
    </w:p>
    <w:p w14:paraId="13B1D58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响应文件的修改、撤回与撤销</w:t>
      </w:r>
    </w:p>
    <w:p w14:paraId="27785ADB">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在提交响应文件截止时间前，供应商可以修改或撤回未解密的电子响应文件，并于提交响应文件截止时间前将修改后重新生成的电子响应文件上传至系统，到达响应文件提交截止时间后，将不允许修改或撤回。</w:t>
      </w:r>
    </w:p>
    <w:p w14:paraId="704A0CD9">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在提交响应文件截止时间后，供应商不得补充、修改和更换响应文件。</w:t>
      </w:r>
    </w:p>
    <w:p w14:paraId="04FBE2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2477E382">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5" w:name="_Toc6419"/>
      <w:r>
        <w:rPr>
          <w:rFonts w:hint="eastAsia" w:ascii="仿宋" w:hAnsi="仿宋" w:eastAsia="仿宋" w:cs="仿宋"/>
          <w:b/>
          <w:bCs/>
          <w:sz w:val="24"/>
          <w:szCs w:val="24"/>
          <w:lang w:val="en-US" w:eastAsia="zh-CN"/>
        </w:rPr>
        <w:t>开标及评标</w:t>
      </w:r>
      <w:bookmarkEnd w:id="15"/>
    </w:p>
    <w:p w14:paraId="5DBBA9B6">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开标</w:t>
      </w:r>
    </w:p>
    <w:p w14:paraId="275AC11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采购人和采购代理机构将按</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中规定的开标时间和地点组织公开开标并邀请所有供应商代表参加。开标为远程电子开标。</w:t>
      </w:r>
    </w:p>
    <w:p w14:paraId="33C9190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采用远程电子开标的：</w:t>
      </w:r>
    </w:p>
    <w:p w14:paraId="01AAB084">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供应商的法定代表人或其授权代表应当按照本采购文件载明的时间和模式等要求参加开标。在</w:t>
      </w:r>
      <w:r>
        <w:rPr>
          <w:rFonts w:hint="eastAsia" w:ascii="仿宋" w:hAnsi="仿宋" w:eastAsia="仿宋" w:cs="仿宋"/>
          <w:b/>
          <w:bCs/>
          <w:sz w:val="24"/>
          <w:szCs w:val="24"/>
          <w:lang w:val="en-US" w:eastAsia="zh-CN"/>
        </w:rPr>
        <w:t>响应截止时间前30分钟</w:t>
      </w:r>
      <w:r>
        <w:rPr>
          <w:rFonts w:hint="eastAsia" w:ascii="仿宋" w:hAnsi="仿宋" w:eastAsia="仿宋" w:cs="仿宋"/>
          <w:b w:val="0"/>
          <w:bCs w:val="0"/>
          <w:sz w:val="24"/>
          <w:szCs w:val="24"/>
          <w:lang w:val="en-US" w:eastAsia="zh-CN"/>
        </w:rPr>
        <w:t>，应当登录开标大厅进行签到，并且填写授权代表的姓名与手机号码。若因签到时填写的授权代表信息有误而导致的不良后果，由供应商自行承担。</w:t>
      </w:r>
    </w:p>
    <w:p w14:paraId="4EC0F159">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w:t>
      </w:r>
      <w:r>
        <w:rPr>
          <w:rFonts w:hint="eastAsia" w:ascii="仿宋" w:hAnsi="仿宋" w:eastAsia="仿宋" w:cs="仿宋"/>
          <w:b/>
          <w:bCs/>
          <w:sz w:val="24"/>
          <w:szCs w:val="24"/>
          <w:lang w:val="en-US" w:eastAsia="zh-CN"/>
        </w:rPr>
        <w:t>响应无效</w:t>
      </w:r>
      <w:r>
        <w:rPr>
          <w:rFonts w:hint="eastAsia" w:ascii="仿宋" w:hAnsi="仿宋" w:eastAsia="仿宋" w:cs="仿宋"/>
          <w:b w:val="0"/>
          <w:bCs w:val="0"/>
          <w:sz w:val="24"/>
          <w:szCs w:val="24"/>
          <w:lang w:val="en-US" w:eastAsia="zh-CN"/>
        </w:rPr>
        <w:t>处理。（采用远程电子开标的，各供应商在参加开标以前须自行对使用电脑的网络环境、驱动安装、客户端安装以及数字证书的有效性等进行检测，确保可以正常使用）。</w:t>
      </w:r>
    </w:p>
    <w:p w14:paraId="03565696">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在电子开标过程中出现因系统原因无法正常解密的，代理机构可根据实际情况开启上传备用电子响应文件通道。系统将对上传的备用电子响应文件的合法性进行验证，若发现提交的备用电子响应文件与加密的电子响应文件版本不一致（即两份文件不是编制响应文件同时生成的），系统将拒绝接收，视为</w:t>
      </w:r>
      <w:r>
        <w:rPr>
          <w:rFonts w:hint="eastAsia" w:ascii="仿宋" w:hAnsi="仿宋" w:eastAsia="仿宋" w:cs="仿宋"/>
          <w:b/>
          <w:bCs/>
          <w:sz w:val="24"/>
          <w:szCs w:val="24"/>
          <w:lang w:val="en-US" w:eastAsia="zh-CN"/>
        </w:rPr>
        <w:t>响应无效</w:t>
      </w:r>
      <w:r>
        <w:rPr>
          <w:rFonts w:hint="eastAsia" w:ascii="仿宋" w:hAnsi="仿宋" w:eastAsia="仿宋" w:cs="仿宋"/>
          <w:b w:val="0"/>
          <w:bCs w:val="0"/>
          <w:sz w:val="24"/>
          <w:szCs w:val="24"/>
          <w:lang w:val="en-US" w:eastAsia="zh-CN"/>
        </w:rPr>
        <w:t>。如供应商无法在代理规定的时间内完成备用电子响应文件的上传，响应文件将被拒绝，作</w:t>
      </w:r>
      <w:r>
        <w:rPr>
          <w:rFonts w:hint="eastAsia" w:ascii="仿宋" w:hAnsi="仿宋" w:eastAsia="仿宋" w:cs="仿宋"/>
          <w:b/>
          <w:bCs/>
          <w:sz w:val="24"/>
          <w:szCs w:val="24"/>
          <w:lang w:val="en-US" w:eastAsia="zh-CN"/>
        </w:rPr>
        <w:t>响应无效</w:t>
      </w:r>
      <w:r>
        <w:rPr>
          <w:rFonts w:hint="eastAsia" w:ascii="仿宋" w:hAnsi="仿宋" w:eastAsia="仿宋" w:cs="仿宋"/>
          <w:b w:val="0"/>
          <w:bCs w:val="0"/>
          <w:sz w:val="24"/>
          <w:szCs w:val="24"/>
          <w:lang w:val="en-US" w:eastAsia="zh-CN"/>
        </w:rPr>
        <w:t>处理。</w:t>
      </w:r>
    </w:p>
    <w:p w14:paraId="2050FBA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供应商代表对开标过程和开标记录有疑义，以及认为采购人、采购代理机构相关工作人员有需要回避的情形的，应当场提出询问或者回避申请。供应商未参加开标的，视同认可开标结果。</w:t>
      </w:r>
    </w:p>
    <w:p w14:paraId="46EF85E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响应截止时间后，供应商不足3家的，不得开标。同时，本次采购活动结束。</w:t>
      </w:r>
    </w:p>
    <w:p w14:paraId="0E8BBD0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开标时出现下列情况的，视为</w:t>
      </w:r>
      <w:r>
        <w:rPr>
          <w:rFonts w:hint="eastAsia" w:ascii="仿宋" w:hAnsi="仿宋" w:eastAsia="仿宋" w:cs="仿宋"/>
          <w:b/>
          <w:bCs/>
          <w:sz w:val="24"/>
          <w:szCs w:val="24"/>
          <w:lang w:val="en-US" w:eastAsia="zh-CN"/>
        </w:rPr>
        <w:t>响应无效</w:t>
      </w:r>
      <w:r>
        <w:rPr>
          <w:rFonts w:hint="eastAsia" w:ascii="仿宋" w:hAnsi="仿宋" w:eastAsia="仿宋" w:cs="仿宋"/>
          <w:b w:val="0"/>
          <w:bCs w:val="0"/>
          <w:sz w:val="24"/>
          <w:szCs w:val="24"/>
          <w:lang w:val="en-US" w:eastAsia="zh-CN"/>
        </w:rPr>
        <w:t>处理：</w:t>
      </w:r>
    </w:p>
    <w:p w14:paraId="766953DB">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因供应商自身原因，未在规定时间内完成电子响应文件解密的；</w:t>
      </w:r>
    </w:p>
    <w:p w14:paraId="6CADD230">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如需使用备用电子响应文件解密时，在规定的解密时间内无法提供备用电子响应文件或提供的备用电子响应文件与加密的电子响应文件版本不一致（即两份文件不是投标客户端编制同时生成的）。 </w:t>
      </w:r>
    </w:p>
    <w:p w14:paraId="3370AD0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采购人或采购代理机构将对开标过程进行记录，由参加开标的各供应商代表和相关工作人员签字确认。</w:t>
      </w:r>
    </w:p>
    <w:p w14:paraId="7A4DA48A">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资格审查</w:t>
      </w:r>
    </w:p>
    <w:p w14:paraId="405E1BE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磋商小组依据法律法规和采购文件中规定的内容，对供应商及其投标货物或服务的资格进行审查，未通过资格审查的供应商不进入评标；资格证明文件不按电子招投标平台要求编制导致系统无法检索、读取相关信息时，将被认定为未通过资格审查；通过资格审查的供应商少于三家的（除法律法规规定外），不进行评标。 </w:t>
      </w:r>
    </w:p>
    <w:p w14:paraId="2DE114F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资格审查要求详见第六章《评标程序、评标方法和评标标准》。</w:t>
      </w:r>
    </w:p>
    <w:p w14:paraId="215A5E0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将按第六章《评标程序、评标方法和评标标准》中规定的时间查询供应商的信用记录。采购人或采购代理机构将查询网页打印、签字并存档备查。供应商不良信用记录以采购人或采购代理机构查询结果为准。在本采购文件规定的查询时间之外，网站信息发生的任何变更均不作为资格审查依据。</w:t>
      </w:r>
    </w:p>
    <w:p w14:paraId="0C365955">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磋商小组</w:t>
      </w:r>
    </w:p>
    <w:p w14:paraId="1D16046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磋商小组根据政府采购有关规定和本次采购项目的特点进行组建，并负责具体评标事务，独立履行职责。 </w:t>
      </w:r>
    </w:p>
    <w:p w14:paraId="352E399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F36C07C">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评标程序、评标方法和评标标准</w:t>
      </w:r>
    </w:p>
    <w:p w14:paraId="4D5AB33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详见第六章《评标程序、评标方法和评标标准》</w:t>
      </w:r>
    </w:p>
    <w:p w14:paraId="1AE661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5A89F160">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6" w:name="_Toc10119"/>
      <w:r>
        <w:rPr>
          <w:rFonts w:hint="eastAsia" w:ascii="仿宋" w:hAnsi="仿宋" w:eastAsia="仿宋" w:cs="仿宋"/>
          <w:b/>
          <w:bCs/>
          <w:sz w:val="24"/>
          <w:szCs w:val="24"/>
          <w:lang w:val="en-US" w:eastAsia="zh-CN"/>
        </w:rPr>
        <w:t>确定成交</w:t>
      </w:r>
      <w:bookmarkEnd w:id="16"/>
    </w:p>
    <w:p w14:paraId="167E1DF2">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确定成交人</w:t>
      </w:r>
    </w:p>
    <w:p w14:paraId="473BE031">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采购人将在评标报告确定的成交候选人名单中按综合得分排名顺序确定成交人。采购人是否委托磋商小组直接确定成交人见</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w:t>
      </w:r>
    </w:p>
    <w:p w14:paraId="3E2466D6">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成交公告与成交通知书</w:t>
      </w:r>
    </w:p>
    <w:p w14:paraId="0255B5D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采购人或采购代理机构自中标人确定之日起 2 个工作日内，在磋商公告发布媒体发布成交结果，同时向成交人发出成交通知书，成交公告期限为 1 个工作日。</w:t>
      </w:r>
    </w:p>
    <w:p w14:paraId="0CD2EB2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成交通知书对采购人和成交供应商均具有法律效力。成交通知书发出后，成交供应商放弃成交项目的，应当依法承担法律责任。</w:t>
      </w:r>
    </w:p>
    <w:p w14:paraId="0A78D5E6">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废标</w:t>
      </w:r>
    </w:p>
    <w:p w14:paraId="0B455A8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在采购活动中，出现下列情形之一的，应予废标：</w:t>
      </w:r>
    </w:p>
    <w:p w14:paraId="64643F16">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14:paraId="6C67963B">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出现影响采购公正的违法、违规行为的；</w:t>
      </w:r>
    </w:p>
    <w:p w14:paraId="5211EF9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供应商的报价均超过了采购预算，采购人不能支付的；</w:t>
      </w:r>
    </w:p>
    <w:p w14:paraId="15C9DC79">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因重大变故，采购任务取消的。</w:t>
      </w:r>
    </w:p>
    <w:p w14:paraId="050BEC5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废标后，采购人将废标理由通知所有供应商。</w:t>
      </w:r>
    </w:p>
    <w:p w14:paraId="65870701">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签订合同</w:t>
      </w:r>
    </w:p>
    <w:p w14:paraId="69B6FCE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成交人、采购人应当自成交通知书发出之日起 30 日内，按照采购文件和成交人响应文件的规定签订书面合同。所签订的合同不得对采购文件确定的事项和成交人响应文件作实质性修改。 </w:t>
      </w:r>
    </w:p>
    <w:p w14:paraId="1F11ACC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成交人拒绝与采购人签订合同的，采购人可以按照评标报告推荐的成交候选人名单排序，确定下一候选人为成交人，也可以重新开展政府采购活动。</w:t>
      </w:r>
    </w:p>
    <w:p w14:paraId="4CAED93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联合体成交的，联合体各方应当共同与采购人签订合同，就成交项目向采购人承担连带责任。 </w:t>
      </w:r>
    </w:p>
    <w:p w14:paraId="62731AB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政府采购合同不能转包。如采购人允许采用分包方式履行合同的，成交人可以依法在成交后将成交项目的非主体、非关键性工作采取分包方式履行合同。</w:t>
      </w:r>
    </w:p>
    <w:p w14:paraId="747CFC5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履约保证金</w:t>
      </w:r>
    </w:p>
    <w:p w14:paraId="675721D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成交人应按照</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规定的金额、形式和时间向采购人缴纳履约保证金。</w:t>
      </w:r>
    </w:p>
    <w:p w14:paraId="11DB7A4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经采购人同意，成交人也可以自愿采用其他履约保证金的提供方式。</w:t>
      </w:r>
    </w:p>
    <w:p w14:paraId="44E7C9CB">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如果成交人没有按照上述条款规定缴纳履约保证金，将视为放弃成交资格，成交人的磋商保证金将被没收。在此情况下，采购人可确定下一候选人为成交人，也可以重新开展政府采购活动。</w:t>
      </w:r>
    </w:p>
    <w:p w14:paraId="6649DB6C">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代理服务费</w:t>
      </w:r>
    </w:p>
    <w:p w14:paraId="3E4E37C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收费对象、收费标准及缴纳时间见</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。由成交人支付的，成交人须一次性向采购代理机构缴纳代理费，响应报价应包含代理费用。</w:t>
      </w:r>
    </w:p>
    <w:p w14:paraId="29913696">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询问与质疑</w:t>
      </w:r>
    </w:p>
    <w:p w14:paraId="1B7B96E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询问</w:t>
      </w:r>
    </w:p>
    <w:p w14:paraId="7E2E1740">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对政府采购活动事项（采购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中“采购人、采购代理机构的名称、地址和联系方式”。</w:t>
      </w:r>
    </w:p>
    <w:p w14:paraId="3E5FED7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质疑</w:t>
      </w:r>
    </w:p>
    <w:p w14:paraId="05FDE321">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供应商认为采购文件、采购过程、成交结果使自己的权益受到损害的，可以在知道或者应知其权益受到损害之日起 7 个工作日内，由供应商派授权代表以书面形式向采购人、采购代理机构</w:t>
      </w:r>
      <w:r>
        <w:rPr>
          <w:rFonts w:hint="eastAsia" w:ascii="仿宋" w:hAnsi="仿宋" w:eastAsia="仿宋" w:cs="仿宋"/>
          <w:b w:val="0"/>
          <w:bCs w:val="0"/>
          <w:sz w:val="24"/>
          <w:szCs w:val="24"/>
          <w:highlight w:val="none"/>
          <w:lang w:val="en-US" w:eastAsia="zh-CN"/>
        </w:rPr>
        <w:t>提出质疑</w:t>
      </w:r>
      <w:r>
        <w:rPr>
          <w:rFonts w:hint="eastAsia" w:ascii="仿宋" w:hAnsi="仿宋" w:eastAsia="仿宋" w:cs="仿宋"/>
          <w:b w:val="0"/>
          <w:bCs w:val="0"/>
          <w:sz w:val="24"/>
          <w:szCs w:val="24"/>
          <w:lang w:val="en-US" w:eastAsia="zh-CN"/>
        </w:rPr>
        <w:t xml:space="preserve">。采购人、采购代理机构在收到质疑函后 7 个工作日内作出答复。 </w:t>
      </w:r>
    </w:p>
    <w:p w14:paraId="02FECE3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供应商应知其权益受到损害之日是指：</w:t>
      </w:r>
    </w:p>
    <w:p w14:paraId="254308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（1）对采购文件提出质疑的，为获取采购文件之日或者采购文件获取期限届满之日；</w:t>
      </w:r>
    </w:p>
    <w:p w14:paraId="57306B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（2）对采购过程提出质疑的，为各采购程序环节结束之日；</w:t>
      </w:r>
    </w:p>
    <w:p w14:paraId="2066C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（3）对成交结果提出质疑的，为成交结果公告期限届满之日。</w:t>
      </w:r>
    </w:p>
    <w:p w14:paraId="4A4B0BFE">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496B37FF">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质疑函须使用财政部制定的范本文件。</w:t>
      </w:r>
    </w:p>
    <w:p w14:paraId="1C57E52F">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供应商为自然人的，应当由本人签字；供应商为法人或者其他组织的，应当由法定代表人、主要负责人，或者其授权代表签字或者盖章，并加盖公章。</w:t>
      </w:r>
    </w:p>
    <w:p w14:paraId="3BF1A594">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0732CE0D">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其他</w:t>
      </w:r>
    </w:p>
    <w:p w14:paraId="68428874">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采购活动中除采购文件规定外还需执行《中华人民共和国政府采购法》、《中华人民共和国政府采购法实施条例》、《政府采购竞争性磋商采购方式管理暂行办法》（财库〔2014〕214号）及本项目本级和上级财政部门政府采购有关规定。</w:t>
      </w:r>
    </w:p>
    <w:p w14:paraId="1AECC2A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37AA04D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适用于本供应商须知的额外增加的变动详见</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w:t>
      </w:r>
    </w:p>
    <w:p w14:paraId="20A321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263A61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1FA4AA27">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14:paraId="25ABD1D6">
      <w:pPr>
        <w:pStyle w:val="2"/>
        <w:numPr>
          <w:ilvl w:val="0"/>
          <w:numId w:val="5"/>
        </w:numPr>
        <w:bidi w:val="0"/>
        <w:jc w:val="center"/>
        <w:rPr>
          <w:rFonts w:hint="eastAsia" w:ascii="仿宋" w:hAnsi="仿宋" w:eastAsia="仿宋" w:cs="仿宋"/>
          <w:sz w:val="32"/>
          <w:szCs w:val="32"/>
          <w:lang w:val="en-US" w:eastAsia="zh-CN"/>
        </w:rPr>
      </w:pPr>
      <w:bookmarkStart w:id="17" w:name="_Toc19762"/>
      <w:r>
        <w:rPr>
          <w:rFonts w:hint="eastAsia" w:ascii="仿宋" w:hAnsi="仿宋" w:eastAsia="仿宋" w:cs="仿宋"/>
          <w:sz w:val="32"/>
          <w:szCs w:val="32"/>
          <w:lang w:val="en-US" w:eastAsia="zh-CN"/>
        </w:rPr>
        <w:t>政府采购合同</w:t>
      </w:r>
      <w:bookmarkEnd w:id="17"/>
    </w:p>
    <w:p w14:paraId="1906ABD2">
      <w:pPr>
        <w:tabs>
          <w:tab w:val="left" w:pos="432"/>
        </w:tabs>
        <w:jc w:val="center"/>
        <w:outlineLvl w:val="9"/>
        <w:rPr>
          <w:rFonts w:hint="eastAsia" w:ascii="仿宋" w:hAnsi="仿宋" w:eastAsia="仿宋" w:cs="仿宋"/>
          <w:color w:val="auto"/>
          <w:sz w:val="18"/>
          <w:szCs w:val="21"/>
        </w:rPr>
      </w:pPr>
      <w:r>
        <w:rPr>
          <w:rStyle w:val="43"/>
          <w:rFonts w:hint="eastAsia" w:ascii="仿宋" w:hAnsi="仿宋" w:eastAsia="仿宋" w:cs="仿宋"/>
          <w:color w:val="auto"/>
        </w:rPr>
        <w:t xml:space="preserve">  </w:t>
      </w:r>
      <w:bookmarkStart w:id="18" w:name="_Toc24393"/>
      <w:r>
        <w:rPr>
          <w:rStyle w:val="43"/>
          <w:rFonts w:hint="eastAsia" w:ascii="仿宋" w:hAnsi="仿宋" w:eastAsia="仿宋" w:cs="仿宋"/>
          <w:color w:val="auto"/>
          <w:sz w:val="36"/>
          <w:szCs w:val="21"/>
        </w:rPr>
        <w:t>合同条款（参考合同）</w:t>
      </w:r>
      <w:bookmarkEnd w:id="18"/>
    </w:p>
    <w:p w14:paraId="501C9455">
      <w:pPr>
        <w:autoSpaceDE w:val="0"/>
        <w:autoSpaceDN w:val="0"/>
        <w:adjustRightInd w:val="0"/>
        <w:spacing w:line="440" w:lineRule="exact"/>
        <w:ind w:firstLine="420"/>
        <w:jc w:val="center"/>
        <w:outlineLvl w:val="9"/>
        <w:rPr>
          <w:rFonts w:hint="eastAsia" w:ascii="仿宋" w:hAnsi="仿宋" w:eastAsia="仿宋" w:cs="仿宋"/>
          <w:color w:val="auto"/>
          <w:sz w:val="18"/>
          <w:szCs w:val="21"/>
          <w:lang w:val="zh-CN"/>
        </w:rPr>
      </w:pPr>
    </w:p>
    <w:p w14:paraId="49578BD9">
      <w:pPr>
        <w:jc w:val="center"/>
        <w:rPr>
          <w:rFonts w:hint="eastAsia" w:ascii="仿宋" w:hAnsi="仿宋" w:eastAsia="仿宋" w:cs="仿宋"/>
          <w:b/>
          <w:color w:val="auto"/>
          <w:sz w:val="52"/>
          <w:szCs w:val="52"/>
        </w:rPr>
      </w:pPr>
    </w:p>
    <w:p w14:paraId="02788053">
      <w:pPr>
        <w:jc w:val="center"/>
        <w:rPr>
          <w:rFonts w:hint="eastAsia" w:ascii="仿宋" w:hAnsi="仿宋" w:eastAsia="仿宋" w:cs="仿宋"/>
          <w:b/>
          <w:color w:val="auto"/>
          <w:sz w:val="52"/>
          <w:szCs w:val="52"/>
        </w:rPr>
      </w:pPr>
    </w:p>
    <w:p w14:paraId="62FC3C13">
      <w:pPr>
        <w:jc w:val="center"/>
        <w:rPr>
          <w:rFonts w:hint="eastAsia" w:ascii="仿宋" w:hAnsi="仿宋" w:eastAsia="仿宋" w:cs="仿宋"/>
          <w:b/>
          <w:color w:val="auto"/>
          <w:sz w:val="52"/>
          <w:szCs w:val="52"/>
        </w:rPr>
      </w:pPr>
    </w:p>
    <w:p w14:paraId="1FFBA33D">
      <w:pPr>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政府采购合同</w:t>
      </w:r>
    </w:p>
    <w:p w14:paraId="45EC4B4A">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（本合同仅供参考，具体以实际签订的合同为准）</w:t>
      </w:r>
    </w:p>
    <w:p w14:paraId="440039CA">
      <w:pPr>
        <w:rPr>
          <w:rFonts w:hint="eastAsia" w:ascii="仿宋" w:hAnsi="仿宋" w:eastAsia="仿宋" w:cs="仿宋"/>
          <w:color w:val="auto"/>
          <w:szCs w:val="21"/>
        </w:rPr>
      </w:pPr>
    </w:p>
    <w:p w14:paraId="2F61799D">
      <w:pPr>
        <w:ind w:firstLine="480" w:firstLineChars="200"/>
        <w:rPr>
          <w:rFonts w:hint="eastAsia" w:ascii="仿宋" w:hAnsi="仿宋" w:eastAsia="仿宋" w:cs="仿宋"/>
          <w:color w:val="auto"/>
          <w:szCs w:val="21"/>
        </w:rPr>
      </w:pPr>
    </w:p>
    <w:p w14:paraId="714FC151">
      <w:pPr>
        <w:ind w:firstLine="480" w:firstLineChars="200"/>
        <w:rPr>
          <w:rFonts w:hint="eastAsia" w:ascii="仿宋" w:hAnsi="仿宋" w:eastAsia="仿宋" w:cs="仿宋"/>
          <w:color w:val="auto"/>
          <w:szCs w:val="21"/>
        </w:rPr>
      </w:pPr>
    </w:p>
    <w:p w14:paraId="452F56D4">
      <w:pPr>
        <w:ind w:firstLine="480" w:firstLineChars="200"/>
        <w:rPr>
          <w:rFonts w:hint="eastAsia" w:ascii="仿宋" w:hAnsi="仿宋" w:eastAsia="仿宋" w:cs="仿宋"/>
          <w:color w:val="auto"/>
          <w:szCs w:val="21"/>
        </w:rPr>
      </w:pPr>
    </w:p>
    <w:p w14:paraId="3D840D42">
      <w:pPr>
        <w:ind w:firstLine="480" w:firstLineChars="200"/>
        <w:rPr>
          <w:rFonts w:hint="eastAsia" w:ascii="仿宋" w:hAnsi="仿宋" w:eastAsia="仿宋" w:cs="仿宋"/>
          <w:color w:val="auto"/>
          <w:szCs w:val="21"/>
        </w:rPr>
      </w:pPr>
    </w:p>
    <w:p w14:paraId="32922BD0">
      <w:pPr>
        <w:ind w:firstLine="480" w:firstLineChars="200"/>
        <w:rPr>
          <w:rFonts w:hint="eastAsia" w:ascii="仿宋" w:hAnsi="仿宋" w:eastAsia="仿宋" w:cs="仿宋"/>
          <w:color w:val="auto"/>
          <w:szCs w:val="21"/>
        </w:rPr>
      </w:pPr>
    </w:p>
    <w:p w14:paraId="0C2A17D5">
      <w:pPr>
        <w:ind w:firstLine="480" w:firstLineChars="200"/>
        <w:rPr>
          <w:rFonts w:hint="eastAsia" w:ascii="仿宋" w:hAnsi="仿宋" w:eastAsia="仿宋" w:cs="仿宋"/>
          <w:color w:val="auto"/>
          <w:szCs w:val="21"/>
        </w:rPr>
      </w:pPr>
    </w:p>
    <w:p w14:paraId="4B92629F">
      <w:pPr>
        <w:ind w:firstLine="480" w:firstLineChars="200"/>
        <w:rPr>
          <w:rFonts w:hint="eastAsia" w:ascii="仿宋" w:hAnsi="仿宋" w:eastAsia="仿宋" w:cs="仿宋"/>
          <w:color w:val="auto"/>
          <w:szCs w:val="21"/>
        </w:rPr>
      </w:pPr>
    </w:p>
    <w:p w14:paraId="1D6088C0">
      <w:pPr>
        <w:ind w:firstLine="480" w:firstLineChars="200"/>
        <w:rPr>
          <w:rFonts w:hint="eastAsia" w:ascii="仿宋" w:hAnsi="仿宋" w:eastAsia="仿宋" w:cs="仿宋"/>
          <w:color w:val="auto"/>
          <w:szCs w:val="21"/>
        </w:rPr>
      </w:pPr>
    </w:p>
    <w:p w14:paraId="497605E6">
      <w:pPr>
        <w:ind w:firstLine="480" w:firstLineChars="200"/>
        <w:rPr>
          <w:rFonts w:hint="eastAsia" w:ascii="仿宋" w:hAnsi="仿宋" w:eastAsia="仿宋" w:cs="仿宋"/>
          <w:color w:val="auto"/>
          <w:szCs w:val="21"/>
        </w:rPr>
      </w:pPr>
    </w:p>
    <w:p w14:paraId="4DBC424D">
      <w:pPr>
        <w:ind w:firstLine="480" w:firstLineChars="200"/>
        <w:rPr>
          <w:rFonts w:hint="eastAsia" w:ascii="仿宋" w:hAnsi="仿宋" w:eastAsia="仿宋" w:cs="仿宋"/>
          <w:color w:val="auto"/>
          <w:szCs w:val="21"/>
        </w:rPr>
      </w:pPr>
    </w:p>
    <w:p w14:paraId="4106BADF">
      <w:pPr>
        <w:rPr>
          <w:rFonts w:hint="eastAsia" w:ascii="仿宋" w:hAnsi="仿宋" w:eastAsia="仿宋" w:cs="仿宋"/>
          <w:color w:val="auto"/>
          <w:sz w:val="24"/>
        </w:rPr>
      </w:pPr>
      <w:r>
        <w:rPr>
          <w:rFonts w:hint="eastAsia" w:ascii="仿宋" w:hAnsi="仿宋" w:eastAsia="仿宋" w:cs="仿宋"/>
          <w:color w:val="auto"/>
          <w:sz w:val="24"/>
        </w:rPr>
        <w:t>项目名称：</w:t>
      </w:r>
    </w:p>
    <w:p w14:paraId="64DF9920">
      <w:pPr>
        <w:ind w:firstLine="480" w:firstLineChars="200"/>
        <w:rPr>
          <w:rFonts w:hint="eastAsia" w:ascii="仿宋" w:hAnsi="仿宋" w:eastAsia="仿宋" w:cs="仿宋"/>
          <w:color w:val="auto"/>
          <w:sz w:val="24"/>
        </w:rPr>
      </w:pPr>
    </w:p>
    <w:p w14:paraId="4BE1751F">
      <w:pPr>
        <w:rPr>
          <w:rFonts w:hint="eastAsia" w:ascii="仿宋" w:hAnsi="仿宋" w:eastAsia="仿宋" w:cs="仿宋"/>
          <w:color w:val="auto"/>
          <w:sz w:val="24"/>
        </w:rPr>
      </w:pPr>
      <w:r>
        <w:rPr>
          <w:rFonts w:hint="eastAsia" w:ascii="仿宋" w:hAnsi="仿宋" w:eastAsia="仿宋" w:cs="仿宋"/>
          <w:color w:val="auto"/>
          <w:sz w:val="24"/>
        </w:rPr>
        <w:t>甲    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1F9CCB60">
      <w:pPr>
        <w:ind w:firstLine="480" w:firstLineChars="200"/>
        <w:rPr>
          <w:rFonts w:hint="eastAsia" w:ascii="仿宋" w:hAnsi="仿宋" w:eastAsia="仿宋" w:cs="仿宋"/>
          <w:color w:val="auto"/>
          <w:sz w:val="24"/>
        </w:rPr>
      </w:pPr>
    </w:p>
    <w:p w14:paraId="25B4115B">
      <w:pPr>
        <w:rPr>
          <w:rFonts w:hint="eastAsia" w:ascii="仿宋" w:hAnsi="仿宋" w:eastAsia="仿宋" w:cs="仿宋"/>
          <w:color w:val="auto"/>
          <w:sz w:val="24"/>
        </w:rPr>
      </w:pPr>
      <w:r>
        <w:rPr>
          <w:rFonts w:hint="eastAsia" w:ascii="仿宋" w:hAnsi="仿宋" w:eastAsia="仿宋" w:cs="仿宋"/>
          <w:color w:val="auto"/>
          <w:sz w:val="24"/>
        </w:rPr>
        <w:t>乙    方：</w:t>
      </w:r>
      <w:r>
        <w:rPr>
          <w:rFonts w:hint="eastAsia" w:ascii="仿宋" w:hAnsi="仿宋" w:eastAsia="仿宋" w:cs="仿宋"/>
          <w:color w:val="auto"/>
          <w:sz w:val="24"/>
          <w:u w:val="single"/>
        </w:rPr>
        <w:t xml:space="preserve">              </w:t>
      </w:r>
    </w:p>
    <w:p w14:paraId="0ED5B8E4">
      <w:pPr>
        <w:ind w:firstLine="480" w:firstLineChars="200"/>
        <w:rPr>
          <w:rFonts w:hint="eastAsia" w:ascii="仿宋" w:hAnsi="仿宋" w:eastAsia="仿宋" w:cs="仿宋"/>
          <w:color w:val="auto"/>
          <w:sz w:val="24"/>
        </w:rPr>
      </w:pPr>
    </w:p>
    <w:p w14:paraId="04B9FC94">
      <w:pPr>
        <w:rPr>
          <w:rFonts w:hint="eastAsia" w:ascii="仿宋" w:hAnsi="仿宋" w:eastAsia="仿宋" w:cs="仿宋"/>
          <w:color w:val="auto"/>
          <w:sz w:val="24"/>
        </w:rPr>
      </w:pPr>
      <w:r>
        <w:rPr>
          <w:rFonts w:hint="eastAsia" w:ascii="仿宋" w:hAnsi="仿宋" w:eastAsia="仿宋" w:cs="仿宋"/>
          <w:color w:val="auto"/>
          <w:sz w:val="24"/>
        </w:rPr>
        <w:t>签订时间：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30BD5DF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Cs w:val="21"/>
        </w:rPr>
        <w:br w:type="page"/>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）委托（</w:t>
      </w:r>
      <w:r>
        <w:rPr>
          <w:rFonts w:hint="eastAsia" w:ascii="仿宋" w:hAnsi="仿宋" w:eastAsia="仿宋" w:cs="仿宋"/>
          <w:color w:val="auto"/>
          <w:sz w:val="24"/>
          <w:lang w:eastAsia="zh-CN"/>
        </w:rPr>
        <w:t>新疆恒晟华工程项目管理有限公司</w:t>
      </w:r>
      <w:r>
        <w:rPr>
          <w:rFonts w:hint="eastAsia" w:ascii="仿宋" w:hAnsi="仿宋" w:eastAsia="仿宋" w:cs="仿宋"/>
          <w:color w:val="auto"/>
          <w:sz w:val="24"/>
        </w:rPr>
        <w:t>）进行了政府采购。按照评委会评审推荐、甲方确定乙方为成交单位。现甲乙双方协商同意签订本合同。</w:t>
      </w:r>
    </w:p>
    <w:p w14:paraId="7739394B">
      <w:pPr>
        <w:numPr>
          <w:ilvl w:val="0"/>
          <w:numId w:val="12"/>
        </w:numPr>
        <w:tabs>
          <w:tab w:val="left" w:pos="0"/>
          <w:tab w:val="clear" w:pos="720"/>
        </w:tabs>
        <w:spacing w:line="360" w:lineRule="auto"/>
        <w:ind w:left="0" w:firstLine="482" w:firstLineChars="200"/>
        <w:rPr>
          <w:rFonts w:hint="eastAsia" w:ascii="仿宋" w:hAnsi="仿宋" w:eastAsia="仿宋" w:cs="仿宋"/>
          <w:b/>
          <w:color w:val="auto"/>
          <w:sz w:val="24"/>
        </w:rPr>
      </w:pPr>
      <w:r>
        <w:rPr>
          <w:rFonts w:hint="eastAsia" w:ascii="仿宋" w:hAnsi="仿宋" w:eastAsia="仿宋" w:cs="仿宋"/>
          <w:b/>
          <w:color w:val="auto"/>
          <w:sz w:val="24"/>
        </w:rPr>
        <w:t xml:space="preserve"> 合同文件</w:t>
      </w:r>
    </w:p>
    <w:p w14:paraId="52B9F2D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下列与本次采购活动有关的文件及附件是本合同不可分割的组成部分，与本合同具有同等法律效力，这些文件包括但不限于：</w:t>
      </w:r>
    </w:p>
    <w:p w14:paraId="7770501C">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eastAsia="zh-CN"/>
        </w:rPr>
        <w:t>采购文件</w:t>
      </w:r>
    </w:p>
    <w:p w14:paraId="0992C298">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2.成交供应商</w:t>
      </w:r>
      <w:r>
        <w:rPr>
          <w:rFonts w:hint="eastAsia" w:ascii="仿宋" w:hAnsi="仿宋" w:eastAsia="仿宋" w:cs="仿宋"/>
          <w:color w:val="auto"/>
          <w:sz w:val="24"/>
          <w:lang w:eastAsia="zh-CN"/>
        </w:rPr>
        <w:t>响应文件</w:t>
      </w:r>
    </w:p>
    <w:p w14:paraId="35A3EAD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3.乙方在投标时的书面承诺</w:t>
      </w:r>
    </w:p>
    <w:p w14:paraId="42B44C2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4.成交通知书</w:t>
      </w:r>
    </w:p>
    <w:p w14:paraId="2BABE3D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5.合同补充条款或说明</w:t>
      </w:r>
    </w:p>
    <w:p w14:paraId="2607065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6.保密协议或条款</w:t>
      </w:r>
    </w:p>
    <w:p w14:paraId="7BFF47D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7.相关附件、图纸及电子版资料</w:t>
      </w:r>
    </w:p>
    <w:p w14:paraId="3920F9A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8.项目平台详细设计方案</w:t>
      </w:r>
    </w:p>
    <w:p w14:paraId="04AE2947">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rPr>
        <w:t>第二条  合同内容</w:t>
      </w:r>
    </w:p>
    <w:p w14:paraId="077CF150">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采购内容：</w:t>
      </w:r>
      <w:r>
        <w:rPr>
          <w:rFonts w:hint="eastAsia" w:ascii="仿宋" w:hAnsi="仿宋" w:eastAsia="仿宋" w:cs="仿宋"/>
          <w:bCs/>
          <w:color w:val="auto"/>
          <w:kern w:val="0"/>
          <w:sz w:val="24"/>
        </w:rPr>
        <w:t>具体内容详见</w:t>
      </w:r>
      <w:r>
        <w:rPr>
          <w:rFonts w:hint="eastAsia" w:ascii="仿宋" w:hAnsi="仿宋" w:eastAsia="仿宋" w:cs="仿宋"/>
          <w:bCs/>
          <w:color w:val="auto"/>
          <w:kern w:val="0"/>
          <w:sz w:val="24"/>
          <w:lang w:eastAsia="zh-CN"/>
        </w:rPr>
        <w:t>采购文件</w:t>
      </w:r>
    </w:p>
    <w:p w14:paraId="590D610A">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rPr>
        <w:t>第三条  合同总金额</w:t>
      </w:r>
    </w:p>
    <w:p w14:paraId="5902B09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p>
    <w:p w14:paraId="2A46E0F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p>
    <w:p w14:paraId="056E1AAE">
      <w:pPr>
        <w:widowControl/>
        <w:adjustRightInd w:val="0"/>
        <w:snapToGrid w:val="0"/>
        <w:spacing w:line="44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本合同总价款包括</w:t>
      </w:r>
      <w:r>
        <w:rPr>
          <w:rFonts w:hint="eastAsia" w:ascii="仿宋" w:hAnsi="仿宋" w:eastAsia="仿宋" w:cs="仿宋"/>
          <w:bCs/>
          <w:color w:val="auto"/>
          <w:kern w:val="0"/>
          <w:sz w:val="24"/>
          <w:lang w:eastAsia="zh-CN"/>
        </w:rPr>
        <w:t>预检、汇总县（市）资产清查、各类地籍调查（编制地籍图）、确权登记成果等，建立健全地区地籍数据库等，并汇交至部。指导、检查县（市）开展辖区内全民所有自然资源资产实物量和价值量清查，理清使用权状况（包括地籍调查覆盖范围内），配合自治区完成相关工作</w:t>
      </w:r>
      <w:r>
        <w:rPr>
          <w:rFonts w:hint="eastAsia" w:ascii="仿宋" w:hAnsi="仿宋" w:eastAsia="仿宋" w:cs="仿宋"/>
          <w:color w:val="auto"/>
          <w:kern w:val="2"/>
          <w:sz w:val="24"/>
          <w:szCs w:val="24"/>
          <w:lang w:val="en-US" w:eastAsia="zh-CN" w:bidi="ar-SA"/>
        </w:rPr>
        <w:t>等。</w:t>
      </w:r>
    </w:p>
    <w:p w14:paraId="22C476DB">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rPr>
        <w:t>第四条  权利义务和质量保证</w:t>
      </w:r>
    </w:p>
    <w:p w14:paraId="7AA64D7C">
      <w:pPr>
        <w:pStyle w:val="16"/>
        <w:tabs>
          <w:tab w:val="left" w:pos="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1.甲方保证服务期间，对乙方工作给予支持，提供水、电、场地等必须</w:t>
      </w:r>
      <w:r>
        <w:rPr>
          <w:rFonts w:hint="eastAsia" w:ascii="仿宋" w:hAnsi="仿宋" w:eastAsia="仿宋" w:cs="仿宋"/>
          <w:color w:val="auto"/>
          <w:sz w:val="24"/>
          <w:szCs w:val="24"/>
          <w:lang w:val="en-US" w:eastAsia="zh-CN"/>
        </w:rPr>
        <w:t>地</w:t>
      </w:r>
      <w:r>
        <w:rPr>
          <w:rFonts w:hint="eastAsia" w:ascii="仿宋" w:hAnsi="仿宋" w:eastAsia="仿宋" w:cs="仿宋"/>
          <w:color w:val="auto"/>
          <w:sz w:val="24"/>
          <w:szCs w:val="24"/>
        </w:rPr>
        <w:t>基础工作条件。如乙方需要与已有相关平台对接，甲方负责出具乙方项目建设资格的相关证明，具体对接事项由乙方自行全面负责解决。未获甲方同意，乙方不得将甲方项目平台建设资料提供给与履行本合同无关的任何其他人。即使向履行本合同有关的人员提供，也应注意保密并限于履行合同的必需范围内。</w:t>
      </w:r>
    </w:p>
    <w:p w14:paraId="2CB8BFC2">
      <w:pPr>
        <w:pStyle w:val="1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2.乙方保证所完成的本合同项目平台，其任何一部分均不会侵犯任何第三方的专利权、商标权或著作权。一旦出现侵权，索赔或诉讼，乙方应承担全部责任。</w:t>
      </w:r>
    </w:p>
    <w:p w14:paraId="019E5E77">
      <w:pPr>
        <w:pStyle w:val="1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3.乙方保证本合同项目平台不存在影响或危害甲方已有运行平台之隐患和结果，不存在违反国家法规、法令、法律以及行业规范所要求的有关安全条款，否则应承担由此造成的所有后果和全部法律责任。</w:t>
      </w:r>
    </w:p>
    <w:p w14:paraId="42586324">
      <w:pPr>
        <w:pStyle w:val="1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本合同约定的项目平台系统软件及源代码等产权全部归甲方所有。项目最终验收时，乙方应将所有设计开发文档、代码、数据库和用户使用操作文档等全部交与甲方。同时，乙方应协助配合甲方完成至少一件软件著作权的申报登记工作。</w:t>
      </w:r>
    </w:p>
    <w:p w14:paraId="3A1CB5BC">
      <w:pPr>
        <w:pStyle w:val="1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5.乙方不得在本合同项目平台系统中，增加或删减未经甲方同意或认可的用户类型、权限和功能模块等。</w:t>
      </w:r>
    </w:p>
    <w:p w14:paraId="10D1C941">
      <w:pPr>
        <w:pStyle w:val="16"/>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6.交货时间：合同生效后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日内。 </w:t>
      </w:r>
    </w:p>
    <w:p w14:paraId="7D589A65">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rPr>
        <w:t>第五条  付款方式</w:t>
      </w:r>
    </w:p>
    <w:p w14:paraId="45237F9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1.本合同项下所有款项均以人民币支付。</w:t>
      </w:r>
    </w:p>
    <w:p w14:paraId="2E277FD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2.乙方向甲方提交下列文件材料，经甲方审核无误后支付采购资金：</w:t>
      </w:r>
    </w:p>
    <w:p w14:paraId="2089A5F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（1）经甲方确认的发票；</w:t>
      </w:r>
    </w:p>
    <w:p w14:paraId="6004735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（2）经甲乙双方确认签署的《验收报告》（或按项目进度阶段性《验收报告》）；</w:t>
      </w:r>
    </w:p>
    <w:p w14:paraId="5D25C63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（3）其他材料。</w:t>
      </w:r>
    </w:p>
    <w:p w14:paraId="4AB8BFF6">
      <w:pPr>
        <w:spacing w:line="360" w:lineRule="auto"/>
        <w:ind w:firstLine="480" w:firstLineChars="200"/>
        <w:rPr>
          <w:rFonts w:hint="default" w:ascii="仿宋" w:hAnsi="仿宋" w:eastAsia="仿宋" w:cs="仿宋"/>
          <w:color w:val="auto"/>
          <w:sz w:val="24"/>
          <w:lang w:val="en-US"/>
        </w:rPr>
      </w:pPr>
      <w:r>
        <w:rPr>
          <w:rFonts w:hint="eastAsia" w:ascii="仿宋" w:hAnsi="仿宋" w:eastAsia="仿宋" w:cs="仿宋"/>
          <w:color w:val="auto"/>
          <w:sz w:val="24"/>
        </w:rPr>
        <w:t>3.付款方式：</w:t>
      </w:r>
      <w:r>
        <w:rPr>
          <w:rFonts w:hint="eastAsia" w:ascii="仿宋" w:hAnsi="仿宋" w:eastAsia="仿宋" w:cs="仿宋"/>
          <w:color w:val="auto"/>
          <w:sz w:val="24"/>
          <w:lang w:val="en-US" w:eastAsia="zh-CN"/>
        </w:rPr>
        <w:t>以甲乙双方签订的合同为准</w:t>
      </w:r>
    </w:p>
    <w:p w14:paraId="695FDC35">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highlight w:val="none"/>
        </w:rPr>
        <w:t>第六条  履约保证金</w:t>
      </w:r>
    </w:p>
    <w:p w14:paraId="1F3AF3D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1.乙方在签订本合同之日，向甲方提交合同履约保证金</w:t>
      </w:r>
      <w:r>
        <w:rPr>
          <w:rFonts w:hint="eastAsia" w:ascii="仿宋" w:hAnsi="仿宋" w:eastAsia="仿宋" w:cs="仿宋"/>
          <w:color w:val="auto"/>
          <w:sz w:val="24"/>
          <w:u w:val="single"/>
        </w:rPr>
        <w:t xml:space="preserve"> / </w:t>
      </w:r>
      <w:r>
        <w:rPr>
          <w:rFonts w:hint="eastAsia" w:ascii="仿宋" w:hAnsi="仿宋" w:eastAsia="仿宋" w:cs="仿宋"/>
          <w:color w:val="auto"/>
          <w:sz w:val="24"/>
        </w:rPr>
        <w:t>万元（不低于合同金额的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u w:val="single"/>
        </w:rPr>
        <w:t xml:space="preserve"> 10 </w:t>
      </w:r>
      <w:r>
        <w:rPr>
          <w:rFonts w:hint="eastAsia" w:ascii="仿宋" w:hAnsi="仿宋" w:eastAsia="仿宋" w:cs="仿宋"/>
          <w:color w:val="auto"/>
          <w:sz w:val="24"/>
        </w:rPr>
        <w:t>%）。</w:t>
      </w:r>
    </w:p>
    <w:p w14:paraId="5A1E23EF">
      <w:pPr>
        <w:spacing w:line="360" w:lineRule="auto"/>
        <w:ind w:firstLine="480" w:firstLineChars="200"/>
        <w:rPr>
          <w:rFonts w:hint="eastAsia" w:ascii="仿宋" w:hAnsi="仿宋" w:eastAsia="仿宋" w:cs="仿宋"/>
          <w:strike/>
          <w:color w:val="auto"/>
          <w:sz w:val="24"/>
        </w:rPr>
      </w:pPr>
      <w:r>
        <w:rPr>
          <w:rFonts w:hint="eastAsia" w:ascii="仿宋" w:hAnsi="仿宋" w:eastAsia="仿宋" w:cs="仿宋"/>
          <w:color w:val="auto"/>
          <w:sz w:val="24"/>
        </w:rPr>
        <w:t>2.履约保证金有效期为甲乙双方最终验收后</w:t>
      </w:r>
      <w:r>
        <w:rPr>
          <w:rFonts w:hint="eastAsia" w:ascii="仿宋" w:hAnsi="仿宋" w:eastAsia="仿宋" w:cs="仿宋"/>
          <w:color w:val="auto"/>
          <w:sz w:val="24"/>
          <w:u w:val="single"/>
        </w:rPr>
        <w:t xml:space="preserve">    </w:t>
      </w:r>
      <w:r>
        <w:rPr>
          <w:rFonts w:hint="eastAsia" w:ascii="仿宋" w:hAnsi="仿宋" w:eastAsia="仿宋" w:cs="仿宋"/>
          <w:color w:val="auto"/>
          <w:sz w:val="24"/>
        </w:rPr>
        <w:t>个月内。到期后，甲方向乙方无息退还。</w:t>
      </w:r>
    </w:p>
    <w:p w14:paraId="36B6E222">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3.如乙方未能履行、或未能完全履行合同规定的义务，甲方有权从履约保证金中取得补偿。履约保证金扣除甲方应得的补偿后的余额在合同期满后</w:t>
      </w:r>
      <w:r>
        <w:rPr>
          <w:rFonts w:hint="eastAsia" w:ascii="仿宋" w:hAnsi="仿宋" w:eastAsia="仿宋" w:cs="仿宋"/>
          <w:color w:val="auto"/>
          <w:sz w:val="24"/>
          <w:u w:val="single"/>
        </w:rPr>
        <w:t xml:space="preserve"> 30 </w:t>
      </w:r>
      <w:r>
        <w:rPr>
          <w:rFonts w:hint="eastAsia" w:ascii="仿宋" w:hAnsi="仿宋" w:eastAsia="仿宋" w:cs="仿宋"/>
          <w:color w:val="auto"/>
          <w:sz w:val="24"/>
        </w:rPr>
        <w:t>天内无息退还乙方。</w:t>
      </w:r>
    </w:p>
    <w:p w14:paraId="155D593A">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rPr>
        <w:t>第七条  验收</w:t>
      </w:r>
    </w:p>
    <w:p w14:paraId="7A317418">
      <w:pPr>
        <w:spacing w:line="360" w:lineRule="auto"/>
        <w:ind w:left="274" w:leftChars="114" w:firstLine="240" w:firstLineChars="100"/>
        <w:rPr>
          <w:rFonts w:hint="eastAsia" w:ascii="仿宋" w:hAnsi="仿宋" w:eastAsia="仿宋" w:cs="仿宋"/>
          <w:color w:val="auto"/>
          <w:sz w:val="24"/>
        </w:rPr>
      </w:pPr>
      <w:r>
        <w:rPr>
          <w:rFonts w:hint="eastAsia" w:ascii="仿宋" w:hAnsi="仿宋" w:eastAsia="仿宋" w:cs="仿宋"/>
          <w:color w:val="auto"/>
          <w:sz w:val="24"/>
        </w:rPr>
        <w:t>1.本项目最终验收（项目</w:t>
      </w:r>
      <w:r>
        <w:rPr>
          <w:rFonts w:hint="eastAsia" w:ascii="仿宋" w:hAnsi="仿宋" w:eastAsia="仿宋" w:cs="仿宋"/>
          <w:color w:val="auto"/>
          <w:sz w:val="24"/>
          <w:lang w:val="en-US" w:eastAsia="zh-CN"/>
        </w:rPr>
        <w:t>安装调试完成并</w:t>
      </w:r>
      <w:r>
        <w:rPr>
          <w:rFonts w:hint="eastAsia" w:ascii="仿宋" w:hAnsi="仿宋" w:eastAsia="仿宋" w:cs="仿宋"/>
          <w:color w:val="auto"/>
          <w:sz w:val="24"/>
        </w:rPr>
        <w:t>稳定运行）期限：自合同签订后   日历日内。</w:t>
      </w:r>
    </w:p>
    <w:p w14:paraId="2BE6FFA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2.验收地点：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48F88FC">
      <w:pPr>
        <w:pStyle w:val="16"/>
        <w:tabs>
          <w:tab w:val="left" w:pos="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乙方应对提供的服务成果作出全面自查和整理，并列出清单，作为甲方验收和使用的服务条件依据，清单应随提供的服务成果交给甲方。货物的到货验收包括：型号、规格、数量、外观质量及货物包装完整无损。</w:t>
      </w:r>
    </w:p>
    <w:p w14:paraId="67B026C7">
      <w:pPr>
        <w:pStyle w:val="16"/>
        <w:tabs>
          <w:tab w:val="left" w:pos="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4.货物和系统调试验收的标准：按行业通行标准、厂方出厂标准和乙方</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的承诺（详见合同附件载明的标准，并不低于国家相关标准）。</w:t>
      </w:r>
    </w:p>
    <w:p w14:paraId="6B099B12">
      <w:pPr>
        <w:pStyle w:val="16"/>
        <w:tabs>
          <w:tab w:val="left" w:pos="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国内产品或合资厂的产品必须具备出厂合格证和原厂保修卡。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14:paraId="08CAE2B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14:paraId="056E5BFF">
      <w:pPr>
        <w:snapToGrid w:val="0"/>
        <w:spacing w:line="360" w:lineRule="auto"/>
        <w:ind w:firstLine="482"/>
        <w:textAlignment w:val="baseline"/>
        <w:rPr>
          <w:rFonts w:hint="eastAsia" w:ascii="仿宋" w:hAnsi="仿宋" w:eastAsia="仿宋" w:cs="仿宋"/>
          <w:color w:val="auto"/>
          <w:sz w:val="24"/>
        </w:rPr>
      </w:pPr>
      <w:r>
        <w:rPr>
          <w:rFonts w:hint="eastAsia" w:ascii="仿宋" w:hAnsi="仿宋" w:eastAsia="仿宋" w:cs="仿宋"/>
          <w:color w:val="auto"/>
          <w:sz w:val="24"/>
        </w:rPr>
        <w:t>7.甲方可以视项目规模或复杂情况聘请专业人员参与验收，大型或复杂项目，以及涉及专业服务内容的应当邀请国家认可的第三方质量检测机构参与验收，也可以视项目情况邀请参加本项目投标的落标人参与验收。</w:t>
      </w:r>
    </w:p>
    <w:p w14:paraId="51E37B3A">
      <w:pPr>
        <w:snapToGrid w:val="0"/>
        <w:spacing w:line="360" w:lineRule="auto"/>
        <w:ind w:firstLine="482"/>
        <w:textAlignment w:val="baseline"/>
        <w:rPr>
          <w:rFonts w:hint="eastAsia" w:ascii="仿宋" w:hAnsi="仿宋" w:eastAsia="仿宋" w:cs="仿宋"/>
          <w:color w:val="auto"/>
          <w:sz w:val="24"/>
        </w:rPr>
      </w:pPr>
      <w:r>
        <w:rPr>
          <w:rFonts w:hint="eastAsia" w:ascii="仿宋" w:hAnsi="仿宋" w:eastAsia="仿宋" w:cs="仿宋"/>
          <w:color w:val="auto"/>
          <w:sz w:val="24"/>
        </w:rPr>
        <w:t>8.如根据项目实施情况需要分阶段验收，则双方分阶段签署《验收报告》。</w:t>
      </w:r>
    </w:p>
    <w:p w14:paraId="54D1B983">
      <w:pPr>
        <w:snapToGrid w:val="0"/>
        <w:spacing w:line="360" w:lineRule="auto"/>
        <w:ind w:firstLine="482"/>
        <w:textAlignment w:val="baseline"/>
        <w:rPr>
          <w:rFonts w:hint="eastAsia" w:ascii="仿宋" w:hAnsi="仿宋" w:eastAsia="仿宋" w:cs="仿宋"/>
          <w:color w:val="auto"/>
          <w:sz w:val="24"/>
        </w:rPr>
      </w:pPr>
      <w:r>
        <w:rPr>
          <w:rFonts w:hint="eastAsia" w:ascii="仿宋" w:hAnsi="仿宋" w:eastAsia="仿宋" w:cs="仿宋"/>
          <w:color w:val="auto"/>
          <w:sz w:val="24"/>
        </w:rPr>
        <w:t>9.如果合同双方对《验收报告》有分歧，双方须于出现分歧后</w:t>
      </w:r>
      <w:r>
        <w:rPr>
          <w:rFonts w:hint="eastAsia" w:ascii="仿宋" w:hAnsi="仿宋" w:eastAsia="仿宋" w:cs="仿宋"/>
          <w:color w:val="auto"/>
          <w:sz w:val="24"/>
          <w:u w:val="single"/>
        </w:rPr>
        <w:t xml:space="preserve"> 7 </w:t>
      </w:r>
      <w:r>
        <w:rPr>
          <w:rFonts w:hint="eastAsia" w:ascii="仿宋" w:hAnsi="仿宋" w:eastAsia="仿宋" w:cs="仿宋"/>
          <w:color w:val="auto"/>
          <w:sz w:val="24"/>
        </w:rPr>
        <w:t>天内给对方书面声明，以陈述己方的理由及要求，并附有关证据。分歧应通过协商解决。</w:t>
      </w:r>
    </w:p>
    <w:p w14:paraId="3C7C7C4B">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rPr>
        <w:t>第八条  项目管理服务</w:t>
      </w:r>
    </w:p>
    <w:p w14:paraId="0056FD7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乙方应组建技术熟练、称职的团队全面履行合同,并指定不少于一人全权全程负责本项目服务的落实，包括预检、汇总县（市）资产清查、各类地籍调查（编制地籍图）、确权登记成果等，建立健全地区地籍数据库等，并汇交至部。指导、检查县（市）开展辖区内全民所有自然资源资产实物量和价值量清查，理清使用权状况（包括地籍调查覆盖范围内），配合自治区完成相关工作</w:t>
      </w:r>
      <w:r>
        <w:rPr>
          <w:rFonts w:hint="eastAsia" w:ascii="仿宋" w:hAnsi="仿宋" w:eastAsia="仿宋" w:cs="仿宋"/>
          <w:color w:val="auto"/>
          <w:sz w:val="24"/>
          <w:lang w:val="en-US" w:eastAsia="zh-CN"/>
        </w:rPr>
        <w:t>等</w:t>
      </w:r>
      <w:r>
        <w:rPr>
          <w:rFonts w:hint="eastAsia" w:ascii="仿宋" w:hAnsi="仿宋" w:eastAsia="仿宋" w:cs="仿宋"/>
          <w:color w:val="auto"/>
          <w:sz w:val="24"/>
        </w:rPr>
        <w:t>。</w:t>
      </w:r>
    </w:p>
    <w:p w14:paraId="509F351B">
      <w:pPr>
        <w:snapToGrid w:val="0"/>
        <w:spacing w:line="360" w:lineRule="auto"/>
        <w:ind w:firstLine="481"/>
        <w:textAlignment w:val="baseline"/>
        <w:rPr>
          <w:rFonts w:hint="eastAsia" w:ascii="仿宋" w:hAnsi="仿宋" w:eastAsia="仿宋" w:cs="仿宋"/>
          <w:color w:val="auto"/>
          <w:sz w:val="24"/>
        </w:rPr>
      </w:pPr>
      <w:r>
        <w:rPr>
          <w:rFonts w:hint="eastAsia" w:ascii="仿宋" w:hAnsi="仿宋" w:eastAsia="仿宋" w:cs="仿宋"/>
          <w:color w:val="auto"/>
          <w:sz w:val="24"/>
        </w:rPr>
        <w:t xml:space="preserve">项目负责人姓名： </w:t>
      </w:r>
      <w:r>
        <w:rPr>
          <w:rFonts w:hint="eastAsia" w:ascii="仿宋" w:hAnsi="仿宋" w:eastAsia="仿宋" w:cs="仿宋"/>
          <w:color w:val="auto"/>
          <w:sz w:val="24"/>
          <w:u w:val="single" w:color="000000"/>
        </w:rPr>
        <w:t xml:space="preserve">              </w:t>
      </w:r>
      <w:r>
        <w:rPr>
          <w:rFonts w:hint="eastAsia" w:ascii="仿宋" w:hAnsi="仿宋" w:eastAsia="仿宋" w:cs="仿宋"/>
          <w:color w:val="auto"/>
          <w:sz w:val="24"/>
        </w:rPr>
        <w:t>； 联系电话：</w:t>
      </w:r>
      <w:r>
        <w:rPr>
          <w:rFonts w:hint="eastAsia" w:ascii="仿宋" w:hAnsi="仿宋" w:eastAsia="仿宋" w:cs="仿宋"/>
          <w:color w:val="auto"/>
          <w:sz w:val="24"/>
          <w:u w:val="single" w:color="000000"/>
        </w:rPr>
        <w:t xml:space="preserve">                      </w:t>
      </w:r>
      <w:r>
        <w:rPr>
          <w:rFonts w:hint="eastAsia" w:ascii="仿宋" w:hAnsi="仿宋" w:eastAsia="仿宋" w:cs="仿宋"/>
          <w:color w:val="auto"/>
          <w:sz w:val="24"/>
        </w:rPr>
        <w:t>。</w:t>
      </w:r>
    </w:p>
    <w:p w14:paraId="5B480571">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第九条  售后服务</w:t>
      </w:r>
    </w:p>
    <w:p w14:paraId="4E2EFA7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14:paraId="038AF20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2.质量保证期为：</w:t>
      </w:r>
      <w:r>
        <w:rPr>
          <w:rFonts w:hint="eastAsia" w:ascii="仿宋" w:hAnsi="仿宋" w:eastAsia="仿宋" w:cs="仿宋"/>
          <w:color w:val="auto"/>
          <w:sz w:val="24"/>
          <w:lang w:val="en-US" w:eastAsia="zh-CN"/>
        </w:rPr>
        <w:t>5</w:t>
      </w:r>
      <w:r>
        <w:rPr>
          <w:rFonts w:hint="eastAsia" w:ascii="仿宋" w:hAnsi="仿宋" w:eastAsia="仿宋" w:cs="仿宋"/>
          <w:color w:val="auto"/>
          <w:sz w:val="24"/>
        </w:rPr>
        <w:t>年；质保期自甲方在质量验收单上签字之日起计算，保修费用计入总价。</w:t>
      </w:r>
    </w:p>
    <w:p w14:paraId="44890B2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3.质量保证期内，乙方负责对其提供的货物整机进行维修和系统维护，不再收取任何费用，但不可抗力（如火灾、雷击及人为因素等）造成的故障除外。</w:t>
      </w:r>
    </w:p>
    <w:p w14:paraId="05055B4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4.货物故障报修的响应时间为：工作期间（星期一至星期五8：00-18：00）为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小时；非工作期间为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小时。</w:t>
      </w:r>
    </w:p>
    <w:p w14:paraId="42A1511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5.若货物故障在检修8工作小时后仍无法排除，乙方应在48小时内免费提供不低于故障货物规格型号档次的备用货物供甲方使用，直至故障货物修复。</w:t>
      </w:r>
    </w:p>
    <w:p w14:paraId="2EBFAD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6.所有货物保修服务方式均为乙方上门保修，即由乙方派员到货物使用现场维修，由此产生的一切费用均由乙方承担。</w:t>
      </w:r>
    </w:p>
    <w:p w14:paraId="19CAE55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7.保修期后的货物维护由双方协商再定。</w:t>
      </w:r>
    </w:p>
    <w:p w14:paraId="039A2D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8.乙方必须遵守甲方的有关管理制度、操作规程。对于乙方违规操作造成甲方损失的，由乙方按照本合同第十二条的约定承担赔偿责任。</w:t>
      </w:r>
    </w:p>
    <w:p w14:paraId="02CE1961">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rPr>
        <w:t>第十条  分包</w:t>
      </w:r>
    </w:p>
    <w:p w14:paraId="74D7951F">
      <w:pPr>
        <w:spacing w:line="360" w:lineRule="auto"/>
        <w:ind w:firstLine="480" w:firstLineChars="200"/>
        <w:rPr>
          <w:rFonts w:hint="eastAsia" w:ascii="仿宋" w:hAnsi="仿宋" w:eastAsia="仿宋" w:cs="仿宋"/>
          <w:strike/>
          <w:color w:val="auto"/>
          <w:sz w:val="24"/>
        </w:rPr>
      </w:pPr>
      <w:r>
        <w:rPr>
          <w:rFonts w:hint="eastAsia" w:ascii="仿宋" w:hAnsi="仿宋" w:eastAsia="仿宋" w:cs="仿宋"/>
          <w:color w:val="auto"/>
          <w:sz w:val="24"/>
        </w:rPr>
        <w:t>除招标采购文件事先说明、且经甲方事先书面同意外，乙方不得分包、转包其应履行的合同义务。</w:t>
      </w:r>
    </w:p>
    <w:p w14:paraId="58648AFF">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第十一条  合同的生效</w:t>
      </w:r>
    </w:p>
    <w:p w14:paraId="7950B2D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1.本合同经甲乙双方授权代表签字并加盖公章或合同专用章后生效。</w:t>
      </w:r>
    </w:p>
    <w:p w14:paraId="67ED3E3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2.生效后，除《</w:t>
      </w:r>
      <w:r>
        <w:rPr>
          <w:rFonts w:hint="eastAsia" w:ascii="仿宋" w:hAnsi="仿宋" w:eastAsia="仿宋" w:cs="仿宋"/>
          <w:color w:val="auto"/>
          <w:sz w:val="24"/>
          <w:lang w:eastAsia="zh-CN"/>
        </w:rPr>
        <w:t>中华人民共和国政府采购法</w:t>
      </w:r>
      <w:r>
        <w:rPr>
          <w:rFonts w:hint="eastAsia" w:ascii="仿宋" w:hAnsi="仿宋" w:eastAsia="仿宋" w:cs="仿宋"/>
          <w:color w:val="auto"/>
          <w:sz w:val="24"/>
        </w:rPr>
        <w:t>》第49条、第50条第二款规定的情形外，甲乙双方不得擅自变更、中止或终止合同。</w:t>
      </w:r>
    </w:p>
    <w:p w14:paraId="519B53C1">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rPr>
        <w:t>第十二条  违约责任</w:t>
      </w:r>
    </w:p>
    <w:p w14:paraId="665C6C9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1.乙方自成交公示期满之日起两个月内，所交付项目平台系统不符合本合同规定的，甲方有权拒收，乙方在得到甲方通知之日起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个工作日内采取补救措施，逾期仍未采取有效措施的，甲方有权要求乙方赔偿因此造成的损失或扣留履约保证金；同时乙方应向甲方支付合同总价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％的违约金。</w:t>
      </w:r>
    </w:p>
    <w:p w14:paraId="3042439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2.甲方无正当理由拒收交付的系统平台，甲方应向乙方偿付合同总价</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％的违约金。</w:t>
      </w:r>
    </w:p>
    <w:p w14:paraId="5A0977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3.乙方无正当理由逾期交付项目平台系统的，每逾期1天，乙方向甲方偿付合同总额的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‰的违约金。如乙方逾期达</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天，甲方有权解除合同，甲方解除合同的通知自到达乙方时生效。在此情况下，乙方给甲方造成的实际损失高于履约保证金的，对高出违约金的部分乙方应予以赔偿。</w:t>
      </w:r>
    </w:p>
    <w:p w14:paraId="0EBEF7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4.甲方未按合同规定的期限向乙方支付合同款的，每逾期1天甲方向乙方偿付欠款总额的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‰违约金，但累计违约金总额不超过欠款总额的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8DA430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 乙方在售后服务期限内，在项目平台详细设计方案总体框架内，未按时完成甲方提出的调整、补充和完善平台功能等相关需求，每逾期1天，乙方向甲方偿付质保金</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‰的违约金，如乙方逾期达</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天，甲方有权扣除所有质保金。</w:t>
      </w:r>
    </w:p>
    <w:p w14:paraId="50D4697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6.其</w:t>
      </w:r>
      <w:r>
        <w:rPr>
          <w:rFonts w:hint="eastAsia" w:ascii="仿宋" w:hAnsi="仿宋" w:eastAsia="仿宋" w:cs="仿宋"/>
          <w:color w:val="auto"/>
          <w:sz w:val="24"/>
          <w:lang w:val="en-US" w:eastAsia="zh-CN"/>
        </w:rPr>
        <w:t>他</w:t>
      </w:r>
      <w:r>
        <w:rPr>
          <w:rFonts w:hint="eastAsia" w:ascii="仿宋" w:hAnsi="仿宋" w:eastAsia="仿宋" w:cs="仿宋"/>
          <w:color w:val="auto"/>
          <w:sz w:val="24"/>
        </w:rPr>
        <w:t>未尽事宜，以《民法典》和《政府采购法》等有关法律法规规定为准，无相关规定的，双方协商解决。</w:t>
      </w:r>
    </w:p>
    <w:p w14:paraId="76399DA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7.乙方所供货物必须权属清楚，不得侵害他人的知识产权，否则构成对甲方违约，违约金按本条第3~4款执行。</w:t>
      </w:r>
    </w:p>
    <w:p w14:paraId="3942B877">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rPr>
        <w:t>第十三条  不可抗力</w:t>
      </w:r>
    </w:p>
    <w:p w14:paraId="583638D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甲、乙方中任何一方，因不可抗力不能按时或完全履行合同的，应及时通知对方，并在</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个工作日内提供相应证明，结算服务费用。未履行的部分是否继续履行、如何履行等问题，可由双方初步协商，并向主管部门和政府采购管理部门报告。确定为不可抗力原因造成的损失，免予承担责任。</w:t>
      </w:r>
    </w:p>
    <w:p w14:paraId="419B9E36">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rPr>
        <w:t>第十四条  争议的解决方式</w:t>
      </w:r>
    </w:p>
    <w:p w14:paraId="7EA0AE6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1.因服务质量问题发生争议的，应当邀请国家认可的质量检测机构对服务进行鉴定。服务符合标准的，鉴定费由甲方承担；不符合质量标准的，鉴定费由乙方承担。</w:t>
      </w:r>
    </w:p>
    <w:p w14:paraId="13013F0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2.在解释或者执行本合同的过程中发生争议时，双方应通过协商方式解决。</w:t>
      </w:r>
    </w:p>
    <w:p w14:paraId="518349F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3.经协商不能解决的争议，双方可选择以下第</w:t>
      </w:r>
      <w:r>
        <w:rPr>
          <w:rFonts w:hint="eastAsia" w:ascii="仿宋" w:hAnsi="仿宋" w:eastAsia="仿宋" w:cs="仿宋"/>
          <w:color w:val="auto"/>
          <w:sz w:val="24"/>
          <w:u w:val="single"/>
        </w:rPr>
        <w:t xml:space="preserve"> ① </w:t>
      </w:r>
      <w:r>
        <w:rPr>
          <w:rFonts w:hint="eastAsia" w:ascii="仿宋" w:hAnsi="仿宋" w:eastAsia="仿宋" w:cs="仿宋"/>
          <w:color w:val="auto"/>
          <w:sz w:val="24"/>
        </w:rPr>
        <w:t>种方式解决：</w:t>
      </w:r>
    </w:p>
    <w:p w14:paraId="1EA135E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①向乌鲁木齐市有管辖权的法院提起诉讼；</w:t>
      </w:r>
    </w:p>
    <w:p w14:paraId="4B1D6D9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②向乌鲁木齐仲裁委员会提出仲裁。</w:t>
      </w:r>
    </w:p>
    <w:p w14:paraId="4C78D5B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4.在法院审理和仲裁期间，除有争议部分外，本合同其他部分可以履行的仍应按合同条款继续履行。</w:t>
      </w:r>
    </w:p>
    <w:p w14:paraId="42F81B4E">
      <w:pPr>
        <w:spacing w:line="360" w:lineRule="auto"/>
        <w:ind w:left="482"/>
        <w:rPr>
          <w:rFonts w:hint="eastAsia" w:ascii="仿宋" w:hAnsi="仿宋" w:eastAsia="仿宋" w:cs="仿宋"/>
          <w:b/>
          <w:color w:val="auto"/>
          <w:sz w:val="24"/>
        </w:rPr>
      </w:pPr>
      <w:r>
        <w:rPr>
          <w:rFonts w:hint="eastAsia" w:ascii="仿宋" w:hAnsi="仿宋" w:eastAsia="仿宋" w:cs="仿宋"/>
          <w:b/>
          <w:color w:val="auto"/>
          <w:sz w:val="24"/>
        </w:rPr>
        <w:t>第十五条  其他</w:t>
      </w:r>
    </w:p>
    <w:p w14:paraId="7F6BF7C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符合《政府采购法》第49条规定的，经双方协商，办理政府采购手续后，可签订补充合同，所签订的补充合同与本合同具有同等法律效力。</w:t>
      </w:r>
    </w:p>
    <w:p w14:paraId="57694AF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本合同一式</w:t>
      </w:r>
      <w:r>
        <w:rPr>
          <w:rFonts w:hint="eastAsia" w:ascii="仿宋" w:hAnsi="仿宋" w:eastAsia="仿宋" w:cs="仿宋"/>
          <w:color w:val="auto"/>
          <w:sz w:val="24"/>
          <w:u w:val="single"/>
        </w:rPr>
        <w:t xml:space="preserve">    </w:t>
      </w:r>
      <w:r>
        <w:rPr>
          <w:rFonts w:hint="eastAsia" w:ascii="仿宋" w:hAnsi="仿宋" w:eastAsia="仿宋" w:cs="仿宋"/>
          <w:color w:val="auto"/>
          <w:sz w:val="24"/>
        </w:rPr>
        <w:t>份，甲、乙双方各执</w:t>
      </w:r>
      <w:r>
        <w:rPr>
          <w:rFonts w:hint="eastAsia" w:ascii="仿宋" w:hAnsi="仿宋" w:eastAsia="仿宋" w:cs="仿宋"/>
          <w:color w:val="auto"/>
          <w:sz w:val="24"/>
          <w:u w:val="single"/>
        </w:rPr>
        <w:t xml:space="preserve">    </w:t>
      </w:r>
      <w:r>
        <w:rPr>
          <w:rFonts w:hint="eastAsia" w:ascii="仿宋" w:hAnsi="仿宋" w:eastAsia="仿宋" w:cs="仿宋"/>
          <w:color w:val="auto"/>
          <w:sz w:val="24"/>
        </w:rPr>
        <w:t>份。</w:t>
      </w:r>
    </w:p>
    <w:p w14:paraId="61A7981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甲   方：                        乙   方：</w:t>
      </w:r>
    </w:p>
    <w:p w14:paraId="4ED1269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名称：（盖章）                   名称：（盖章）</w:t>
      </w:r>
    </w:p>
    <w:p w14:paraId="5849658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地址：                           地址：</w:t>
      </w:r>
    </w:p>
    <w:p w14:paraId="65305C9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法定代表人（签字）：             法定代表人（签字）：</w:t>
      </w:r>
    </w:p>
    <w:p w14:paraId="4A83615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授权代表（签字）：               授权代表（签字）：</w:t>
      </w:r>
    </w:p>
    <w:p w14:paraId="13C9E61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                       开户银行（基本账户）：</w:t>
      </w:r>
    </w:p>
    <w:p w14:paraId="16EF817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银行</w:t>
      </w:r>
      <w:r>
        <w:rPr>
          <w:rFonts w:hint="eastAsia" w:ascii="仿宋" w:hAnsi="仿宋" w:eastAsia="仿宋" w:cs="仿宋"/>
          <w:color w:val="auto"/>
          <w:sz w:val="24"/>
          <w:lang w:val="en-US" w:eastAsia="zh-CN"/>
        </w:rPr>
        <w:t>账</w:t>
      </w:r>
      <w:r>
        <w:rPr>
          <w:rFonts w:hint="eastAsia" w:ascii="仿宋" w:hAnsi="仿宋" w:eastAsia="仿宋" w:cs="仿宋"/>
          <w:color w:val="auto"/>
          <w:sz w:val="24"/>
        </w:rPr>
        <w:t>号：                       银行</w:t>
      </w:r>
      <w:r>
        <w:rPr>
          <w:rFonts w:hint="eastAsia" w:ascii="仿宋" w:hAnsi="仿宋" w:eastAsia="仿宋" w:cs="仿宋"/>
          <w:color w:val="auto"/>
          <w:sz w:val="24"/>
          <w:lang w:val="en-US" w:eastAsia="zh-CN"/>
        </w:rPr>
        <w:t>账</w:t>
      </w:r>
      <w:r>
        <w:rPr>
          <w:rFonts w:hint="eastAsia" w:ascii="仿宋" w:hAnsi="仿宋" w:eastAsia="仿宋" w:cs="仿宋"/>
          <w:color w:val="auto"/>
          <w:sz w:val="24"/>
        </w:rPr>
        <w:t>号（基本账户）：</w:t>
      </w:r>
    </w:p>
    <w:p w14:paraId="607C9ADF">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时间：         年     月     日</w:t>
      </w:r>
    </w:p>
    <w:p w14:paraId="0F83E04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特别说明：</w:t>
      </w:r>
    </w:p>
    <w:p w14:paraId="1A4F1F9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1.本范本根据《政府采购法》、《民法典》等法律法规制定。具体项目的采购合同条款，在本范本框架内由甲乙双方协商一致签订。空格处划横线。</w:t>
      </w:r>
    </w:p>
    <w:p w14:paraId="2B877E14">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2.收款单位名称应与本合同乙方单位名称、项目成交单位名称、开具发票单位名称相一致。</w:t>
      </w:r>
    </w:p>
    <w:p w14:paraId="7139F1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color w:val="auto"/>
          <w:sz w:val="24"/>
        </w:rPr>
        <w:t>3.甲方（采购单位）应盖本单位公章，乙方应盖单位公章或合同专用章，合同双方应盖骑缝章。</w:t>
      </w:r>
      <w:r>
        <w:rPr>
          <w:rFonts w:hint="eastAsia" w:ascii="仿宋" w:hAnsi="仿宋" w:eastAsia="仿宋" w:cs="仿宋"/>
          <w:b w:val="0"/>
          <w:bCs w:val="0"/>
          <w:sz w:val="24"/>
          <w:szCs w:val="24"/>
          <w:lang w:val="en-US" w:eastAsia="zh-CN"/>
        </w:rPr>
        <w:br w:type="page"/>
      </w:r>
    </w:p>
    <w:p w14:paraId="52C13272">
      <w:pPr>
        <w:pStyle w:val="2"/>
        <w:numPr>
          <w:ilvl w:val="0"/>
          <w:numId w:val="5"/>
        </w:numPr>
        <w:bidi w:val="0"/>
        <w:jc w:val="center"/>
        <w:rPr>
          <w:rFonts w:hint="eastAsia" w:ascii="仿宋" w:hAnsi="仿宋" w:eastAsia="仿宋" w:cs="仿宋"/>
          <w:color w:val="auto"/>
          <w:sz w:val="32"/>
          <w:szCs w:val="32"/>
          <w:highlight w:val="none"/>
          <w:lang w:val="en-US" w:eastAsia="zh-CN"/>
        </w:rPr>
      </w:pPr>
      <w:bookmarkStart w:id="19" w:name="_Toc32043"/>
      <w:r>
        <w:rPr>
          <w:rFonts w:hint="eastAsia" w:ascii="仿宋" w:hAnsi="仿宋" w:eastAsia="仿宋" w:cs="仿宋"/>
          <w:color w:val="auto"/>
          <w:sz w:val="32"/>
          <w:szCs w:val="32"/>
          <w:highlight w:val="none"/>
          <w:lang w:val="en-US" w:eastAsia="zh-CN"/>
        </w:rPr>
        <w:t>采购需求</w:t>
      </w:r>
      <w:bookmarkEnd w:id="19"/>
    </w:p>
    <w:p w14:paraId="06DD186B">
      <w:pPr>
        <w:keepNext w:val="0"/>
        <w:keepLines w:val="0"/>
        <w:pageBreakBefore w:val="0"/>
        <w:widowControl w:val="0"/>
        <w:numPr>
          <w:ilvl w:val="0"/>
          <w:numId w:val="0"/>
        </w:numPr>
        <w:kinsoku/>
        <w:wordWrap/>
        <w:overflowPunct/>
        <w:topLinePunct w:val="0"/>
        <w:autoSpaceDE/>
        <w:autoSpaceDN/>
        <w:bidi w:val="0"/>
        <w:adjustRightInd/>
        <w:snapToGrid/>
        <w:spacing w:before="60" w:after="60"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bookmarkStart w:id="20" w:name="_Toc3158"/>
      <w:bookmarkStart w:id="21" w:name="_Toc7335"/>
      <w:bookmarkStart w:id="22" w:name="_Toc20696"/>
      <w:bookmarkStart w:id="23" w:name="_Toc8391"/>
      <w:bookmarkStart w:id="24" w:name="_Toc23151"/>
    </w:p>
    <w:bookmarkEnd w:id="20"/>
    <w:bookmarkEnd w:id="21"/>
    <w:bookmarkEnd w:id="22"/>
    <w:bookmarkEnd w:id="23"/>
    <w:bookmarkEnd w:id="24"/>
    <w:p w14:paraId="0F3823E9">
      <w:pPr>
        <w:pStyle w:val="2"/>
        <w:keepNext w:val="0"/>
        <w:keepLines w:val="0"/>
        <w:numPr>
          <w:ilvl w:val="0"/>
          <w:numId w:val="13"/>
        </w:numPr>
        <w:spacing w:before="193" w:beforeLines="50" w:after="193" w:afterLines="50" w:line="360" w:lineRule="auto"/>
        <w:rPr>
          <w:rFonts w:hint="eastAsia" w:ascii="仿宋" w:hAnsi="仿宋" w:eastAsia="仿宋" w:cs="仿宋"/>
          <w:color w:val="auto"/>
          <w:sz w:val="24"/>
          <w:szCs w:val="24"/>
        </w:rPr>
      </w:pPr>
      <w:bookmarkStart w:id="25" w:name="_Toc20162"/>
      <w:r>
        <w:rPr>
          <w:rFonts w:hint="eastAsia" w:ascii="仿宋" w:hAnsi="仿宋" w:eastAsia="仿宋" w:cs="仿宋"/>
          <w:color w:val="auto"/>
          <w:sz w:val="24"/>
          <w:szCs w:val="24"/>
        </w:rPr>
        <w:t>采购内容</w:t>
      </w:r>
    </w:p>
    <w:p w14:paraId="4FA4ADF6">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对县（市）资产清查、地籍调查（编制地籍图）成果进行预检，将通过质检的县市成果汇交到自治区及部信息中心，入库汇总形成包含塔城地区宅基地、集体建设用地的地籍数据库，配合地区完成相关工作。</w:t>
      </w:r>
    </w:p>
    <w:p w14:paraId="5CDBE434">
      <w:pPr>
        <w:widowControl/>
        <w:adjustRightInd w:val="0"/>
        <w:snapToGrid w:val="0"/>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1、</w:t>
      </w:r>
      <w:bookmarkStart w:id="26" w:name="OLE_LINK3"/>
      <w:bookmarkStart w:id="27" w:name="OLE_LINK4"/>
      <w:r>
        <w:rPr>
          <w:rFonts w:hint="eastAsia" w:ascii="仿宋" w:hAnsi="仿宋" w:eastAsia="仿宋" w:cs="仿宋"/>
          <w:b/>
          <w:color w:val="auto"/>
          <w:sz w:val="24"/>
          <w:szCs w:val="24"/>
        </w:rPr>
        <w:t>全民所有自然资源资产</w:t>
      </w:r>
      <w:bookmarkEnd w:id="26"/>
      <w:bookmarkEnd w:id="27"/>
      <w:r>
        <w:rPr>
          <w:rFonts w:hint="eastAsia" w:ascii="仿宋" w:hAnsi="仿宋" w:eastAsia="仿宋" w:cs="仿宋"/>
          <w:b/>
          <w:color w:val="auto"/>
          <w:sz w:val="24"/>
          <w:szCs w:val="24"/>
        </w:rPr>
        <w:t>清查</w:t>
      </w:r>
    </w:p>
    <w:p w14:paraId="00ADB07E">
      <w:pPr>
        <w:widowControl/>
        <w:adjustRightInd w:val="0"/>
        <w:snapToGrid w:val="0"/>
        <w:spacing w:line="360" w:lineRule="auto"/>
        <w:ind w:firstLine="480"/>
        <w:rPr>
          <w:rFonts w:hint="eastAsia" w:ascii="仿宋" w:hAnsi="仿宋" w:eastAsia="仿宋" w:cs="仿宋"/>
          <w:b/>
          <w:bCs/>
          <w:color w:val="auto"/>
          <w:sz w:val="24"/>
          <w:szCs w:val="24"/>
        </w:rPr>
      </w:pPr>
      <w:r>
        <w:rPr>
          <w:rFonts w:hint="eastAsia" w:ascii="仿宋" w:hAnsi="仿宋" w:eastAsia="仿宋" w:cs="仿宋"/>
          <w:color w:val="auto"/>
          <w:sz w:val="24"/>
          <w:szCs w:val="24"/>
        </w:rPr>
        <w:t>根据国家、自治区关于全民所有自然资源资产清查工作要求，协助地区组织3市4县开展辖区内全民所有自然资源资产实物量和价值量清查、理清使用权状况等，</w:t>
      </w:r>
      <w:r>
        <w:rPr>
          <w:rFonts w:hint="eastAsia" w:ascii="仿宋" w:hAnsi="仿宋" w:eastAsia="仿宋" w:cs="仿宋"/>
          <w:color w:val="auto"/>
          <w:sz w:val="24"/>
          <w:szCs w:val="24"/>
          <w:lang w:eastAsia="zh-CN"/>
        </w:rPr>
        <w:t>指导</w:t>
      </w:r>
      <w:r>
        <w:rPr>
          <w:rFonts w:hint="eastAsia" w:ascii="仿宋" w:hAnsi="仿宋" w:eastAsia="仿宋" w:cs="仿宋"/>
          <w:color w:val="auto"/>
          <w:sz w:val="24"/>
          <w:szCs w:val="24"/>
        </w:rPr>
        <w:t>县市</w:t>
      </w:r>
      <w:r>
        <w:rPr>
          <w:rFonts w:hint="eastAsia" w:ascii="仿宋" w:hAnsi="仿宋" w:eastAsia="仿宋" w:cs="仿宋"/>
          <w:color w:val="auto"/>
          <w:sz w:val="24"/>
          <w:szCs w:val="24"/>
          <w:lang w:eastAsia="zh-CN"/>
        </w:rPr>
        <w:t>完成</w:t>
      </w:r>
      <w:r>
        <w:rPr>
          <w:rFonts w:hint="eastAsia" w:ascii="仿宋" w:hAnsi="仿宋" w:eastAsia="仿宋" w:cs="仿宋"/>
          <w:color w:val="auto"/>
          <w:sz w:val="24"/>
          <w:szCs w:val="24"/>
        </w:rPr>
        <w:t>全民所有自然资源资产清查相关工作。对县市成果进行预检，通过质检的资产清查成果汇交自治区。利用地区级资产清查数据入库工具，汇总形成地区级全民所有自然资源资产清查数据库，支撑塔城地区级对全民所有自然资源资产的日常统计分析、查询、成果制作等基础管理工作。</w:t>
      </w:r>
    </w:p>
    <w:p w14:paraId="4E8247C9">
      <w:pPr>
        <w:widowControl/>
        <w:adjustRightInd w:val="0"/>
        <w:snapToGrid w:val="0"/>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2、地籍数成果入库汇交</w:t>
      </w:r>
    </w:p>
    <w:p w14:paraId="6D118529">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根据国家、自治区关于地籍成果入库汇交和地籍图编制相关文件要求，协助地区组织3市4县开展辖区不动产地籍成果入库汇交与地籍图编制工作，对县市汇交到地区的宅基地、集体建设用地</w:t>
      </w:r>
      <w:r>
        <w:rPr>
          <w:rFonts w:hint="eastAsia" w:ascii="仿宋" w:hAnsi="仿宋" w:eastAsia="仿宋" w:cs="仿宋"/>
          <w:color w:val="auto"/>
          <w:sz w:val="24"/>
          <w:szCs w:val="24"/>
          <w:lang w:eastAsia="zh-CN"/>
        </w:rPr>
        <w:t>、国有建设用地、土地承包经营权、林权、自然资源、未调查的道路、水系、公园绿地、戈壁荒漠等各类地籍调查成果</w:t>
      </w:r>
      <w:r>
        <w:rPr>
          <w:rFonts w:hint="eastAsia" w:ascii="仿宋" w:hAnsi="仿宋" w:eastAsia="仿宋" w:cs="仿宋"/>
          <w:color w:val="auto"/>
          <w:sz w:val="24"/>
          <w:szCs w:val="24"/>
        </w:rPr>
        <w:t>进行预检</w:t>
      </w:r>
      <w:r>
        <w:rPr>
          <w:rFonts w:hint="eastAsia" w:ascii="仿宋" w:hAnsi="仿宋" w:eastAsia="仿宋" w:cs="仿宋"/>
          <w:color w:val="auto"/>
          <w:sz w:val="24"/>
          <w:szCs w:val="24"/>
          <w:lang w:eastAsia="zh-CN"/>
        </w:rPr>
        <w:t>、清查整理，</w:t>
      </w:r>
      <w:r>
        <w:rPr>
          <w:rFonts w:hint="eastAsia" w:ascii="仿宋" w:hAnsi="仿宋" w:eastAsia="仿宋" w:cs="仿宋"/>
          <w:color w:val="auto"/>
          <w:sz w:val="24"/>
          <w:szCs w:val="24"/>
        </w:rPr>
        <w:t>按照自治区汇交时间完成汇交工作。利用地区级不动产地籍数据汇总入库工具，完成3市4县不动产地籍数据成果入库汇总工作，形成地区级不动产地籍数据库，满足地区级地籍数据更新、查询，统计分析等地籍数据管理的需要。</w:t>
      </w:r>
    </w:p>
    <w:p w14:paraId="4AEB653A">
      <w:pPr>
        <w:pStyle w:val="2"/>
        <w:keepNext w:val="0"/>
        <w:keepLines w:val="0"/>
        <w:numPr>
          <w:ilvl w:val="0"/>
          <w:numId w:val="13"/>
        </w:numPr>
        <w:spacing w:before="193" w:beforeLines="50" w:after="193" w:after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采购需求</w:t>
      </w:r>
    </w:p>
    <w:p w14:paraId="52623A91">
      <w:pPr>
        <w:widowControl/>
        <w:adjustRightInd w:val="0"/>
        <w:snapToGrid w:val="0"/>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1、项目背景</w:t>
      </w:r>
    </w:p>
    <w:p w14:paraId="75C1505F">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全民所有自然资源资产清查是统一行使全民所有自然资源资产所有者职责、管理全民所有自然资源资产的基础性工作，是摸清全民所有土地、矿产、森林、草原、湿地、水和海洋等自然资源资产底数的重要途径。2019年以来，自然资源部组织开展了资产清查第一批、第二批试点，从建立制度、汇集补充数据、建立资产清查价格体系、开展经济价值估算、建立成果数据库等方面开展试点工作。2023年7月，为做好与重大改革的协同，自然资源部开展深化全民所有自然资源资产清查试点工作。2024年7月，自然资源部印发《关于全面开展全民所有自然资源资产清查工作的通知》（自然资发〔2024〕127号），决定在全国范围内，面向全民所有土地、矿产、森林、草原、湿地、水等自然资源资产开展全民所有自然资源资产清查工作。</w:t>
      </w:r>
    </w:p>
    <w:p w14:paraId="45702EFC">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新时代的地籍，以权利归属为核心，准确记载自然资源和不动产权属、位置、界址、面积等信息，客观反映不动产权利设立、变更、转让、消灭状况，构成自然资源主管部门履行“两统一”职责的产权底板，为明晰产权、定分止争、维护资源资产权益提供根本保障。2023年10月，自然资源部印发《关于进一步做好地籍调查工作的通知》（自然资发〔2023〕195号），明确要求健全地籍管理工作机制、规范开展地籍调查、严格审核地籍调查成果、加快建设地籍数据库、强化地籍数据共享应用和动态更新。2024年7月，自然资源部办公厅印发《关于加快编制地籍图的通知》（自然资办函〔2024〕1481号），明确了具体时间节点：2025年底前，各地要基本完成宅基地和集体建设用地地籍调查成果收集整理，未调查宗地和已登记宗地缺失图形数据的要完成宗地范围勾绘，基本实现宅基地地籍图全覆盖，数据成果汇交到部，并将其它已入库地籍数据上图。2026年底前，各地要基本完成国有建设用地地籍调查成果收集整理，补充完善已登记宗地的图形数据，并汇交到部。</w:t>
      </w:r>
    </w:p>
    <w:p w14:paraId="4572AF66">
      <w:pPr>
        <w:widowControl/>
        <w:adjustRightInd w:val="0"/>
        <w:snapToGrid w:val="0"/>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2、工作任务及技术要求</w:t>
      </w:r>
    </w:p>
    <w:p w14:paraId="2588CC57">
      <w:pPr>
        <w:widowControl/>
        <w:adjustRightInd w:val="0"/>
        <w:snapToGrid w:val="0"/>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（1）全民所有自然资源资产清查</w:t>
      </w:r>
    </w:p>
    <w:p w14:paraId="369A2A03">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按照《自然资源部关于全面开展全民所有自然资源资产清查工作的通知》（自然资办函〔2024〕127号）工作要求，开展塔城地区全民所有自然资源资产清查工作，具体工作任务及技术要求如下：</w:t>
      </w:r>
    </w:p>
    <w:p w14:paraId="4F29E399">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1）全民所有自然资源资产清查工作培训与指导</w:t>
      </w:r>
    </w:p>
    <w:p w14:paraId="09581093">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按照《全民所有自然资源资产清查技术指南》（试行稿）技术要求，面向各县（市）自然资源部门，协助地区组织开展全民所有自然资源资产清查技术培训工作，检查各县（市）开展辖区内全民所有自然资源资产实物量、价值量清查、理清使用权状况（包括地籍调查覆盖范围内）。</w:t>
      </w:r>
    </w:p>
    <w:p w14:paraId="1D9A7319">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2）全民所有自然资源资产清查数据预检</w:t>
      </w:r>
    </w:p>
    <w:p w14:paraId="6E286233">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对3市4县提交的全民所有自然资源资产清查数据成果，利用自然资源部下发的质检软件进行预检，包括对数据完整性、准确性、逻辑一致性等内容进行质检。</w:t>
      </w:r>
    </w:p>
    <w:p w14:paraId="4DF59E7A">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3）全民所有自然资源资产清查成果汇交</w:t>
      </w:r>
    </w:p>
    <w:p w14:paraId="18D6E4F2">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严格按照《全民所有自然资源资产清查数据成果汇交规范》要求，对各县（市）资产清查成果进行质检，反馈质检结果给县市，县市修改完善后通过初检，形成塔城地区检查报告报送自治区自然资源厅，并配合自治区完成相关资产清查工作。</w:t>
      </w:r>
    </w:p>
    <w:p w14:paraId="3A9D1898">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4）地区级资产清查数据汇总</w:t>
      </w:r>
    </w:p>
    <w:p w14:paraId="5BB973E7">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为满足塔城地区资产清查数据成果管理应用需求，利用全民所有自然资源资产清查数据汇总入库工具，实现对各县（市）提交的各类全民所有自然资源资产清查数据</w:t>
      </w:r>
      <w:bookmarkStart w:id="28" w:name="OLE_LINK7"/>
      <w:bookmarkStart w:id="29" w:name="OLE_LINK8"/>
      <w:r>
        <w:rPr>
          <w:rFonts w:hint="eastAsia" w:ascii="仿宋" w:hAnsi="仿宋" w:eastAsia="仿宋" w:cs="仿宋"/>
          <w:color w:val="auto"/>
          <w:sz w:val="24"/>
          <w:szCs w:val="24"/>
        </w:rPr>
        <w:t>成果接收、检查、入库、统计分析、成果制作、数据汇交和更新管理</w:t>
      </w:r>
      <w:bookmarkEnd w:id="28"/>
      <w:bookmarkEnd w:id="29"/>
      <w:r>
        <w:rPr>
          <w:rFonts w:hint="eastAsia" w:ascii="仿宋" w:hAnsi="仿宋" w:eastAsia="仿宋" w:cs="仿宋"/>
          <w:color w:val="auto"/>
          <w:sz w:val="24"/>
          <w:szCs w:val="24"/>
        </w:rPr>
        <w:t>，汇总建设塔城地区全民所有自然资源资产清查数据库。</w:t>
      </w:r>
    </w:p>
    <w:p w14:paraId="6A508656">
      <w:pPr>
        <w:widowControl/>
        <w:adjustRightInd w:val="0"/>
        <w:snapToGrid w:val="0"/>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（2）地籍成果入库汇交</w:t>
      </w:r>
    </w:p>
    <w:p w14:paraId="504EF420">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按照2025年部工作要点，开展塔城地区3市4县宅基地、集体建设用地、国有建设用地等不动产地籍成果预检、汇交、入库汇总工作，具体工作任务及技术要求如下：</w:t>
      </w:r>
    </w:p>
    <w:p w14:paraId="673BFDAF">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1）不动产地籍数据成果入库与地籍图编制工作培训与指导</w:t>
      </w:r>
    </w:p>
    <w:p w14:paraId="44D4549F">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协助地区组织开展宅基地、集体建设用地、国有建设用地地籍成果入库与地籍图编制技术培训，指导、检查县市开展不动产地籍成果入库及地籍图编制。</w:t>
      </w:r>
    </w:p>
    <w:p w14:paraId="077CFA7B">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2）不动产地籍成果入库及地籍图编制成果预检</w:t>
      </w:r>
    </w:p>
    <w:p w14:paraId="5E455735">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接收辖区内提交的宅基地、集体建设用地、国有建设用地籍数据库及地籍图编制成果，对提交的不动产地籍数据库及地籍图编制成果进行预检，包括对数据完整性、规范性、一致性、有效性等内容进行质检。</w:t>
      </w:r>
    </w:p>
    <w:p w14:paraId="3A4D8A3B">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3）不动产地籍数据库和地籍图成果汇交</w:t>
      </w:r>
    </w:p>
    <w:p w14:paraId="7D38938C">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严格按照《地籍数据汇交要求（试行）》文件要求，在自治区规定时间节点内，对县市提交的宅基地、集体建设用地、国有建设用地地籍数据库成果质量质检复核后，向自治区自然资源厅汇交，并配合自治区完成相关质检工作，确保地区地籍数据成果成功汇交至部。</w:t>
      </w:r>
    </w:p>
    <w:p w14:paraId="0F08C59E">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4）地区级不动产地籍数据入库汇总</w:t>
      </w:r>
    </w:p>
    <w:p w14:paraId="16A124E7">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为满足地区级不动产地籍数据入库质检工作，建设不动产地籍数据入库汇总工具，涵盖数据标准化整合入库、数据编辑、数据检查、快速查询统计、电子材料管理、数据更新等，汇总建成地区级不动产地籍数据库，实现地区级不动产地籍数据的高效入库与规范化管理。</w:t>
      </w:r>
    </w:p>
    <w:p w14:paraId="40ED819C">
      <w:pPr>
        <w:widowControl/>
        <w:adjustRightInd w:val="0"/>
        <w:snapToGrid w:val="0"/>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三、提交成果</w:t>
      </w:r>
    </w:p>
    <w:p w14:paraId="6E78EF66">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1、数据成果</w:t>
      </w:r>
    </w:p>
    <w:p w14:paraId="24C20458">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（1）塔城地区级全民所有自然资源资产清查数据库；</w:t>
      </w:r>
    </w:p>
    <w:p w14:paraId="40FF469C">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（2）塔城地区级不动产地籍数据库；</w:t>
      </w:r>
    </w:p>
    <w:p w14:paraId="4E607183">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（3）塔城地区全民所有自然资源资产清查数据汇交成果；</w:t>
      </w:r>
    </w:p>
    <w:p w14:paraId="641E2F8B">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（4）塔城地区不动产地籍数据及图件编制汇交成果。</w:t>
      </w:r>
    </w:p>
    <w:p w14:paraId="31C64FCA">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2、工具成果</w:t>
      </w:r>
    </w:p>
    <w:p w14:paraId="27FDFE6D">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（1）塔城地区级全民所有资产清查成果入库汇总工具；</w:t>
      </w:r>
    </w:p>
    <w:p w14:paraId="04A8F99A">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（2）塔城地区级不动产地籍成果入库汇总工具。</w:t>
      </w:r>
    </w:p>
    <w:p w14:paraId="561DF8F3">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3、文档成果</w:t>
      </w:r>
    </w:p>
    <w:p w14:paraId="255FDFB1">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（1）塔城地区全民所有自然资源资产清查、编制地籍图项目实施方案；</w:t>
      </w:r>
    </w:p>
    <w:p w14:paraId="20B25709">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（2）塔城地区全民所有自然资源资产清查、编制地籍图项目技术总结；</w:t>
      </w:r>
    </w:p>
    <w:p w14:paraId="11CFDF5A">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（3）塔城地区全民所有自然资源资产清查、编制地籍图项目工作总结；</w:t>
      </w:r>
    </w:p>
    <w:p w14:paraId="152CD9AF">
      <w:pPr>
        <w:widowControl/>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（4）塔城地区全民所有自然资源资产清查、编制地籍图项目质量检查报告。</w:t>
      </w:r>
    </w:p>
    <w:p w14:paraId="4CD84914">
      <w:pPr>
        <w:widowControl/>
        <w:adjustRightInd w:val="0"/>
        <w:snapToGrid w:val="0"/>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四、其他要求</w:t>
      </w:r>
    </w:p>
    <w:p w14:paraId="64986E0F">
      <w:pPr>
        <w:spacing w:line="360" w:lineRule="auto"/>
        <w:ind w:firstLine="602"/>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）交付方式及交付地点</w:t>
      </w:r>
    </w:p>
    <w:p w14:paraId="788B894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成果以光盘形式提交；文本成果提供纸质版1套，提交地点：甲方指定地点。</w:t>
      </w:r>
    </w:p>
    <w:p w14:paraId="54E5C688">
      <w:pPr>
        <w:spacing w:line="360" w:lineRule="auto"/>
        <w:ind w:firstLine="602"/>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）验收要求</w:t>
      </w:r>
    </w:p>
    <w:p w14:paraId="2C5AC6B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1.严格按照招标文件要求和成交供应商投标响应文件内容进行验收。</w:t>
      </w:r>
    </w:p>
    <w:p w14:paraId="5E317FD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2.严格按照政府采购相关法律法规要求进行验收。</w:t>
      </w:r>
    </w:p>
    <w:p w14:paraId="3361C1D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3.采购人可根据项目情况邀请专家进行验收。</w:t>
      </w:r>
    </w:p>
    <w:p w14:paraId="7807789D">
      <w:pPr>
        <w:spacing w:line="360" w:lineRule="auto"/>
        <w:ind w:firstLine="602"/>
        <w:rPr>
          <w:rFonts w:hint="eastAsia" w:ascii="仿宋" w:hAnsi="仿宋" w:eastAsia="仿宋" w:cs="仿宋"/>
          <w:b/>
          <w:color w:val="auto"/>
          <w:sz w:val="24"/>
          <w:szCs w:val="24"/>
        </w:rPr>
      </w:pPr>
      <w:r>
        <w:rPr>
          <w:rFonts w:hint="eastAsia" w:ascii="仿宋" w:hAnsi="仿宋" w:eastAsia="仿宋" w:cs="仿宋"/>
          <w:b/>
          <w:color w:val="auto"/>
          <w:sz w:val="24"/>
          <w:szCs w:val="24"/>
        </w:rPr>
        <w:t>（三）付款方式</w:t>
      </w:r>
    </w:p>
    <w:p w14:paraId="54D4009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1.采购人与成交供应商签订合同后15日内，支付合同金额的40%；</w:t>
      </w:r>
    </w:p>
    <w:p w14:paraId="0392C2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2.主体项目成果提交后，支付合同金额的40%；</w:t>
      </w:r>
    </w:p>
    <w:p w14:paraId="7F465D72">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3.项目验收后支付合同金额的20%。</w:t>
      </w:r>
    </w:p>
    <w:p w14:paraId="30303B7B">
      <w:pPr>
        <w:spacing w:line="360" w:lineRule="auto"/>
        <w:ind w:firstLine="602"/>
        <w:rPr>
          <w:rFonts w:hint="eastAsia" w:ascii="仿宋" w:hAnsi="仿宋" w:eastAsia="仿宋" w:cs="仿宋"/>
          <w:b/>
          <w:color w:val="auto"/>
          <w:sz w:val="24"/>
          <w:szCs w:val="24"/>
        </w:rPr>
      </w:pPr>
      <w:r>
        <w:rPr>
          <w:rFonts w:hint="eastAsia" w:ascii="仿宋" w:hAnsi="仿宋" w:eastAsia="仿宋" w:cs="仿宋"/>
          <w:b/>
          <w:color w:val="auto"/>
          <w:sz w:val="24"/>
          <w:szCs w:val="24"/>
        </w:rPr>
        <w:t>（四）培训要求</w:t>
      </w:r>
    </w:p>
    <w:p w14:paraId="43B0EB6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投标人应免费对供应商相关技术人员提供包括集中培训、现场培训、操作辅导与答疑等多种形式的培训。提出详细的培训内容和计划，经供应商同意后严格执行。</w:t>
      </w:r>
    </w:p>
    <w:p w14:paraId="5A65C07B">
      <w:pPr>
        <w:spacing w:line="360" w:lineRule="auto"/>
        <w:ind w:firstLine="602"/>
        <w:rPr>
          <w:rFonts w:hint="eastAsia" w:ascii="仿宋" w:hAnsi="仿宋" w:eastAsia="仿宋" w:cs="仿宋"/>
          <w:b/>
          <w:color w:val="auto"/>
          <w:sz w:val="24"/>
          <w:szCs w:val="24"/>
        </w:rPr>
      </w:pPr>
      <w:r>
        <w:rPr>
          <w:rFonts w:hint="eastAsia" w:ascii="仿宋" w:hAnsi="仿宋" w:eastAsia="仿宋" w:cs="仿宋"/>
          <w:b/>
          <w:color w:val="auto"/>
          <w:sz w:val="24"/>
          <w:szCs w:val="24"/>
        </w:rPr>
        <w:t>（五）售后服务</w:t>
      </w:r>
    </w:p>
    <w:p w14:paraId="43A3BD4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为保证项目有序、规范建设，投标人需成立一个由专业技术人员组成的专业售后服务团队，制定切实可行的售后服务方案。</w:t>
      </w:r>
    </w:p>
    <w:p w14:paraId="2A1A4C38">
      <w:pPr>
        <w:numPr>
          <w:ilvl w:val="0"/>
          <w:numId w:val="0"/>
        </w:numPr>
        <w:adjustRightInd w:val="0"/>
        <w:snapToGrid w:val="0"/>
        <w:spacing w:line="360" w:lineRule="auto"/>
        <w:ind w:leftChars="0"/>
        <w:rPr>
          <w:rFonts w:hint="eastAsia" w:ascii="仿宋" w:hAnsi="仿宋" w:eastAsia="仿宋" w:cs="宋体"/>
          <w:b/>
          <w:color w:val="C00000"/>
          <w:sz w:val="24"/>
          <w:szCs w:val="24"/>
          <w:highlight w:val="yellow"/>
          <w:lang w:val="en-US" w:eastAsia="zh-CN"/>
        </w:rPr>
      </w:pPr>
    </w:p>
    <w:p w14:paraId="1C2561B8">
      <w:pPr>
        <w:numPr>
          <w:ilvl w:val="0"/>
          <w:numId w:val="0"/>
        </w:numPr>
        <w:spacing w:line="360" w:lineRule="auto"/>
        <w:rPr>
          <w:rFonts w:hint="default" w:ascii="仿宋" w:hAnsi="仿宋" w:eastAsia="仿宋" w:cs="仿宋"/>
          <w:color w:val="C00000"/>
          <w:kern w:val="2"/>
          <w:sz w:val="24"/>
          <w:szCs w:val="24"/>
          <w:lang w:val="en-US" w:eastAsia="zh-CN" w:bidi="ar-SA"/>
        </w:rPr>
      </w:pPr>
    </w:p>
    <w:p w14:paraId="1B155607">
      <w:pPr>
        <w:numPr>
          <w:ilvl w:val="0"/>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5D7E0EB7">
      <w:pPr>
        <w:pStyle w:val="2"/>
        <w:numPr>
          <w:ilvl w:val="0"/>
          <w:numId w:val="5"/>
        </w:num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评标程序、评标方法和评标标准</w:t>
      </w:r>
      <w:bookmarkEnd w:id="25"/>
    </w:p>
    <w:p w14:paraId="7860CD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lang w:val="en-US" w:eastAsia="zh-CN"/>
        </w:rPr>
      </w:pPr>
    </w:p>
    <w:p w14:paraId="62BBE840">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lang w:val="en-US" w:eastAsia="zh-CN"/>
        </w:rPr>
      </w:pPr>
      <w:bookmarkStart w:id="30" w:name="_Toc8502"/>
      <w:r>
        <w:rPr>
          <w:rFonts w:hint="eastAsia" w:ascii="仿宋" w:hAnsi="仿宋" w:eastAsia="仿宋" w:cs="仿宋"/>
          <w:b/>
          <w:bCs/>
          <w:sz w:val="24"/>
          <w:szCs w:val="24"/>
          <w:lang w:val="en-US" w:eastAsia="zh-CN"/>
        </w:rPr>
        <w:t>评标方法</w:t>
      </w:r>
      <w:bookmarkEnd w:id="30"/>
      <w:r>
        <w:rPr>
          <w:rFonts w:hint="eastAsia" w:ascii="仿宋" w:hAnsi="仿宋" w:eastAsia="仿宋" w:cs="仿宋"/>
          <w:b/>
          <w:bCs/>
          <w:sz w:val="24"/>
          <w:szCs w:val="24"/>
          <w:lang w:val="en-US" w:eastAsia="zh-CN"/>
        </w:rPr>
        <w:t xml:space="preserve"> </w:t>
      </w:r>
    </w:p>
    <w:p w14:paraId="0096BC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评标采用综合评分法。是指经磋商确定最终采购需求和提交最后报价的供应商后，由磋商小组采用综合评分法对提交最后报价的供应商的响应文件和最后报价进行综合评分。评审得分最高的供应商为成交候选人的评标方法。</w:t>
      </w:r>
    </w:p>
    <w:p w14:paraId="02D6C3FB">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31" w:name="_Toc14691"/>
      <w:r>
        <w:rPr>
          <w:rFonts w:hint="eastAsia" w:ascii="仿宋" w:hAnsi="仿宋" w:eastAsia="仿宋" w:cs="仿宋"/>
          <w:b/>
          <w:bCs/>
          <w:sz w:val="24"/>
          <w:szCs w:val="24"/>
          <w:lang w:val="en-US" w:eastAsia="zh-CN"/>
        </w:rPr>
        <w:t>评标原则</w:t>
      </w:r>
      <w:bookmarkEnd w:id="31"/>
    </w:p>
    <w:p w14:paraId="3BB3D267">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评标活动遵循公平、公正、科学和择优的原则，以采购文件和响应文件为评标的基本依据，并按照采购文件规定的评标方法和评标标准进行评标。</w:t>
      </w:r>
    </w:p>
    <w:p w14:paraId="7622D27A">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具体评标事项由磋商小组负责，并按采购文件的规定办法进行评审。对采购文件中描述有歧义或前后不一致的地方，磋商小组有权按法律法规的规定进行评判，但对同一条款的评判应适用于每个响应供应商。</w:t>
      </w:r>
    </w:p>
    <w:p w14:paraId="5BB0325B">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32" w:name="_Toc21169"/>
      <w:r>
        <w:rPr>
          <w:rFonts w:hint="eastAsia" w:ascii="仿宋" w:hAnsi="仿宋" w:eastAsia="仿宋" w:cs="仿宋"/>
          <w:b/>
          <w:bCs/>
          <w:sz w:val="24"/>
          <w:szCs w:val="24"/>
          <w:lang w:val="en-US" w:eastAsia="zh-CN"/>
        </w:rPr>
        <w:t>资格审查</w:t>
      </w:r>
      <w:bookmarkEnd w:id="32"/>
    </w:p>
    <w:p w14:paraId="0826FB0B">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磋商小组依据采购文件，对响应文件中的资格证明文件等进行审查，以确定供应商是否具备磋商资格。资格性审查中凡有其中任意一项未通过的，评审结果为未通过，未通过资格性审查的供应商按</w:t>
      </w:r>
      <w:r>
        <w:rPr>
          <w:rFonts w:hint="eastAsia" w:ascii="仿宋" w:hAnsi="仿宋" w:eastAsia="仿宋" w:cs="仿宋"/>
          <w:b/>
          <w:bCs/>
          <w:sz w:val="24"/>
          <w:szCs w:val="24"/>
          <w:lang w:val="en-US" w:eastAsia="zh-CN"/>
        </w:rPr>
        <w:t>无效响应</w:t>
      </w:r>
      <w:r>
        <w:rPr>
          <w:rFonts w:hint="eastAsia" w:ascii="仿宋" w:hAnsi="仿宋" w:eastAsia="仿宋" w:cs="仿宋"/>
          <w:b w:val="0"/>
          <w:bCs w:val="0"/>
          <w:sz w:val="24"/>
          <w:szCs w:val="24"/>
          <w:lang w:val="en-US" w:eastAsia="zh-CN"/>
        </w:rPr>
        <w:t>处理，不进入符合性审查。审查内容如下：</w:t>
      </w:r>
    </w:p>
    <w:p w14:paraId="6A307E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资格审查要求</w:t>
      </w:r>
    </w:p>
    <w:tbl>
      <w:tblPr>
        <w:tblStyle w:val="2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275"/>
        <w:gridCol w:w="3360"/>
        <w:gridCol w:w="4490"/>
      </w:tblGrid>
      <w:tr w14:paraId="1C4F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2" w:type="dxa"/>
            <w:vAlign w:val="center"/>
          </w:tcPr>
          <w:p w14:paraId="0A104A7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1275" w:type="dxa"/>
            <w:vAlign w:val="center"/>
          </w:tcPr>
          <w:p w14:paraId="61FEA75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3360" w:type="dxa"/>
            <w:vAlign w:val="center"/>
          </w:tcPr>
          <w:p w14:paraId="78F66F1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审查要求</w:t>
            </w:r>
          </w:p>
        </w:tc>
        <w:tc>
          <w:tcPr>
            <w:tcW w:w="4490" w:type="dxa"/>
            <w:vAlign w:val="center"/>
          </w:tcPr>
          <w:p w14:paraId="19413CA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lang w:val="en-US" w:eastAsia="zh-CN"/>
              </w:rPr>
              <w:t>要求说明</w:t>
            </w:r>
          </w:p>
        </w:tc>
      </w:tr>
      <w:tr w14:paraId="149A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150390F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1275" w:type="dxa"/>
            <w:vAlign w:val="center"/>
          </w:tcPr>
          <w:p w14:paraId="0E5EBD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3360" w:type="dxa"/>
            <w:vAlign w:val="center"/>
          </w:tcPr>
          <w:p w14:paraId="330EF32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须提供法人或其他组织或自然人的营业执照副本或事业法人登记证或执业许可证或身份证等相关证明扫描件（除身份证外其余证件须投标人加盖公章）</w:t>
            </w:r>
          </w:p>
        </w:tc>
        <w:tc>
          <w:tcPr>
            <w:tcW w:w="4490" w:type="dxa"/>
            <w:vAlign w:val="center"/>
          </w:tcPr>
          <w:p w14:paraId="3FAB95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加盖公章或所有联合体成员公章。</w:t>
            </w:r>
          </w:p>
        </w:tc>
      </w:tr>
      <w:tr w14:paraId="5C9E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359EBA1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1275" w:type="dxa"/>
            <w:vAlign w:val="center"/>
          </w:tcPr>
          <w:p w14:paraId="4EC97F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3360" w:type="dxa"/>
            <w:vAlign w:val="center"/>
          </w:tcPr>
          <w:p w14:paraId="4A8256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本单位上一年度由会计师事务所出具的财务审计报告（当上一年度审计报告未出来时，可提供前一年度审计报告，6月1日（含6月1日）以后开标项目必须提供上一年度审计报告），审计报告须包括资产负债表、利润表、现金流量表、所有者权益变动（如有）及其附注（扫描件供应商加盖公章）。如供应商无法提供上年度审计报告，则需提供开标日前三个月内银行出具的资信证明原件或扫描件加盖公章。如供应商注册成立不足六个月的则提供承诺书（自拟）原件或公司财务报表。</w:t>
            </w:r>
          </w:p>
        </w:tc>
        <w:tc>
          <w:tcPr>
            <w:tcW w:w="4490" w:type="dxa"/>
            <w:vAlign w:val="center"/>
          </w:tcPr>
          <w:p w14:paraId="753E9B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加盖公章或所有联合体成员公章。</w:t>
            </w:r>
          </w:p>
        </w:tc>
      </w:tr>
      <w:tr w14:paraId="0E14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F4C64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275" w:type="dxa"/>
            <w:vAlign w:val="center"/>
          </w:tcPr>
          <w:p w14:paraId="0D35502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3360" w:type="dxa"/>
            <w:vAlign w:val="center"/>
          </w:tcPr>
          <w:p w14:paraId="5C327F7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须提供具备履行合同所必需的设备和专业技术能力的书面声明原件（格式详见第七章投标文件格式附件1-5）。</w:t>
            </w:r>
          </w:p>
        </w:tc>
        <w:tc>
          <w:tcPr>
            <w:tcW w:w="4490" w:type="dxa"/>
            <w:vAlign w:val="center"/>
          </w:tcPr>
          <w:p w14:paraId="7CF3163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加盖公章或所有联合体成员公章。</w:t>
            </w:r>
          </w:p>
        </w:tc>
      </w:tr>
      <w:tr w14:paraId="2CB3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1E301A6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1275" w:type="dxa"/>
            <w:vAlign w:val="center"/>
          </w:tcPr>
          <w:p w14:paraId="1BEEF0D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3360" w:type="dxa"/>
            <w:vAlign w:val="center"/>
          </w:tcPr>
          <w:p w14:paraId="060870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1.须提供投标文件递交截止日期之前六个月内任何一期的纳税记录或证明文件原件或扫描件投标人加盖公章（依法免税的应提供相应文件说明，</w:t>
            </w:r>
            <w:r>
              <w:rPr>
                <w:rFonts w:hint="eastAsia" w:ascii="仿宋" w:hAnsi="仿宋" w:eastAsia="仿宋" w:cs="仿宋"/>
                <w:color w:val="auto"/>
                <w:sz w:val="21"/>
                <w:szCs w:val="21"/>
                <w:highlight w:val="none"/>
                <w:lang w:eastAsia="zh-CN"/>
              </w:rPr>
              <w:t>当月新成立公司不需提供</w:t>
            </w:r>
            <w:r>
              <w:rPr>
                <w:rFonts w:hint="eastAsia" w:ascii="仿宋" w:hAnsi="仿宋" w:eastAsia="仿宋" w:cs="仿宋"/>
                <w:b w:val="0"/>
                <w:bCs w:val="0"/>
                <w:color w:val="auto"/>
                <w:sz w:val="21"/>
                <w:szCs w:val="21"/>
                <w:highlight w:val="none"/>
                <w:vertAlign w:val="baseline"/>
                <w:lang w:val="en-US" w:eastAsia="zh-CN"/>
              </w:rPr>
              <w:t>）</w:t>
            </w:r>
          </w:p>
          <w:p w14:paraId="54363E3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扫描件投标人加盖公章（任意一个月即可），证明材料是缴纳社会保险的凭据（专用收据或社会保险缴纳清单或银行回单等）（依法不需要缴纳社会保障资金的应提供相应文件说明）</w:t>
            </w:r>
          </w:p>
        </w:tc>
        <w:tc>
          <w:tcPr>
            <w:tcW w:w="4490" w:type="dxa"/>
            <w:vAlign w:val="center"/>
          </w:tcPr>
          <w:p w14:paraId="48B03D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加盖公章或所有联合体成员公章。</w:t>
            </w:r>
          </w:p>
        </w:tc>
      </w:tr>
      <w:tr w14:paraId="7067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96FD5E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1275" w:type="dxa"/>
            <w:vAlign w:val="center"/>
          </w:tcPr>
          <w:p w14:paraId="6A15BB1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3360" w:type="dxa"/>
            <w:vAlign w:val="center"/>
          </w:tcPr>
          <w:p w14:paraId="3D02E72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须提供声明函原件（格式详见第七章投标文件格式附件1-5）</w:t>
            </w:r>
          </w:p>
        </w:tc>
        <w:tc>
          <w:tcPr>
            <w:tcW w:w="4490" w:type="dxa"/>
            <w:vAlign w:val="center"/>
          </w:tcPr>
          <w:p w14:paraId="5314D57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加盖公章或所有联合体成员公章。</w:t>
            </w:r>
          </w:p>
        </w:tc>
      </w:tr>
      <w:tr w14:paraId="497D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3CCCC4F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1275" w:type="dxa"/>
            <w:vAlign w:val="center"/>
          </w:tcPr>
          <w:p w14:paraId="103D94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3360" w:type="dxa"/>
            <w:vAlign w:val="center"/>
          </w:tcPr>
          <w:p w14:paraId="5E55255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投标人不得为“信用中国”网站中列入失信被执行人和重大税收违法案件当事人名单的投标人（在处罚期内），不得为“中国政府采购网”政府采购严重违法失信行为记录名单中被财政部门禁止参加政府采购活动的投标人（在处罚期内）。</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c>
          <w:tcPr>
            <w:tcW w:w="4490" w:type="dxa"/>
            <w:vAlign w:val="center"/>
          </w:tcPr>
          <w:p w14:paraId="0D5F0DA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00F28A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 xml:space="preserve">查询时间：投标截止时间后至资格审查阶段完成； </w:t>
            </w:r>
          </w:p>
          <w:p w14:paraId="5C823B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 打印页作为查询记录和证据，与其他采购文件一并保存；</w:t>
            </w:r>
          </w:p>
          <w:p w14:paraId="593F8B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的使用原则：经认定的被列入失信被执行人、重大税收违法案件当事人名单、政府采购严重违法失信行为记录名单、《中华人民共和国政府采购法实施条例》第十九条规定的行政处罚记录及其他不符合《中 华人民共和国政府采购法》第二十二条规定条件的供应商，其</w:t>
            </w:r>
            <w:r>
              <w:rPr>
                <w:rFonts w:hint="eastAsia" w:ascii="仿宋" w:hAnsi="仿宋" w:eastAsia="仿宋" w:cs="仿宋"/>
                <w:b/>
                <w:bCs/>
                <w:color w:val="auto"/>
                <w:sz w:val="21"/>
                <w:szCs w:val="21"/>
                <w:highlight w:val="none"/>
                <w:vertAlign w:val="baseline"/>
                <w:lang w:val="en-US" w:eastAsia="zh-CN"/>
              </w:rPr>
              <w:t>投标无效</w:t>
            </w:r>
            <w:r>
              <w:rPr>
                <w:rFonts w:hint="eastAsia" w:ascii="仿宋" w:hAnsi="仿宋" w:eastAsia="仿宋" w:cs="仿宋"/>
                <w:b w:val="0"/>
                <w:bCs w:val="0"/>
                <w:color w:val="auto"/>
                <w:sz w:val="21"/>
                <w:szCs w:val="21"/>
                <w:highlight w:val="none"/>
                <w:vertAlign w:val="baseline"/>
                <w:lang w:val="en-US" w:eastAsia="zh-CN"/>
              </w:rPr>
              <w:t>。联合体形式投标的，联合体成员存在不良信用记录，视同联合体存在不良信用记录。</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r>
      <w:tr w14:paraId="70E7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532" w:type="dxa"/>
            <w:vAlign w:val="center"/>
          </w:tcPr>
          <w:p w14:paraId="056B431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1275" w:type="dxa"/>
            <w:shd w:val="clear" w:color="auto" w:fill="auto"/>
            <w:vAlign w:val="center"/>
          </w:tcPr>
          <w:p w14:paraId="04EE363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落实政府采购政策</w:t>
            </w:r>
          </w:p>
          <w:p w14:paraId="548249B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的资格要求</w:t>
            </w:r>
          </w:p>
        </w:tc>
        <w:tc>
          <w:tcPr>
            <w:tcW w:w="3360" w:type="dxa"/>
            <w:shd w:val="clear" w:color="auto" w:fill="auto"/>
            <w:vAlign w:val="center"/>
          </w:tcPr>
          <w:p w14:paraId="49E315ED">
            <w:pPr>
              <w:pStyle w:val="15"/>
              <w:keepNext w:val="0"/>
              <w:keepLines w:val="0"/>
              <w:pageBreakBefore w:val="0"/>
              <w:widowControl w:val="0"/>
              <w:kinsoku/>
              <w:wordWrap/>
              <w:overflowPunct/>
              <w:topLinePunct w:val="0"/>
              <w:bidi w:val="0"/>
              <w:adjustRightInd/>
              <w:snapToGrid/>
              <w:spacing w:after="0" w:line="500" w:lineRule="exact"/>
              <w:ind w:left="0" w:leftChars="0" w:firstLine="0" w:firstLineChars="0"/>
              <w:textAlignment w:val="auto"/>
              <w:rPr>
                <w:rFonts w:hint="eastAsia" w:ascii="仿宋" w:hAnsi="仿宋" w:eastAsia="仿宋" w:cs="仿宋"/>
                <w:b w:val="0"/>
                <w:bCs w:val="0"/>
                <w:color w:val="auto"/>
                <w:spacing w:val="0"/>
                <w:kern w:val="2"/>
                <w:sz w:val="21"/>
                <w:szCs w:val="21"/>
                <w:highlight w:val="none"/>
                <w:u w:val="none"/>
                <w:vertAlign w:val="baseline"/>
                <w:lang w:val="en-US" w:eastAsia="zh-CN" w:bidi="ar"/>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本项目</w:t>
            </w:r>
            <w:r>
              <w:rPr>
                <w:rFonts w:hint="eastAsia" w:ascii="仿宋" w:hAnsi="仿宋" w:eastAsia="仿宋" w:cs="仿宋"/>
                <w:b w:val="0"/>
                <w:bCs w:val="0"/>
                <w:color w:val="auto"/>
                <w:spacing w:val="0"/>
                <w:kern w:val="2"/>
                <w:sz w:val="21"/>
                <w:szCs w:val="21"/>
                <w:highlight w:val="none"/>
                <w:u w:val="none"/>
                <w:vertAlign w:val="baseline"/>
                <w:lang w:val="zh-CN" w:eastAsia="zh-CN" w:bidi="ar"/>
              </w:rPr>
              <w:t>专门面向</w:t>
            </w:r>
            <w:r>
              <w:rPr>
                <w:rFonts w:hint="eastAsia" w:ascii="仿宋" w:hAnsi="仿宋" w:eastAsia="仿宋" w:cs="仿宋"/>
                <w:b w:val="0"/>
                <w:bCs w:val="0"/>
                <w:color w:val="auto"/>
                <w:spacing w:val="0"/>
                <w:kern w:val="2"/>
                <w:sz w:val="21"/>
                <w:szCs w:val="21"/>
                <w:highlight w:val="none"/>
                <w:u w:val="none"/>
                <w:vertAlign w:val="baseline"/>
                <w:lang w:val="en-US" w:eastAsia="zh-CN" w:bidi="ar"/>
              </w:rPr>
              <w:t>中型、小型、微型企业采购。</w:t>
            </w:r>
          </w:p>
          <w:p w14:paraId="66DC46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p>
        </w:tc>
        <w:tc>
          <w:tcPr>
            <w:tcW w:w="4490" w:type="dxa"/>
            <w:shd w:val="clear" w:color="auto" w:fill="auto"/>
            <w:vAlign w:val="center"/>
          </w:tcPr>
          <w:p w14:paraId="0726FCF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请根据"落实政府采购政策需满足的资格要求及审查要求"，上传中小企业声明函，格式以采购文件要求为准，无格式自行拟定。如果是联合体投标，为联合体牵头方加盖公章或所有联合体成员公章。</w:t>
            </w:r>
          </w:p>
        </w:tc>
      </w:tr>
      <w:tr w14:paraId="6560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1F03C4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w:t>
            </w:r>
          </w:p>
        </w:tc>
        <w:tc>
          <w:tcPr>
            <w:tcW w:w="1275" w:type="dxa"/>
            <w:shd w:val="clear" w:color="auto" w:fill="auto"/>
            <w:vAlign w:val="center"/>
          </w:tcPr>
          <w:p w14:paraId="268374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本项目的特定资格要求</w:t>
            </w:r>
          </w:p>
        </w:tc>
        <w:tc>
          <w:tcPr>
            <w:tcW w:w="3360" w:type="dxa"/>
            <w:shd w:val="clear" w:color="auto" w:fill="auto"/>
            <w:vAlign w:val="center"/>
          </w:tcPr>
          <w:p w14:paraId="539B43B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具备测绘乙级（含乙级）以上资质</w:t>
            </w:r>
            <w:r>
              <w:rPr>
                <w:rFonts w:hint="eastAsia" w:ascii="仿宋" w:hAnsi="仿宋" w:eastAsia="仿宋" w:cs="仿宋"/>
                <w:b w:val="0"/>
                <w:bCs w:val="0"/>
                <w:color w:val="auto"/>
                <w:sz w:val="21"/>
                <w:szCs w:val="21"/>
                <w:highlight w:val="none"/>
                <w:lang w:val="zh-CN" w:eastAsia="zh-CN"/>
              </w:rPr>
              <w:t>（范围包含界线与不动产测绘、地图编制和地理信息系统工程）。</w:t>
            </w:r>
          </w:p>
          <w:p w14:paraId="0C221E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lang w:val="en-US" w:eastAsia="zh-CN"/>
              </w:rPr>
            </w:pPr>
          </w:p>
        </w:tc>
        <w:tc>
          <w:tcPr>
            <w:tcW w:w="4490" w:type="dxa"/>
            <w:shd w:val="clear" w:color="auto" w:fill="auto"/>
            <w:vAlign w:val="center"/>
          </w:tcPr>
          <w:p w14:paraId="454AB22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lang w:val="en-US" w:eastAsia="zh-CN"/>
              </w:rPr>
            </w:pPr>
            <w:bookmarkStart w:id="110" w:name="_GoBack"/>
            <w:r>
              <w:rPr>
                <w:rFonts w:hint="eastAsia" w:ascii="仿宋" w:hAnsi="仿宋" w:eastAsia="仿宋" w:cs="仿宋"/>
                <w:b w:val="0"/>
                <w:bCs w:val="0"/>
                <w:color w:val="auto"/>
                <w:sz w:val="21"/>
                <w:szCs w:val="21"/>
                <w:highlight w:val="none"/>
                <w:lang w:val="en-US" w:eastAsia="zh-CN"/>
              </w:rPr>
              <w:t>请根据"特定资格要求"，上传对应的资格文件，格式以采购文件要求为准，无格式自行拟定。提供扫描件供应商需电子签章，如果是联合体投标，联合体各方均需提供，联合体牵头方电子签章，其他成员盖章后扫描上传。</w:t>
            </w:r>
            <w:bookmarkEnd w:id="110"/>
          </w:p>
        </w:tc>
      </w:tr>
    </w:tbl>
    <w:p w14:paraId="71EDB2E3">
      <w:pPr>
        <w:pStyle w:val="26"/>
        <w:widowControl w:val="0"/>
        <w:numPr>
          <w:ilvl w:val="0"/>
          <w:numId w:val="0"/>
        </w:numPr>
        <w:autoSpaceDE w:val="0"/>
        <w:autoSpaceDN w:val="0"/>
        <w:spacing w:before="0" w:after="0" w:line="240" w:lineRule="auto"/>
        <w:ind w:right="0" w:rightChars="0"/>
        <w:jc w:val="left"/>
        <w:rPr>
          <w:rFonts w:hint="eastAsia" w:ascii="仿宋" w:hAnsi="仿宋" w:eastAsia="仿宋" w:cs="仿宋"/>
          <w:b/>
          <w:bCs/>
          <w:lang w:val="en-US" w:eastAsia="zh-CN"/>
        </w:rPr>
      </w:pPr>
    </w:p>
    <w:p w14:paraId="5FD87554">
      <w:pPr>
        <w:pStyle w:val="26"/>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500" w:lineRule="exact"/>
        <w:ind w:left="0" w:leftChars="0" w:right="0" w:rightChars="0" w:firstLine="0" w:firstLineChars="0"/>
        <w:jc w:val="left"/>
        <w:textAlignment w:val="auto"/>
        <w:outlineLvl w:val="1"/>
        <w:rPr>
          <w:rFonts w:hint="eastAsia" w:ascii="仿宋" w:hAnsi="仿宋" w:eastAsia="仿宋" w:cs="仿宋"/>
          <w:lang w:val="en-US" w:eastAsia="zh-CN"/>
        </w:rPr>
      </w:pPr>
      <w:bookmarkStart w:id="33" w:name="_Toc28667"/>
      <w:r>
        <w:rPr>
          <w:rFonts w:hint="eastAsia" w:ascii="仿宋" w:hAnsi="仿宋" w:eastAsia="仿宋" w:cs="仿宋"/>
          <w:b/>
          <w:bCs/>
          <w:sz w:val="24"/>
          <w:szCs w:val="24"/>
          <w:lang w:val="en-US" w:eastAsia="zh-CN"/>
        </w:rPr>
        <w:t>符合性审查</w:t>
      </w:r>
      <w:bookmarkEnd w:id="33"/>
    </w:p>
    <w:p w14:paraId="760E5909">
      <w:pPr>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磋商小组依据采购文件，对响应文件的有效性、完整性和对采购文件的响应程度进行审查，以确定供应商是否对采购文件的实质性要求做出响应。符合性审查中凡有其中任意一项未通过的，评审结果为未通过，未通过符合性审查的供应商，不进入详细评审。审查内容如下：</w:t>
      </w:r>
    </w:p>
    <w:p w14:paraId="308E3250">
      <w:pPr>
        <w:rPr>
          <w:rFonts w:hint="eastAsia" w:ascii="仿宋" w:hAnsi="仿宋" w:eastAsia="仿宋" w:cs="仿宋"/>
          <w:b/>
          <w:bCs/>
          <w:lang w:val="en-US" w:eastAsia="zh-CN"/>
        </w:rPr>
      </w:pPr>
      <w:r>
        <w:rPr>
          <w:rFonts w:hint="eastAsia" w:ascii="仿宋" w:hAnsi="仿宋" w:eastAsia="仿宋" w:cs="仿宋"/>
          <w:b/>
          <w:bCs/>
          <w:lang w:val="en-US" w:eastAsia="zh-CN"/>
        </w:rPr>
        <w:br w:type="page"/>
      </w:r>
    </w:p>
    <w:p w14:paraId="7C7D5160">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符合性审查要求</w:t>
      </w:r>
    </w:p>
    <w:tbl>
      <w:tblPr>
        <w:tblStyle w:val="28"/>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37"/>
        <w:gridCol w:w="4025"/>
        <w:gridCol w:w="3826"/>
      </w:tblGrid>
      <w:tr w14:paraId="5414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7B442D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bookmarkStart w:id="34" w:name="_Toc28783"/>
            <w:r>
              <w:rPr>
                <w:rFonts w:hint="eastAsia" w:ascii="仿宋" w:hAnsi="仿宋" w:eastAsia="仿宋" w:cs="仿宋"/>
                <w:b/>
                <w:bCs/>
                <w:color w:val="auto"/>
                <w:sz w:val="21"/>
                <w:szCs w:val="21"/>
                <w:highlight w:val="none"/>
                <w:vertAlign w:val="baseline"/>
                <w:lang w:val="en-US" w:eastAsia="zh-CN"/>
              </w:rPr>
              <w:t>序号</w:t>
            </w:r>
          </w:p>
        </w:tc>
        <w:tc>
          <w:tcPr>
            <w:tcW w:w="1037" w:type="dxa"/>
            <w:vAlign w:val="center"/>
          </w:tcPr>
          <w:p w14:paraId="2E64B0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4025" w:type="dxa"/>
            <w:vAlign w:val="center"/>
          </w:tcPr>
          <w:p w14:paraId="4E6D685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c>
          <w:tcPr>
            <w:tcW w:w="3826" w:type="dxa"/>
            <w:vAlign w:val="center"/>
          </w:tcPr>
          <w:p w14:paraId="75A1F7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要求说明</w:t>
            </w:r>
          </w:p>
        </w:tc>
      </w:tr>
      <w:tr w14:paraId="03B2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0E0BD5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1037" w:type="dxa"/>
            <w:vAlign w:val="center"/>
          </w:tcPr>
          <w:p w14:paraId="496D6A8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4025" w:type="dxa"/>
            <w:vAlign w:val="center"/>
          </w:tcPr>
          <w:p w14:paraId="4479DA0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c>
          <w:tcPr>
            <w:tcW w:w="3826" w:type="dxa"/>
            <w:vAlign w:val="center"/>
          </w:tcPr>
          <w:p w14:paraId="772728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按审查内容</w:t>
            </w:r>
            <w:r>
              <w:rPr>
                <w:rFonts w:hint="eastAsia" w:ascii="仿宋" w:hAnsi="仿宋" w:eastAsia="仿宋" w:cs="仿宋"/>
                <w:color w:val="auto"/>
                <w:sz w:val="21"/>
                <w:szCs w:val="21"/>
                <w:highlight w:val="none"/>
              </w:rPr>
              <w:t>要求</w:t>
            </w:r>
            <w:r>
              <w:rPr>
                <w:rFonts w:hint="eastAsia" w:ascii="仿宋" w:hAnsi="仿宋" w:eastAsia="仿宋" w:cs="仿宋"/>
                <w:color w:val="auto"/>
                <w:sz w:val="21"/>
                <w:szCs w:val="21"/>
                <w:highlight w:val="none"/>
                <w:lang w:val="en-US" w:eastAsia="zh-CN"/>
              </w:rPr>
              <w:t>提供</w:t>
            </w:r>
            <w:r>
              <w:rPr>
                <w:rFonts w:hint="eastAsia" w:ascii="仿宋" w:hAnsi="仿宋" w:eastAsia="仿宋" w:cs="仿宋"/>
                <w:color w:val="auto"/>
                <w:sz w:val="21"/>
                <w:szCs w:val="21"/>
                <w:highlight w:val="none"/>
              </w:rPr>
              <w:t>法定代表人身份证明</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法定代表人身份证明。</w:t>
            </w:r>
          </w:p>
        </w:tc>
      </w:tr>
      <w:tr w14:paraId="7804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ED66FB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1037" w:type="dxa"/>
            <w:vAlign w:val="center"/>
          </w:tcPr>
          <w:p w14:paraId="6A443B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4025" w:type="dxa"/>
            <w:vAlign w:val="center"/>
          </w:tcPr>
          <w:p w14:paraId="12A973D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是否按照招标文件的规定提交投标保证金</w:t>
            </w:r>
          </w:p>
        </w:tc>
        <w:tc>
          <w:tcPr>
            <w:tcW w:w="3826" w:type="dxa"/>
            <w:vAlign w:val="center"/>
          </w:tcPr>
          <w:p w14:paraId="3821B2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5B5F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79DA81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037" w:type="dxa"/>
            <w:vAlign w:val="center"/>
          </w:tcPr>
          <w:p w14:paraId="604E23B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4025" w:type="dxa"/>
            <w:vAlign w:val="center"/>
          </w:tcPr>
          <w:p w14:paraId="2A638A0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是否将一个采购包中的内容拆开投标</w:t>
            </w:r>
          </w:p>
        </w:tc>
        <w:tc>
          <w:tcPr>
            <w:tcW w:w="3826" w:type="dxa"/>
            <w:vAlign w:val="center"/>
          </w:tcPr>
          <w:p w14:paraId="08E5CA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未将一个采购包中的内容拆开投标</w:t>
            </w:r>
          </w:p>
        </w:tc>
      </w:tr>
      <w:tr w14:paraId="5DCE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75F19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4</w:t>
            </w:r>
          </w:p>
        </w:tc>
        <w:tc>
          <w:tcPr>
            <w:tcW w:w="1037" w:type="dxa"/>
            <w:vAlign w:val="center"/>
          </w:tcPr>
          <w:p w14:paraId="33EFE61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w:t>
            </w:r>
          </w:p>
        </w:tc>
        <w:tc>
          <w:tcPr>
            <w:tcW w:w="4025" w:type="dxa"/>
            <w:vAlign w:val="center"/>
          </w:tcPr>
          <w:p w14:paraId="290E67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投标报价是否超过招标文件中规定的项目/采购包预算金额或者项目/采购包最高限价或单价最高限价；；</w:t>
            </w:r>
          </w:p>
        </w:tc>
        <w:tc>
          <w:tcPr>
            <w:tcW w:w="3826" w:type="dxa"/>
            <w:vAlign w:val="center"/>
          </w:tcPr>
          <w:p w14:paraId="1AF7191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投标报价未超过招标文件中规定的项目/采购包预算金额或者项目/采购包最高限价或单价最高限价；；</w:t>
            </w:r>
          </w:p>
        </w:tc>
      </w:tr>
      <w:tr w14:paraId="4C5C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D4373A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1037" w:type="dxa"/>
            <w:vAlign w:val="center"/>
          </w:tcPr>
          <w:p w14:paraId="4A60FA7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4025" w:type="dxa"/>
            <w:vAlign w:val="center"/>
          </w:tcPr>
          <w:p w14:paraId="545ACC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投标文件是否出现可选择性或可调整的报价（招标文件另有规定的除外）</w:t>
            </w:r>
          </w:p>
        </w:tc>
        <w:tc>
          <w:tcPr>
            <w:tcW w:w="3826" w:type="dxa"/>
            <w:vAlign w:val="center"/>
          </w:tcPr>
          <w:p w14:paraId="251E9E3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121F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8D604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6</w:t>
            </w:r>
          </w:p>
        </w:tc>
        <w:tc>
          <w:tcPr>
            <w:tcW w:w="1037" w:type="dxa"/>
            <w:vAlign w:val="center"/>
          </w:tcPr>
          <w:p w14:paraId="2C57FF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其他报价要求</w:t>
            </w:r>
          </w:p>
        </w:tc>
        <w:tc>
          <w:tcPr>
            <w:tcW w:w="4025" w:type="dxa"/>
            <w:vAlign w:val="center"/>
          </w:tcPr>
          <w:p w14:paraId="14BD68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报价文件是否含有采购人不能接受的条件或是否有不满足招标文件规定的其他要求</w:t>
            </w:r>
          </w:p>
        </w:tc>
        <w:tc>
          <w:tcPr>
            <w:tcW w:w="3826" w:type="dxa"/>
            <w:vAlign w:val="center"/>
          </w:tcPr>
          <w:p w14:paraId="0EC9D4E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报价文件无采购人不能接受的条件或无不满足招标文件规定的其他要求</w:t>
            </w:r>
          </w:p>
        </w:tc>
      </w:tr>
      <w:tr w14:paraId="74C0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6AD5B60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1037" w:type="dxa"/>
            <w:vAlign w:val="center"/>
          </w:tcPr>
          <w:p w14:paraId="0ACBD6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4025" w:type="dxa"/>
            <w:vAlign w:val="center"/>
          </w:tcPr>
          <w:p w14:paraId="4B915B3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投标文件中承诺的投标有效期是否满足招标文件中载明的投标有效期</w:t>
            </w:r>
          </w:p>
        </w:tc>
        <w:tc>
          <w:tcPr>
            <w:tcW w:w="3826" w:type="dxa"/>
            <w:vAlign w:val="center"/>
          </w:tcPr>
          <w:p w14:paraId="5A7D726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w:t>
            </w:r>
          </w:p>
        </w:tc>
      </w:tr>
      <w:tr w14:paraId="29D3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50EA3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1037" w:type="dxa"/>
            <w:vAlign w:val="center"/>
          </w:tcPr>
          <w:p w14:paraId="49BBADC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4025" w:type="dxa"/>
            <w:vAlign w:val="center"/>
          </w:tcPr>
          <w:p w14:paraId="40894A5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是否按照招标文件要求签署、盖章</w:t>
            </w:r>
          </w:p>
        </w:tc>
        <w:tc>
          <w:tcPr>
            <w:tcW w:w="3826" w:type="dxa"/>
            <w:vAlign w:val="center"/>
          </w:tcPr>
          <w:p w14:paraId="3C009DF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w:t>
            </w:r>
          </w:p>
        </w:tc>
      </w:tr>
      <w:tr w14:paraId="4EDD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184CF2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1037" w:type="dxa"/>
            <w:vAlign w:val="center"/>
          </w:tcPr>
          <w:p w14:paraId="7A94CFE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4025" w:type="dxa"/>
            <w:vAlign w:val="center"/>
          </w:tcPr>
          <w:p w14:paraId="7FD2D3C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报价是否合理，或投标人的报价是否明显低于其他通过符合性审查投标人的报价，有可能影响产品质量或者不能诚信履约的，是否能够应评标委员会要求在规定时间内证明其报价合理性</w:t>
            </w:r>
          </w:p>
        </w:tc>
        <w:tc>
          <w:tcPr>
            <w:tcW w:w="3826" w:type="dxa"/>
            <w:vAlign w:val="center"/>
          </w:tcPr>
          <w:p w14:paraId="438089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0B28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D6FE7B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1037" w:type="dxa"/>
            <w:vAlign w:val="center"/>
          </w:tcPr>
          <w:p w14:paraId="7202971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4025" w:type="dxa"/>
            <w:vAlign w:val="center"/>
          </w:tcPr>
          <w:p w14:paraId="76AA23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投标文件是否含有采购人不能接受的附加条件</w:t>
            </w:r>
          </w:p>
        </w:tc>
        <w:tc>
          <w:tcPr>
            <w:tcW w:w="3826" w:type="dxa"/>
            <w:vAlign w:val="center"/>
          </w:tcPr>
          <w:p w14:paraId="4F766D7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w:t>
            </w:r>
          </w:p>
        </w:tc>
      </w:tr>
      <w:tr w14:paraId="0E3F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0FF25D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11</w:t>
            </w:r>
          </w:p>
        </w:tc>
        <w:tc>
          <w:tcPr>
            <w:tcW w:w="1037" w:type="dxa"/>
            <w:vAlign w:val="center"/>
          </w:tcPr>
          <w:p w14:paraId="5A8B13B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4025" w:type="dxa"/>
            <w:vAlign w:val="center"/>
          </w:tcPr>
          <w:p w14:paraId="3F8F8E9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投标文件中是否存在违反国家法律、法规和招标文件规定的其他无效情形</w:t>
            </w:r>
          </w:p>
        </w:tc>
        <w:tc>
          <w:tcPr>
            <w:tcW w:w="3826" w:type="dxa"/>
            <w:vAlign w:val="center"/>
          </w:tcPr>
          <w:p w14:paraId="55A1FC3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1A920C93">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响应文件澄清</w:t>
      </w:r>
      <w:bookmarkEnd w:id="34"/>
    </w:p>
    <w:p w14:paraId="79F318F1">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rFonts w:hint="eastAsia" w:ascii="仿宋" w:hAnsi="仿宋" w:eastAsia="仿宋" w:cs="仿宋"/>
          <w:b/>
          <w:bCs/>
          <w:sz w:val="24"/>
          <w:szCs w:val="24"/>
          <w:lang w:val="en-US" w:eastAsia="zh-CN"/>
        </w:rPr>
        <w:t>授权代表人联系方式</w:t>
      </w:r>
      <w:r>
        <w:rPr>
          <w:rFonts w:hint="eastAsia" w:ascii="仿宋" w:hAnsi="仿宋" w:eastAsia="仿宋" w:cs="仿宋"/>
          <w:sz w:val="24"/>
          <w:szCs w:val="24"/>
          <w:lang w:val="en-US" w:eastAsia="zh-CN"/>
        </w:rPr>
        <w:t>发送短信提醒或电话告知。</w:t>
      </w:r>
    </w:p>
    <w:p w14:paraId="2FDD5178">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供应商需登录电子招投标系统平台项目采购系统的等候大厅，在规定时间内完成澄清（响应），并加盖电子印章。</w:t>
      </w:r>
    </w:p>
    <w:p w14:paraId="710CA45A">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若因供应商联系方式错误未接收短信、未接听电话或超时未进行澄清（响应）造成的不利后果由供应商自行承担。供应商的澄清、说明或者补正不得超出响应文件的范围或者改变响应文件的实质性内容。</w:t>
      </w:r>
    </w:p>
    <w:p w14:paraId="3E285EB5">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磋商小组不接受供应商主动提出的澄清、说明或补正。</w:t>
      </w:r>
    </w:p>
    <w:p w14:paraId="4FF4DEA6">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磋商小组对供应商提交的澄清、说明或补正有疑问的，可以要求供应商进一步澄清、说明或补正。</w:t>
      </w:r>
    </w:p>
    <w:p w14:paraId="7D406A67">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bCs/>
          <w:sz w:val="24"/>
          <w:szCs w:val="24"/>
          <w:lang w:val="en-US" w:eastAsia="zh-CN"/>
        </w:rPr>
      </w:pPr>
      <w:bookmarkStart w:id="35" w:name="_Toc799"/>
      <w:r>
        <w:rPr>
          <w:rFonts w:hint="eastAsia" w:ascii="仿宋" w:hAnsi="仿宋" w:eastAsia="仿宋" w:cs="仿宋"/>
          <w:b/>
          <w:bCs/>
          <w:sz w:val="24"/>
          <w:szCs w:val="24"/>
          <w:lang w:val="en-US" w:eastAsia="zh-CN"/>
        </w:rPr>
        <w:t>价格修正</w:t>
      </w:r>
      <w:bookmarkEnd w:id="35"/>
    </w:p>
    <w:p w14:paraId="7CBBF60D">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对报价的计算错误按以下原则修正：</w:t>
      </w:r>
    </w:p>
    <w:p w14:paraId="244CBF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（1）响应文件中报价一览表（报价表）内容与响应文件中相应内容不一致的，以报价一览表（报价表）为准；</w:t>
      </w:r>
    </w:p>
    <w:p w14:paraId="19D4CD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（2）大写金额和小写金额不一致的，以大写金额为准；</w:t>
      </w:r>
    </w:p>
    <w:p w14:paraId="31923D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（3）单价金额小数点或者百分比有明显错位的，以报价一览表的总价为准，并修改单价；</w:t>
      </w:r>
    </w:p>
    <w:p w14:paraId="2F163E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（4）总价金额与按单价汇总金额不一致的，以单价金额计算结果为准。但是单价金额计算结果超过预算价的，对其按</w:t>
      </w:r>
      <w:r>
        <w:rPr>
          <w:rFonts w:hint="eastAsia" w:ascii="仿宋" w:hAnsi="仿宋" w:eastAsia="仿宋" w:cs="仿宋"/>
          <w:b/>
          <w:bCs/>
          <w:sz w:val="24"/>
          <w:szCs w:val="24"/>
          <w:lang w:val="en-US" w:eastAsia="zh-CN"/>
        </w:rPr>
        <w:t>无效响应</w:t>
      </w:r>
      <w:r>
        <w:rPr>
          <w:rFonts w:hint="eastAsia" w:ascii="仿宋" w:hAnsi="仿宋" w:eastAsia="仿宋" w:cs="仿宋"/>
          <w:sz w:val="24"/>
          <w:szCs w:val="24"/>
          <w:lang w:val="en-US" w:eastAsia="zh-CN"/>
        </w:rPr>
        <w:t>处理；</w:t>
      </w:r>
    </w:p>
    <w:p w14:paraId="74D782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（5）若投标客户端上传的电子报价数据与电子响应文件价格不一致的，以电子报价数据为准。</w:t>
      </w:r>
    </w:p>
    <w:p w14:paraId="09DA0E5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注：同时出现两种以上不一致的，按照前款规定的顺序在系统上进行价格澄清。澄清后的价格加盖电子印章确认后产生约束力，但不得超出响应文件的范围或者改变响应文件的实质性内容，供应商不确认的，其</w:t>
      </w:r>
      <w:r>
        <w:rPr>
          <w:rFonts w:hint="eastAsia" w:ascii="仿宋" w:hAnsi="仿宋" w:eastAsia="仿宋" w:cs="仿宋"/>
          <w:b/>
          <w:bCs/>
          <w:sz w:val="24"/>
          <w:szCs w:val="24"/>
          <w:lang w:val="en-US" w:eastAsia="zh-CN"/>
        </w:rPr>
        <w:t>响应无效</w:t>
      </w:r>
      <w:r>
        <w:rPr>
          <w:rFonts w:hint="eastAsia" w:ascii="仿宋" w:hAnsi="仿宋" w:eastAsia="仿宋" w:cs="仿宋"/>
          <w:sz w:val="24"/>
          <w:szCs w:val="24"/>
          <w:lang w:val="en-US" w:eastAsia="zh-CN"/>
        </w:rPr>
        <w:t>。</w:t>
      </w:r>
    </w:p>
    <w:p w14:paraId="0217D178">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sz w:val="24"/>
          <w:szCs w:val="24"/>
          <w:lang w:val="en-US" w:eastAsia="zh-CN"/>
        </w:rPr>
      </w:pPr>
      <w:bookmarkStart w:id="36" w:name="_Toc27210"/>
      <w:r>
        <w:rPr>
          <w:rFonts w:hint="eastAsia" w:ascii="仿宋" w:hAnsi="仿宋" w:eastAsia="仿宋" w:cs="仿宋"/>
          <w:b/>
          <w:bCs/>
          <w:sz w:val="24"/>
          <w:szCs w:val="24"/>
          <w:lang w:val="en-US" w:eastAsia="zh-CN"/>
        </w:rPr>
        <w:t>磋商</w:t>
      </w:r>
      <w:bookmarkEnd w:id="36"/>
    </w:p>
    <w:p w14:paraId="3DA5ABF2">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磋商小组所有成员应当集中与单一供应商分别进行磋商，并给予所有参加磋商的供应商平等的磋商机会。</w:t>
      </w:r>
    </w:p>
    <w:p w14:paraId="0BDE5F9E">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在磋商过程中，磋商小组可以根据采购文件和磋商情况实质性变动采购需求中的技术、服务要求以及合同草案条款，但不得变动采购文件中的其他内容。实质性变动的内容，须经采购人代表确认。</w:t>
      </w:r>
    </w:p>
    <w:p w14:paraId="16CC168C">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对采购文件作出的实质性变动是采购文件的有效组成部分，磋商小组应当及时、同时通知所有参加磋商的供应商。</w:t>
      </w:r>
    </w:p>
    <w:p w14:paraId="02AA6497">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应当按照采购文件的变动情况和磋商小组的要求进行最后报价或重新提交响应文件，并由其法定代表人或授权代表签字或者加盖公章。由授权代表签字的，应当附法定代表人授权书。供应商为自然人的，应当由本人签字并附身份证明。</w:t>
      </w:r>
    </w:p>
    <w:p w14:paraId="229C87E6">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lang w:val="en-US" w:eastAsia="zh-CN"/>
        </w:rPr>
      </w:pPr>
      <w:bookmarkStart w:id="37" w:name="_Toc16007"/>
      <w:r>
        <w:rPr>
          <w:rFonts w:hint="eastAsia" w:ascii="仿宋" w:hAnsi="仿宋" w:eastAsia="仿宋" w:cs="仿宋"/>
          <w:b/>
          <w:bCs/>
          <w:sz w:val="24"/>
          <w:szCs w:val="24"/>
          <w:lang w:val="en-US" w:eastAsia="zh-CN"/>
        </w:rPr>
        <w:t>最后报价</w:t>
      </w:r>
      <w:bookmarkEnd w:id="37"/>
    </w:p>
    <w:p w14:paraId="5C685702">
      <w:pPr>
        <w:pStyle w:val="2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磋商结束后，磋商小组应当要求所有实质性响应的供应商在规定时间内提交最后报价。最后报价是供应商响应文件的有效组成部分。</w:t>
      </w:r>
    </w:p>
    <w:p w14:paraId="0A42C9C2">
      <w:pPr>
        <w:pStyle w:val="2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已提交响应文件的供应商，在提交最后报价之前，可以根据磋商情况退出磋商。</w:t>
      </w:r>
    </w:p>
    <w:p w14:paraId="38879C3C">
      <w:pPr>
        <w:pStyle w:val="2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除法规规定的特殊性情形外，提交最后报价的供应商不得少于3家。</w:t>
      </w:r>
    </w:p>
    <w:p w14:paraId="0EA70EA6">
      <w:pPr>
        <w:keepNext w:val="0"/>
        <w:keepLines w:val="0"/>
        <w:pageBreakBefore w:val="0"/>
        <w:widowControl w:val="0"/>
        <w:numPr>
          <w:ilvl w:val="0"/>
          <w:numId w:val="14"/>
        </w:numPr>
        <w:kinsoku/>
        <w:wordWrap/>
        <w:overflowPunct/>
        <w:topLinePunct w:val="0"/>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lang w:val="en-US" w:eastAsia="zh-CN"/>
        </w:rPr>
      </w:pPr>
      <w:bookmarkStart w:id="38" w:name="_Toc8727"/>
      <w:r>
        <w:rPr>
          <w:rFonts w:hint="eastAsia" w:ascii="仿宋" w:hAnsi="仿宋" w:eastAsia="仿宋" w:cs="仿宋"/>
          <w:b/>
          <w:bCs/>
          <w:sz w:val="24"/>
          <w:szCs w:val="24"/>
          <w:lang w:val="en-US" w:eastAsia="zh-CN"/>
        </w:rPr>
        <w:t>详细评审</w:t>
      </w:r>
      <w:bookmarkEnd w:id="38"/>
    </w:p>
    <w:p w14:paraId="14C7F2B2">
      <w:pPr>
        <w:pStyle w:val="2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磋商小组对提交最后报价的供应商的响应文件和最后报价，对其技术部分、商务部分及报价部分作进一步的综合比较和评价。详细评审标准如下：</w:t>
      </w:r>
    </w:p>
    <w:p w14:paraId="6B160907">
      <w:pPr>
        <w:pStyle w:val="26"/>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jc w:val="center"/>
        <w:textAlignment w:val="auto"/>
        <w:rPr>
          <w:rFonts w:hint="eastAsia" w:ascii="仿宋" w:hAnsi="仿宋" w:eastAsia="仿宋" w:cs="仿宋"/>
          <w:b/>
          <w:bCs/>
          <w:lang w:val="en-US" w:eastAsia="zh-CN"/>
        </w:rPr>
      </w:pPr>
    </w:p>
    <w:p w14:paraId="468EE48B">
      <w:pPr>
        <w:pStyle w:val="26"/>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jc w:val="center"/>
        <w:textAlignment w:val="auto"/>
        <w:rPr>
          <w:rFonts w:hint="eastAsia" w:ascii="仿宋" w:hAnsi="仿宋" w:eastAsia="仿宋" w:cs="仿宋"/>
          <w:b/>
          <w:bCs/>
          <w:lang w:val="en-US" w:eastAsia="zh-CN"/>
        </w:rPr>
      </w:pPr>
    </w:p>
    <w:p w14:paraId="66791830">
      <w:pPr>
        <w:rPr>
          <w:rFonts w:hint="eastAsia" w:ascii="仿宋" w:hAnsi="仿宋" w:eastAsia="仿宋" w:cs="仿宋"/>
          <w:b/>
          <w:bCs/>
          <w:lang w:val="en-US" w:eastAsia="zh-CN"/>
        </w:rPr>
      </w:pPr>
      <w:r>
        <w:rPr>
          <w:rFonts w:hint="eastAsia" w:ascii="仿宋" w:hAnsi="仿宋" w:eastAsia="仿宋" w:cs="仿宋"/>
          <w:b/>
          <w:bCs/>
          <w:lang w:val="en-US" w:eastAsia="zh-CN"/>
        </w:rPr>
        <w:br w:type="page"/>
      </w:r>
    </w:p>
    <w:p w14:paraId="1B466E60">
      <w:pPr>
        <w:spacing w:line="500" w:lineRule="exact"/>
        <w:jc w:val="center"/>
        <w:rPr>
          <w:rFonts w:hint="eastAsia" w:ascii="仿宋" w:hAnsi="仿宋" w:eastAsia="仿宋" w:cs="仿宋_GB2312"/>
          <w:b/>
          <w:bCs/>
          <w:sz w:val="24"/>
        </w:rPr>
      </w:pPr>
      <w:r>
        <w:rPr>
          <w:rFonts w:hint="eastAsia" w:ascii="仿宋" w:hAnsi="仿宋" w:eastAsia="仿宋" w:cs="仿宋_GB2312"/>
          <w:b/>
          <w:bCs/>
          <w:sz w:val="24"/>
        </w:rPr>
        <w:t>详细评审标准</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88"/>
        <w:gridCol w:w="780"/>
        <w:gridCol w:w="5779"/>
      </w:tblGrid>
      <w:tr w14:paraId="6685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63" w:type="dxa"/>
            <w:gridSpan w:val="2"/>
            <w:vAlign w:val="center"/>
          </w:tcPr>
          <w:p w14:paraId="76317050">
            <w:pPr>
              <w:ind w:right="730" w:rightChars="304"/>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 xml:space="preserve"> 评分因素</w:t>
            </w:r>
          </w:p>
        </w:tc>
        <w:tc>
          <w:tcPr>
            <w:tcW w:w="780" w:type="dxa"/>
            <w:vAlign w:val="center"/>
          </w:tcPr>
          <w:p w14:paraId="615CCA88">
            <w:pPr>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分值</w:t>
            </w:r>
          </w:p>
        </w:tc>
        <w:tc>
          <w:tcPr>
            <w:tcW w:w="5779" w:type="dxa"/>
            <w:vAlign w:val="center"/>
          </w:tcPr>
          <w:p w14:paraId="2B7F4767">
            <w:pPr>
              <w:ind w:right="-36" w:rightChars="-15"/>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评分细则</w:t>
            </w:r>
          </w:p>
        </w:tc>
      </w:tr>
      <w:tr w14:paraId="7D97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963" w:type="dxa"/>
            <w:gridSpan w:val="2"/>
            <w:vAlign w:val="center"/>
          </w:tcPr>
          <w:p w14:paraId="221EFB76">
            <w:pPr>
              <w:jc w:val="center"/>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分值构成</w:t>
            </w:r>
          </w:p>
        </w:tc>
        <w:tc>
          <w:tcPr>
            <w:tcW w:w="6559" w:type="dxa"/>
            <w:gridSpan w:val="2"/>
            <w:vAlign w:val="center"/>
          </w:tcPr>
          <w:p w14:paraId="180EBBEF">
            <w:pPr>
              <w:ind w:right="-36" w:rightChars="-15"/>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商务部分25.0分</w:t>
            </w:r>
          </w:p>
          <w:p w14:paraId="5465C7C6">
            <w:pPr>
              <w:ind w:right="-36" w:rightChars="-15"/>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技术部分65.0分</w:t>
            </w:r>
          </w:p>
          <w:p w14:paraId="3B4F5C2F">
            <w:pPr>
              <w:ind w:right="-36" w:rightChars="-15"/>
              <w:jc w:val="left"/>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报价得分10.0分</w:t>
            </w:r>
          </w:p>
        </w:tc>
      </w:tr>
      <w:tr w14:paraId="0B7D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963" w:type="dxa"/>
            <w:gridSpan w:val="2"/>
            <w:vAlign w:val="center"/>
          </w:tcPr>
          <w:p w14:paraId="44C2CDF1">
            <w:pPr>
              <w:pStyle w:val="18"/>
              <w:autoSpaceDE/>
              <w:autoSpaceDN/>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报价部分</w:t>
            </w:r>
          </w:p>
        </w:tc>
        <w:tc>
          <w:tcPr>
            <w:tcW w:w="780" w:type="dxa"/>
            <w:vAlign w:val="center"/>
          </w:tcPr>
          <w:p w14:paraId="3B16178E">
            <w:pPr>
              <w:pStyle w:val="18"/>
              <w:autoSpaceDE/>
              <w:autoSpaceDN/>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10</w:t>
            </w:r>
          </w:p>
        </w:tc>
        <w:tc>
          <w:tcPr>
            <w:tcW w:w="5779" w:type="dxa"/>
            <w:vAlign w:val="center"/>
          </w:tcPr>
          <w:p w14:paraId="0716C91B">
            <w:pPr>
              <w:pStyle w:val="18"/>
              <w:autoSpaceDE/>
              <w:autoSpaceDN/>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满足招标文件要求且投标价格最低的有效投标报价（即除低于成本报价以外的报价）为评标基准价。其他投标人的价格分统一按照下列公式计算：</w:t>
            </w:r>
          </w:p>
          <w:p w14:paraId="68632346">
            <w:pPr>
              <w:pStyle w:val="18"/>
              <w:autoSpaceDE/>
              <w:autoSpaceDN/>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投标报价得分=（评标基准价/投标报价）×价格满分分值</w:t>
            </w:r>
          </w:p>
        </w:tc>
      </w:tr>
      <w:tr w14:paraId="45CA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restart"/>
            <w:tcBorders>
              <w:right w:val="single" w:color="000000" w:sz="4" w:space="0"/>
            </w:tcBorders>
            <w:vAlign w:val="center"/>
          </w:tcPr>
          <w:p w14:paraId="0C57A9E9">
            <w:pPr>
              <w:pStyle w:val="18"/>
              <w:autoSpaceDE/>
              <w:autoSpaceDN/>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tc>
        <w:tc>
          <w:tcPr>
            <w:tcW w:w="1288" w:type="dxa"/>
            <w:tcBorders>
              <w:left w:val="single" w:color="000000" w:sz="4" w:space="0"/>
            </w:tcBorders>
            <w:vAlign w:val="center"/>
          </w:tcPr>
          <w:p w14:paraId="1368D96E">
            <w:pPr>
              <w:pStyle w:val="18"/>
              <w:autoSpaceDE/>
              <w:autoSpaceDN/>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类似业绩</w:t>
            </w:r>
          </w:p>
        </w:tc>
        <w:tc>
          <w:tcPr>
            <w:tcW w:w="780" w:type="dxa"/>
            <w:vAlign w:val="center"/>
          </w:tcPr>
          <w:p w14:paraId="19B675F1">
            <w:pPr>
              <w:ind w:firstLine="2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5779" w:type="dxa"/>
            <w:vAlign w:val="center"/>
          </w:tcPr>
          <w:p w14:paraId="5FCF0ECA">
            <w:pPr>
              <w:pStyle w:val="18"/>
              <w:spacing w:line="360" w:lineRule="auto"/>
              <w:ind w:right="-36" w:rightChars="-1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投标人2022年1月1日起至今（</w:t>
            </w:r>
            <w:r>
              <w:rPr>
                <w:rFonts w:hint="eastAsia" w:ascii="仿宋" w:hAnsi="仿宋" w:eastAsia="仿宋" w:cs="仿宋"/>
                <w:color w:val="auto"/>
                <w:sz w:val="24"/>
                <w:szCs w:val="24"/>
                <w:highlight w:val="none"/>
              </w:rPr>
              <w:t>以合同签订合同时间为准）独立承担的类似项目，每提供 1 份有效的业绩资料得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5740ABCD">
            <w:pPr>
              <w:pStyle w:val="18"/>
              <w:autoSpaceDE/>
              <w:autoSpaceDN/>
              <w:spacing w:line="360" w:lineRule="auto"/>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注：业绩证明材料为：中标通知书或合同（加盖公章的复印件）；合同仅需提供包含合同首页、标的内容及金额所在页、合同签字盖章页即可，需加盖公章）。未提供业绩证明材料或内容模糊不清的，其业绩不予认定。</w:t>
            </w:r>
          </w:p>
        </w:tc>
      </w:tr>
      <w:tr w14:paraId="77A6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right w:val="single" w:color="000000" w:sz="4" w:space="0"/>
            </w:tcBorders>
            <w:vAlign w:val="center"/>
          </w:tcPr>
          <w:p w14:paraId="1AF11455">
            <w:pPr>
              <w:pStyle w:val="18"/>
              <w:autoSpaceDE/>
              <w:autoSpaceDN/>
              <w:jc w:val="both"/>
              <w:rPr>
                <w:rFonts w:hint="eastAsia" w:ascii="仿宋" w:hAnsi="仿宋" w:eastAsia="仿宋" w:cs="仿宋"/>
                <w:color w:val="auto"/>
                <w:sz w:val="24"/>
                <w:szCs w:val="24"/>
                <w:highlight w:val="none"/>
              </w:rPr>
            </w:pPr>
          </w:p>
        </w:tc>
        <w:tc>
          <w:tcPr>
            <w:tcW w:w="1288" w:type="dxa"/>
            <w:tcBorders>
              <w:left w:val="single" w:color="000000" w:sz="4" w:space="0"/>
            </w:tcBorders>
            <w:vAlign w:val="center"/>
          </w:tcPr>
          <w:p w14:paraId="0FF92AD0">
            <w:pPr>
              <w:pStyle w:val="18"/>
              <w:autoSpaceDE/>
              <w:autoSpaceDN/>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企业实力</w:t>
            </w:r>
          </w:p>
        </w:tc>
        <w:tc>
          <w:tcPr>
            <w:tcW w:w="780" w:type="dxa"/>
            <w:vAlign w:val="center"/>
          </w:tcPr>
          <w:p w14:paraId="3AAAF6D9">
            <w:pPr>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779" w:type="dxa"/>
            <w:vAlign w:val="center"/>
          </w:tcPr>
          <w:p w14:paraId="79114357">
            <w:pPr>
              <w:ind w:firstLine="0" w:firstLineChars="0"/>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投标人具有有效期内的信息技术服务管理体系认证证书、质量管理体系认证证书、环境管理体系认证证书、职业健康安全管理体系认证证书,每具有一个得1.5分，最多得6分。（提供证书复印件并加盖公章）</w:t>
            </w:r>
          </w:p>
        </w:tc>
      </w:tr>
      <w:tr w14:paraId="3360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right w:val="single" w:color="000000" w:sz="4" w:space="0"/>
            </w:tcBorders>
            <w:vAlign w:val="center"/>
          </w:tcPr>
          <w:p w14:paraId="34E51E70">
            <w:pPr>
              <w:pStyle w:val="18"/>
              <w:autoSpaceDE/>
              <w:autoSpaceDN/>
              <w:jc w:val="both"/>
              <w:rPr>
                <w:rFonts w:hint="eastAsia" w:ascii="仿宋" w:hAnsi="仿宋" w:eastAsia="仿宋" w:cs="仿宋"/>
                <w:color w:val="auto"/>
                <w:sz w:val="24"/>
                <w:szCs w:val="24"/>
                <w:highlight w:val="none"/>
              </w:rPr>
            </w:pPr>
          </w:p>
        </w:tc>
        <w:tc>
          <w:tcPr>
            <w:tcW w:w="1288" w:type="dxa"/>
            <w:tcBorders>
              <w:left w:val="single" w:color="000000" w:sz="4" w:space="0"/>
            </w:tcBorders>
            <w:vAlign w:val="center"/>
          </w:tcPr>
          <w:p w14:paraId="28A3BA7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服务团队</w:t>
            </w:r>
          </w:p>
        </w:tc>
        <w:tc>
          <w:tcPr>
            <w:tcW w:w="780" w:type="dxa"/>
            <w:vAlign w:val="center"/>
          </w:tcPr>
          <w:p w14:paraId="686414C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15</w:t>
            </w:r>
          </w:p>
        </w:tc>
        <w:tc>
          <w:tcPr>
            <w:tcW w:w="5779" w:type="dxa"/>
          </w:tcPr>
          <w:p w14:paraId="6020F68C">
            <w:pPr>
              <w:pStyle w:val="21"/>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服务团队人员具有（1）</w:t>
            </w:r>
            <w:r>
              <w:rPr>
                <w:rFonts w:hint="eastAsia" w:ascii="仿宋" w:hAnsi="仿宋" w:eastAsia="仿宋" w:cs="仿宋"/>
                <w:color w:val="auto"/>
                <w:sz w:val="24"/>
                <w:szCs w:val="24"/>
                <w:highlight w:val="none"/>
                <w:lang w:val="zh-CN" w:bidi="zh-CN"/>
              </w:rPr>
              <w:t>项目负责人具有</w:t>
            </w:r>
            <w:r>
              <w:rPr>
                <w:rFonts w:hint="eastAsia" w:ascii="仿宋" w:hAnsi="仿宋" w:eastAsia="仿宋" w:cs="仿宋"/>
                <w:color w:val="auto"/>
                <w:kern w:val="2"/>
                <w:sz w:val="24"/>
                <w:szCs w:val="24"/>
                <w:highlight w:val="none"/>
                <w:lang w:val="en-US" w:eastAsia="zh-CN" w:bidi="ar-SA"/>
              </w:rPr>
              <w:t>注册测绘师证书和PMP项目经理证书的得2分，具有测绘单位核心涉密人员保密培训证书的得1分；</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）技术</w:t>
            </w:r>
            <w:r>
              <w:rPr>
                <w:rFonts w:hint="eastAsia" w:ascii="仿宋" w:hAnsi="仿宋" w:eastAsia="仿宋" w:cs="仿宋"/>
                <w:color w:val="auto"/>
                <w:kern w:val="2"/>
                <w:sz w:val="24"/>
                <w:szCs w:val="24"/>
                <w:highlight w:val="none"/>
                <w:lang w:val="en-US" w:eastAsia="zh-CN" w:bidi="ar-SA"/>
              </w:rPr>
              <w:t>有测绘类高级工程</w:t>
            </w:r>
            <w:r>
              <w:rPr>
                <w:rFonts w:hint="eastAsia" w:ascii="仿宋" w:hAnsi="仿宋" w:eastAsia="仿宋" w:cs="仿宋"/>
                <w:color w:val="auto"/>
                <w:sz w:val="24"/>
                <w:szCs w:val="24"/>
                <w:highlight w:val="none"/>
                <w:lang w:val="zh-CN" w:bidi="zh-CN"/>
              </w:rPr>
              <w:t>师证书的得1分，具有地理信息安全保密培训合格证书的得1分</w:t>
            </w:r>
            <w:r>
              <w:rPr>
                <w:rFonts w:hint="eastAsia" w:ascii="仿宋" w:hAnsi="仿宋" w:eastAsia="仿宋" w:cs="仿宋"/>
                <w:bCs/>
                <w:color w:val="auto"/>
                <w:sz w:val="24"/>
                <w:szCs w:val="24"/>
                <w:highlight w:val="none"/>
              </w:rPr>
              <w:t>；</w:t>
            </w:r>
          </w:p>
          <w:p w14:paraId="6D05B0FE">
            <w:pPr>
              <w:pStyle w:val="21"/>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val="zh-CN" w:bidi="zh-CN"/>
              </w:rPr>
              <w:t>（</w:t>
            </w:r>
            <w:r>
              <w:rPr>
                <w:rFonts w:hint="eastAsia" w:ascii="仿宋" w:hAnsi="仿宋" w:eastAsia="仿宋" w:cs="仿宋"/>
                <w:color w:val="auto"/>
                <w:sz w:val="24"/>
                <w:szCs w:val="24"/>
                <w:highlight w:val="none"/>
                <w:lang w:bidi="zh-CN"/>
              </w:rPr>
              <w:t>3</w:t>
            </w:r>
            <w:r>
              <w:rPr>
                <w:rFonts w:hint="eastAsia" w:ascii="仿宋" w:hAnsi="仿宋" w:eastAsia="仿宋" w:cs="仿宋"/>
                <w:color w:val="auto"/>
                <w:sz w:val="24"/>
                <w:szCs w:val="24"/>
                <w:highlight w:val="none"/>
                <w:lang w:val="zh-CN" w:bidi="zh-CN"/>
              </w:rPr>
              <w:t>）具有测绘类或土地类专业中级（含中级）以上工程师，每一个加</w:t>
            </w:r>
            <w:r>
              <w:rPr>
                <w:rFonts w:hint="eastAsia" w:ascii="仿宋" w:hAnsi="仿宋" w:eastAsia="仿宋" w:cs="仿宋"/>
                <w:color w:val="auto"/>
                <w:sz w:val="24"/>
                <w:szCs w:val="24"/>
                <w:highlight w:val="none"/>
                <w:lang w:bidi="zh-CN"/>
              </w:rPr>
              <w:t>2</w:t>
            </w:r>
            <w:r>
              <w:rPr>
                <w:rFonts w:hint="eastAsia" w:ascii="仿宋" w:hAnsi="仿宋" w:eastAsia="仿宋" w:cs="仿宋"/>
                <w:color w:val="auto"/>
                <w:sz w:val="24"/>
                <w:szCs w:val="24"/>
                <w:highlight w:val="none"/>
                <w:lang w:val="zh-CN" w:bidi="zh-CN"/>
              </w:rPr>
              <w:t>分,最多得1</w:t>
            </w:r>
            <w:r>
              <w:rPr>
                <w:rFonts w:hint="eastAsia" w:ascii="仿宋" w:hAnsi="仿宋" w:eastAsia="仿宋" w:cs="仿宋"/>
                <w:color w:val="auto"/>
                <w:sz w:val="24"/>
                <w:szCs w:val="24"/>
                <w:highlight w:val="none"/>
                <w:lang w:bidi="zh-CN"/>
              </w:rPr>
              <w:t>0</w:t>
            </w:r>
            <w:r>
              <w:rPr>
                <w:rFonts w:hint="eastAsia" w:ascii="仿宋" w:hAnsi="仿宋" w:eastAsia="仿宋" w:cs="仿宋"/>
                <w:color w:val="auto"/>
                <w:sz w:val="24"/>
                <w:szCs w:val="24"/>
                <w:highlight w:val="none"/>
                <w:lang w:val="zh-CN" w:bidi="zh-CN"/>
              </w:rPr>
              <w:t>分。</w:t>
            </w:r>
          </w:p>
          <w:p w14:paraId="02462E5D">
            <w:pPr>
              <w:pStyle w:val="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注：（须提供响应文件递交截止日期之前六个月内为员工缴纳社会保障资金的证明材料、职称证书、退休人员须提供返聘协议。否则不得分）</w:t>
            </w:r>
          </w:p>
        </w:tc>
      </w:tr>
      <w:tr w14:paraId="6E2A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restart"/>
            <w:tcBorders>
              <w:right w:val="single" w:color="000000" w:sz="4" w:space="0"/>
            </w:tcBorders>
            <w:vAlign w:val="center"/>
          </w:tcPr>
          <w:p w14:paraId="6ED61E29">
            <w:pPr>
              <w:pStyle w:val="18"/>
              <w:autoSpaceDE/>
              <w:autoSpaceDN/>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技术部分 </w:t>
            </w:r>
          </w:p>
        </w:tc>
        <w:tc>
          <w:tcPr>
            <w:tcW w:w="1288" w:type="dxa"/>
            <w:tcBorders>
              <w:left w:val="single" w:color="000000" w:sz="4" w:space="0"/>
            </w:tcBorders>
            <w:vAlign w:val="center"/>
          </w:tcPr>
          <w:p w14:paraId="3FAB06B6">
            <w:pPr>
              <w:jc w:val="center"/>
              <w:rPr>
                <w:rFonts w:hint="eastAsia" w:ascii="仿宋" w:hAnsi="仿宋" w:eastAsia="仿宋" w:cs="仿宋"/>
                <w:caps/>
                <w:color w:val="auto"/>
                <w:sz w:val="24"/>
                <w:szCs w:val="24"/>
              </w:rPr>
            </w:pPr>
            <w:r>
              <w:rPr>
                <w:rFonts w:hint="eastAsia" w:ascii="仿宋" w:hAnsi="仿宋" w:eastAsia="仿宋" w:cs="仿宋"/>
                <w:caps/>
                <w:color w:val="auto"/>
                <w:sz w:val="24"/>
                <w:szCs w:val="24"/>
              </w:rPr>
              <w:t>目标任务</w:t>
            </w:r>
          </w:p>
        </w:tc>
        <w:tc>
          <w:tcPr>
            <w:tcW w:w="780" w:type="dxa"/>
            <w:vAlign w:val="center"/>
          </w:tcPr>
          <w:p w14:paraId="4FEC20A8">
            <w:pPr>
              <w:jc w:val="center"/>
              <w:rPr>
                <w:rFonts w:hint="eastAsia" w:ascii="仿宋" w:hAnsi="仿宋" w:eastAsia="仿宋" w:cs="仿宋"/>
                <w:caps/>
                <w:color w:val="auto"/>
                <w:sz w:val="24"/>
                <w:szCs w:val="24"/>
              </w:rPr>
            </w:pPr>
            <w:r>
              <w:rPr>
                <w:rFonts w:hint="eastAsia" w:ascii="仿宋" w:hAnsi="仿宋" w:eastAsia="仿宋" w:cs="仿宋"/>
                <w:caps/>
                <w:color w:val="auto"/>
                <w:sz w:val="24"/>
                <w:szCs w:val="24"/>
              </w:rPr>
              <w:t>3</w:t>
            </w:r>
          </w:p>
        </w:tc>
        <w:tc>
          <w:tcPr>
            <w:tcW w:w="5779" w:type="dxa"/>
            <w:vAlign w:val="center"/>
          </w:tcPr>
          <w:p w14:paraId="03845219">
            <w:pPr>
              <w:rPr>
                <w:rFonts w:hint="eastAsia" w:ascii="仿宋" w:hAnsi="仿宋" w:eastAsia="仿宋" w:cs="仿宋"/>
                <w:caps/>
                <w:color w:val="auto"/>
                <w:sz w:val="24"/>
                <w:szCs w:val="24"/>
              </w:rPr>
            </w:pPr>
            <w:r>
              <w:rPr>
                <w:rFonts w:hint="eastAsia" w:ascii="仿宋" w:hAnsi="仿宋" w:eastAsia="仿宋" w:cs="仿宋"/>
                <w:caps/>
                <w:color w:val="auto"/>
                <w:sz w:val="24"/>
                <w:szCs w:val="24"/>
              </w:rPr>
              <w:t>项目工作①目标明确可行②工作内容具体具体详实③、符合项目招标要求， 得3分，</w:t>
            </w:r>
            <w:r>
              <w:rPr>
                <w:rFonts w:hint="eastAsia" w:ascii="仿宋" w:hAnsi="仿宋" w:eastAsia="仿宋" w:cs="仿宋"/>
                <w:bCs/>
                <w:color w:val="auto"/>
                <w:sz w:val="24"/>
                <w:szCs w:val="24"/>
              </w:rPr>
              <w:t>缺项或漏项不得分</w:t>
            </w:r>
            <w:r>
              <w:rPr>
                <w:rFonts w:hint="eastAsia" w:ascii="仿宋" w:hAnsi="仿宋" w:eastAsia="仿宋" w:cs="仿宋"/>
                <w:caps/>
                <w:color w:val="auto"/>
                <w:sz w:val="24"/>
                <w:szCs w:val="24"/>
              </w:rPr>
              <w:t xml:space="preserve">，每有一处缺陷扣1分，扣完为止 </w:t>
            </w:r>
          </w:p>
          <w:p w14:paraId="7D481036">
            <w:pPr>
              <w:rPr>
                <w:rFonts w:hint="eastAsia" w:ascii="仿宋" w:hAnsi="仿宋" w:eastAsia="仿宋" w:cs="仿宋"/>
                <w:caps/>
                <w:color w:val="auto"/>
                <w:sz w:val="24"/>
                <w:szCs w:val="24"/>
              </w:rPr>
            </w:pPr>
            <w:r>
              <w:rPr>
                <w:rFonts w:hint="eastAsia" w:ascii="仿宋" w:hAnsi="仿宋" w:eastAsia="仿宋" w:cs="仿宋"/>
                <w:caps/>
                <w:color w:val="auto"/>
                <w:sz w:val="24"/>
                <w:szCs w:val="24"/>
              </w:rPr>
              <w:t>（缺陷是指：前后内容不一致、存在凭空编造、前后逻辑错误、涉及的规范及标准错误、项目名称或实施地点 区域错误、内容简略或与本项目无关等任意一种情形等）。</w:t>
            </w:r>
          </w:p>
        </w:tc>
      </w:tr>
      <w:tr w14:paraId="3BE5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2" w:hRule="atLeast"/>
          <w:jc w:val="center"/>
        </w:trPr>
        <w:tc>
          <w:tcPr>
            <w:tcW w:w="675" w:type="dxa"/>
            <w:vMerge w:val="continue"/>
            <w:tcBorders>
              <w:right w:val="single" w:color="000000" w:sz="4" w:space="0"/>
            </w:tcBorders>
            <w:vAlign w:val="center"/>
          </w:tcPr>
          <w:p w14:paraId="732FE27C">
            <w:pPr>
              <w:pStyle w:val="18"/>
              <w:autoSpaceDE/>
              <w:autoSpaceDN/>
              <w:jc w:val="both"/>
              <w:rPr>
                <w:rFonts w:hint="eastAsia" w:ascii="仿宋" w:hAnsi="仿宋" w:eastAsia="仿宋" w:cs="仿宋"/>
                <w:color w:val="auto"/>
                <w:sz w:val="24"/>
                <w:szCs w:val="24"/>
              </w:rPr>
            </w:pPr>
          </w:p>
        </w:tc>
        <w:tc>
          <w:tcPr>
            <w:tcW w:w="1288" w:type="dxa"/>
            <w:tcBorders>
              <w:left w:val="single" w:color="000000" w:sz="4" w:space="0"/>
            </w:tcBorders>
            <w:vAlign w:val="center"/>
          </w:tcPr>
          <w:p w14:paraId="331571DB">
            <w:pPr>
              <w:jc w:val="center"/>
              <w:rPr>
                <w:rFonts w:hint="eastAsia" w:ascii="仿宋" w:hAnsi="仿宋" w:eastAsia="仿宋" w:cs="仿宋"/>
                <w:caps/>
                <w:color w:val="auto"/>
                <w:sz w:val="24"/>
                <w:szCs w:val="24"/>
              </w:rPr>
            </w:pPr>
            <w:r>
              <w:rPr>
                <w:rFonts w:hint="eastAsia" w:ascii="仿宋" w:hAnsi="仿宋" w:eastAsia="仿宋" w:cs="仿宋"/>
                <w:caps/>
                <w:color w:val="auto"/>
                <w:sz w:val="24"/>
                <w:szCs w:val="24"/>
              </w:rPr>
              <w:t>总体</w:t>
            </w:r>
          </w:p>
          <w:p w14:paraId="33EA9320">
            <w:pPr>
              <w:jc w:val="center"/>
              <w:rPr>
                <w:rFonts w:hint="eastAsia" w:ascii="仿宋" w:hAnsi="仿宋" w:eastAsia="仿宋" w:cs="仿宋"/>
                <w:caps/>
                <w:color w:val="auto"/>
                <w:sz w:val="24"/>
                <w:szCs w:val="24"/>
              </w:rPr>
            </w:pPr>
            <w:r>
              <w:rPr>
                <w:rFonts w:hint="eastAsia" w:ascii="仿宋" w:hAnsi="仿宋" w:eastAsia="仿宋" w:cs="仿宋"/>
                <w:caps/>
                <w:color w:val="auto"/>
                <w:sz w:val="24"/>
                <w:szCs w:val="24"/>
              </w:rPr>
              <w:t>设计</w:t>
            </w:r>
          </w:p>
        </w:tc>
        <w:tc>
          <w:tcPr>
            <w:tcW w:w="780" w:type="dxa"/>
            <w:vAlign w:val="center"/>
          </w:tcPr>
          <w:p w14:paraId="1F43F211">
            <w:pPr>
              <w:jc w:val="center"/>
              <w:rPr>
                <w:rFonts w:hint="eastAsia" w:ascii="仿宋" w:hAnsi="仿宋" w:eastAsia="仿宋" w:cs="仿宋"/>
                <w:caps/>
                <w:color w:val="auto"/>
                <w:sz w:val="24"/>
                <w:szCs w:val="24"/>
              </w:rPr>
            </w:pPr>
            <w:r>
              <w:rPr>
                <w:rFonts w:hint="eastAsia" w:ascii="仿宋" w:hAnsi="仿宋" w:eastAsia="仿宋" w:cs="仿宋"/>
                <w:caps/>
                <w:color w:val="auto"/>
                <w:sz w:val="24"/>
                <w:szCs w:val="24"/>
              </w:rPr>
              <w:t>12</w:t>
            </w:r>
          </w:p>
        </w:tc>
        <w:tc>
          <w:tcPr>
            <w:tcW w:w="5779" w:type="dxa"/>
            <w:vAlign w:val="center"/>
          </w:tcPr>
          <w:p w14:paraId="145F1455">
            <w:pPr>
              <w:rPr>
                <w:rFonts w:hint="eastAsia" w:ascii="仿宋" w:hAnsi="仿宋" w:eastAsia="仿宋" w:cs="仿宋"/>
                <w:bCs/>
                <w:color w:val="auto"/>
                <w:sz w:val="24"/>
                <w:szCs w:val="24"/>
              </w:rPr>
            </w:pPr>
            <w:r>
              <w:rPr>
                <w:rFonts w:hint="eastAsia" w:ascii="仿宋" w:hAnsi="仿宋" w:eastAsia="仿宋" w:cs="仿宋"/>
                <w:bCs/>
                <w:color w:val="auto"/>
                <w:sz w:val="24"/>
                <w:szCs w:val="24"/>
              </w:rPr>
              <w:t>总体设计方案包含总体技术路线、工作流程图、关键技术方法三项内容。</w:t>
            </w:r>
          </w:p>
          <w:p w14:paraId="76ABAF94">
            <w:pPr>
              <w:rPr>
                <w:rFonts w:hint="eastAsia" w:ascii="仿宋" w:hAnsi="仿宋" w:eastAsia="仿宋" w:cs="仿宋"/>
                <w:bCs/>
                <w:color w:val="auto"/>
                <w:sz w:val="24"/>
                <w:szCs w:val="24"/>
              </w:rPr>
            </w:pPr>
            <w:r>
              <w:rPr>
                <w:rFonts w:hint="eastAsia" w:ascii="仿宋" w:hAnsi="仿宋" w:eastAsia="仿宋" w:cs="仿宋"/>
                <w:bCs/>
                <w:color w:val="auto"/>
                <w:sz w:val="24"/>
                <w:szCs w:val="24"/>
              </w:rPr>
              <w:t>1、总体技术路线①逻辑清晰、②内容完整、③可行性强、④符合项目工作任务技术要求得4分，缺项或漏项不得分，每有一处缺陷扣1分，扣完为止；</w:t>
            </w:r>
          </w:p>
          <w:p w14:paraId="4B6F4099">
            <w:pPr>
              <w:rPr>
                <w:rFonts w:hint="eastAsia" w:ascii="仿宋" w:hAnsi="仿宋" w:eastAsia="仿宋" w:cs="仿宋"/>
                <w:bCs/>
                <w:color w:val="auto"/>
                <w:sz w:val="24"/>
                <w:szCs w:val="24"/>
              </w:rPr>
            </w:pPr>
            <w:r>
              <w:rPr>
                <w:rFonts w:hint="eastAsia" w:ascii="仿宋" w:hAnsi="仿宋" w:eastAsia="仿宋" w:cs="仿宋"/>
                <w:bCs/>
                <w:color w:val="auto"/>
                <w:sz w:val="24"/>
                <w:szCs w:val="24"/>
              </w:rPr>
              <w:t>2、工作流程图①设计合理、②高效可行、③图面美观、④简洁的</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得</w:t>
            </w:r>
            <w:r>
              <w:rPr>
                <w:rFonts w:hint="eastAsia" w:ascii="仿宋" w:hAnsi="仿宋" w:eastAsia="仿宋" w:cs="仿宋"/>
                <w:bCs/>
                <w:color w:val="auto"/>
                <w:sz w:val="24"/>
                <w:szCs w:val="24"/>
              </w:rPr>
              <w:t>4分，缺项或漏项不得分，每有一处缺陷扣1分，扣完为止。</w:t>
            </w:r>
          </w:p>
          <w:p w14:paraId="67807445">
            <w:pPr>
              <w:rPr>
                <w:rFonts w:hint="eastAsia" w:ascii="仿宋" w:hAnsi="仿宋" w:eastAsia="仿宋" w:cs="仿宋"/>
                <w:bCs/>
                <w:color w:val="auto"/>
                <w:sz w:val="24"/>
                <w:szCs w:val="24"/>
              </w:rPr>
            </w:pPr>
            <w:r>
              <w:rPr>
                <w:rFonts w:hint="eastAsia" w:ascii="仿宋" w:hAnsi="仿宋" w:eastAsia="仿宋" w:cs="仿宋"/>
                <w:bCs/>
                <w:color w:val="auto"/>
                <w:sz w:val="24"/>
                <w:szCs w:val="24"/>
              </w:rPr>
              <w:t>3、关键技术方法①归纳总结到位、②科学合理、③效率高、④可行性强，得4分，缺项或漏项不得分，每有一处缺陷扣1分，扣完为止；</w:t>
            </w:r>
          </w:p>
          <w:p w14:paraId="5A9A0443">
            <w:pPr>
              <w:rPr>
                <w:rFonts w:hint="eastAsia" w:ascii="仿宋" w:hAnsi="仿宋" w:eastAsia="仿宋" w:cs="仿宋"/>
                <w:color w:val="auto"/>
                <w:sz w:val="24"/>
                <w:szCs w:val="24"/>
              </w:rPr>
            </w:pPr>
            <w:r>
              <w:rPr>
                <w:rFonts w:hint="eastAsia" w:ascii="仿宋" w:hAnsi="仿宋" w:eastAsia="仿宋" w:cs="仿宋"/>
                <w:bCs/>
                <w:color w:val="auto"/>
                <w:sz w:val="24"/>
                <w:szCs w:val="24"/>
              </w:rPr>
              <w:t>（缺陷定义同前项）</w:t>
            </w:r>
          </w:p>
        </w:tc>
      </w:tr>
      <w:tr w14:paraId="3531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75" w:type="dxa"/>
            <w:vMerge w:val="continue"/>
            <w:tcBorders>
              <w:right w:val="single" w:color="000000" w:sz="4" w:space="0"/>
            </w:tcBorders>
            <w:vAlign w:val="center"/>
          </w:tcPr>
          <w:p w14:paraId="390D3629">
            <w:pPr>
              <w:pStyle w:val="18"/>
              <w:autoSpaceDE/>
              <w:autoSpaceDN/>
              <w:jc w:val="both"/>
              <w:rPr>
                <w:rFonts w:hint="eastAsia" w:ascii="仿宋" w:hAnsi="仿宋" w:eastAsia="仿宋" w:cs="仿宋"/>
                <w:color w:val="auto"/>
                <w:sz w:val="24"/>
                <w:szCs w:val="24"/>
              </w:rPr>
            </w:pPr>
          </w:p>
        </w:tc>
        <w:tc>
          <w:tcPr>
            <w:tcW w:w="1288" w:type="dxa"/>
            <w:tcBorders>
              <w:left w:val="single" w:color="000000" w:sz="4" w:space="0"/>
            </w:tcBorders>
            <w:vAlign w:val="center"/>
          </w:tcPr>
          <w:p w14:paraId="6E6341AD">
            <w:pPr>
              <w:jc w:val="center"/>
              <w:rPr>
                <w:rFonts w:hint="eastAsia" w:ascii="仿宋" w:hAnsi="仿宋" w:eastAsia="仿宋" w:cs="仿宋"/>
                <w:caps/>
                <w:color w:val="auto"/>
                <w:sz w:val="24"/>
                <w:szCs w:val="24"/>
              </w:rPr>
            </w:pPr>
            <w:r>
              <w:rPr>
                <w:rFonts w:hint="eastAsia" w:ascii="仿宋" w:hAnsi="仿宋" w:eastAsia="仿宋" w:cs="仿宋"/>
                <w:caps/>
                <w:color w:val="auto"/>
                <w:sz w:val="24"/>
                <w:szCs w:val="24"/>
              </w:rPr>
              <w:t>技术方案</w:t>
            </w:r>
          </w:p>
        </w:tc>
        <w:tc>
          <w:tcPr>
            <w:tcW w:w="780" w:type="dxa"/>
            <w:vAlign w:val="center"/>
          </w:tcPr>
          <w:p w14:paraId="2B75887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5779" w:type="dxa"/>
            <w:vAlign w:val="center"/>
          </w:tcPr>
          <w:p w14:paraId="20283288">
            <w:pPr>
              <w:rPr>
                <w:rFonts w:hint="eastAsia" w:ascii="仿宋" w:hAnsi="仿宋" w:eastAsia="仿宋" w:cs="仿宋"/>
                <w:bCs/>
                <w:color w:val="auto"/>
                <w:sz w:val="24"/>
                <w:szCs w:val="24"/>
              </w:rPr>
            </w:pPr>
            <w:r>
              <w:rPr>
                <w:rFonts w:hint="eastAsia" w:ascii="仿宋" w:hAnsi="仿宋" w:eastAsia="仿宋" w:cs="仿宋"/>
                <w:bCs/>
                <w:color w:val="auto"/>
                <w:sz w:val="24"/>
                <w:szCs w:val="24"/>
              </w:rPr>
              <w:t>投标人提供的技术方案包含全民所有自然资源资产清查、地籍成果入库两项内容，根据方案内容完整性、技术要求响应情况进行综合评定：</w:t>
            </w:r>
          </w:p>
          <w:p w14:paraId="5F8047CB">
            <w:pPr>
              <w:rPr>
                <w:rFonts w:hint="eastAsia" w:ascii="仿宋" w:hAnsi="仿宋" w:eastAsia="仿宋" w:cs="仿宋"/>
                <w:bCs/>
                <w:color w:val="auto"/>
                <w:sz w:val="24"/>
                <w:szCs w:val="24"/>
              </w:rPr>
            </w:pPr>
            <w:r>
              <w:rPr>
                <w:rFonts w:hint="eastAsia" w:ascii="仿宋" w:hAnsi="仿宋" w:eastAsia="仿宋" w:cs="仿宋"/>
                <w:bCs/>
                <w:color w:val="auto"/>
                <w:sz w:val="24"/>
                <w:szCs w:val="24"/>
              </w:rPr>
              <w:t>1、全民所有自然资源资产清查技术方案包括全民所有自然资源资产清查工作培训与指导、全民所有自然资源资产清查数据质检与汇总、全民所有自然资源资产清查成果汇交、资产清查数据入库汇总工具，①方案内容详细完整、②技术内容准确、③入库汇总工具能完成</w:t>
            </w:r>
            <w:r>
              <w:rPr>
                <w:rFonts w:hint="eastAsia" w:ascii="仿宋" w:hAnsi="仿宋" w:eastAsia="仿宋" w:cs="仿宋"/>
                <w:bCs/>
                <w:color w:val="auto"/>
                <w:sz w:val="24"/>
              </w:rPr>
              <w:t>成果接收、检查、入库、统计分析、成果制作、数据汇交和更新管理</w:t>
            </w:r>
            <w:r>
              <w:rPr>
                <w:rFonts w:hint="eastAsia" w:ascii="仿宋" w:hAnsi="仿宋" w:eastAsia="仿宋" w:cs="仿宋"/>
                <w:bCs/>
                <w:color w:val="auto"/>
                <w:sz w:val="24"/>
                <w:szCs w:val="24"/>
              </w:rPr>
              <w:t>、系统维护</w:t>
            </w:r>
            <w:r>
              <w:rPr>
                <w:rFonts w:hint="eastAsia" w:ascii="仿宋" w:hAnsi="仿宋" w:eastAsia="仿宋" w:cs="仿宋"/>
                <w:bCs/>
                <w:color w:val="auto"/>
                <w:sz w:val="24"/>
                <w:szCs w:val="24"/>
                <w:lang w:eastAsia="zh-CN"/>
              </w:rPr>
              <w:t>等，</w:t>
            </w:r>
            <w:r>
              <w:rPr>
                <w:rFonts w:hint="eastAsia" w:ascii="仿宋" w:hAnsi="仿宋" w:eastAsia="仿宋" w:cs="仿宋"/>
                <w:bCs/>
                <w:color w:val="auto"/>
                <w:sz w:val="24"/>
                <w:szCs w:val="24"/>
              </w:rPr>
              <w:t>并提供功能截图、④符合全民所有自然资源资产清查工作要求和特点，得8分，缺项或漏项不得分，每有一处缺陷扣2分，扣完为止；</w:t>
            </w:r>
          </w:p>
          <w:p w14:paraId="6927191D">
            <w:pPr>
              <w:rPr>
                <w:rFonts w:hint="eastAsia" w:ascii="仿宋" w:hAnsi="仿宋" w:eastAsia="仿宋" w:cs="仿宋"/>
                <w:color w:val="auto"/>
                <w:sz w:val="24"/>
                <w:szCs w:val="24"/>
                <w:lang w:eastAsia="zh-CN"/>
              </w:rPr>
            </w:pPr>
            <w:r>
              <w:rPr>
                <w:rFonts w:hint="eastAsia" w:ascii="仿宋" w:hAnsi="仿宋" w:eastAsia="仿宋" w:cs="仿宋"/>
                <w:bCs/>
                <w:color w:val="auto"/>
                <w:sz w:val="24"/>
                <w:szCs w:val="24"/>
              </w:rPr>
              <w:t>2、地籍成果入库技术方案包括地籍数据入库与地籍图编制工作培训与指导、地籍数据库成果质检与汇总、地籍数据库成果汇交、建设地籍入库汇总工具四项内容，①方案内容详细完整、②技术内容准确、③系统功能齐全（包括</w:t>
            </w:r>
            <w:r>
              <w:rPr>
                <w:rFonts w:hint="eastAsia" w:ascii="仿宋" w:hAnsi="仿宋" w:eastAsia="仿宋" w:cs="仿宋"/>
                <w:bCs/>
                <w:color w:val="auto"/>
                <w:sz w:val="24"/>
              </w:rPr>
              <w:t>数据入库、数据</w:t>
            </w:r>
            <w:r>
              <w:rPr>
                <w:rFonts w:hint="eastAsia" w:ascii="仿宋" w:hAnsi="仿宋" w:eastAsia="仿宋" w:cs="仿宋"/>
                <w:bCs/>
                <w:color w:val="auto"/>
                <w:sz w:val="24"/>
                <w:szCs w:val="24"/>
              </w:rPr>
              <w:t>检查、</w:t>
            </w:r>
            <w:r>
              <w:rPr>
                <w:rFonts w:hint="eastAsia" w:ascii="仿宋" w:hAnsi="仿宋" w:eastAsia="仿宋" w:cs="仿宋"/>
                <w:bCs/>
                <w:color w:val="auto"/>
                <w:sz w:val="24"/>
              </w:rPr>
              <w:t>数据编辑、快速查询统计、电子材料管理、数据更新</w:t>
            </w:r>
            <w:r>
              <w:rPr>
                <w:rFonts w:hint="eastAsia" w:ascii="仿宋" w:hAnsi="仿宋" w:eastAsia="仿宋" w:cs="仿宋"/>
                <w:bCs/>
                <w:color w:val="auto"/>
                <w:sz w:val="24"/>
                <w:szCs w:val="24"/>
              </w:rPr>
              <w:t>）并提供功能截图、④符合地籍数据库与地籍图编制工作要求和特点，得8分，缺项或漏项不得分，每有一处缺陷扣2分，扣完为止</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（缺陷定义同前项）</w:t>
            </w:r>
          </w:p>
        </w:tc>
      </w:tr>
      <w:tr w14:paraId="21C0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vMerge w:val="continue"/>
            <w:tcBorders>
              <w:right w:val="single" w:color="000000" w:sz="4" w:space="0"/>
            </w:tcBorders>
            <w:vAlign w:val="center"/>
          </w:tcPr>
          <w:p w14:paraId="25C9CF15">
            <w:pPr>
              <w:rPr>
                <w:rFonts w:hint="eastAsia" w:ascii="仿宋" w:hAnsi="仿宋" w:eastAsia="仿宋" w:cs="仿宋"/>
                <w:color w:val="auto"/>
                <w:sz w:val="24"/>
                <w:szCs w:val="24"/>
              </w:rPr>
            </w:pPr>
          </w:p>
        </w:tc>
        <w:tc>
          <w:tcPr>
            <w:tcW w:w="1288" w:type="dxa"/>
            <w:tcBorders>
              <w:left w:val="single" w:color="000000" w:sz="4" w:space="0"/>
            </w:tcBorders>
          </w:tcPr>
          <w:p w14:paraId="4CF51C4E">
            <w:pPr>
              <w:jc w:val="center"/>
              <w:rPr>
                <w:rFonts w:hint="eastAsia" w:ascii="仿宋" w:hAnsi="仿宋" w:eastAsia="仿宋" w:cs="仿宋"/>
                <w:caps/>
                <w:color w:val="auto"/>
                <w:sz w:val="24"/>
                <w:szCs w:val="24"/>
              </w:rPr>
            </w:pPr>
          </w:p>
          <w:p w14:paraId="32563401">
            <w:pPr>
              <w:jc w:val="center"/>
              <w:rPr>
                <w:rFonts w:hint="eastAsia" w:ascii="仿宋" w:hAnsi="仿宋" w:eastAsia="仿宋" w:cs="仿宋"/>
                <w:caps/>
                <w:color w:val="auto"/>
                <w:sz w:val="24"/>
                <w:szCs w:val="24"/>
              </w:rPr>
            </w:pPr>
          </w:p>
          <w:p w14:paraId="30FA8945">
            <w:pPr>
              <w:rPr>
                <w:rFonts w:hint="eastAsia" w:ascii="仿宋" w:hAnsi="仿宋" w:eastAsia="仿宋" w:cs="仿宋"/>
                <w:caps/>
                <w:color w:val="auto"/>
                <w:sz w:val="24"/>
                <w:szCs w:val="24"/>
              </w:rPr>
            </w:pPr>
            <w:r>
              <w:rPr>
                <w:rFonts w:hint="eastAsia" w:ascii="仿宋" w:hAnsi="仿宋" w:eastAsia="仿宋" w:cs="仿宋"/>
                <w:caps/>
                <w:color w:val="auto"/>
                <w:sz w:val="24"/>
                <w:szCs w:val="24"/>
              </w:rPr>
              <w:t>项目组织 实施</w:t>
            </w:r>
          </w:p>
        </w:tc>
        <w:tc>
          <w:tcPr>
            <w:tcW w:w="780" w:type="dxa"/>
          </w:tcPr>
          <w:p w14:paraId="6E34A42B">
            <w:pPr>
              <w:jc w:val="center"/>
              <w:rPr>
                <w:rFonts w:hint="eastAsia" w:ascii="仿宋" w:hAnsi="仿宋" w:eastAsia="仿宋" w:cs="仿宋"/>
                <w:color w:val="auto"/>
                <w:sz w:val="24"/>
                <w:szCs w:val="24"/>
              </w:rPr>
            </w:pPr>
          </w:p>
          <w:p w14:paraId="2E1DEC25">
            <w:pPr>
              <w:jc w:val="center"/>
              <w:rPr>
                <w:rFonts w:hint="eastAsia" w:ascii="仿宋" w:hAnsi="仿宋" w:eastAsia="仿宋" w:cs="仿宋"/>
                <w:color w:val="auto"/>
                <w:sz w:val="24"/>
                <w:szCs w:val="24"/>
              </w:rPr>
            </w:pPr>
          </w:p>
          <w:p w14:paraId="17ABC2FA">
            <w:pPr>
              <w:jc w:val="center"/>
              <w:rPr>
                <w:rFonts w:hint="eastAsia" w:ascii="仿宋" w:hAnsi="仿宋" w:eastAsia="仿宋" w:cs="仿宋"/>
                <w:color w:val="auto"/>
                <w:sz w:val="24"/>
                <w:szCs w:val="24"/>
              </w:rPr>
            </w:pPr>
          </w:p>
          <w:p w14:paraId="07B6F69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779" w:type="dxa"/>
          </w:tcPr>
          <w:p w14:paraId="741F2F50">
            <w:pPr>
              <w:rPr>
                <w:rFonts w:hint="eastAsia" w:ascii="仿宋" w:hAnsi="仿宋" w:eastAsia="仿宋" w:cs="仿宋"/>
                <w:color w:val="auto"/>
                <w:sz w:val="24"/>
                <w:szCs w:val="24"/>
              </w:rPr>
            </w:pPr>
            <w:r>
              <w:rPr>
                <w:rFonts w:hint="eastAsia" w:ascii="仿宋" w:hAnsi="仿宋" w:eastAsia="仿宋" w:cs="仿宋"/>
                <w:color w:val="auto"/>
                <w:sz w:val="24"/>
                <w:szCs w:val="24"/>
              </w:rPr>
              <w:t>项目组织①实施分工具体，工作方法符合实际情况、 具体可行，②保障措施全面细致、可操作性强，计划进度 安排具体、合理可行；③针对本项目的保密制度和措施具体、有效，能保证数据安全。</w:t>
            </w:r>
          </w:p>
          <w:p w14:paraId="7C34A6F0">
            <w:pPr>
              <w:rPr>
                <w:rFonts w:hint="eastAsia" w:ascii="仿宋" w:hAnsi="仿宋" w:eastAsia="仿宋" w:cs="仿宋"/>
                <w:color w:val="auto"/>
                <w:sz w:val="24"/>
                <w:szCs w:val="24"/>
              </w:rPr>
            </w:pPr>
            <w:r>
              <w:rPr>
                <w:rFonts w:hint="eastAsia" w:ascii="仿宋" w:hAnsi="仿宋" w:eastAsia="仿宋" w:cs="仿宋"/>
                <w:color w:val="auto"/>
                <w:sz w:val="24"/>
                <w:szCs w:val="24"/>
              </w:rPr>
              <w:t>提供以上内容得 6 分，每有一项缺项或漏项扣 2 分，每有一处缺陷扣 1 分，扣完为止（缺陷定义同前项）。</w:t>
            </w:r>
          </w:p>
        </w:tc>
      </w:tr>
      <w:tr w14:paraId="67CB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tcBorders>
              <w:right w:val="single" w:color="000000" w:sz="4" w:space="0"/>
            </w:tcBorders>
            <w:vAlign w:val="center"/>
          </w:tcPr>
          <w:p w14:paraId="3173577F">
            <w:pPr>
              <w:rPr>
                <w:rFonts w:hint="eastAsia" w:ascii="仿宋" w:hAnsi="仿宋" w:eastAsia="仿宋" w:cs="仿宋"/>
                <w:color w:val="auto"/>
                <w:sz w:val="24"/>
                <w:szCs w:val="24"/>
              </w:rPr>
            </w:pPr>
          </w:p>
        </w:tc>
        <w:tc>
          <w:tcPr>
            <w:tcW w:w="1288" w:type="dxa"/>
            <w:tcBorders>
              <w:left w:val="single" w:color="000000" w:sz="4" w:space="0"/>
            </w:tcBorders>
          </w:tcPr>
          <w:p w14:paraId="38DA0D0B">
            <w:pPr>
              <w:jc w:val="center"/>
              <w:rPr>
                <w:rFonts w:hint="eastAsia" w:ascii="仿宋" w:hAnsi="仿宋" w:eastAsia="仿宋" w:cs="仿宋"/>
                <w:caps/>
                <w:color w:val="auto"/>
                <w:sz w:val="24"/>
                <w:szCs w:val="24"/>
              </w:rPr>
            </w:pPr>
          </w:p>
          <w:p w14:paraId="41128AE0">
            <w:pPr>
              <w:jc w:val="center"/>
              <w:rPr>
                <w:rFonts w:hint="eastAsia" w:ascii="仿宋" w:hAnsi="仿宋" w:eastAsia="仿宋" w:cs="仿宋"/>
                <w:caps/>
                <w:color w:val="auto"/>
                <w:sz w:val="24"/>
                <w:szCs w:val="24"/>
              </w:rPr>
            </w:pPr>
          </w:p>
          <w:p w14:paraId="0C482F6F">
            <w:pPr>
              <w:rPr>
                <w:rFonts w:hint="eastAsia" w:ascii="仿宋" w:hAnsi="仿宋" w:eastAsia="仿宋" w:cs="仿宋"/>
                <w:caps/>
                <w:color w:val="auto"/>
                <w:sz w:val="24"/>
                <w:szCs w:val="24"/>
              </w:rPr>
            </w:pPr>
            <w:r>
              <w:rPr>
                <w:rFonts w:hint="eastAsia" w:ascii="仿宋" w:hAnsi="仿宋" w:eastAsia="仿宋" w:cs="仿宋"/>
                <w:caps/>
                <w:color w:val="auto"/>
                <w:sz w:val="24"/>
                <w:szCs w:val="24"/>
              </w:rPr>
              <w:t>质量保障 措施</w:t>
            </w:r>
          </w:p>
        </w:tc>
        <w:tc>
          <w:tcPr>
            <w:tcW w:w="780" w:type="dxa"/>
          </w:tcPr>
          <w:p w14:paraId="190106BF">
            <w:pPr>
              <w:jc w:val="center"/>
              <w:rPr>
                <w:rFonts w:hint="eastAsia" w:ascii="仿宋" w:hAnsi="仿宋" w:eastAsia="仿宋" w:cs="仿宋"/>
                <w:color w:val="auto"/>
                <w:sz w:val="24"/>
                <w:szCs w:val="24"/>
              </w:rPr>
            </w:pPr>
          </w:p>
          <w:p w14:paraId="667F2193">
            <w:pPr>
              <w:jc w:val="center"/>
              <w:rPr>
                <w:rFonts w:hint="eastAsia" w:ascii="仿宋" w:hAnsi="仿宋" w:eastAsia="仿宋" w:cs="仿宋"/>
                <w:color w:val="auto"/>
                <w:sz w:val="24"/>
                <w:szCs w:val="24"/>
              </w:rPr>
            </w:pPr>
          </w:p>
          <w:p w14:paraId="227C13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779" w:type="dxa"/>
          </w:tcPr>
          <w:p w14:paraId="248A5FB8">
            <w:pPr>
              <w:rPr>
                <w:rFonts w:hint="eastAsia" w:ascii="仿宋" w:hAnsi="仿宋" w:eastAsia="仿宋" w:cs="仿宋"/>
                <w:color w:val="auto"/>
                <w:sz w:val="24"/>
                <w:szCs w:val="24"/>
              </w:rPr>
            </w:pPr>
            <w:r>
              <w:rPr>
                <w:rFonts w:hint="eastAsia" w:ascii="仿宋" w:hAnsi="仿宋" w:eastAsia="仿宋" w:cs="仿宋"/>
                <w:color w:val="auto"/>
                <w:sz w:val="24"/>
                <w:szCs w:val="24"/>
              </w:rPr>
              <w:t>①具体针对本项目的质量管理目标明确，对可能产生的质量问题分析归纳条例清楚，②采取的质量管理措施具体、有效，满足工作的特点和要求，③能够确保结果的正确性和真实性。</w:t>
            </w:r>
          </w:p>
          <w:p w14:paraId="1DF4FAD4">
            <w:pPr>
              <w:rPr>
                <w:rFonts w:hint="eastAsia" w:ascii="仿宋" w:hAnsi="仿宋" w:eastAsia="仿宋" w:cs="仿宋"/>
                <w:color w:val="auto"/>
                <w:sz w:val="24"/>
                <w:szCs w:val="24"/>
              </w:rPr>
            </w:pPr>
            <w:r>
              <w:rPr>
                <w:rFonts w:hint="eastAsia" w:ascii="仿宋" w:hAnsi="仿宋" w:eastAsia="仿宋" w:cs="仿宋"/>
                <w:color w:val="auto"/>
                <w:sz w:val="24"/>
                <w:szCs w:val="24"/>
              </w:rPr>
              <w:t>提供以上内容得 6 分，每有一项缺项或 漏项扣 2 分，每有一处缺陷扣 1 分，扣完为止（缺陷定义同前项）。</w:t>
            </w:r>
          </w:p>
        </w:tc>
      </w:tr>
      <w:tr w14:paraId="4C5D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tcBorders>
              <w:right w:val="single" w:color="000000" w:sz="4" w:space="0"/>
            </w:tcBorders>
            <w:vAlign w:val="center"/>
          </w:tcPr>
          <w:p w14:paraId="7363CD0A">
            <w:pPr>
              <w:rPr>
                <w:rFonts w:hint="eastAsia" w:ascii="仿宋" w:hAnsi="仿宋" w:eastAsia="仿宋" w:cs="仿宋"/>
                <w:color w:val="auto"/>
                <w:sz w:val="24"/>
                <w:szCs w:val="24"/>
              </w:rPr>
            </w:pPr>
          </w:p>
        </w:tc>
        <w:tc>
          <w:tcPr>
            <w:tcW w:w="1288" w:type="dxa"/>
            <w:tcBorders>
              <w:left w:val="single" w:color="000000" w:sz="4" w:space="0"/>
            </w:tcBorders>
          </w:tcPr>
          <w:p w14:paraId="7F20F1ED">
            <w:pPr>
              <w:jc w:val="center"/>
              <w:rPr>
                <w:rFonts w:hint="eastAsia" w:ascii="仿宋" w:hAnsi="仿宋" w:eastAsia="仿宋" w:cs="仿宋"/>
                <w:caps/>
                <w:color w:val="auto"/>
                <w:sz w:val="24"/>
                <w:szCs w:val="24"/>
              </w:rPr>
            </w:pPr>
          </w:p>
          <w:p w14:paraId="76B43C79">
            <w:pPr>
              <w:rPr>
                <w:rFonts w:hint="eastAsia" w:ascii="仿宋" w:hAnsi="仿宋" w:eastAsia="仿宋" w:cs="仿宋"/>
                <w:caps/>
                <w:color w:val="auto"/>
                <w:sz w:val="24"/>
                <w:szCs w:val="24"/>
              </w:rPr>
            </w:pPr>
            <w:r>
              <w:rPr>
                <w:rFonts w:hint="eastAsia" w:ascii="仿宋" w:hAnsi="仿宋" w:eastAsia="仿宋" w:cs="仿宋"/>
                <w:caps/>
                <w:color w:val="auto"/>
                <w:sz w:val="24"/>
                <w:szCs w:val="24"/>
              </w:rPr>
              <w:t>售后服务</w:t>
            </w:r>
          </w:p>
        </w:tc>
        <w:tc>
          <w:tcPr>
            <w:tcW w:w="780" w:type="dxa"/>
          </w:tcPr>
          <w:p w14:paraId="7E489C38">
            <w:pPr>
              <w:jc w:val="center"/>
              <w:rPr>
                <w:rFonts w:hint="eastAsia" w:ascii="仿宋" w:hAnsi="仿宋" w:eastAsia="仿宋" w:cs="仿宋"/>
                <w:color w:val="auto"/>
                <w:sz w:val="24"/>
                <w:szCs w:val="24"/>
              </w:rPr>
            </w:pPr>
          </w:p>
          <w:p w14:paraId="5F4A12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779" w:type="dxa"/>
          </w:tcPr>
          <w:p w14:paraId="42FBFBC9">
            <w:pPr>
              <w:rPr>
                <w:rFonts w:hint="eastAsia" w:ascii="仿宋" w:hAnsi="仿宋" w:eastAsia="仿宋" w:cs="仿宋"/>
                <w:color w:val="auto"/>
                <w:sz w:val="24"/>
                <w:szCs w:val="24"/>
              </w:rPr>
            </w:pPr>
            <w:r>
              <w:rPr>
                <w:rFonts w:hint="eastAsia" w:ascii="仿宋" w:hAnsi="仿宋" w:eastAsia="仿宋" w:cs="仿宋"/>
                <w:color w:val="auto"/>
                <w:sz w:val="24"/>
                <w:szCs w:val="24"/>
              </w:rPr>
              <w:t>投标人提供①售后服务方案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②技术支持工作切实可行、完整。</w:t>
            </w:r>
          </w:p>
          <w:p w14:paraId="4E95E0F7">
            <w:pPr>
              <w:rPr>
                <w:rFonts w:hint="eastAsia" w:ascii="仿宋" w:hAnsi="仿宋" w:eastAsia="仿宋" w:cs="仿宋"/>
                <w:color w:val="auto"/>
                <w:sz w:val="24"/>
                <w:szCs w:val="24"/>
              </w:rPr>
            </w:pPr>
            <w:r>
              <w:rPr>
                <w:rFonts w:hint="eastAsia" w:ascii="仿宋" w:hAnsi="仿宋" w:eastAsia="仿宋" w:cs="仿宋"/>
                <w:color w:val="auto"/>
                <w:sz w:val="24"/>
                <w:szCs w:val="24"/>
              </w:rPr>
              <w:t>提供以上内容得 6 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每有一项缺项或漏项扣 3 分，每有一处缺陷扣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 分，扣完为止（缺陷定义同前项）。</w:t>
            </w:r>
          </w:p>
        </w:tc>
      </w:tr>
      <w:tr w14:paraId="0604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tcBorders>
              <w:right w:val="single" w:color="000000" w:sz="4" w:space="0"/>
            </w:tcBorders>
            <w:vAlign w:val="center"/>
          </w:tcPr>
          <w:p w14:paraId="57EDBC39">
            <w:pPr>
              <w:rPr>
                <w:rFonts w:hint="eastAsia" w:ascii="仿宋" w:hAnsi="仿宋" w:eastAsia="仿宋" w:cs="仿宋"/>
                <w:color w:val="auto"/>
                <w:sz w:val="24"/>
                <w:szCs w:val="24"/>
              </w:rPr>
            </w:pPr>
          </w:p>
        </w:tc>
        <w:tc>
          <w:tcPr>
            <w:tcW w:w="1288" w:type="dxa"/>
            <w:tcBorders>
              <w:left w:val="single" w:color="000000" w:sz="4" w:space="0"/>
            </w:tcBorders>
            <w:vAlign w:val="center"/>
          </w:tcPr>
          <w:p w14:paraId="58EA85C5">
            <w:pPr>
              <w:rPr>
                <w:rFonts w:hint="eastAsia" w:ascii="仿宋" w:hAnsi="仿宋" w:eastAsia="仿宋" w:cs="仿宋"/>
                <w:caps/>
                <w:color w:val="auto"/>
                <w:sz w:val="24"/>
                <w:szCs w:val="24"/>
              </w:rPr>
            </w:pPr>
            <w:r>
              <w:rPr>
                <w:rFonts w:hint="eastAsia" w:ascii="仿宋" w:hAnsi="仿宋" w:eastAsia="仿宋" w:cs="仿宋"/>
                <w:caps/>
                <w:color w:val="auto"/>
                <w:sz w:val="24"/>
                <w:szCs w:val="24"/>
              </w:rPr>
              <w:t>意见建议</w:t>
            </w:r>
          </w:p>
        </w:tc>
        <w:tc>
          <w:tcPr>
            <w:tcW w:w="780" w:type="dxa"/>
            <w:vAlign w:val="center"/>
          </w:tcPr>
          <w:p w14:paraId="6D29610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779" w:type="dxa"/>
          </w:tcPr>
          <w:p w14:paraId="1BD385A5">
            <w:pPr>
              <w:rPr>
                <w:rFonts w:hint="eastAsia" w:ascii="仿宋" w:hAnsi="仿宋" w:eastAsia="仿宋" w:cs="仿宋"/>
                <w:color w:val="auto"/>
                <w:sz w:val="24"/>
                <w:szCs w:val="24"/>
              </w:rPr>
            </w:pPr>
            <w:r>
              <w:rPr>
                <w:rFonts w:hint="eastAsia" w:ascii="仿宋" w:hAnsi="仿宋" w:eastAsia="仿宋" w:cs="仿宋"/>
                <w:color w:val="auto"/>
                <w:sz w:val="24"/>
                <w:szCs w:val="24"/>
              </w:rPr>
              <w:t>意见建议有益于本项目在技术、质量、进度或管理 等方面进行改进的措施。</w:t>
            </w:r>
          </w:p>
          <w:p w14:paraId="15337EAD">
            <w:pPr>
              <w:rPr>
                <w:rFonts w:hint="eastAsia" w:ascii="仿宋" w:hAnsi="仿宋" w:eastAsia="仿宋" w:cs="仿宋"/>
                <w:color w:val="auto"/>
                <w:sz w:val="24"/>
                <w:szCs w:val="24"/>
              </w:rPr>
            </w:pPr>
            <w:r>
              <w:rPr>
                <w:rFonts w:hint="eastAsia" w:ascii="仿宋" w:hAnsi="仿宋" w:eastAsia="仿宋" w:cs="仿宋"/>
                <w:color w:val="auto"/>
                <w:sz w:val="24"/>
                <w:szCs w:val="24"/>
              </w:rPr>
              <w:t>综合评定：</w:t>
            </w: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对技术方面进行的改进措施有建议性、逻辑性强、措施具体、可行性高的，</w:t>
            </w: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质量方面进行的改进措施有建议性、逻辑性强、措施具体、可行性高的，</w:t>
            </w: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进度或管理方面进行的改进措施有建议性、逻辑性强、措施具体、可行性高的，提供以上内容得 6 分，每有一项缺项或漏项扣 2 分，每有一处缺陷扣 1 分，扣完为止（缺陷定义同前项）。</w:t>
            </w:r>
          </w:p>
        </w:tc>
      </w:tr>
      <w:tr w14:paraId="2C51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tcBorders>
              <w:right w:val="single" w:color="000000" w:sz="4" w:space="0"/>
            </w:tcBorders>
            <w:vAlign w:val="center"/>
          </w:tcPr>
          <w:p w14:paraId="478A9404">
            <w:pPr>
              <w:rPr>
                <w:rFonts w:hint="eastAsia" w:ascii="仿宋" w:hAnsi="仿宋" w:eastAsia="仿宋" w:cs="仿宋"/>
                <w:color w:val="auto"/>
                <w:sz w:val="24"/>
                <w:szCs w:val="24"/>
              </w:rPr>
            </w:pPr>
          </w:p>
        </w:tc>
        <w:tc>
          <w:tcPr>
            <w:tcW w:w="1288" w:type="dxa"/>
            <w:tcBorders>
              <w:left w:val="single" w:color="000000" w:sz="4" w:space="0"/>
            </w:tcBorders>
            <w:vAlign w:val="center"/>
          </w:tcPr>
          <w:p w14:paraId="2CB5984A">
            <w:pPr>
              <w:rPr>
                <w:rFonts w:hint="eastAsia" w:ascii="仿宋" w:hAnsi="仿宋" w:eastAsia="仿宋" w:cs="仿宋"/>
                <w:color w:val="auto"/>
                <w:sz w:val="24"/>
                <w:szCs w:val="24"/>
              </w:rPr>
            </w:pPr>
            <w:r>
              <w:rPr>
                <w:rFonts w:hint="eastAsia" w:ascii="仿宋" w:hAnsi="仿宋" w:eastAsia="仿宋" w:cs="仿宋"/>
                <w:color w:val="auto"/>
                <w:sz w:val="24"/>
                <w:szCs w:val="24"/>
              </w:rPr>
              <w:t>应急预案</w:t>
            </w:r>
          </w:p>
        </w:tc>
        <w:tc>
          <w:tcPr>
            <w:tcW w:w="780" w:type="dxa"/>
            <w:vAlign w:val="center"/>
          </w:tcPr>
          <w:p w14:paraId="1448B46B">
            <w:pP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5779" w:type="dxa"/>
            <w:vAlign w:val="center"/>
          </w:tcPr>
          <w:p w14:paraId="2E0BD305">
            <w:pPr>
              <w:rPr>
                <w:rFonts w:hint="eastAsia" w:ascii="仿宋" w:hAnsi="仿宋" w:eastAsia="仿宋" w:cs="仿宋"/>
                <w:color w:val="auto"/>
                <w:sz w:val="24"/>
                <w:szCs w:val="24"/>
              </w:rPr>
            </w:pPr>
            <w:r>
              <w:rPr>
                <w:rFonts w:hint="eastAsia" w:ascii="仿宋" w:hAnsi="仿宋" w:eastAsia="仿宋" w:cs="仿宋"/>
                <w:color w:val="auto"/>
                <w:sz w:val="24"/>
                <w:szCs w:val="24"/>
              </w:rPr>
              <w:t>根据投标人针对本项目提供的应急预案进行评审，方案内容至少包含：（1）应急预案的方针与原则（2）应急保证措施（3）应急事故发生处理流程（4）应急设备配置。方案完整包含以上内容且满足本项目要求得 10分，每缺一项扣2.5分，每有一处不符合本项目特点或不完整或实际采购需求的扣 1 分，本项最多扣 10分。</w:t>
            </w:r>
          </w:p>
        </w:tc>
      </w:tr>
    </w:tbl>
    <w:p w14:paraId="7C24D99D">
      <w:pPr>
        <w:pStyle w:val="22"/>
        <w:rPr>
          <w:rFonts w:hint="eastAsia"/>
          <w:lang w:val="en-US" w:eastAsia="zh-CN"/>
        </w:rPr>
      </w:pPr>
    </w:p>
    <w:p w14:paraId="46C4FC52">
      <w:pPr>
        <w:pStyle w:val="2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磋商小组每位成员独立对每个有效供应商的响应文件进行评价、打分；然后汇总每个供应商的得分，计算得分平均值，以平均值由高到低进行排序，按排序顺序推荐中标候选人。分值计算保留小数点后二位，第三位四舍五入。</w:t>
      </w:r>
    </w:p>
    <w:p w14:paraId="16EC56AC">
      <w:pPr>
        <w:pStyle w:val="2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_GB2312"/>
          <w:sz w:val="24"/>
        </w:rPr>
      </w:pPr>
      <w:r>
        <w:rPr>
          <w:rFonts w:hint="eastAsia" w:ascii="仿宋" w:hAnsi="仿宋" w:eastAsia="仿宋" w:cs="仿宋"/>
          <w:lang w:val="en-US" w:eastAsia="zh-CN"/>
        </w:rPr>
        <w:t>落实中小企业政府采购政策的价格调整：</w:t>
      </w:r>
    </w:p>
    <w:p w14:paraId="4F851754">
      <w:pPr>
        <w:pStyle w:val="2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_GB2312"/>
          <w:sz w:val="24"/>
        </w:rPr>
      </w:pPr>
      <w:r>
        <w:rPr>
          <w:rFonts w:hint="eastAsia" w:ascii="仿宋" w:hAnsi="仿宋" w:eastAsia="仿宋" w:cs="仿宋_GB2312"/>
          <w:sz w:val="24"/>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w:t>
      </w:r>
      <w:r>
        <w:rPr>
          <w:rFonts w:hint="eastAsia" w:ascii="仿宋" w:hAnsi="仿宋" w:eastAsia="仿宋" w:cs="仿宋_GB2312"/>
          <w:sz w:val="24"/>
          <w:lang w:eastAsia="zh-CN"/>
        </w:rPr>
        <w:t>响应文件</w:t>
      </w:r>
      <w:r>
        <w:rPr>
          <w:rFonts w:hint="eastAsia" w:ascii="仿宋" w:hAnsi="仿宋" w:eastAsia="仿宋" w:cs="仿宋_GB2312"/>
          <w:sz w:val="24"/>
        </w:rPr>
        <w:t>中提交了《中小企业声明函》、《残疾人福利性单位声明函》或省级以上监狱管理局、戒毒管理局（含新疆生产建设兵团）出具的属于监狱企业的证明文件的供应商，其投标报价扣除</w:t>
      </w:r>
      <w:r>
        <w:rPr>
          <w:rFonts w:hint="eastAsia" w:ascii="仿宋" w:hAnsi="仿宋" w:eastAsia="仿宋" w:cs="仿宋_GB2312"/>
          <w:sz w:val="24"/>
          <w:u w:val="single"/>
        </w:rPr>
        <w:t xml:space="preserve"> 10 % </w:t>
      </w:r>
      <w:r>
        <w:rPr>
          <w:rFonts w:hint="eastAsia" w:ascii="仿宋" w:hAnsi="仿宋" w:eastAsia="仿宋" w:cs="仿宋_GB2312"/>
          <w:sz w:val="24"/>
        </w:rPr>
        <w:t>后参与评审。对于同时属于小微企业、监狱企业或残疾人福利性单位的，不重复进行投标报价扣除。</w:t>
      </w:r>
      <w:r>
        <w:rPr>
          <w:rFonts w:hint="eastAsia" w:ascii="仿宋" w:hAnsi="仿宋" w:eastAsia="仿宋" w:cs="仿宋_GB2312"/>
          <w:sz w:val="24"/>
          <w:lang w:val="en-US" w:eastAsia="zh-CN"/>
        </w:rPr>
        <w:t>是否属于该类项目详见</w:t>
      </w:r>
      <w:r>
        <w:rPr>
          <w:rFonts w:hint="eastAsia" w:ascii="仿宋" w:hAnsi="仿宋" w:eastAsia="仿宋" w:cs="仿宋_GB2312"/>
          <w:b/>
          <w:bCs/>
          <w:sz w:val="24"/>
          <w:u w:val="single"/>
          <w:lang w:val="en-US" w:eastAsia="zh-CN"/>
        </w:rPr>
        <w:t>供应商须知前附表</w:t>
      </w:r>
      <w:r>
        <w:rPr>
          <w:rFonts w:hint="eastAsia" w:ascii="仿宋" w:hAnsi="仿宋" w:eastAsia="仿宋" w:cs="仿宋_GB2312"/>
          <w:b/>
          <w:bCs/>
          <w:sz w:val="24"/>
          <w:u w:val="none"/>
          <w:lang w:val="en-US" w:eastAsia="zh-CN"/>
        </w:rPr>
        <w:t>。</w:t>
      </w:r>
    </w:p>
    <w:p w14:paraId="05523C8A">
      <w:pPr>
        <w:pStyle w:val="2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仿宋" w:hAnsi="仿宋" w:eastAsia="仿宋" w:cs="仿宋_GB2312"/>
          <w:sz w:val="24"/>
          <w:u w:val="single"/>
        </w:rPr>
        <w:t xml:space="preserve"> 4% </w:t>
      </w:r>
      <w:r>
        <w:rPr>
          <w:rFonts w:hint="eastAsia" w:ascii="仿宋" w:hAnsi="仿宋" w:eastAsia="仿宋" w:cs="仿宋_GB2312"/>
          <w:sz w:val="24"/>
        </w:rPr>
        <w:t>的扣除，用扣除后的价格参加评审。</w:t>
      </w:r>
      <w:r>
        <w:rPr>
          <w:rFonts w:hint="eastAsia" w:ascii="仿宋" w:hAnsi="仿宋" w:eastAsia="仿宋" w:cs="仿宋_GB2312"/>
          <w:sz w:val="24"/>
          <w:lang w:val="en-US" w:eastAsia="zh-CN"/>
        </w:rPr>
        <w:t>是否属于该类项目详见</w:t>
      </w:r>
      <w:r>
        <w:rPr>
          <w:rFonts w:hint="eastAsia" w:ascii="仿宋" w:hAnsi="仿宋" w:eastAsia="仿宋" w:cs="仿宋_GB2312"/>
          <w:b/>
          <w:bCs/>
          <w:sz w:val="24"/>
          <w:u w:val="single"/>
          <w:lang w:val="en-US" w:eastAsia="zh-CN"/>
        </w:rPr>
        <w:t>供应商须知前附表</w:t>
      </w:r>
      <w:r>
        <w:rPr>
          <w:rFonts w:hint="eastAsia" w:ascii="仿宋" w:hAnsi="仿宋" w:eastAsia="仿宋" w:cs="仿宋_GB2312"/>
          <w:b/>
          <w:bCs/>
          <w:sz w:val="24"/>
          <w:u w:val="none"/>
          <w:lang w:val="en-US" w:eastAsia="zh-CN"/>
        </w:rPr>
        <w:t>。</w:t>
      </w:r>
    </w:p>
    <w:p w14:paraId="736EAA1B">
      <w:pPr>
        <w:pStyle w:val="2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组成联合体或者接受分包的小微企业与联合体内其他企业、分包企业之间存在直接控股、管理关系的，不享受价格扣除优惠政策</w:t>
      </w:r>
      <w:r>
        <w:rPr>
          <w:rFonts w:hint="eastAsia" w:ascii="仿宋" w:hAnsi="仿宋" w:eastAsia="仿宋" w:cs="仿宋_GB2312"/>
          <w:sz w:val="24"/>
          <w:lang w:eastAsia="zh-CN"/>
        </w:rPr>
        <w:t>。</w:t>
      </w:r>
    </w:p>
    <w:p w14:paraId="6BD4BAB5">
      <w:pPr>
        <w:pStyle w:val="2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价格扣除比例对小型企业和微型企业同等对待，不作区分。</w:t>
      </w:r>
    </w:p>
    <w:p w14:paraId="68E39A58">
      <w:pPr>
        <w:pStyle w:val="2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中小企业参加政府采购活动，应当按照</w:t>
      </w:r>
      <w:r>
        <w:rPr>
          <w:rFonts w:hint="eastAsia" w:ascii="仿宋" w:hAnsi="仿宋" w:eastAsia="仿宋" w:cs="仿宋_GB2312"/>
          <w:sz w:val="24"/>
          <w:lang w:eastAsia="zh-CN"/>
        </w:rPr>
        <w:t>采购文件</w:t>
      </w:r>
      <w:r>
        <w:rPr>
          <w:rFonts w:hint="eastAsia" w:ascii="仿宋" w:hAnsi="仿宋" w:eastAsia="仿宋" w:cs="仿宋_GB2312"/>
          <w:sz w:val="24"/>
        </w:rPr>
        <w:t>给定的格式出具《中小企业声明函》，否则不得享受相关中小企业扶持政策。</w:t>
      </w:r>
    </w:p>
    <w:p w14:paraId="2C5C49C8">
      <w:pPr>
        <w:pStyle w:val="2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监狱企业提供了由省级以上监狱管理局、戒毒管理局（含新疆生产建设兵团）出具的属于监狱企业的证明文件的，视同小微企业。</w:t>
      </w:r>
    </w:p>
    <w:p w14:paraId="16BD8A65">
      <w:pPr>
        <w:pStyle w:val="2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残疾人福利性单位按</w:t>
      </w:r>
      <w:r>
        <w:rPr>
          <w:rFonts w:hint="eastAsia" w:ascii="仿宋" w:hAnsi="仿宋" w:eastAsia="仿宋" w:cs="仿宋_GB2312"/>
          <w:sz w:val="24"/>
          <w:lang w:eastAsia="zh-CN"/>
        </w:rPr>
        <w:t>采购文件</w:t>
      </w:r>
      <w:r>
        <w:rPr>
          <w:rFonts w:hint="eastAsia" w:ascii="仿宋" w:hAnsi="仿宋" w:eastAsia="仿宋" w:cs="仿宋_GB2312"/>
          <w:sz w:val="24"/>
        </w:rPr>
        <w:t>要求提供了《残疾人福利性单位声明函》（见附件）的，视同小微企业。</w:t>
      </w:r>
    </w:p>
    <w:p w14:paraId="2F0972EB">
      <w:pPr>
        <w:pStyle w:val="2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若供应商同时属于小型或微型企业、监狱企业、残疾人福利性单位中的两种及以上，将不重复享受小微企业价格扣减的优惠政策。</w:t>
      </w:r>
    </w:p>
    <w:p w14:paraId="5E705DA8">
      <w:pPr>
        <w:pStyle w:val="2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u w:val="single"/>
        </w:rPr>
      </w:pPr>
      <w:r>
        <w:rPr>
          <w:rFonts w:hint="eastAsia" w:ascii="仿宋" w:hAnsi="仿宋" w:eastAsia="仿宋" w:cs="仿宋"/>
          <w:lang w:val="en-US" w:eastAsia="zh-CN"/>
        </w:rPr>
        <w:t>供应商所投产品如被列入财政部与国家主管部门颁发的节能产品目录或环境标志产品目录或无线局域网产品目录，应提供相关证明，在评标时予以优先采购，具体优惠措施为：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u w:val="single"/>
          <w:lang w:val="en-US" w:eastAsia="zh-CN"/>
        </w:rPr>
        <w:t>综合得分相同时排名优先。</w:t>
      </w:r>
      <w:r>
        <w:rPr>
          <w:rFonts w:hint="eastAsia" w:ascii="仿宋" w:hAnsi="仿宋" w:eastAsia="仿宋" w:cs="仿宋"/>
          <w:b/>
          <w:bCs/>
          <w:lang w:val="en-US" w:eastAsia="zh-CN"/>
        </w:rPr>
        <w:t>（本项目不适用）</w:t>
      </w:r>
    </w:p>
    <w:p w14:paraId="5F5697C9">
      <w:pPr>
        <w:pStyle w:val="2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如采购人所采购产品为政府强制采购的节能产品，供应商所投产品的品牌及型号必须为清单中有效期内产品并提供证明文件，否则其投标将作为</w:t>
      </w:r>
      <w:r>
        <w:rPr>
          <w:rFonts w:hint="eastAsia" w:ascii="仿宋" w:hAnsi="仿宋" w:eastAsia="仿宋" w:cs="仿宋_GB2312"/>
          <w:b/>
          <w:bCs/>
          <w:sz w:val="24"/>
          <w:lang w:eastAsia="zh-CN"/>
        </w:rPr>
        <w:t>无效响应</w:t>
      </w:r>
      <w:r>
        <w:rPr>
          <w:rFonts w:hint="eastAsia" w:ascii="仿宋" w:hAnsi="仿宋" w:eastAsia="仿宋" w:cs="仿宋_GB2312"/>
          <w:sz w:val="24"/>
        </w:rPr>
        <w:t>被拒绝。</w:t>
      </w:r>
      <w:r>
        <w:rPr>
          <w:rFonts w:hint="eastAsia" w:ascii="仿宋" w:hAnsi="仿宋" w:eastAsia="仿宋" w:cs="仿宋"/>
          <w:b/>
          <w:bCs/>
          <w:lang w:val="en-US" w:eastAsia="zh-CN"/>
        </w:rPr>
        <w:t>（本项目不适用）</w:t>
      </w:r>
    </w:p>
    <w:p w14:paraId="7616F687">
      <w:pPr>
        <w:pStyle w:val="2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供应商所投产品列入无线局域网产品清单，应提供相关证明，在评标时予以优先采购，具体优惠措施为：</w:t>
      </w:r>
      <w:r>
        <w:rPr>
          <w:rFonts w:hint="eastAsia" w:ascii="仿宋" w:hAnsi="仿宋" w:eastAsia="仿宋" w:cs="仿宋_GB2312"/>
          <w:sz w:val="24"/>
          <w:u w:val="single"/>
        </w:rPr>
        <w:t>综合得分相同时排名优先 。</w:t>
      </w:r>
      <w:r>
        <w:rPr>
          <w:rFonts w:hint="eastAsia" w:ascii="仿宋" w:hAnsi="仿宋" w:eastAsia="仿宋" w:cs="仿宋"/>
          <w:b/>
          <w:bCs/>
          <w:lang w:val="en-US" w:eastAsia="zh-CN"/>
        </w:rPr>
        <w:t>（本项目不适用）</w:t>
      </w:r>
    </w:p>
    <w:p w14:paraId="3203ABC5">
      <w:pPr>
        <w:pStyle w:val="2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同品牌处理办法：</w:t>
      </w:r>
    </w:p>
    <w:p w14:paraId="2697F669">
      <w:pPr>
        <w:pStyle w:val="2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如采用最低评标办法，则：</w:t>
      </w:r>
      <w:r>
        <w:rPr>
          <w:rFonts w:hint="eastAsia" w:ascii="仿宋" w:hAnsi="仿宋" w:eastAsia="仿宋" w:cs="仿宋_GB2312"/>
          <w:sz w:val="24"/>
          <w:u w:val="single"/>
        </w:rPr>
        <w:t>提供相同品牌产品的不同供应商以其中通过资格审查、符合性审查且报价最低的参加评标；报价相同的，由</w:t>
      </w:r>
      <w:r>
        <w:rPr>
          <w:rFonts w:hint="eastAsia" w:ascii="仿宋" w:hAnsi="仿宋" w:eastAsia="仿宋" w:cs="仿宋_GB2312"/>
          <w:sz w:val="24"/>
          <w:u w:val="single"/>
          <w:lang w:eastAsia="zh-CN"/>
        </w:rPr>
        <w:t>磋商小组</w:t>
      </w:r>
      <w:r>
        <w:rPr>
          <w:rFonts w:hint="eastAsia" w:ascii="仿宋" w:hAnsi="仿宋" w:eastAsia="仿宋" w:cs="仿宋_GB2312"/>
          <w:sz w:val="24"/>
          <w:u w:val="single"/>
        </w:rPr>
        <w:t>采取随机抽取方式确定，其他同品牌供应商不作为中标候选人。</w:t>
      </w:r>
    </w:p>
    <w:p w14:paraId="4DFCFA16">
      <w:pPr>
        <w:pStyle w:val="26"/>
        <w:keepNext w:val="0"/>
        <w:keepLines w:val="0"/>
        <w:pageBreakBefore w:val="0"/>
        <w:widowControl w:val="0"/>
        <w:numPr>
          <w:ilvl w:val="2"/>
          <w:numId w:val="14"/>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sz w:val="24"/>
        </w:rPr>
      </w:pPr>
      <w:r>
        <w:rPr>
          <w:rFonts w:hint="eastAsia" w:ascii="仿宋" w:hAnsi="仿宋" w:eastAsia="仿宋" w:cs="仿宋_GB2312"/>
          <w:sz w:val="24"/>
        </w:rPr>
        <w:t>如采用综合评标法，则：</w:t>
      </w:r>
      <w:r>
        <w:rPr>
          <w:rFonts w:hint="eastAsia" w:ascii="仿宋" w:hAnsi="仿宋" w:eastAsia="仿宋" w:cs="仿宋_GB2312"/>
          <w:sz w:val="24"/>
          <w:u w:val="single"/>
        </w:rPr>
        <w:t>提供相同品牌产品且通过资格审查、符合性审查的不同供应商，按一家供应商计算，评审后得分最高的同品牌供应商获得中标人推荐资格；评审得分相同的，按投标报价最低的获得中标人推荐资格；评审得分和投标报价均相同的，按技术评审得分最高的获得中标人推荐资格，评审得分、投标报价和技术评审得分三项均相同的由</w:t>
      </w:r>
      <w:r>
        <w:rPr>
          <w:rFonts w:hint="eastAsia" w:ascii="仿宋" w:hAnsi="仿宋" w:eastAsia="仿宋" w:cs="仿宋_GB2312"/>
          <w:sz w:val="24"/>
          <w:u w:val="single"/>
          <w:lang w:eastAsia="zh-CN"/>
        </w:rPr>
        <w:t>磋商小组</w:t>
      </w:r>
      <w:r>
        <w:rPr>
          <w:rFonts w:hint="eastAsia" w:ascii="仿宋" w:hAnsi="仿宋" w:eastAsia="仿宋" w:cs="仿宋_GB2312"/>
          <w:sz w:val="24"/>
          <w:u w:val="single"/>
        </w:rPr>
        <w:t>采取随机抽取方式确定，其他同品牌供应商不作为中标候选人</w:t>
      </w:r>
      <w:r>
        <w:rPr>
          <w:rFonts w:hint="eastAsia" w:ascii="仿宋" w:hAnsi="仿宋" w:eastAsia="仿宋" w:cs="仿宋_GB2312"/>
          <w:sz w:val="24"/>
        </w:rPr>
        <w:t>。</w:t>
      </w:r>
    </w:p>
    <w:p w14:paraId="2E248079">
      <w:pPr>
        <w:pStyle w:val="26"/>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_GB2312"/>
          <w:sz w:val="24"/>
        </w:rPr>
      </w:pPr>
      <w:r>
        <w:rPr>
          <w:rFonts w:hint="eastAsia" w:ascii="仿宋" w:hAnsi="仿宋" w:eastAsia="仿宋" w:cs="仿宋_GB2312"/>
          <w:sz w:val="24"/>
        </w:rPr>
        <w:t>如一个分包内包含多种产品的，采购人或采购代理机构将在</w:t>
      </w:r>
      <w:r>
        <w:rPr>
          <w:rFonts w:hint="eastAsia" w:ascii="仿宋" w:hAnsi="仿宋" w:eastAsia="仿宋" w:cs="仿宋_GB2312"/>
          <w:sz w:val="24"/>
          <w:u w:val="single"/>
        </w:rPr>
        <w:t>供应商须知前附表</w:t>
      </w:r>
      <w:r>
        <w:rPr>
          <w:rFonts w:hint="eastAsia" w:ascii="仿宋" w:hAnsi="仿宋" w:eastAsia="仿宋" w:cs="仿宋_GB2312"/>
          <w:sz w:val="24"/>
        </w:rPr>
        <w:t>中载明核心产品，多家供应商提供的所有核心产品品牌均相同的，按第六章  评标程序、评标方法和评标标准第</w:t>
      </w:r>
      <w:r>
        <w:rPr>
          <w:rFonts w:hint="eastAsia" w:ascii="仿宋" w:hAnsi="仿宋" w:eastAsia="仿宋" w:cs="仿宋_GB2312"/>
          <w:sz w:val="24"/>
          <w:lang w:val="en-US" w:eastAsia="zh-CN"/>
        </w:rPr>
        <w:t>9.7</w:t>
      </w:r>
      <w:r>
        <w:rPr>
          <w:rFonts w:hint="eastAsia" w:ascii="仿宋" w:hAnsi="仿宋" w:eastAsia="仿宋" w:cs="仿宋_GB2312"/>
          <w:sz w:val="24"/>
        </w:rPr>
        <w:t xml:space="preserve">条规定处理。 </w:t>
      </w:r>
    </w:p>
    <w:p w14:paraId="08B92469">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确定中标候选人名单</w:t>
      </w:r>
    </w:p>
    <w:p w14:paraId="7C80D2DF">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综合评分法时，评标结果按评审后得分由高到低顺序排列。评审得分最高的供应商为排名第一的成交候选人。综合评审得分相同的,最后报价最低优先，如最后报价相同则技术部分得分最高优先，最后报价相同且技术部分得分也相同的，由磋商小组现场采取随机抽取方式确定。</w:t>
      </w:r>
    </w:p>
    <w:p w14:paraId="3BF71D38">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磋商小组要对评分汇总情况进行复核，特别是对排名第一的、报价最低的、响应文件被认定为无效的情形进行重点复核。</w:t>
      </w:r>
    </w:p>
    <w:p w14:paraId="4F8302E0">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磋商小组将根据各供应商的评标排序，依次推荐本项目（各采购包）的成交候选人，起草并签署评标报告。本项目（各采购包）磋商小组共（各）推荐三名成交候选人。</w:t>
      </w:r>
    </w:p>
    <w:p w14:paraId="2147A26B">
      <w:pPr>
        <w:rPr>
          <w:rFonts w:hint="eastAsia" w:ascii="仿宋" w:hAnsi="仿宋" w:eastAsia="仿宋" w:cs="仿宋"/>
          <w:sz w:val="24"/>
          <w:szCs w:val="24"/>
          <w:lang w:val="en-US" w:eastAsia="zh-CN"/>
        </w:rPr>
      </w:pPr>
    </w:p>
    <w:p w14:paraId="683AF609">
      <w:pPr>
        <w:pStyle w:val="26"/>
        <w:rPr>
          <w:rFonts w:hint="eastAsia" w:ascii="仿宋" w:hAnsi="仿宋" w:eastAsia="仿宋" w:cs="仿宋"/>
          <w:sz w:val="24"/>
          <w:szCs w:val="24"/>
          <w:lang w:val="en-US" w:eastAsia="zh-CN"/>
        </w:rPr>
      </w:pPr>
    </w:p>
    <w:p w14:paraId="00B21B71">
      <w:pPr>
        <w:rPr>
          <w:rFonts w:hint="eastAsia" w:ascii="仿宋" w:hAnsi="仿宋" w:eastAsia="仿宋" w:cs="仿宋"/>
          <w:lang w:val="en-US" w:eastAsia="zh-CN"/>
        </w:rPr>
      </w:pPr>
      <w:r>
        <w:rPr>
          <w:rFonts w:hint="eastAsia" w:ascii="仿宋" w:hAnsi="仿宋" w:eastAsia="仿宋" w:cs="仿宋"/>
          <w:lang w:val="en-US" w:eastAsia="zh-CN"/>
        </w:rPr>
        <w:br w:type="page"/>
      </w:r>
    </w:p>
    <w:p w14:paraId="5F4D5DA8">
      <w:pPr>
        <w:pStyle w:val="26"/>
        <w:numPr>
          <w:ilvl w:val="0"/>
          <w:numId w:val="5"/>
        </w:numPr>
        <w:bidi w:val="0"/>
        <w:jc w:val="center"/>
        <w:outlineLvl w:val="0"/>
        <w:rPr>
          <w:rFonts w:hint="eastAsia" w:ascii="仿宋" w:hAnsi="仿宋" w:eastAsia="仿宋" w:cs="仿宋"/>
          <w:b/>
          <w:bCs/>
          <w:sz w:val="32"/>
          <w:szCs w:val="32"/>
          <w:lang w:val="en-US" w:eastAsia="zh-CN"/>
        </w:rPr>
      </w:pPr>
      <w:bookmarkStart w:id="39" w:name="_Toc9602"/>
      <w:r>
        <w:rPr>
          <w:rFonts w:hint="eastAsia" w:ascii="仿宋" w:hAnsi="仿宋" w:eastAsia="仿宋" w:cs="仿宋"/>
          <w:b/>
          <w:bCs/>
          <w:sz w:val="32"/>
          <w:szCs w:val="32"/>
          <w:lang w:val="en-US" w:eastAsia="zh-CN"/>
        </w:rPr>
        <w:t>响应文件格式</w:t>
      </w:r>
      <w:bookmarkEnd w:id="39"/>
    </w:p>
    <w:p w14:paraId="6F4AA866">
      <w:pPr>
        <w:pStyle w:val="26"/>
        <w:rPr>
          <w:rFonts w:hint="eastAsia" w:ascii="仿宋" w:hAnsi="仿宋" w:eastAsia="仿宋" w:cs="仿宋"/>
          <w:lang w:val="en-US" w:eastAsia="zh-CN"/>
        </w:rPr>
      </w:pPr>
    </w:p>
    <w:p w14:paraId="377990DD">
      <w:pPr>
        <w:pStyle w:val="26"/>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供应商编制文件须知</w:t>
      </w:r>
    </w:p>
    <w:p w14:paraId="774B48EE">
      <w:pPr>
        <w:pStyle w:val="26"/>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1.为保证评标工作的顺利进行，各供应商需参照如下的格式，认真进行响应文件的编写工作。需建立详细的目录。</w:t>
      </w:r>
    </w:p>
    <w:p w14:paraId="479B66CF">
      <w:pPr>
        <w:pStyle w:val="26"/>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2.各供应商提交文件中涉及商业机密的，应明确标明，采购人及最终用户将给予保密处理，否则视为公开资料。</w:t>
      </w:r>
    </w:p>
    <w:p w14:paraId="5B14108D">
      <w:pPr>
        <w:pStyle w:val="26"/>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全部声明和问题的回答及所附材料必须是真实的、准确的和完整的。</w:t>
      </w:r>
    </w:p>
    <w:p w14:paraId="6133871D">
      <w:pPr>
        <w:rPr>
          <w:rFonts w:hint="eastAsia" w:ascii="仿宋" w:hAnsi="仿宋" w:eastAsia="仿宋" w:cs="仿宋"/>
          <w:lang w:val="en-US" w:eastAsia="zh-CN"/>
        </w:rPr>
      </w:pPr>
    </w:p>
    <w:p w14:paraId="53064F16">
      <w:pPr>
        <w:pStyle w:val="26"/>
        <w:rPr>
          <w:rFonts w:hint="eastAsia" w:ascii="仿宋" w:hAnsi="仿宋" w:eastAsia="仿宋" w:cs="仿宋"/>
          <w:lang w:val="en-US" w:eastAsia="zh-CN"/>
        </w:rPr>
      </w:pPr>
    </w:p>
    <w:p w14:paraId="0DB77A8F">
      <w:pPr>
        <w:rPr>
          <w:rFonts w:hint="eastAsia" w:ascii="仿宋" w:hAnsi="仿宋" w:eastAsia="仿宋" w:cs="仿宋"/>
          <w:lang w:val="en-US" w:eastAsia="zh-CN"/>
        </w:rPr>
      </w:pPr>
      <w:r>
        <w:rPr>
          <w:rFonts w:hint="eastAsia" w:ascii="仿宋" w:hAnsi="仿宋" w:eastAsia="仿宋" w:cs="仿宋"/>
          <w:lang w:val="en-US" w:eastAsia="zh-CN"/>
        </w:rPr>
        <w:br w:type="page"/>
      </w:r>
    </w:p>
    <w:p w14:paraId="42E000E0">
      <w:pPr>
        <w:keepNext w:val="0"/>
        <w:keepLines w:val="0"/>
        <w:widowControl/>
        <w:suppressLineNumbers w:val="0"/>
        <w:jc w:val="left"/>
        <w:outlineLvl w:val="1"/>
        <w:rPr>
          <w:rFonts w:hint="eastAsia" w:ascii="仿宋" w:hAnsi="仿宋" w:eastAsia="仿宋" w:cs="仿宋"/>
          <w:b/>
          <w:bCs/>
          <w:color w:val="000000"/>
          <w:kern w:val="0"/>
          <w:sz w:val="24"/>
          <w:szCs w:val="24"/>
          <w:lang w:val="en-US" w:eastAsia="zh-CN" w:bidi="ar"/>
        </w:rPr>
      </w:pPr>
      <w:bookmarkStart w:id="40" w:name="_Toc25630"/>
      <w:bookmarkStart w:id="41" w:name="_Toc24875"/>
      <w:r>
        <w:rPr>
          <w:rFonts w:hint="eastAsia" w:ascii="仿宋" w:hAnsi="仿宋" w:eastAsia="仿宋" w:cs="仿宋"/>
          <w:b/>
          <w:bCs/>
          <w:color w:val="000000"/>
          <w:kern w:val="0"/>
          <w:sz w:val="24"/>
          <w:szCs w:val="24"/>
          <w:lang w:val="en-US" w:eastAsia="zh-CN" w:bidi="ar"/>
        </w:rPr>
        <w:t>响应文件封面（参考格式）</w:t>
      </w:r>
      <w:bookmarkEnd w:id="40"/>
      <w:bookmarkEnd w:id="41"/>
    </w:p>
    <w:p w14:paraId="64FC451E">
      <w:pPr>
        <w:keepNext w:val="0"/>
        <w:keepLines w:val="0"/>
        <w:widowControl/>
        <w:suppressLineNumbers w:val="0"/>
        <w:jc w:val="left"/>
        <w:rPr>
          <w:rFonts w:hint="eastAsia" w:ascii="仿宋" w:hAnsi="仿宋" w:eastAsia="仿宋" w:cs="仿宋"/>
          <w:b/>
          <w:bCs/>
          <w:color w:val="000000"/>
          <w:kern w:val="0"/>
          <w:sz w:val="84"/>
          <w:szCs w:val="84"/>
          <w:lang w:val="en-US" w:eastAsia="zh-CN" w:bidi="ar"/>
        </w:rPr>
      </w:pPr>
    </w:p>
    <w:p w14:paraId="03F91A18">
      <w:pPr>
        <w:pStyle w:val="15"/>
        <w:rPr>
          <w:rFonts w:hint="eastAsia" w:ascii="仿宋" w:hAnsi="仿宋" w:eastAsia="仿宋" w:cs="仿宋"/>
          <w:lang w:val="en-US" w:eastAsia="zh-CN"/>
        </w:rPr>
      </w:pPr>
    </w:p>
    <w:p w14:paraId="69591E87">
      <w:pPr>
        <w:keepNext w:val="0"/>
        <w:keepLines w:val="0"/>
        <w:widowControl/>
        <w:suppressLineNumbers w:val="0"/>
        <w:jc w:val="center"/>
        <w:rPr>
          <w:rFonts w:hint="eastAsia" w:ascii="仿宋" w:hAnsi="仿宋" w:eastAsia="仿宋" w:cs="仿宋"/>
        </w:rPr>
      </w:pPr>
      <w:r>
        <w:rPr>
          <w:rFonts w:hint="eastAsia" w:ascii="仿宋" w:hAnsi="仿宋" w:eastAsia="仿宋" w:cs="仿宋"/>
          <w:b/>
          <w:bCs/>
          <w:color w:val="000000"/>
          <w:kern w:val="0"/>
          <w:sz w:val="84"/>
          <w:szCs w:val="84"/>
          <w:lang w:val="en-US" w:eastAsia="zh-CN" w:bidi="ar"/>
        </w:rPr>
        <w:t>响应文件</w:t>
      </w:r>
    </w:p>
    <w:p w14:paraId="5A5B7957">
      <w:pPr>
        <w:keepNext w:val="0"/>
        <w:keepLines w:val="0"/>
        <w:widowControl/>
        <w:suppressLineNumbers w:val="0"/>
        <w:jc w:val="left"/>
        <w:rPr>
          <w:rFonts w:hint="eastAsia" w:ascii="仿宋" w:hAnsi="仿宋" w:eastAsia="仿宋" w:cs="仿宋"/>
          <w:b/>
          <w:bCs/>
          <w:color w:val="000000"/>
          <w:kern w:val="0"/>
          <w:sz w:val="52"/>
          <w:szCs w:val="52"/>
          <w:lang w:val="en-US" w:eastAsia="zh-CN" w:bidi="ar"/>
        </w:rPr>
      </w:pPr>
    </w:p>
    <w:p w14:paraId="3D884BE7">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52"/>
          <w:szCs w:val="52"/>
          <w:lang w:val="en-US" w:eastAsia="zh-CN" w:bidi="ar"/>
        </w:rPr>
        <w:t xml:space="preserve"> </w:t>
      </w:r>
    </w:p>
    <w:p w14:paraId="271BE75F">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563D4DB1">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740929BF">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669A3F1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仿宋_GB2312"/>
        </w:rPr>
      </w:pPr>
      <w:r>
        <w:rPr>
          <w:rFonts w:hint="eastAsia" w:ascii="仿宋" w:hAnsi="仿宋" w:eastAsia="仿宋" w:cs="仿宋_GB2312"/>
          <w:b/>
          <w:bCs/>
          <w:color w:val="000000"/>
          <w:kern w:val="0"/>
          <w:sz w:val="31"/>
          <w:szCs w:val="31"/>
          <w:lang w:bidi="ar"/>
        </w:rPr>
        <w:t xml:space="preserve">项目名称: </w:t>
      </w:r>
    </w:p>
    <w:p w14:paraId="28216E1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_GB2312"/>
          <w:b/>
          <w:bCs/>
          <w:color w:val="000000"/>
          <w:kern w:val="0"/>
          <w:sz w:val="31"/>
          <w:szCs w:val="31"/>
          <w:lang w:bidi="ar"/>
        </w:rPr>
      </w:pPr>
      <w:r>
        <w:rPr>
          <w:rFonts w:hint="eastAsia" w:ascii="仿宋" w:hAnsi="仿宋" w:eastAsia="仿宋" w:cs="仿宋_GB2312"/>
          <w:b/>
          <w:bCs/>
          <w:color w:val="000000"/>
          <w:kern w:val="0"/>
          <w:sz w:val="31"/>
          <w:szCs w:val="31"/>
          <w:lang w:bidi="ar"/>
        </w:rPr>
        <w:t>项目编号：</w:t>
      </w:r>
    </w:p>
    <w:p w14:paraId="5CAEF71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rPr>
      </w:pPr>
      <w:r>
        <w:rPr>
          <w:rFonts w:hint="eastAsia" w:ascii="仿宋" w:hAnsi="仿宋" w:eastAsia="仿宋" w:cs="仿宋_GB2312"/>
          <w:b/>
          <w:bCs/>
          <w:color w:val="000000"/>
          <w:kern w:val="0"/>
          <w:sz w:val="31"/>
          <w:szCs w:val="31"/>
          <w:lang w:val="en-US" w:eastAsia="zh-CN" w:bidi="ar"/>
        </w:rPr>
        <w:t>标项(包)名称：</w:t>
      </w:r>
      <w:r>
        <w:rPr>
          <w:rFonts w:hint="eastAsia" w:ascii="仿宋" w:hAnsi="仿宋" w:eastAsia="仿宋" w:cs="仿宋_GB2312"/>
          <w:b/>
          <w:bCs/>
          <w:color w:val="000000"/>
          <w:kern w:val="0"/>
          <w:sz w:val="31"/>
          <w:szCs w:val="31"/>
          <w:lang w:bidi="ar"/>
        </w:rPr>
        <w:t xml:space="preserve"> </w:t>
      </w:r>
      <w:r>
        <w:rPr>
          <w:rFonts w:hint="eastAsia" w:ascii="仿宋" w:hAnsi="仿宋" w:eastAsia="仿宋" w:cs="仿宋"/>
          <w:b/>
          <w:bCs/>
          <w:color w:val="000000"/>
          <w:kern w:val="0"/>
          <w:sz w:val="31"/>
          <w:szCs w:val="31"/>
          <w:lang w:val="en-US" w:eastAsia="zh-CN" w:bidi="ar"/>
        </w:rPr>
        <w:t xml:space="preserve"> </w:t>
      </w:r>
    </w:p>
    <w:p w14:paraId="1E427383">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030953E0">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6DCCE758">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082A40DF">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供应商名称（电子印章）：</w:t>
      </w:r>
    </w:p>
    <w:p w14:paraId="799D563C">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法定代表人或其授权代表签字（或电子印章）：</w:t>
      </w:r>
    </w:p>
    <w:p w14:paraId="00CD4E3E">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2EE487D8">
      <w:pP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br w:type="page"/>
      </w:r>
    </w:p>
    <w:p w14:paraId="067303F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default" w:ascii="仿宋" w:hAnsi="仿宋" w:eastAsia="仿宋" w:cs="仿宋"/>
          <w:b/>
          <w:bCs/>
          <w:color w:val="000000"/>
          <w:kern w:val="0"/>
          <w:sz w:val="24"/>
          <w:szCs w:val="24"/>
          <w:lang w:val="en-US" w:eastAsia="zh-CN" w:bidi="ar"/>
        </w:rPr>
      </w:pPr>
      <w:bookmarkStart w:id="42" w:name="_Toc5149"/>
      <w:r>
        <w:rPr>
          <w:rFonts w:hint="eastAsia" w:ascii="仿宋" w:hAnsi="仿宋" w:eastAsia="仿宋" w:cs="仿宋"/>
          <w:b/>
          <w:bCs/>
          <w:color w:val="000000"/>
          <w:kern w:val="0"/>
          <w:sz w:val="24"/>
          <w:szCs w:val="24"/>
          <w:lang w:val="en-US" w:eastAsia="zh-CN" w:bidi="ar"/>
        </w:rPr>
        <w:t>一、资格证明文件</w:t>
      </w:r>
      <w:bookmarkEnd w:id="42"/>
    </w:p>
    <w:p w14:paraId="6098EE4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1、满足《中华人民共和国政府采购法》第二十二条规定及法律法规的其他规定 </w:t>
      </w:r>
    </w:p>
    <w:p w14:paraId="39150CD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lang w:val="en-US" w:eastAsia="zh-CN" w:bidi="ar"/>
        </w:rPr>
      </w:pPr>
    </w:p>
    <w:p w14:paraId="2A093587">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outlineLvl w:val="3"/>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附件 1-1 法人或者其他组织的营业执照等证明文件或自然人的身份证明扫描件;</w:t>
      </w:r>
    </w:p>
    <w:p w14:paraId="051D4E04">
      <w:pPr>
        <w:pStyle w:val="13"/>
        <w:spacing w:line="374" w:lineRule="auto"/>
        <w:ind w:right="1145"/>
        <w:outlineLvl w:val="9"/>
        <w:rPr>
          <w:rFonts w:hint="eastAsia" w:ascii="仿宋" w:hAnsi="仿宋" w:eastAsia="仿宋" w:cs="仿宋"/>
          <w:sz w:val="21"/>
          <w:szCs w:val="21"/>
          <w:highlight w:val="none"/>
        </w:rPr>
      </w:pPr>
    </w:p>
    <w:p w14:paraId="4FF64677">
      <w:pPr>
        <w:pStyle w:val="13"/>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说明：1.提供有效的营业执照等证明文件</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lang w:val="en-US" w:eastAsia="zh-CN"/>
        </w:rPr>
        <w:t>具体要求详见第六章资格审查要求</w:t>
      </w:r>
      <w:r>
        <w:rPr>
          <w:rFonts w:hint="eastAsia" w:ascii="仿宋" w:hAnsi="仿宋" w:eastAsia="仿宋" w:cs="仿宋"/>
          <w:sz w:val="24"/>
          <w:szCs w:val="24"/>
          <w:highlight w:val="none"/>
          <w:lang w:eastAsia="zh-CN"/>
        </w:rPr>
        <w:t>）</w:t>
      </w:r>
    </w:p>
    <w:p w14:paraId="4FD3792D">
      <w:pPr>
        <w:pStyle w:val="13"/>
        <w:spacing w:line="374" w:lineRule="auto"/>
        <w:ind w:right="1145" w:firstLine="720" w:firstLineChars="300"/>
        <w:outlineLvl w:val="9"/>
        <w:rPr>
          <w:rFonts w:hint="eastAsia" w:ascii="仿宋" w:hAnsi="仿宋" w:eastAsia="仿宋" w:cs="仿宋"/>
          <w:sz w:val="24"/>
          <w:szCs w:val="24"/>
          <w:highlight w:val="none"/>
        </w:rPr>
      </w:pPr>
      <w:bookmarkStart w:id="43" w:name="_Toc1278"/>
      <w:bookmarkStart w:id="44" w:name="_Toc27013"/>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为自然人的，应提供身份证明的</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rPr>
        <w:t>。</w:t>
      </w:r>
      <w:bookmarkEnd w:id="43"/>
      <w:bookmarkEnd w:id="44"/>
    </w:p>
    <w:p w14:paraId="243DA6F9">
      <w:pPr>
        <w:pStyle w:val="13"/>
        <w:tabs>
          <w:tab w:val="left" w:pos="1560"/>
          <w:tab w:val="left" w:pos="2040"/>
        </w:tabs>
        <w:spacing w:before="66"/>
        <w:ind w:firstLine="720" w:firstLineChars="300"/>
        <w:outlineLvl w:val="9"/>
        <w:rPr>
          <w:rFonts w:hint="eastAsia" w:ascii="仿宋" w:hAnsi="仿宋" w:eastAsia="仿宋" w:cs="仿宋"/>
          <w:sz w:val="24"/>
          <w:szCs w:val="24"/>
          <w:highlight w:val="none"/>
        </w:rPr>
      </w:pPr>
      <w:bookmarkStart w:id="45" w:name="_Toc18314"/>
      <w:bookmarkStart w:id="46" w:name="_Toc3454"/>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联合体投标应提供联合体各方满足以上要求的证明文件。</w:t>
      </w:r>
      <w:bookmarkEnd w:id="45"/>
      <w:bookmarkEnd w:id="46"/>
    </w:p>
    <w:p w14:paraId="04F6AC1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p>
    <w:p w14:paraId="6110A7D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p>
    <w:p w14:paraId="7AFE8877">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7CFD0058">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 xml:space="preserve">附件 </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2</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eastAsia="zh-CN" w:bidi="ar"/>
        </w:rPr>
        <w:t>供应商</w:t>
      </w:r>
      <w:r>
        <w:rPr>
          <w:rFonts w:hint="eastAsia" w:ascii="仿宋" w:hAnsi="仿宋" w:eastAsia="仿宋" w:cs="仿宋"/>
          <w:color w:val="000000"/>
          <w:kern w:val="0"/>
          <w:sz w:val="24"/>
          <w:u w:val="none"/>
          <w:lang w:bidi="ar"/>
        </w:rPr>
        <w:t>具有良好的商业信誉和健全的财务会计制度的证明文件</w:t>
      </w:r>
    </w:p>
    <w:p w14:paraId="7C78DB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14:paraId="2CBA2C67">
      <w:pPr>
        <w:pStyle w:val="13"/>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1、证明文件</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lang w:val="en-US" w:eastAsia="zh-CN"/>
        </w:rPr>
        <w:t>具体要求详见第六章资格审查要求</w:t>
      </w:r>
      <w:r>
        <w:rPr>
          <w:rFonts w:hint="eastAsia" w:ascii="仿宋" w:hAnsi="仿宋" w:eastAsia="仿宋" w:cs="仿宋"/>
          <w:sz w:val="24"/>
          <w:szCs w:val="24"/>
          <w:highlight w:val="none"/>
          <w:lang w:eastAsia="zh-CN"/>
        </w:rPr>
        <w:t>）</w:t>
      </w:r>
    </w:p>
    <w:p w14:paraId="131E43AC">
      <w:pPr>
        <w:pStyle w:val="13"/>
        <w:spacing w:line="360" w:lineRule="auto"/>
        <w:ind w:right="56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、若提供的是</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rPr>
        <w:t>，采购人、采购代理机构保留审核原件的权利。</w:t>
      </w:r>
    </w:p>
    <w:p w14:paraId="5483CA56">
      <w:pPr>
        <w:pStyle w:val="13"/>
        <w:spacing w:line="360" w:lineRule="auto"/>
        <w:ind w:right="56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如果是联合体投标，联合体各方均需提供上述证明</w:t>
      </w:r>
      <w:r>
        <w:rPr>
          <w:rFonts w:hint="eastAsia" w:ascii="仿宋" w:hAnsi="仿宋" w:eastAsia="仿宋" w:cs="仿宋"/>
          <w:sz w:val="24"/>
          <w:szCs w:val="24"/>
          <w:highlight w:val="none"/>
        </w:rPr>
        <w:t>。</w:t>
      </w:r>
    </w:p>
    <w:p w14:paraId="1FA2665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p>
    <w:p w14:paraId="41130D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br w:type="page"/>
      </w:r>
    </w:p>
    <w:p w14:paraId="07BE79BF">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附件</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3</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val="en-US" w:eastAsia="zh-CN" w:bidi="ar"/>
        </w:rPr>
        <w:t xml:space="preserve"> </w:t>
      </w:r>
      <w:r>
        <w:rPr>
          <w:rFonts w:hint="eastAsia" w:ascii="仿宋" w:hAnsi="仿宋" w:eastAsia="仿宋" w:cs="仿宋"/>
          <w:color w:val="000000"/>
          <w:kern w:val="0"/>
          <w:sz w:val="24"/>
          <w:u w:val="none"/>
          <w:lang w:eastAsia="zh-CN" w:bidi="ar"/>
        </w:rPr>
        <w:t>供应商</w:t>
      </w:r>
      <w:r>
        <w:rPr>
          <w:rFonts w:hint="eastAsia" w:ascii="仿宋" w:hAnsi="仿宋" w:eastAsia="仿宋" w:cs="仿宋"/>
          <w:color w:val="000000"/>
          <w:kern w:val="0"/>
          <w:sz w:val="24"/>
          <w:u w:val="none"/>
          <w:lang w:bidi="ar"/>
        </w:rPr>
        <w:t>缴纳税收的证明</w:t>
      </w:r>
    </w:p>
    <w:p w14:paraId="7DFCF1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bookmarkStart w:id="47" w:name="_Toc27172"/>
      <w:r>
        <w:rPr>
          <w:rFonts w:hint="eastAsia" w:ascii="仿宋" w:hAnsi="仿宋" w:eastAsia="仿宋" w:cs="仿宋"/>
          <w:color w:val="000000"/>
          <w:kern w:val="0"/>
          <w:sz w:val="24"/>
          <w:highlight w:val="none"/>
          <w:u w:val="none"/>
          <w:lang w:bidi="ar"/>
        </w:rPr>
        <w:t>说明：</w:t>
      </w:r>
    </w:p>
    <w:p w14:paraId="43D8595A">
      <w:pPr>
        <w:pStyle w:val="1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缴纳税收的证明</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具体要求详见第六章资格审查要求</w:t>
      </w:r>
      <w:r>
        <w:rPr>
          <w:rFonts w:hint="eastAsia" w:ascii="仿宋" w:hAnsi="仿宋" w:eastAsia="仿宋" w:cs="仿宋"/>
          <w:sz w:val="24"/>
          <w:szCs w:val="24"/>
          <w:highlight w:val="none"/>
          <w:lang w:eastAsia="zh-CN"/>
        </w:rPr>
        <w:t>）</w:t>
      </w:r>
    </w:p>
    <w:p w14:paraId="2EB3D9A4">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w:t>
      </w:r>
      <w:r>
        <w:rPr>
          <w:rFonts w:hint="eastAsia" w:ascii="仿宋" w:hAnsi="仿宋" w:eastAsia="仿宋" w:cs="仿宋"/>
          <w:color w:val="000000"/>
          <w:kern w:val="0"/>
          <w:sz w:val="24"/>
          <w:highlight w:val="none"/>
          <w:u w:val="none"/>
          <w:lang w:eastAsia="zh-CN" w:bidi="ar"/>
        </w:rPr>
        <w:t>扫描件</w:t>
      </w:r>
      <w:r>
        <w:rPr>
          <w:rFonts w:hint="eastAsia" w:ascii="仿宋" w:hAnsi="仿宋" w:eastAsia="仿宋" w:cs="仿宋"/>
          <w:color w:val="000000"/>
          <w:kern w:val="0"/>
          <w:sz w:val="24"/>
          <w:highlight w:val="none"/>
          <w:u w:val="none"/>
          <w:lang w:bidi="ar"/>
        </w:rPr>
        <w:t>，采购人、采购代理机构保留审核原件的权利。</w:t>
      </w:r>
    </w:p>
    <w:p w14:paraId="7F034C76">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3、如果是联合体投标，联合体各方均需提供上述证明。</w:t>
      </w:r>
    </w:p>
    <w:p w14:paraId="363C49B2">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br w:type="page"/>
      </w:r>
      <w:bookmarkEnd w:id="47"/>
    </w:p>
    <w:p w14:paraId="4874FA6E">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附件</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4</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val="en-US" w:eastAsia="zh-CN" w:bidi="ar"/>
        </w:rPr>
        <w:t xml:space="preserve"> </w:t>
      </w:r>
      <w:r>
        <w:rPr>
          <w:rFonts w:hint="eastAsia" w:ascii="仿宋" w:hAnsi="仿宋" w:eastAsia="仿宋" w:cs="仿宋"/>
          <w:color w:val="000000"/>
          <w:kern w:val="0"/>
          <w:sz w:val="24"/>
          <w:u w:val="none"/>
          <w:lang w:eastAsia="zh-CN" w:bidi="ar"/>
        </w:rPr>
        <w:t>供应商</w:t>
      </w:r>
      <w:r>
        <w:rPr>
          <w:rFonts w:hint="eastAsia" w:ascii="仿宋" w:hAnsi="仿宋" w:eastAsia="仿宋" w:cs="仿宋"/>
          <w:color w:val="000000"/>
          <w:kern w:val="0"/>
          <w:sz w:val="24"/>
          <w:u w:val="none"/>
          <w:lang w:bidi="ar"/>
        </w:rPr>
        <w:t>为职工缴纳社会保险的证明</w:t>
      </w:r>
    </w:p>
    <w:p w14:paraId="2F4FEB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14:paraId="4A7D78C6">
      <w:pPr>
        <w:pStyle w:val="13"/>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000000"/>
          <w:kern w:val="0"/>
          <w:sz w:val="24"/>
          <w:highlight w:val="none"/>
          <w:u w:val="none"/>
          <w:lang w:bidi="ar"/>
        </w:rPr>
      </w:pPr>
      <w:bookmarkStart w:id="48" w:name="_Toc3006"/>
      <w:r>
        <w:rPr>
          <w:rFonts w:hint="eastAsia" w:ascii="仿宋" w:hAnsi="仿宋" w:eastAsia="仿宋" w:cs="仿宋"/>
          <w:color w:val="000000"/>
          <w:kern w:val="0"/>
          <w:sz w:val="24"/>
          <w:highlight w:val="none"/>
          <w:u w:val="none"/>
          <w:lang w:bidi="ar"/>
        </w:rPr>
        <w:t>1、</w:t>
      </w:r>
      <w:bookmarkEnd w:id="48"/>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为职工缴纳社会保险的</w:t>
      </w:r>
      <w:r>
        <w:rPr>
          <w:rFonts w:hint="eastAsia" w:ascii="仿宋" w:hAnsi="仿宋" w:eastAsia="仿宋" w:cs="仿宋"/>
          <w:sz w:val="24"/>
          <w:szCs w:val="24"/>
          <w:highlight w:val="none"/>
          <w:lang w:val="en-US" w:eastAsia="zh-CN"/>
        </w:rPr>
        <w:t>证明文件</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lang w:val="en-US" w:eastAsia="zh-CN"/>
        </w:rPr>
        <w:t>具体要求详见第六章资格审查要求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6E74B2C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w:t>
      </w:r>
      <w:r>
        <w:rPr>
          <w:rFonts w:hint="eastAsia" w:ascii="仿宋" w:hAnsi="仿宋" w:eastAsia="仿宋" w:cs="仿宋"/>
          <w:color w:val="000000"/>
          <w:kern w:val="0"/>
          <w:sz w:val="24"/>
          <w:highlight w:val="none"/>
          <w:u w:val="none"/>
          <w:lang w:eastAsia="zh-CN" w:bidi="ar"/>
        </w:rPr>
        <w:t>扫描件</w:t>
      </w:r>
      <w:r>
        <w:rPr>
          <w:rFonts w:hint="eastAsia" w:ascii="仿宋" w:hAnsi="仿宋" w:eastAsia="仿宋" w:cs="仿宋"/>
          <w:color w:val="000000"/>
          <w:kern w:val="0"/>
          <w:sz w:val="24"/>
          <w:highlight w:val="none"/>
          <w:u w:val="none"/>
          <w:lang w:bidi="ar"/>
        </w:rPr>
        <w:t>，采购人、采购代理机构保留审核原件的权利。</w:t>
      </w:r>
    </w:p>
    <w:p w14:paraId="65ECC4D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kern w:val="0"/>
          <w:sz w:val="24"/>
          <w:highlight w:val="none"/>
          <w:u w:val="none"/>
          <w:lang w:bidi="ar"/>
        </w:rPr>
      </w:pPr>
      <w:bookmarkStart w:id="49" w:name="_Toc28907"/>
      <w:r>
        <w:rPr>
          <w:rFonts w:hint="eastAsia" w:ascii="仿宋" w:hAnsi="仿宋" w:eastAsia="仿宋" w:cs="仿宋"/>
          <w:color w:val="000000"/>
          <w:kern w:val="0"/>
          <w:sz w:val="24"/>
          <w:highlight w:val="none"/>
          <w:u w:val="none"/>
          <w:lang w:bidi="ar"/>
        </w:rPr>
        <w:t>3、如果是联合体投标，联合体各方均需提供上述证明。</w:t>
      </w:r>
      <w:bookmarkEnd w:id="49"/>
    </w:p>
    <w:p w14:paraId="20D24D04">
      <w:pPr>
        <w:rPr>
          <w:rFonts w:hint="eastAsia" w:ascii="仿宋" w:hAnsi="仿宋" w:eastAsia="仿宋" w:cs="仿宋"/>
          <w:color w:val="000000"/>
          <w:kern w:val="0"/>
          <w:sz w:val="24"/>
          <w:u w:val="none"/>
          <w:lang w:bidi="ar"/>
        </w:rPr>
      </w:pPr>
    </w:p>
    <w:p w14:paraId="50EF6EDA">
      <w:pPr>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br w:type="page"/>
      </w:r>
    </w:p>
    <w:p w14:paraId="3CB84A72">
      <w:pPr>
        <w:outlineLvl w:val="3"/>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 xml:space="preserve">附件 </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5</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eastAsia="zh-CN" w:bidi="ar"/>
        </w:rPr>
        <w:t>供应商</w:t>
      </w:r>
      <w:r>
        <w:rPr>
          <w:rFonts w:hint="eastAsia" w:ascii="仿宋" w:hAnsi="仿宋" w:eastAsia="仿宋" w:cs="仿宋"/>
          <w:color w:val="000000"/>
          <w:kern w:val="0"/>
          <w:sz w:val="24"/>
          <w:u w:val="none"/>
          <w:lang w:bidi="ar"/>
        </w:rPr>
        <w:t>资格声明书</w:t>
      </w:r>
    </w:p>
    <w:p w14:paraId="48D2B9FF">
      <w:pPr>
        <w:rPr>
          <w:rFonts w:hint="eastAsia" w:ascii="仿宋" w:hAnsi="仿宋" w:eastAsia="仿宋" w:cs="仿宋"/>
          <w:color w:val="000000"/>
          <w:kern w:val="0"/>
          <w:sz w:val="24"/>
          <w:u w:val="none"/>
          <w:lang w:bidi="ar"/>
        </w:rPr>
      </w:pPr>
    </w:p>
    <w:p w14:paraId="126E21F1">
      <w:pPr>
        <w:keepNext w:val="0"/>
        <w:keepLines w:val="0"/>
        <w:widowControl/>
        <w:suppressLineNumbers w:val="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供应商资格声明书</w:t>
      </w:r>
    </w:p>
    <w:p w14:paraId="06F23FAE">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0EE3B4C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 xml:space="preserve">采购人或采购代理机构 </w:t>
      </w:r>
    </w:p>
    <w:p w14:paraId="083CDE6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在参与本次项目采购活动中，我单位承诺： </w:t>
      </w:r>
    </w:p>
    <w:p w14:paraId="3C2B86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（一）具有良好的商业信誉和健全的财务会计制度； </w:t>
      </w:r>
    </w:p>
    <w:p w14:paraId="3E0B53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（二）具有履行合同所必需的设备和专业技术能力； </w:t>
      </w:r>
    </w:p>
    <w:p w14:paraId="6C436B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（三）有依法缴纳税收和社会保障资金的良好记录； </w:t>
      </w:r>
    </w:p>
    <w:p w14:paraId="1B18C4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336390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（五）我单位不属于政府采购法律、行政法规规定的公益一类事业单位、或使用事业编制且由财政拨款保障的群团组织（仅适用于政府购买服务项目）； </w:t>
      </w:r>
    </w:p>
    <w:p w14:paraId="5E622BB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（六）我单位不存在为采购项目提供整体设计、规范编制或者项目管理、监理、检测等服务后，再参加该采购项目的其他采购活动的情形（单一来源采购项目除外）； </w:t>
      </w:r>
    </w:p>
    <w:p w14:paraId="727E8BC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798"/>
        <w:gridCol w:w="3406"/>
      </w:tblGrid>
      <w:tr w14:paraId="3B68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A7CE3D6">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3798" w:type="dxa"/>
            <w:vAlign w:val="center"/>
          </w:tcPr>
          <w:p w14:paraId="0C37C038">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单位名称</w:t>
            </w:r>
          </w:p>
        </w:tc>
        <w:tc>
          <w:tcPr>
            <w:tcW w:w="3406" w:type="dxa"/>
            <w:vAlign w:val="center"/>
          </w:tcPr>
          <w:p w14:paraId="343078BB">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相互关系</w:t>
            </w:r>
          </w:p>
        </w:tc>
      </w:tr>
      <w:tr w14:paraId="6F9D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774026C7">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3798" w:type="dxa"/>
          </w:tcPr>
          <w:p w14:paraId="5C0A9883">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630C0B60">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74F3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3974D3AD">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3798" w:type="dxa"/>
          </w:tcPr>
          <w:p w14:paraId="10C63BFF">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151523F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6653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56968A87">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3798" w:type="dxa"/>
          </w:tcPr>
          <w:p w14:paraId="1476D9E1">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271C4BE6">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bl>
    <w:p w14:paraId="31C0D57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上述声明真实有效，否则我方负全部责任。 </w:t>
      </w:r>
    </w:p>
    <w:p w14:paraId="1ED795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56ED83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172D34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供应商名称：  </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（加盖电子印章）</w:t>
      </w:r>
    </w:p>
    <w:p w14:paraId="5216FD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法定代表人或其授权代理人：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ab/>
      </w:r>
      <w:r>
        <w:rPr>
          <w:rFonts w:hint="eastAsia" w:ascii="仿宋" w:hAnsi="仿宋" w:eastAsia="仿宋" w:cs="仿宋"/>
          <w:color w:val="000000"/>
          <w:kern w:val="0"/>
          <w:sz w:val="24"/>
          <w:szCs w:val="24"/>
          <w:highlight w:val="none"/>
          <w:u w:val="single"/>
          <w:lang w:val="en-US" w:eastAsia="zh-CN" w:bidi="ar"/>
        </w:rPr>
        <w:t>（签字或加盖电子印章）</w:t>
      </w:r>
      <w:r>
        <w:rPr>
          <w:rFonts w:hint="eastAsia" w:ascii="仿宋" w:hAnsi="仿宋" w:eastAsia="仿宋" w:cs="仿宋"/>
          <w:color w:val="000000"/>
          <w:kern w:val="0"/>
          <w:sz w:val="24"/>
          <w:szCs w:val="24"/>
          <w:highlight w:val="none"/>
          <w:lang w:val="en-US" w:eastAsia="zh-CN" w:bidi="ar"/>
        </w:rPr>
        <w:tab/>
      </w:r>
    </w:p>
    <w:p w14:paraId="620C023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2C8650E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p>
    <w:p w14:paraId="2C44337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说明：供应商承诺不实的，依据《政府采购法》第七十七条“提供虚假材料谋取中标、成交的”有关规定予以处理。</w:t>
      </w:r>
    </w:p>
    <w:p w14:paraId="3120317E">
      <w:pPr>
        <w:rPr>
          <w:rFonts w:hint="eastAsia" w:ascii="仿宋" w:hAnsi="仿宋" w:eastAsia="仿宋" w:cs="仿宋"/>
          <w:color w:val="000000"/>
          <w:kern w:val="0"/>
          <w:sz w:val="24"/>
          <w:szCs w:val="24"/>
          <w:lang w:val="en-US" w:eastAsia="zh-CN" w:bidi="ar"/>
        </w:rPr>
      </w:pPr>
    </w:p>
    <w:p w14:paraId="09C2C2FF">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73C09A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sz w:val="24"/>
          <w:szCs w:val="24"/>
        </w:rPr>
      </w:pPr>
      <w:bookmarkStart w:id="50" w:name="_Toc21978"/>
      <w:r>
        <w:rPr>
          <w:rFonts w:hint="eastAsia" w:ascii="仿宋" w:hAnsi="仿宋" w:eastAsia="仿宋" w:cs="仿宋"/>
          <w:b/>
          <w:bCs/>
          <w:color w:val="000000"/>
          <w:kern w:val="0"/>
          <w:sz w:val="24"/>
          <w:szCs w:val="24"/>
          <w:lang w:val="en-US" w:eastAsia="zh-CN" w:bidi="ar"/>
        </w:rPr>
        <w:t>2、落实政府采购政策需满足的资格要求（如有）</w:t>
      </w:r>
      <w:bookmarkEnd w:id="50"/>
      <w:r>
        <w:rPr>
          <w:rFonts w:hint="eastAsia" w:ascii="仿宋" w:hAnsi="仿宋" w:eastAsia="仿宋" w:cs="仿宋"/>
          <w:b/>
          <w:bCs/>
          <w:color w:val="000000"/>
          <w:kern w:val="0"/>
          <w:sz w:val="24"/>
          <w:szCs w:val="24"/>
          <w:lang w:val="en-US" w:eastAsia="zh-CN" w:bidi="ar"/>
        </w:rPr>
        <w:t xml:space="preserve"> </w:t>
      </w:r>
    </w:p>
    <w:p w14:paraId="263216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b/>
          <w:bCs/>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2-1 中小企业声明函 </w:t>
      </w:r>
    </w:p>
    <w:p w14:paraId="67C31C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4EF8824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（1）如本项目（包）不专门面向中小企业预留采购份额，资格证明文件部分无需提供《中小企业声明函》。 如在“商务、技术文件中提供”提供《中小企业声明函》享受相关政策，不享受相关政策的供应商无需提供。</w:t>
      </w:r>
    </w:p>
    <w:p w14:paraId="1FAA43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（2）如本项目（包）专门面向中小/小微企业采购，须提供《中小企业声明函》，</w:t>
      </w:r>
      <w:r>
        <w:rPr>
          <w:rFonts w:hint="eastAsia" w:ascii="仿宋" w:hAnsi="仿宋" w:eastAsia="仿宋" w:cs="仿宋"/>
          <w:b/>
          <w:bCs/>
          <w:color w:val="000000"/>
          <w:kern w:val="0"/>
          <w:sz w:val="28"/>
          <w:szCs w:val="28"/>
          <w:highlight w:val="none"/>
          <w:lang w:val="en-US" w:eastAsia="zh-CN" w:bidi="ar"/>
        </w:rPr>
        <w:t>申明函格式不得修改</w:t>
      </w:r>
      <w:r>
        <w:rPr>
          <w:rFonts w:hint="eastAsia" w:ascii="仿宋" w:hAnsi="仿宋" w:eastAsia="仿宋" w:cs="仿宋"/>
          <w:color w:val="000000"/>
          <w:kern w:val="0"/>
          <w:sz w:val="24"/>
          <w:szCs w:val="24"/>
          <w:highlight w:val="none"/>
          <w:lang w:val="en-US" w:eastAsia="zh-CN" w:bidi="ar"/>
        </w:rPr>
        <w:t>，否则不得享受相关中小企业扶持政策，不满足资格要求。</w:t>
      </w:r>
      <w:r>
        <w:rPr>
          <w:rFonts w:hint="eastAsia" w:ascii="仿宋" w:hAnsi="仿宋" w:eastAsia="仿宋" w:cs="仿宋"/>
          <w:b/>
          <w:bCs/>
          <w:color w:val="000000"/>
          <w:kern w:val="0"/>
          <w:sz w:val="28"/>
          <w:szCs w:val="28"/>
          <w:highlight w:val="none"/>
          <w:lang w:val="en-US" w:eastAsia="zh-CN" w:bidi="ar"/>
        </w:rPr>
        <w:t>供应商根据项目属性选择申明函格式</w:t>
      </w:r>
      <w:r>
        <w:rPr>
          <w:rFonts w:hint="eastAsia" w:ascii="仿宋" w:hAnsi="仿宋" w:eastAsia="仿宋" w:cs="仿宋"/>
          <w:color w:val="000000"/>
          <w:kern w:val="0"/>
          <w:sz w:val="24"/>
          <w:szCs w:val="24"/>
          <w:highlight w:val="none"/>
          <w:lang w:val="en-US" w:eastAsia="zh-CN" w:bidi="ar"/>
        </w:rPr>
        <w:t xml:space="preserve">。 </w:t>
      </w:r>
    </w:p>
    <w:p w14:paraId="1A129F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rPr>
      </w:pPr>
      <w:r>
        <w:rPr>
          <w:rFonts w:hint="eastAsia" w:ascii="仿宋" w:hAnsi="仿宋" w:eastAsia="仿宋" w:cs="仿宋"/>
          <w:color w:val="000000"/>
          <w:kern w:val="0"/>
          <w:sz w:val="24"/>
          <w:szCs w:val="24"/>
          <w:highlight w:val="none"/>
          <w:lang w:val="en-US" w:eastAsia="zh-CN" w:bidi="ar"/>
        </w:rPr>
        <w:t>（3）如本项目（包）预留部分采购项目预算专门面向中小企业采购，要求供应商以联合体形式参加采购活动，且联合体中中小企业承担的部分达到一定比例的，须提供《联合协议》、</w:t>
      </w:r>
      <w:r>
        <w:rPr>
          <w:rFonts w:hint="eastAsia" w:ascii="仿宋" w:hAnsi="仿宋" w:eastAsia="仿宋" w:cs="仿宋"/>
          <w:i w:val="0"/>
          <w:iCs w:val="0"/>
          <w:caps w:val="0"/>
          <w:color w:val="000000"/>
          <w:spacing w:val="0"/>
          <w:sz w:val="24"/>
          <w:szCs w:val="24"/>
          <w:lang w:val="en-US" w:eastAsia="zh-CN"/>
        </w:rPr>
        <w:t>《</w:t>
      </w:r>
      <w:r>
        <w:rPr>
          <w:rFonts w:ascii="仿宋" w:hAnsi="仿宋" w:eastAsia="仿宋" w:cs="仿宋"/>
          <w:i w:val="0"/>
          <w:iCs w:val="0"/>
          <w:caps w:val="0"/>
          <w:color w:val="000000"/>
          <w:spacing w:val="0"/>
          <w:sz w:val="24"/>
          <w:szCs w:val="24"/>
        </w:rPr>
        <w:t>中小企业声明函</w:t>
      </w:r>
      <w:r>
        <w:rPr>
          <w:rFonts w:hint="eastAsia" w:ascii="仿宋" w:hAnsi="仿宋" w:eastAsia="仿宋" w:cs="仿宋"/>
          <w:i w:val="0"/>
          <w:iCs w:val="0"/>
          <w:caps w:val="0"/>
          <w:color w:val="000000"/>
          <w:spacing w:val="0"/>
          <w:sz w:val="24"/>
          <w:szCs w:val="24"/>
          <w:lang w:val="en-US" w:eastAsia="zh-CN"/>
        </w:rPr>
        <w:t>》</w:t>
      </w:r>
      <w:r>
        <w:rPr>
          <w:rFonts w:hint="eastAsia" w:ascii="仿宋" w:hAnsi="仿宋" w:eastAsia="仿宋" w:cs="仿宋"/>
          <w:color w:val="000000"/>
          <w:kern w:val="0"/>
          <w:sz w:val="24"/>
          <w:szCs w:val="24"/>
          <w:highlight w:val="none"/>
          <w:lang w:val="en-US" w:eastAsia="zh-CN" w:bidi="ar"/>
        </w:rPr>
        <w:t>；要求获得采购合同的供应商将采购项目中的一定比例分包给一家或者多家中小企业的，</w:t>
      </w:r>
      <w:r>
        <w:rPr>
          <w:rFonts w:ascii="仿宋" w:hAnsi="仿宋" w:eastAsia="仿宋" w:cs="仿宋"/>
          <w:i w:val="0"/>
          <w:iCs w:val="0"/>
          <w:caps w:val="0"/>
          <w:color w:val="000000"/>
          <w:spacing w:val="0"/>
          <w:sz w:val="24"/>
          <w:szCs w:val="24"/>
        </w:rPr>
        <w:t>需提供</w:t>
      </w:r>
      <w:r>
        <w:rPr>
          <w:rFonts w:hint="eastAsia" w:ascii="仿宋" w:hAnsi="仿宋" w:eastAsia="仿宋" w:cs="仿宋"/>
          <w:i w:val="0"/>
          <w:iCs w:val="0"/>
          <w:caps w:val="0"/>
          <w:color w:val="000000"/>
          <w:spacing w:val="0"/>
          <w:sz w:val="24"/>
          <w:szCs w:val="24"/>
          <w:lang w:val="en-US" w:eastAsia="zh-CN"/>
        </w:rPr>
        <w:t>《</w:t>
      </w:r>
      <w:r>
        <w:rPr>
          <w:rFonts w:ascii="仿宋" w:hAnsi="仿宋" w:eastAsia="仿宋" w:cs="仿宋"/>
          <w:i w:val="0"/>
          <w:iCs w:val="0"/>
          <w:caps w:val="0"/>
          <w:color w:val="000000"/>
          <w:spacing w:val="0"/>
          <w:sz w:val="24"/>
          <w:szCs w:val="24"/>
        </w:rPr>
        <w:t>中小企业声明函</w:t>
      </w:r>
      <w:r>
        <w:rPr>
          <w:rFonts w:hint="eastAsia" w:ascii="仿宋" w:hAnsi="仿宋" w:eastAsia="仿宋" w:cs="仿宋"/>
          <w:i w:val="0"/>
          <w:iCs w:val="0"/>
          <w:caps w:val="0"/>
          <w:color w:val="000000"/>
          <w:spacing w:val="0"/>
          <w:sz w:val="24"/>
          <w:szCs w:val="24"/>
          <w:lang w:val="en-US" w:eastAsia="zh-CN"/>
        </w:rPr>
        <w:t>》、《</w:t>
      </w:r>
      <w:r>
        <w:rPr>
          <w:rFonts w:ascii="仿宋" w:hAnsi="仿宋" w:eastAsia="仿宋" w:cs="仿宋"/>
          <w:i w:val="0"/>
          <w:iCs w:val="0"/>
          <w:caps w:val="0"/>
          <w:color w:val="000000"/>
          <w:spacing w:val="0"/>
          <w:sz w:val="24"/>
          <w:szCs w:val="24"/>
        </w:rPr>
        <w:t>分包意向协议</w:t>
      </w:r>
      <w:r>
        <w:rPr>
          <w:rFonts w:hint="eastAsia" w:ascii="仿宋" w:hAnsi="仿宋" w:eastAsia="仿宋" w:cs="仿宋"/>
          <w:i w:val="0"/>
          <w:iCs w:val="0"/>
          <w:caps w:val="0"/>
          <w:color w:val="000000"/>
          <w:spacing w:val="0"/>
          <w:sz w:val="24"/>
          <w:szCs w:val="24"/>
          <w:lang w:val="en-US" w:eastAsia="zh-CN"/>
        </w:rPr>
        <w:t>》</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《拟分包情况说明》</w:t>
      </w:r>
      <w:r>
        <w:rPr>
          <w:rFonts w:hint="eastAsia" w:ascii="仿宋" w:hAnsi="仿宋" w:eastAsia="仿宋" w:cs="仿宋"/>
          <w:color w:val="000000"/>
          <w:kern w:val="0"/>
          <w:sz w:val="24"/>
          <w:szCs w:val="24"/>
          <w:highlight w:val="none"/>
          <w:lang w:val="en-US" w:eastAsia="zh-CN" w:bidi="ar"/>
        </w:rPr>
        <w:t xml:space="preserve">。 </w:t>
      </w:r>
    </w:p>
    <w:p w14:paraId="4C63689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（4）其他 </w:t>
      </w:r>
    </w:p>
    <w:p w14:paraId="003B3B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1）中小企业参加政府采购活动，应当出具此格式文件。《中小企业声明函》由参加政府采购活动的供应商出具。联合体投标的，《中小企业声明函》由牵头人出具。 </w:t>
      </w:r>
    </w:p>
    <w:p w14:paraId="68E3667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对于联合体中由中小企业承担的部分，或者分包给中小企业的部分，必须全部由中小企业制造、承建或者承接。供应商应当在声明函“项目名称”部分标明联合体中中小企业承担的具体内容或者中小企业的具体分包内容。 </w:t>
      </w:r>
    </w:p>
    <w:p w14:paraId="7A0FA3A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3）对于多标的的采购项目，供应商应充分、准确地了解所投产品制造企业信息。对相关情况了解不清楚的，不建议填报本声明函。 </w:t>
      </w:r>
    </w:p>
    <w:p w14:paraId="46571B9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0FA344AD">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0439426D">
      <w:pPr>
        <w:rPr>
          <w:rFonts w:hint="eastAsia" w:ascii="仿宋" w:hAnsi="仿宋" w:eastAsia="仿宋" w:cs="仿宋"/>
          <w:b w:val="0"/>
          <w:bCs w:val="0"/>
          <w:color w:val="000000"/>
          <w:kern w:val="0"/>
          <w:sz w:val="24"/>
          <w:szCs w:val="24"/>
          <w:lang w:val="en-US" w:eastAsia="zh-CN" w:bidi="ar"/>
        </w:rPr>
      </w:pPr>
    </w:p>
    <w:p w14:paraId="5AF3BD5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中小企业声明函（服务）</w:t>
      </w:r>
    </w:p>
    <w:p w14:paraId="4F57228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3B16A5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本公司（联合体）郑重声明，根据《政府采购促进中小企业发展管理办法》 </w:t>
      </w:r>
    </w:p>
    <w:p w14:paraId="38B1F48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（财库﹝2020﹞46号）的规定，本公司（联合体）参加</w:t>
      </w:r>
      <w:r>
        <w:rPr>
          <w:rFonts w:hint="eastAsia" w:ascii="仿宋" w:hAnsi="仿宋" w:eastAsia="仿宋" w:cs="仿宋"/>
          <w:i/>
          <w:iCs/>
          <w:color w:val="000000"/>
          <w:kern w:val="0"/>
          <w:sz w:val="24"/>
          <w:szCs w:val="24"/>
          <w:highlight w:val="none"/>
          <w:u w:val="single"/>
          <w:lang w:val="en-US" w:eastAsia="zh-CN" w:bidi="ar"/>
        </w:rPr>
        <w:t>（单位名称）</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i/>
          <w:iCs/>
          <w:color w:val="000000"/>
          <w:kern w:val="0"/>
          <w:sz w:val="24"/>
          <w:szCs w:val="24"/>
          <w:highlight w:val="none"/>
          <w:u w:val="single"/>
          <w:lang w:val="en-US" w:eastAsia="zh-CN" w:bidi="ar"/>
        </w:rPr>
        <w:t>（项目名称）</w:t>
      </w:r>
      <w:r>
        <w:rPr>
          <w:rFonts w:hint="eastAsia" w:ascii="仿宋" w:hAnsi="仿宋" w:eastAsia="仿宋" w:cs="仿宋"/>
          <w:color w:val="000000"/>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6B79E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 </w:t>
      </w:r>
      <w:r>
        <w:rPr>
          <w:rFonts w:hint="eastAsia" w:ascii="仿宋" w:hAnsi="仿宋" w:eastAsia="仿宋" w:cs="仿宋"/>
          <w:i/>
          <w:iCs/>
          <w:color w:val="000000"/>
          <w:kern w:val="0"/>
          <w:sz w:val="24"/>
          <w:szCs w:val="24"/>
          <w:highlight w:val="none"/>
          <w:u w:val="single"/>
          <w:lang w:val="en-US" w:eastAsia="zh-CN" w:bidi="ar"/>
        </w:rPr>
        <w:t>（标的名称）</w:t>
      </w:r>
      <w:r>
        <w:rPr>
          <w:rFonts w:hint="eastAsia" w:ascii="仿宋" w:hAnsi="仿宋" w:eastAsia="仿宋" w:cs="仿宋"/>
          <w:color w:val="000000"/>
          <w:kern w:val="0"/>
          <w:sz w:val="24"/>
          <w:szCs w:val="24"/>
          <w:highlight w:val="none"/>
          <w:lang w:val="en-US" w:eastAsia="zh-CN" w:bidi="ar"/>
        </w:rPr>
        <w:t>，属于</w:t>
      </w:r>
      <w:r>
        <w:rPr>
          <w:rFonts w:hint="eastAsia" w:ascii="仿宋" w:hAnsi="仿宋" w:eastAsia="仿宋" w:cs="仿宋"/>
          <w:i/>
          <w:iCs/>
          <w:color w:val="000000"/>
          <w:kern w:val="0"/>
          <w:sz w:val="24"/>
          <w:szCs w:val="24"/>
          <w:highlight w:val="none"/>
          <w:u w:val="single"/>
          <w:lang w:val="en-US" w:eastAsia="zh-CN" w:bidi="ar"/>
        </w:rPr>
        <w:t>（采购文件中明确的所属行业）</w:t>
      </w:r>
      <w:r>
        <w:rPr>
          <w:rFonts w:hint="eastAsia" w:ascii="仿宋" w:hAnsi="仿宋" w:eastAsia="仿宋" w:cs="仿宋"/>
          <w:color w:val="000000"/>
          <w:kern w:val="0"/>
          <w:sz w:val="24"/>
          <w:szCs w:val="24"/>
          <w:highlight w:val="none"/>
          <w:lang w:val="en-US" w:eastAsia="zh-CN" w:bidi="ar"/>
        </w:rPr>
        <w:t xml:space="preserve">；承建（承接）企业 </w:t>
      </w:r>
    </w:p>
    <w:p w14:paraId="695C29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为</w:t>
      </w:r>
      <w:r>
        <w:rPr>
          <w:rFonts w:hint="eastAsia" w:ascii="仿宋" w:hAnsi="仿宋" w:eastAsia="仿宋" w:cs="仿宋"/>
          <w:i/>
          <w:iCs/>
          <w:color w:val="000000"/>
          <w:kern w:val="0"/>
          <w:sz w:val="24"/>
          <w:szCs w:val="24"/>
          <w:highlight w:val="none"/>
          <w:u w:val="single"/>
          <w:lang w:val="en-US" w:eastAsia="zh-CN" w:bidi="ar"/>
        </w:rPr>
        <w:t>（企业名称）</w:t>
      </w:r>
      <w:r>
        <w:rPr>
          <w:rFonts w:hint="eastAsia" w:ascii="仿宋" w:hAnsi="仿宋" w:eastAsia="仿宋" w:cs="仿宋"/>
          <w:color w:val="000000"/>
          <w:kern w:val="0"/>
          <w:sz w:val="24"/>
          <w:szCs w:val="24"/>
          <w:highlight w:val="none"/>
          <w:lang w:val="en-US" w:eastAsia="zh-CN"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为万元，属于</w:t>
      </w:r>
      <w:r>
        <w:rPr>
          <w:rFonts w:hint="eastAsia" w:ascii="仿宋" w:hAnsi="仿宋" w:eastAsia="仿宋" w:cs="仿宋"/>
          <w:i/>
          <w:iCs/>
          <w:color w:val="000000"/>
          <w:kern w:val="0"/>
          <w:sz w:val="24"/>
          <w:szCs w:val="24"/>
          <w:highlight w:val="none"/>
          <w:u w:val="single"/>
          <w:lang w:val="en-US" w:eastAsia="zh-CN" w:bidi="ar"/>
        </w:rPr>
        <w:t>（中型企业、小型企业、微型企业）</w:t>
      </w:r>
      <w:r>
        <w:rPr>
          <w:rFonts w:hint="eastAsia" w:ascii="仿宋" w:hAnsi="仿宋" w:eastAsia="仿宋" w:cs="仿宋"/>
          <w:color w:val="000000"/>
          <w:kern w:val="0"/>
          <w:sz w:val="24"/>
          <w:szCs w:val="24"/>
          <w:highlight w:val="none"/>
          <w:lang w:val="en-US" w:eastAsia="zh-CN" w:bidi="ar"/>
        </w:rPr>
        <w:t xml:space="preserve">； </w:t>
      </w:r>
    </w:p>
    <w:p w14:paraId="6155C2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 </w:t>
      </w:r>
      <w:r>
        <w:rPr>
          <w:rFonts w:hint="eastAsia" w:ascii="仿宋" w:hAnsi="仿宋" w:eastAsia="仿宋" w:cs="仿宋"/>
          <w:i/>
          <w:iCs/>
          <w:color w:val="000000"/>
          <w:kern w:val="0"/>
          <w:sz w:val="24"/>
          <w:szCs w:val="24"/>
          <w:highlight w:val="none"/>
          <w:u w:val="single"/>
          <w:lang w:val="en-US" w:eastAsia="zh-CN" w:bidi="ar"/>
        </w:rPr>
        <w:t>（标的名称）</w:t>
      </w:r>
      <w:r>
        <w:rPr>
          <w:rFonts w:hint="eastAsia" w:ascii="仿宋" w:hAnsi="仿宋" w:eastAsia="仿宋" w:cs="仿宋"/>
          <w:color w:val="000000"/>
          <w:kern w:val="0"/>
          <w:sz w:val="24"/>
          <w:szCs w:val="24"/>
          <w:highlight w:val="none"/>
          <w:lang w:val="en-US" w:eastAsia="zh-CN" w:bidi="ar"/>
        </w:rPr>
        <w:t>，属于</w:t>
      </w:r>
      <w:r>
        <w:rPr>
          <w:rFonts w:hint="eastAsia" w:ascii="仿宋" w:hAnsi="仿宋" w:eastAsia="仿宋" w:cs="仿宋"/>
          <w:i/>
          <w:iCs/>
          <w:color w:val="000000"/>
          <w:kern w:val="0"/>
          <w:sz w:val="24"/>
          <w:szCs w:val="24"/>
          <w:highlight w:val="none"/>
          <w:u w:val="single"/>
          <w:lang w:val="en-US" w:eastAsia="zh-CN" w:bidi="ar"/>
        </w:rPr>
        <w:t>（采购文件中明确的所属行业）</w:t>
      </w:r>
      <w:r>
        <w:rPr>
          <w:rFonts w:hint="eastAsia" w:ascii="仿宋" w:hAnsi="仿宋" w:eastAsia="仿宋" w:cs="仿宋"/>
          <w:color w:val="000000"/>
          <w:kern w:val="0"/>
          <w:sz w:val="24"/>
          <w:szCs w:val="24"/>
          <w:highlight w:val="none"/>
          <w:lang w:val="en-US" w:eastAsia="zh-CN" w:bidi="ar"/>
        </w:rPr>
        <w:t>；承建（承接）企业</w:t>
      </w:r>
    </w:p>
    <w:p w14:paraId="3BAEB73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为</w:t>
      </w:r>
      <w:r>
        <w:rPr>
          <w:rFonts w:hint="eastAsia" w:ascii="仿宋" w:hAnsi="仿宋" w:eastAsia="仿宋" w:cs="仿宋"/>
          <w:i/>
          <w:iCs/>
          <w:color w:val="000000"/>
          <w:kern w:val="0"/>
          <w:sz w:val="24"/>
          <w:szCs w:val="24"/>
          <w:highlight w:val="none"/>
          <w:u w:val="single"/>
          <w:lang w:val="en-US" w:eastAsia="zh-CN" w:bidi="ar"/>
        </w:rPr>
        <w:t>（企业名称）</w:t>
      </w:r>
      <w:r>
        <w:rPr>
          <w:rFonts w:hint="eastAsia" w:ascii="仿宋" w:hAnsi="仿宋" w:eastAsia="仿宋" w:cs="仿宋"/>
          <w:color w:val="000000"/>
          <w:kern w:val="0"/>
          <w:sz w:val="24"/>
          <w:szCs w:val="24"/>
          <w:highlight w:val="none"/>
          <w:lang w:val="en-US" w:eastAsia="zh-CN"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为万元，属于</w:t>
      </w:r>
      <w:r>
        <w:rPr>
          <w:rFonts w:hint="eastAsia" w:ascii="仿宋" w:hAnsi="仿宋" w:eastAsia="仿宋" w:cs="仿宋"/>
          <w:i/>
          <w:iCs/>
          <w:color w:val="000000"/>
          <w:kern w:val="0"/>
          <w:sz w:val="24"/>
          <w:szCs w:val="24"/>
          <w:highlight w:val="none"/>
          <w:u w:val="single"/>
          <w:lang w:val="en-US" w:eastAsia="zh-CN" w:bidi="ar"/>
        </w:rPr>
        <w:t>（中型企业、小型企业、微型企业）</w:t>
      </w:r>
      <w:r>
        <w:rPr>
          <w:rFonts w:hint="eastAsia" w:ascii="仿宋" w:hAnsi="仿宋" w:eastAsia="仿宋" w:cs="仿宋"/>
          <w:color w:val="000000"/>
          <w:kern w:val="0"/>
          <w:sz w:val="24"/>
          <w:szCs w:val="24"/>
          <w:highlight w:val="none"/>
          <w:lang w:val="en-US" w:eastAsia="zh-CN" w:bidi="ar"/>
        </w:rPr>
        <w:t xml:space="preserve">；； </w:t>
      </w:r>
    </w:p>
    <w:p w14:paraId="58A612D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w:t>
      </w:r>
    </w:p>
    <w:p w14:paraId="3B74A85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以上企业，不属于大企业的分支机构，不存在控股股东为大企业的情形， </w:t>
      </w:r>
    </w:p>
    <w:p w14:paraId="468BDB9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也不存在与大企业的负责人为同一人的情形。 </w:t>
      </w:r>
    </w:p>
    <w:p w14:paraId="565A43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本企业对上述声明内容的真实性负责。如有虚假，将依法承担相应责任。</w:t>
      </w:r>
    </w:p>
    <w:p w14:paraId="20137C40">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p>
    <w:p w14:paraId="5B1C59F2">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u w:val="singl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rPr>
        <w:t>企业名称（</w:t>
      </w:r>
      <w:r>
        <w:rPr>
          <w:rFonts w:hint="eastAsia" w:ascii="仿宋" w:hAnsi="仿宋" w:eastAsia="仿宋" w:cs="仿宋"/>
          <w:sz w:val="24"/>
          <w:highlight w:val="none"/>
          <w:lang w:val="en-US" w:eastAsia="zh-CN"/>
        </w:rPr>
        <w:t>电子印章</w:t>
      </w: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59E7944B">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highlight w:val="none"/>
          <w:u w:val="single"/>
          <w:lang w:val="en-US" w:eastAsia="zh-CN"/>
        </w:rPr>
      </w:pPr>
      <w:r>
        <w:rPr>
          <w:rFonts w:hint="eastAsia" w:ascii="仿宋" w:hAnsi="仿宋" w:eastAsia="仿宋" w:cs="仿宋"/>
          <w:i w:val="0"/>
          <w:iCs w:val="0"/>
          <w:caps w:val="0"/>
          <w:color w:val="000000"/>
          <w:spacing w:val="0"/>
          <w:sz w:val="24"/>
          <w:szCs w:val="24"/>
          <w:highlight w:val="none"/>
        </w:rPr>
        <w:t>日期：</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76E50176">
      <w:pPr>
        <w:rPr>
          <w:rFonts w:hint="eastAsia" w:ascii="仿宋" w:hAnsi="仿宋" w:eastAsia="仿宋" w:cs="仿宋"/>
          <w:b w:val="0"/>
          <w:bCs w:val="0"/>
          <w:color w:val="000000"/>
          <w:kern w:val="0"/>
          <w:sz w:val="21"/>
          <w:szCs w:val="21"/>
          <w:highlight w:val="none"/>
          <w:lang w:val="en-US" w:eastAsia="zh-CN" w:bidi="ar"/>
        </w:rPr>
      </w:pPr>
    </w:p>
    <w:p w14:paraId="298CDF43">
      <w:pPr>
        <w:rPr>
          <w:rFonts w:hint="eastAsia" w:ascii="仿宋" w:hAnsi="仿宋" w:eastAsia="仿宋" w:cs="仿宋"/>
          <w:b w:val="0"/>
          <w:bCs w:val="0"/>
          <w:color w:val="000000"/>
          <w:kern w:val="0"/>
          <w:sz w:val="21"/>
          <w:szCs w:val="21"/>
          <w:highlight w:val="none"/>
          <w:lang w:val="en-US" w:eastAsia="zh-CN" w:bidi="ar"/>
        </w:rPr>
      </w:pPr>
    </w:p>
    <w:p w14:paraId="660E1B74">
      <w:pPr>
        <w:rPr>
          <w:rFonts w:hint="eastAsia" w:ascii="仿宋" w:hAnsi="仿宋" w:eastAsia="仿宋" w:cs="仿宋"/>
          <w:b w:val="0"/>
          <w:bCs w:val="0"/>
          <w:color w:val="000000"/>
          <w:kern w:val="0"/>
          <w:sz w:val="21"/>
          <w:szCs w:val="21"/>
          <w:highlight w:val="none"/>
          <w:lang w:val="en-US" w:eastAsia="zh-CN" w:bidi="ar"/>
        </w:rPr>
      </w:pPr>
    </w:p>
    <w:p w14:paraId="50D94BEF">
      <w:pPr>
        <w:rPr>
          <w:rFonts w:hint="eastAsia" w:ascii="仿宋" w:hAnsi="仿宋" w:eastAsia="仿宋" w:cs="仿宋"/>
          <w:b w:val="0"/>
          <w:bCs w:val="0"/>
          <w:color w:val="000000"/>
          <w:kern w:val="0"/>
          <w:sz w:val="21"/>
          <w:szCs w:val="21"/>
          <w:highlight w:val="none"/>
          <w:lang w:val="en-US" w:eastAsia="zh-CN" w:bidi="ar"/>
        </w:rPr>
      </w:pPr>
    </w:p>
    <w:p w14:paraId="70448264">
      <w:pPr>
        <w:rPr>
          <w:rFonts w:hint="eastAsia" w:ascii="仿宋" w:hAnsi="仿宋" w:eastAsia="仿宋" w:cs="仿宋"/>
          <w:b w:val="0"/>
          <w:bCs w:val="0"/>
          <w:color w:val="000000"/>
          <w:kern w:val="0"/>
          <w:sz w:val="21"/>
          <w:szCs w:val="21"/>
          <w:highlight w:val="none"/>
          <w:lang w:val="en-US" w:eastAsia="zh-CN" w:bidi="ar"/>
        </w:rPr>
      </w:pPr>
    </w:p>
    <w:p w14:paraId="38AD375B">
      <w:pPr>
        <w:rPr>
          <w:rFonts w:hint="eastAsia" w:ascii="仿宋" w:hAnsi="仿宋" w:eastAsia="仿宋" w:cs="仿宋"/>
          <w:b w:val="0"/>
          <w:bCs w:val="0"/>
          <w:color w:val="000000"/>
          <w:kern w:val="0"/>
          <w:sz w:val="21"/>
          <w:szCs w:val="21"/>
          <w:highlight w:val="none"/>
          <w:lang w:val="en-US" w:eastAsia="zh-CN" w:bidi="ar"/>
        </w:rPr>
      </w:pPr>
    </w:p>
    <w:p w14:paraId="515758D2">
      <w:pPr>
        <w:rPr>
          <w:rFonts w:hint="eastAsia" w:ascii="仿宋" w:hAnsi="仿宋" w:eastAsia="仿宋" w:cs="仿宋"/>
          <w:b w:val="0"/>
          <w:bCs w:val="0"/>
          <w:color w:val="000000"/>
          <w:kern w:val="0"/>
          <w:sz w:val="21"/>
          <w:szCs w:val="21"/>
          <w:highlight w:val="none"/>
          <w:lang w:val="en-US" w:eastAsia="zh-CN" w:bidi="ar"/>
        </w:rPr>
      </w:pPr>
    </w:p>
    <w:p w14:paraId="733F8BD3">
      <w:pPr>
        <w:rPr>
          <w:rFonts w:hint="eastAsia" w:ascii="仿宋" w:hAnsi="仿宋" w:eastAsia="仿宋" w:cs="仿宋"/>
          <w:b w:val="0"/>
          <w:bCs w:val="0"/>
          <w:color w:val="000000"/>
          <w:kern w:val="0"/>
          <w:sz w:val="21"/>
          <w:szCs w:val="21"/>
          <w:highlight w:val="none"/>
          <w:lang w:val="en-US" w:eastAsia="zh-CN" w:bidi="ar"/>
        </w:rPr>
      </w:pPr>
      <w:r>
        <w:rPr>
          <w:rFonts w:hint="eastAsia" w:ascii="仿宋" w:hAnsi="仿宋" w:eastAsia="仿宋" w:cs="仿宋"/>
          <w:b w:val="0"/>
          <w:bCs w:val="0"/>
          <w:color w:val="000000"/>
          <w:kern w:val="0"/>
          <w:sz w:val="21"/>
          <w:szCs w:val="21"/>
          <w:highlight w:val="none"/>
          <w:lang w:val="en-US" w:eastAsia="zh-CN" w:bidi="ar"/>
        </w:rPr>
        <w:t>从业人员、营业收入、资产总额填报上一年度数据，无上一年度数据的新成立企业可不填报。</w:t>
      </w:r>
    </w:p>
    <w:p w14:paraId="4B69EF61">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24DB56E9">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残疾人福利性单位声明函格式</w:t>
      </w:r>
    </w:p>
    <w:p w14:paraId="07E28E04">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p>
    <w:p w14:paraId="6FAA9EB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lang w:val="en-US" w:eastAsia="zh-CN" w:bidi="ar"/>
        </w:rPr>
        <w:t>（请进行勾选）</w:t>
      </w:r>
      <w:r>
        <w:rPr>
          <w:rFonts w:hint="eastAsia" w:ascii="仿宋" w:hAnsi="仿宋" w:eastAsia="仿宋" w:cs="仿宋"/>
          <w:color w:val="000000"/>
          <w:kern w:val="0"/>
          <w:sz w:val="24"/>
          <w:szCs w:val="24"/>
          <w:lang w:val="en-US" w:eastAsia="zh-CN" w:bidi="ar"/>
        </w:rPr>
        <w:t xml:space="preserve">： </w:t>
      </w:r>
    </w:p>
    <w:p w14:paraId="05B2BC9A">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□不属于符合条件的残疾人福利性单位。 </w:t>
      </w:r>
    </w:p>
    <w:p w14:paraId="2F22D705">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□属于符合条件的残疾人福利性单位，</w:t>
      </w:r>
      <w:r>
        <w:rPr>
          <w:rFonts w:hint="eastAsia" w:ascii="仿宋" w:hAnsi="仿宋" w:eastAsia="仿宋" w:cs="仿宋"/>
          <w:color w:val="000000"/>
          <w:kern w:val="0"/>
          <w:sz w:val="24"/>
          <w:szCs w:val="24"/>
          <w:lang w:val="en-US" w:eastAsia="zh-CN" w:bidi="ar"/>
        </w:rPr>
        <w:t>且本单位参加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单位的</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908C324">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本单位对上述声明的真实性负责。如有虚假，将依法承担相应责任。 </w:t>
      </w:r>
    </w:p>
    <w:p w14:paraId="31D855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75D7B8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4DE2DD4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单位名称（电子印章）：</w:t>
      </w:r>
    </w:p>
    <w:p w14:paraId="6F8AF03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日期：</w:t>
      </w:r>
    </w:p>
    <w:p w14:paraId="649DB6C4">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52B47873">
      <w:pPr>
        <w:spacing w:line="360" w:lineRule="auto"/>
        <w:jc w:val="left"/>
        <w:outlineLvl w:val="3"/>
        <w:rPr>
          <w:rFonts w:hint="eastAsia" w:ascii="仿宋" w:hAnsi="仿宋" w:eastAsia="仿宋" w:cs="仿宋"/>
          <w:b/>
          <w:szCs w:val="21"/>
          <w:highlight w:val="none"/>
          <w:u w:val="none"/>
          <w:lang w:val="en-US"/>
        </w:rPr>
      </w:pPr>
      <w:r>
        <w:rPr>
          <w:rStyle w:val="46"/>
          <w:rFonts w:hint="eastAsia" w:ascii="仿宋" w:hAnsi="仿宋" w:eastAsia="仿宋" w:cs="仿宋"/>
          <w:sz w:val="28"/>
          <w:szCs w:val="28"/>
          <w:highlight w:val="none"/>
          <w:u w:val="none"/>
          <w:lang w:val="en-US" w:eastAsia="zh-CN"/>
        </w:rPr>
        <w:t>2-2</w:t>
      </w:r>
      <w:r>
        <w:rPr>
          <w:rStyle w:val="46"/>
          <w:rFonts w:hint="eastAsia" w:ascii="仿宋" w:hAnsi="仿宋" w:eastAsia="仿宋" w:cs="仿宋"/>
          <w:sz w:val="28"/>
          <w:szCs w:val="28"/>
          <w:highlight w:val="none"/>
          <w:u w:val="none"/>
          <w:lang w:val="en-US"/>
        </w:rPr>
        <w:t>联合体协议</w:t>
      </w:r>
    </w:p>
    <w:p w14:paraId="46A8DA50">
      <w:pPr>
        <w:spacing w:line="360" w:lineRule="auto"/>
        <w:jc w:val="center"/>
        <w:rPr>
          <w:rFonts w:hint="eastAsia" w:ascii="仿宋" w:hAnsi="仿宋" w:eastAsia="仿宋" w:cs="仿宋"/>
          <w:b/>
          <w:sz w:val="24"/>
          <w:szCs w:val="21"/>
          <w:highlight w:val="none"/>
        </w:rPr>
      </w:pPr>
      <w:r>
        <w:rPr>
          <w:rFonts w:hint="eastAsia" w:ascii="仿宋" w:hAnsi="仿宋" w:eastAsia="仿宋" w:cs="仿宋"/>
          <w:b/>
          <w:sz w:val="32"/>
          <w:szCs w:val="32"/>
          <w:highlight w:val="none"/>
        </w:rPr>
        <w:t>联合体协议</w:t>
      </w:r>
      <w:r>
        <w:rPr>
          <w:rFonts w:hint="eastAsia" w:ascii="仿宋" w:hAnsi="仿宋" w:eastAsia="仿宋" w:cs="仿宋"/>
          <w:b/>
          <w:sz w:val="32"/>
          <w:szCs w:val="32"/>
          <w:highlight w:val="none"/>
          <w:lang w:eastAsia="zh-CN"/>
        </w:rPr>
        <w:t>（如有）</w:t>
      </w:r>
      <w:r>
        <w:rPr>
          <w:rFonts w:hint="eastAsia" w:ascii="仿宋" w:hAnsi="仿宋" w:eastAsia="仿宋" w:cs="仿宋"/>
          <w:b/>
          <w:bCs/>
          <w:sz w:val="32"/>
          <w:szCs w:val="32"/>
          <w:highlight w:val="none"/>
        </w:rPr>
        <w:t xml:space="preserve"> </w:t>
      </w:r>
    </w:p>
    <w:p w14:paraId="18753E24">
      <w:pPr>
        <w:adjustRightInd w:val="0"/>
        <w:snapToGrid w:val="0"/>
        <w:spacing w:before="156" w:beforeLines="50"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采购代理机构）：</w:t>
      </w:r>
    </w:p>
    <w:p w14:paraId="75BE2B35">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经研究，我们决定自愿组成联合体共同申请参加</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（项目名称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lang w:val="en-US" w:eastAsia="zh-CN"/>
        </w:rPr>
        <w:t>项目编号</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lang w:val="en-US" w:eastAsia="zh-CN"/>
        </w:rPr>
        <w:t>标项（包）名称</w:t>
      </w:r>
      <w:r>
        <w:rPr>
          <w:rFonts w:hint="eastAsia" w:ascii="仿宋" w:hAnsi="仿宋" w:eastAsia="仿宋" w:cs="仿宋"/>
          <w:sz w:val="21"/>
          <w:szCs w:val="21"/>
          <w:highlight w:val="none"/>
        </w:rPr>
        <w:t>）项目的磋商。现就联合体事宜订立如下协议：</w:t>
      </w:r>
    </w:p>
    <w:p w14:paraId="1D2FE4CA">
      <w:pPr>
        <w:adjustRightInd w:val="0"/>
        <w:snapToGrid w:val="0"/>
        <w:spacing w:before="156" w:beforeLines="50"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一、联合体基本信息：</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（各方公司名称、地址、注册资金、营业执照、法定代表人姓名）。</w:t>
      </w:r>
    </w:p>
    <w:p w14:paraId="3AF9DA3A">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二、</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（某成员单位名称）为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（联合体名称）牵头人。</w:t>
      </w:r>
    </w:p>
    <w:p w14:paraId="0FE6B7BF">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三、联合体牵头人合法代表联合体各成员负责本项目响应文件编制活动，代表联合体提交和接收相关的资料、信息及指示，并处理与磋商和成交有关的一切事务；联合体成交后，联合体牵头人负责合同订立和合同实施阶段的主办、组织和协调工作。</w:t>
      </w:r>
    </w:p>
    <w:p w14:paraId="6DC4C697">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四．联合体将严格按照</w:t>
      </w:r>
      <w:r>
        <w:rPr>
          <w:rFonts w:hint="eastAsia" w:ascii="仿宋" w:hAnsi="仿宋" w:eastAsia="仿宋" w:cs="仿宋"/>
          <w:sz w:val="21"/>
          <w:szCs w:val="21"/>
          <w:highlight w:val="none"/>
          <w:lang w:eastAsia="zh-CN"/>
        </w:rPr>
        <w:t>采购文件</w:t>
      </w:r>
      <w:r>
        <w:rPr>
          <w:rFonts w:hint="eastAsia" w:ascii="仿宋" w:hAnsi="仿宋" w:eastAsia="仿宋" w:cs="仿宋"/>
          <w:sz w:val="21"/>
          <w:szCs w:val="21"/>
          <w:highlight w:val="none"/>
        </w:rPr>
        <w:t>的各项要求，递交响应文件，参加磋商，履行成交义务和成交后的合同，并向采购人承担连带责任。</w:t>
      </w:r>
    </w:p>
    <w:p w14:paraId="2639ACA8">
      <w:pPr>
        <w:adjustRightInd w:val="0"/>
        <w:snapToGrid w:val="0"/>
        <w:spacing w:before="156" w:beforeLines="50"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五、联合体各成员单位内部的职责分工如下：</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。按照本条上述分工，联合体成员单位各自所承担的合同工作量比例如下：</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14:paraId="09637ACA">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六、本协议书自签署之日起生效，合同履行完毕后自动失效。</w:t>
      </w:r>
    </w:p>
    <w:p w14:paraId="320B6580">
      <w:pPr>
        <w:adjustRightInd w:val="0"/>
        <w:snapToGrid w:val="0"/>
        <w:spacing w:before="156" w:beforeLines="5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七、本协议书一式</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份，联合体成员和采购人各执一份。</w:t>
      </w:r>
      <w:r>
        <w:rPr>
          <w:rFonts w:hint="eastAsia" w:ascii="仿宋" w:hAnsi="仿宋" w:eastAsia="仿宋" w:cs="仿宋"/>
          <w:sz w:val="21"/>
          <w:szCs w:val="21"/>
          <w:highlight w:val="none"/>
        </w:rPr>
        <w:tab/>
      </w:r>
    </w:p>
    <w:p w14:paraId="06CAD03B">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牵头人名称（</w:t>
      </w:r>
      <w:r>
        <w:rPr>
          <w:rFonts w:hint="eastAsia" w:ascii="仿宋" w:hAnsi="仿宋" w:eastAsia="仿宋" w:cs="仿宋"/>
          <w:sz w:val="21"/>
          <w:szCs w:val="21"/>
          <w:highlight w:val="none"/>
          <w:lang w:val="en-US" w:eastAsia="zh-CN"/>
        </w:rPr>
        <w:t>电子印章</w:t>
      </w:r>
      <w:r>
        <w:rPr>
          <w:rFonts w:hint="eastAsia" w:ascii="仿宋" w:hAnsi="仿宋" w:eastAsia="仿宋" w:cs="仿宋"/>
          <w:sz w:val="21"/>
          <w:szCs w:val="21"/>
          <w:highlight w:val="none"/>
        </w:rPr>
        <w:t>）：</w:t>
      </w:r>
    </w:p>
    <w:p w14:paraId="471B4EC1">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法定代表人或其授权代表（签字</w:t>
      </w:r>
      <w:r>
        <w:rPr>
          <w:rFonts w:hint="eastAsia" w:ascii="仿宋" w:hAnsi="仿宋" w:eastAsia="仿宋" w:cs="仿宋"/>
          <w:sz w:val="21"/>
          <w:szCs w:val="21"/>
          <w:highlight w:val="none"/>
          <w:lang w:val="en-US" w:eastAsia="zh-CN"/>
        </w:rPr>
        <w:t>或电子印章</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p>
    <w:p w14:paraId="3C8E6E79">
      <w:pPr>
        <w:adjustRightInd w:val="0"/>
        <w:snapToGrid w:val="0"/>
        <w:spacing w:line="360" w:lineRule="auto"/>
        <w:ind w:firstLine="1785" w:firstLineChars="850"/>
        <w:rPr>
          <w:rFonts w:hint="eastAsia" w:ascii="仿宋" w:hAnsi="仿宋" w:eastAsia="仿宋" w:cs="仿宋"/>
          <w:sz w:val="21"/>
          <w:szCs w:val="21"/>
          <w:highlight w:val="none"/>
        </w:rPr>
      </w:pPr>
    </w:p>
    <w:p w14:paraId="2FCDFAA2">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成员二名称（单位章）：</w:t>
      </w:r>
    </w:p>
    <w:p w14:paraId="48A62A14">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法定代表人或其授权代表（签字）：</w:t>
      </w:r>
      <w:r>
        <w:rPr>
          <w:rFonts w:hint="eastAsia" w:ascii="仿宋" w:hAnsi="仿宋" w:eastAsia="仿宋" w:cs="仿宋"/>
          <w:sz w:val="21"/>
          <w:szCs w:val="21"/>
          <w:highlight w:val="none"/>
          <w:u w:val="single"/>
        </w:rPr>
        <w:t xml:space="preserve">                      </w:t>
      </w:r>
    </w:p>
    <w:p w14:paraId="3C79FFAC">
      <w:pPr>
        <w:spacing w:line="360" w:lineRule="auto"/>
        <w:rPr>
          <w:rFonts w:hint="eastAsia" w:ascii="仿宋" w:hAnsi="仿宋" w:eastAsia="仿宋" w:cs="仿宋"/>
          <w:sz w:val="21"/>
          <w:szCs w:val="21"/>
          <w:highlight w:val="none"/>
        </w:rPr>
      </w:pPr>
    </w:p>
    <w:p w14:paraId="14272995">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年        月        日  </w:t>
      </w:r>
    </w:p>
    <w:p w14:paraId="3391E72A">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备注：本协议书由授权代表签字的，应附法定代表人签字的授权委托书。</w:t>
      </w:r>
    </w:p>
    <w:p w14:paraId="222697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sz w:val="24"/>
          <w:szCs w:val="24"/>
          <w:highlight w:val="none"/>
        </w:rPr>
      </w:pPr>
      <w:r>
        <w:rPr>
          <w:rFonts w:hint="eastAsia" w:ascii="仿宋" w:hAnsi="仿宋" w:eastAsia="仿宋" w:cs="仿宋"/>
          <w:b/>
          <w:sz w:val="21"/>
          <w:szCs w:val="21"/>
          <w:highlight w:val="none"/>
        </w:rPr>
        <w:br w:type="page"/>
      </w:r>
      <w:r>
        <w:rPr>
          <w:rFonts w:hint="eastAsia" w:ascii="仿宋" w:hAnsi="仿宋" w:eastAsia="仿宋" w:cs="仿宋"/>
          <w:b/>
          <w:bCs/>
          <w:color w:val="000000"/>
          <w:kern w:val="0"/>
          <w:sz w:val="24"/>
          <w:szCs w:val="24"/>
          <w:highlight w:val="none"/>
          <w:lang w:val="en-US" w:eastAsia="zh-CN" w:bidi="ar"/>
        </w:rPr>
        <w:t xml:space="preserve">2-3 拟分包情况说明及分包意向协议 </w:t>
      </w:r>
    </w:p>
    <w:p w14:paraId="446DBC6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53A6A92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拟分包情况说明</w:t>
      </w:r>
    </w:p>
    <w:p w14:paraId="33B20E8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59C93E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29A5B4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我单位参加贵单位组织采购的项目编号为</w:t>
      </w:r>
      <w:r>
        <w:rPr>
          <w:rFonts w:hint="eastAsia" w:ascii="仿宋" w:hAnsi="仿宋" w:eastAsia="仿宋" w:cs="仿宋"/>
          <w:color w:val="000000"/>
          <w:kern w:val="0"/>
          <w:sz w:val="24"/>
          <w:szCs w:val="24"/>
          <w:highlight w:val="none"/>
          <w:u w:val="single"/>
          <w:lang w:val="en-US" w:eastAsia="zh-CN" w:bidi="ar"/>
        </w:rPr>
        <w:t xml:space="preserve">         （填写采购项目名称）  </w:t>
      </w:r>
      <w:r>
        <w:rPr>
          <w:rFonts w:hint="eastAsia" w:ascii="仿宋" w:hAnsi="仿宋" w:eastAsia="仿宋" w:cs="仿宋"/>
          <w:color w:val="000000"/>
          <w:kern w:val="0"/>
          <w:sz w:val="24"/>
          <w:szCs w:val="24"/>
          <w:highlight w:val="none"/>
          <w:lang w:val="en-US" w:eastAsia="zh-CN" w:bidi="ar"/>
        </w:rPr>
        <w:t>项目中</w:t>
      </w:r>
      <w:r>
        <w:rPr>
          <w:rFonts w:hint="eastAsia" w:ascii="仿宋" w:hAnsi="仿宋" w:eastAsia="仿宋" w:cs="仿宋"/>
          <w:color w:val="000000"/>
          <w:kern w:val="0"/>
          <w:sz w:val="24"/>
          <w:szCs w:val="24"/>
          <w:highlight w:val="none"/>
          <w:u w:val="single"/>
          <w:lang w:val="en-US" w:eastAsia="zh-CN" w:bidi="ar"/>
        </w:rPr>
        <w:t xml:space="preserve"> （填写标项(包)名称） </w:t>
      </w:r>
      <w:r>
        <w:rPr>
          <w:rFonts w:hint="eastAsia" w:ascii="仿宋" w:hAnsi="仿宋" w:eastAsia="仿宋" w:cs="仿宋"/>
          <w:color w:val="000000"/>
          <w:kern w:val="0"/>
          <w:sz w:val="24"/>
          <w:szCs w:val="24"/>
          <w:highlight w:val="none"/>
          <w:lang w:val="en-US" w:eastAsia="zh-CN" w:bidi="ar"/>
        </w:rPr>
        <w:t xml:space="preserve">的投标。拟签订分包合同的单位情况如下表所示，我单位承诺一旦在该项目中获得采购合同将按下表所列情况进行分包，同时承诺分包承担主体不再次分包。 </w:t>
      </w:r>
    </w:p>
    <w:tbl>
      <w:tblPr>
        <w:tblStyle w:val="2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94"/>
        <w:gridCol w:w="1394"/>
        <w:gridCol w:w="794"/>
        <w:gridCol w:w="1165"/>
        <w:gridCol w:w="1482"/>
        <w:gridCol w:w="1359"/>
        <w:gridCol w:w="1359"/>
      </w:tblGrid>
      <w:tr w14:paraId="66B0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26AE69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序号</w:t>
            </w:r>
          </w:p>
        </w:tc>
        <w:tc>
          <w:tcPr>
            <w:tcW w:w="1094" w:type="dxa"/>
            <w:vAlign w:val="center"/>
          </w:tcPr>
          <w:p w14:paraId="7B2E975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分包承担</w:t>
            </w:r>
          </w:p>
          <w:p w14:paraId="1B92089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主体名称</w:t>
            </w:r>
          </w:p>
        </w:tc>
        <w:tc>
          <w:tcPr>
            <w:tcW w:w="1394" w:type="dxa"/>
            <w:vAlign w:val="center"/>
          </w:tcPr>
          <w:p w14:paraId="66D90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分包承担</w:t>
            </w:r>
          </w:p>
          <w:p w14:paraId="6D9C2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主体类型</w:t>
            </w:r>
          </w:p>
          <w:p w14:paraId="63E9DD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（勾选）</w:t>
            </w:r>
          </w:p>
        </w:tc>
        <w:tc>
          <w:tcPr>
            <w:tcW w:w="794" w:type="dxa"/>
            <w:vAlign w:val="center"/>
          </w:tcPr>
          <w:p w14:paraId="4098D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资质等级</w:t>
            </w:r>
          </w:p>
        </w:tc>
        <w:tc>
          <w:tcPr>
            <w:tcW w:w="1165" w:type="dxa"/>
            <w:vAlign w:val="center"/>
          </w:tcPr>
          <w:p w14:paraId="55D5C2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194E01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合同内容</w:t>
            </w:r>
          </w:p>
        </w:tc>
        <w:tc>
          <w:tcPr>
            <w:tcW w:w="1482" w:type="dxa"/>
            <w:vAlign w:val="center"/>
          </w:tcPr>
          <w:p w14:paraId="203E74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3BB475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合同金额</w:t>
            </w:r>
          </w:p>
          <w:p w14:paraId="65283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（人民币元）</w:t>
            </w:r>
          </w:p>
        </w:tc>
        <w:tc>
          <w:tcPr>
            <w:tcW w:w="1359" w:type="dxa"/>
            <w:vAlign w:val="center"/>
          </w:tcPr>
          <w:p w14:paraId="11FDA4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占该采购包</w:t>
            </w:r>
            <w:r>
              <w:rPr>
                <w:rFonts w:hint="eastAsia" w:ascii="仿宋" w:hAnsi="仿宋" w:eastAsia="仿宋" w:cs="仿宋"/>
                <w:b/>
                <w:bCs/>
                <w:color w:val="000000"/>
                <w:kern w:val="0"/>
                <w:sz w:val="21"/>
                <w:szCs w:val="21"/>
                <w:highlight w:val="none"/>
                <w:lang w:val="en-US" w:eastAsia="zh-CN" w:bidi="ar"/>
              </w:rPr>
              <w:t>合同总金额的</w:t>
            </w:r>
            <w:r>
              <w:rPr>
                <w:rFonts w:hint="eastAsia" w:ascii="仿宋" w:hAnsi="仿宋" w:eastAsia="仿宋" w:cs="仿宋"/>
                <w:color w:val="000000"/>
                <w:kern w:val="0"/>
                <w:sz w:val="21"/>
                <w:szCs w:val="21"/>
                <w:highlight w:val="none"/>
                <w:lang w:val="en-US" w:eastAsia="zh-CN" w:bidi="ar"/>
              </w:rPr>
              <w:t>比例（%）</w:t>
            </w:r>
          </w:p>
        </w:tc>
        <w:tc>
          <w:tcPr>
            <w:tcW w:w="1359" w:type="dxa"/>
            <w:vAlign w:val="center"/>
          </w:tcPr>
          <w:p w14:paraId="58F02B4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占该采购包</w:t>
            </w:r>
            <w:r>
              <w:rPr>
                <w:rFonts w:hint="eastAsia" w:ascii="仿宋" w:hAnsi="仿宋" w:eastAsia="仿宋" w:cs="仿宋"/>
                <w:b/>
                <w:bCs/>
                <w:color w:val="000000"/>
                <w:kern w:val="0"/>
                <w:sz w:val="21"/>
                <w:szCs w:val="21"/>
                <w:highlight w:val="none"/>
                <w:lang w:val="en-US" w:eastAsia="zh-CN" w:bidi="ar"/>
              </w:rPr>
              <w:t>预算金额的</w:t>
            </w:r>
            <w:r>
              <w:rPr>
                <w:rFonts w:hint="eastAsia" w:ascii="仿宋" w:hAnsi="仿宋" w:eastAsia="仿宋" w:cs="仿宋"/>
                <w:color w:val="000000"/>
                <w:kern w:val="0"/>
                <w:sz w:val="21"/>
                <w:szCs w:val="21"/>
                <w:highlight w:val="none"/>
                <w:lang w:val="en-US" w:eastAsia="zh-CN" w:bidi="ar"/>
              </w:rPr>
              <w:t>比例（%）</w:t>
            </w:r>
          </w:p>
        </w:tc>
      </w:tr>
      <w:tr w14:paraId="14B5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C43863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1</w:t>
            </w:r>
          </w:p>
        </w:tc>
        <w:tc>
          <w:tcPr>
            <w:tcW w:w="1094" w:type="dxa"/>
            <w:vAlign w:val="center"/>
          </w:tcPr>
          <w:p w14:paraId="2EDDDBD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94" w:type="dxa"/>
            <w:vAlign w:val="center"/>
          </w:tcPr>
          <w:p w14:paraId="052686AB">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623270C6">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794" w:type="dxa"/>
            <w:vAlign w:val="center"/>
          </w:tcPr>
          <w:p w14:paraId="196CF40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65" w:type="dxa"/>
            <w:vAlign w:val="center"/>
          </w:tcPr>
          <w:p w14:paraId="5D1AEBF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82" w:type="dxa"/>
            <w:vAlign w:val="center"/>
          </w:tcPr>
          <w:p w14:paraId="294E090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014A04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7AD217E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37D2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024BB82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2</w:t>
            </w:r>
          </w:p>
        </w:tc>
        <w:tc>
          <w:tcPr>
            <w:tcW w:w="1094" w:type="dxa"/>
            <w:vAlign w:val="center"/>
          </w:tcPr>
          <w:p w14:paraId="41412CE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94" w:type="dxa"/>
            <w:vAlign w:val="center"/>
          </w:tcPr>
          <w:p w14:paraId="07D42038">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2F4EC92C">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794" w:type="dxa"/>
            <w:vAlign w:val="center"/>
          </w:tcPr>
          <w:p w14:paraId="6321101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65" w:type="dxa"/>
            <w:vAlign w:val="center"/>
          </w:tcPr>
          <w:p w14:paraId="7A0776B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82" w:type="dxa"/>
            <w:vAlign w:val="center"/>
          </w:tcPr>
          <w:p w14:paraId="6AB964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112C2A3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2F566CC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2FC3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73" w:type="dxa"/>
            <w:vAlign w:val="center"/>
          </w:tcPr>
          <w:p w14:paraId="2DE1B0B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w:t>
            </w:r>
          </w:p>
        </w:tc>
        <w:tc>
          <w:tcPr>
            <w:tcW w:w="1094" w:type="dxa"/>
            <w:vAlign w:val="center"/>
          </w:tcPr>
          <w:p w14:paraId="262363E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94" w:type="dxa"/>
            <w:vAlign w:val="center"/>
          </w:tcPr>
          <w:p w14:paraId="49FCB77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794" w:type="dxa"/>
            <w:vAlign w:val="center"/>
          </w:tcPr>
          <w:p w14:paraId="255DF33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65" w:type="dxa"/>
            <w:vAlign w:val="center"/>
          </w:tcPr>
          <w:p w14:paraId="2A33F7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82" w:type="dxa"/>
            <w:vAlign w:val="center"/>
          </w:tcPr>
          <w:p w14:paraId="374F80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02B22C4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65FE592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5A46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3D60BBF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中型企业合计</w:t>
            </w:r>
          </w:p>
        </w:tc>
        <w:tc>
          <w:tcPr>
            <w:tcW w:w="1482" w:type="dxa"/>
            <w:vAlign w:val="center"/>
          </w:tcPr>
          <w:p w14:paraId="5948B8F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5120CDA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5EC498A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1E5D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3D899BA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小微企业合计</w:t>
            </w:r>
          </w:p>
        </w:tc>
        <w:tc>
          <w:tcPr>
            <w:tcW w:w="1482" w:type="dxa"/>
            <w:vAlign w:val="center"/>
          </w:tcPr>
          <w:p w14:paraId="4CD5AC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74EA3F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4896718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33B5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7C154E2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中小微企业总计</w:t>
            </w:r>
          </w:p>
        </w:tc>
        <w:tc>
          <w:tcPr>
            <w:tcW w:w="1482" w:type="dxa"/>
            <w:vAlign w:val="center"/>
          </w:tcPr>
          <w:p w14:paraId="6C6BF11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1300F81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59" w:type="dxa"/>
            <w:vAlign w:val="center"/>
          </w:tcPr>
          <w:p w14:paraId="4F35474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6A95307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u w:val="single"/>
          <w:lang w:val="en-US"/>
        </w:rPr>
      </w:pPr>
      <w:r>
        <w:rPr>
          <w:rFonts w:hint="eastAsia" w:ascii="仿宋" w:hAnsi="仿宋" w:eastAsia="仿宋" w:cs="仿宋"/>
          <w:color w:val="000000"/>
          <w:kern w:val="0"/>
          <w:sz w:val="24"/>
          <w:szCs w:val="24"/>
          <w:highlight w:val="none"/>
          <w:lang w:val="en-US" w:eastAsia="zh-CN" w:bidi="ar"/>
        </w:rPr>
        <w:t>供应商名称（</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u w:val="single"/>
          <w:lang w:val="en-US" w:eastAsia="zh-CN" w:bidi="ar"/>
        </w:rPr>
        <w:t xml:space="preserve">               </w:t>
      </w:r>
    </w:p>
    <w:p w14:paraId="05BB018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6836AE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0905469F">
      <w:pPr>
        <w:keepNext w:val="0"/>
        <w:keepLines w:val="0"/>
        <w:pageBreakBefore w:val="0"/>
        <w:widowControl/>
        <w:numPr>
          <w:ilvl w:val="0"/>
          <w:numId w:val="1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本表仅在供应商“为落实政府采购政策”而向中小企业分包时填写。</w:t>
      </w:r>
    </w:p>
    <w:p w14:paraId="35C59285">
      <w:pPr>
        <w:keepNext w:val="0"/>
        <w:keepLines w:val="0"/>
        <w:pageBreakBefore w:val="0"/>
        <w:widowControl/>
        <w:numPr>
          <w:ilvl w:val="0"/>
          <w:numId w:val="1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如本采购文件《供应商须知前附表》载明本项目分包承担主体应具备的相应资质条件，则供应商须在本表中列明分包承担主体的资质等级，并后附资质证书扫描件加盖供应商公章，否则</w:t>
      </w:r>
      <w:r>
        <w:rPr>
          <w:rFonts w:hint="eastAsia" w:ascii="仿宋" w:hAnsi="仿宋" w:eastAsia="仿宋" w:cs="仿宋"/>
          <w:b/>
          <w:bCs/>
          <w:color w:val="000000"/>
          <w:kern w:val="0"/>
          <w:sz w:val="24"/>
          <w:szCs w:val="24"/>
          <w:highlight w:val="none"/>
          <w:lang w:val="en-US" w:eastAsia="zh-CN" w:bidi="ar"/>
        </w:rPr>
        <w:t>响应无效</w:t>
      </w:r>
      <w:r>
        <w:rPr>
          <w:rFonts w:hint="eastAsia" w:ascii="仿宋" w:hAnsi="仿宋" w:eastAsia="仿宋" w:cs="仿宋"/>
          <w:color w:val="000000"/>
          <w:kern w:val="0"/>
          <w:sz w:val="24"/>
          <w:szCs w:val="24"/>
          <w:highlight w:val="none"/>
          <w:lang w:val="en-US" w:eastAsia="zh-CN" w:bidi="ar"/>
        </w:rPr>
        <w:t xml:space="preserve">。 </w:t>
      </w:r>
    </w:p>
    <w:p w14:paraId="750F45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（3）供应商与上述拟分包承担主体签署的《分包意向协议》后附。</w:t>
      </w:r>
    </w:p>
    <w:p w14:paraId="7BD53757">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19B73BAD">
      <w:pPr>
        <w:keepNext w:val="0"/>
        <w:keepLines w:val="0"/>
        <w:widowControl/>
        <w:suppressLineNumbers w:val="0"/>
        <w:jc w:val="left"/>
        <w:rPr>
          <w:rFonts w:hint="eastAsia" w:ascii="仿宋" w:hAnsi="仿宋" w:eastAsia="仿宋" w:cs="仿宋"/>
          <w:b w:val="0"/>
          <w:bCs w:val="0"/>
          <w:sz w:val="24"/>
          <w:szCs w:val="24"/>
          <w:highlight w:val="none"/>
        </w:rPr>
      </w:pPr>
      <w:r>
        <w:rPr>
          <w:rFonts w:hint="eastAsia" w:ascii="仿宋" w:hAnsi="仿宋" w:eastAsia="仿宋" w:cs="仿宋"/>
          <w:b w:val="0"/>
          <w:bCs w:val="0"/>
          <w:color w:val="000000"/>
          <w:kern w:val="0"/>
          <w:sz w:val="24"/>
          <w:szCs w:val="24"/>
          <w:highlight w:val="none"/>
          <w:lang w:val="en-US" w:eastAsia="zh-CN" w:bidi="ar"/>
        </w:rPr>
        <w:t xml:space="preserve">附：分包意向协议（参考格式） </w:t>
      </w:r>
    </w:p>
    <w:p w14:paraId="08F119CC">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6034AFA0">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6026F3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甲方（供应商）：</w:t>
      </w:r>
      <w:r>
        <w:rPr>
          <w:rFonts w:hint="eastAsia" w:ascii="仿宋" w:hAnsi="仿宋" w:eastAsia="仿宋" w:cs="仿宋"/>
          <w:color w:val="000000"/>
          <w:kern w:val="0"/>
          <w:sz w:val="24"/>
          <w:szCs w:val="24"/>
          <w:highlight w:val="none"/>
          <w:u w:val="single"/>
          <w:lang w:val="en-US" w:eastAsia="zh-CN" w:bidi="ar"/>
        </w:rPr>
        <w:t xml:space="preserve">                 </w:t>
      </w:r>
    </w:p>
    <w:p w14:paraId="556243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乙方（拟分包单位）：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4777F2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甲方承诺，一旦在</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（采购项目名称）、</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（标项(包)名称）</w:t>
      </w:r>
      <w:r>
        <w:rPr>
          <w:rFonts w:hint="eastAsia" w:ascii="仿宋" w:hAnsi="仿宋" w:eastAsia="仿宋" w:cs="仿宋"/>
          <w:color w:val="000000"/>
          <w:kern w:val="0"/>
          <w:sz w:val="24"/>
          <w:szCs w:val="24"/>
          <w:highlight w:val="none"/>
          <w:lang w:val="en-US" w:eastAsia="zh-CN" w:bidi="ar"/>
        </w:rPr>
        <w:t xml:space="preserve">招标采购项目中获得采购合同，将按照下述约定将合同项下部分内容分包给乙方： </w:t>
      </w:r>
    </w:p>
    <w:p w14:paraId="6D5ECA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highlight w:val="none"/>
        </w:rPr>
      </w:pPr>
      <w:bookmarkStart w:id="51" w:name="_Toc22054"/>
      <w:r>
        <w:rPr>
          <w:rFonts w:hint="eastAsia" w:ascii="仿宋" w:hAnsi="仿宋" w:eastAsia="仿宋" w:cs="仿宋"/>
          <w:color w:val="000000"/>
          <w:kern w:val="0"/>
          <w:sz w:val="24"/>
          <w:szCs w:val="24"/>
          <w:highlight w:val="none"/>
          <w:lang w:val="en-US" w:eastAsia="zh-CN" w:bidi="ar"/>
        </w:rPr>
        <w:t>1.分包内容：</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51"/>
      <w:r>
        <w:rPr>
          <w:rFonts w:hint="eastAsia" w:ascii="仿宋" w:hAnsi="仿宋" w:eastAsia="仿宋" w:cs="仿宋"/>
          <w:color w:val="000000"/>
          <w:kern w:val="0"/>
          <w:sz w:val="24"/>
          <w:szCs w:val="24"/>
          <w:highlight w:val="none"/>
          <w:lang w:val="en-US" w:eastAsia="zh-CN" w:bidi="ar"/>
        </w:rPr>
        <w:t xml:space="preserve"> </w:t>
      </w:r>
    </w:p>
    <w:p w14:paraId="6A0EBA1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2.分包金额：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，该金额占该采购包预算总金额的比例为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%，该金额占该采购包合同总金额的比例为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821A8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乙方承诺将在上述情况下与甲方签订分包合同。 </w:t>
      </w:r>
    </w:p>
    <w:p w14:paraId="3DB7BCE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本协议自各方盖章之日起生效，如甲方未在该项目（采购包）中标，本协议自动终止。 </w:t>
      </w:r>
    </w:p>
    <w:p w14:paraId="2C6B64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9C5621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乙方（盖章）：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49DAB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日期： </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4FA4C61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B23BFD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说明：供应商须与所有拟分包单位分别签订《分包意向协议》，每单位签订一份，并在响应文件中提交全部协议原件，否则</w:t>
      </w:r>
      <w:r>
        <w:rPr>
          <w:rFonts w:hint="eastAsia" w:ascii="仿宋" w:hAnsi="仿宋" w:eastAsia="仿宋" w:cs="仿宋"/>
          <w:b/>
          <w:bCs/>
          <w:color w:val="000000"/>
          <w:kern w:val="0"/>
          <w:sz w:val="24"/>
          <w:szCs w:val="24"/>
          <w:highlight w:val="none"/>
          <w:lang w:val="en-US" w:eastAsia="zh-CN" w:bidi="ar"/>
        </w:rPr>
        <w:t>响应无效</w:t>
      </w:r>
      <w:r>
        <w:rPr>
          <w:rFonts w:hint="eastAsia" w:ascii="仿宋" w:hAnsi="仿宋" w:eastAsia="仿宋" w:cs="仿宋"/>
          <w:color w:val="000000"/>
          <w:kern w:val="0"/>
          <w:sz w:val="24"/>
          <w:szCs w:val="24"/>
          <w:highlight w:val="none"/>
          <w:lang w:val="en-US" w:eastAsia="zh-CN" w:bidi="ar"/>
        </w:rPr>
        <w:t>。</w:t>
      </w:r>
    </w:p>
    <w:p w14:paraId="3541841C">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3226E70">
      <w:pPr>
        <w:keepNext w:val="0"/>
        <w:keepLines w:val="0"/>
        <w:widowControl/>
        <w:suppressLineNumbers w:val="0"/>
        <w:jc w:val="left"/>
        <w:outlineLvl w:val="3"/>
        <w:rPr>
          <w:rFonts w:hint="eastAsia" w:ascii="仿宋" w:hAnsi="仿宋" w:eastAsia="仿宋" w:cs="仿宋"/>
          <w:b/>
          <w:bCs/>
          <w:sz w:val="24"/>
          <w:szCs w:val="24"/>
          <w:highlight w:val="none"/>
        </w:rPr>
      </w:pPr>
      <w:r>
        <w:rPr>
          <w:rFonts w:hint="eastAsia" w:ascii="仿宋" w:hAnsi="仿宋" w:eastAsia="仿宋" w:cs="仿宋"/>
          <w:b/>
          <w:bCs/>
          <w:color w:val="000000"/>
          <w:kern w:val="0"/>
          <w:sz w:val="24"/>
          <w:szCs w:val="24"/>
          <w:highlight w:val="none"/>
          <w:lang w:val="en-US" w:eastAsia="zh-CN" w:bidi="ar"/>
        </w:rPr>
        <w:t>2-4 其它落实政府采购政策的资格要求（如有）</w:t>
      </w:r>
    </w:p>
    <w:p w14:paraId="70FB508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13A6025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29510D11">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88C0F03">
      <w:pPr>
        <w:keepNext w:val="0"/>
        <w:keepLines w:val="0"/>
        <w:widowControl/>
        <w:suppressLineNumbers w:val="0"/>
        <w:jc w:val="left"/>
        <w:outlineLvl w:val="2"/>
        <w:rPr>
          <w:rFonts w:hint="eastAsia" w:ascii="仿宋" w:hAnsi="仿宋" w:eastAsia="仿宋" w:cs="仿宋"/>
          <w:b/>
          <w:bCs/>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3、本项目的特定资格要求（如有） </w:t>
      </w:r>
    </w:p>
    <w:p w14:paraId="278DEB2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35B994B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sz w:val="24"/>
          <w:szCs w:val="24"/>
          <w:highlight w:val="none"/>
          <w:lang w:val="en-US" w:eastAsia="zh-CN"/>
        </w:rPr>
        <w:t>特定资格要求</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证明文件</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lang w:val="en-US" w:eastAsia="zh-CN"/>
        </w:rPr>
        <w:t>加盖电子印章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具体要求详见第六章资格审查要求及</w:t>
      </w:r>
      <w:r>
        <w:rPr>
          <w:rFonts w:hint="eastAsia" w:ascii="仿宋" w:hAnsi="仿宋" w:eastAsia="仿宋" w:cs="仿宋"/>
          <w:b w:val="0"/>
          <w:bCs w:val="0"/>
          <w:color w:val="000000"/>
          <w:kern w:val="0"/>
          <w:sz w:val="24"/>
          <w:szCs w:val="24"/>
          <w:highlight w:val="none"/>
          <w:lang w:val="en-US" w:eastAsia="zh-CN" w:bidi="ar"/>
        </w:rPr>
        <w:t>磋商公告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61305512">
      <w:pP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br w:type="page"/>
      </w:r>
    </w:p>
    <w:p w14:paraId="43A56691">
      <w:pPr>
        <w:numPr>
          <w:ilvl w:val="0"/>
          <w:numId w:val="0"/>
        </w:numPr>
        <w:ind w:leftChars="0"/>
        <w:outlineLvl w:val="2"/>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4、其他资格要求</w:t>
      </w:r>
    </w:p>
    <w:p w14:paraId="1276DF55">
      <w:pPr>
        <w:numPr>
          <w:ilvl w:val="0"/>
          <w:numId w:val="0"/>
        </w:numPr>
        <w:ind w:leftChars="0" w:firstLine="240" w:firstLineChars="100"/>
        <w:outlineLvl w:val="9"/>
        <w:rPr>
          <w:rFonts w:hint="default"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详见供应商须知前附表1.3.3</w:t>
      </w:r>
    </w:p>
    <w:p w14:paraId="03AB286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1E480FB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7DEFFAE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2508D266">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309E5B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default" w:ascii="仿宋" w:hAnsi="仿宋" w:eastAsia="仿宋" w:cs="仿宋"/>
          <w:b/>
          <w:bCs/>
          <w:color w:val="000000"/>
          <w:kern w:val="0"/>
          <w:sz w:val="24"/>
          <w:szCs w:val="24"/>
          <w:lang w:val="en-US" w:eastAsia="zh-CN" w:bidi="ar"/>
        </w:rPr>
      </w:pPr>
      <w:bookmarkStart w:id="52" w:name="_Toc11606"/>
      <w:r>
        <w:rPr>
          <w:rFonts w:hint="eastAsia" w:ascii="仿宋" w:hAnsi="仿宋" w:eastAsia="仿宋" w:cs="仿宋"/>
          <w:b/>
          <w:bCs/>
          <w:color w:val="000000"/>
          <w:kern w:val="0"/>
          <w:sz w:val="24"/>
          <w:szCs w:val="24"/>
          <w:lang w:val="en-US" w:eastAsia="zh-CN" w:bidi="ar"/>
        </w:rPr>
        <w:t>二、报价文件</w:t>
      </w:r>
      <w:bookmarkEnd w:id="52"/>
    </w:p>
    <w:p w14:paraId="636DFB14">
      <w:pPr>
        <w:outlineLvl w:val="2"/>
        <w:rPr>
          <w:rFonts w:hint="eastAsia" w:ascii="仿宋" w:hAnsi="仿宋" w:eastAsia="仿宋" w:cs="仿宋"/>
          <w:b/>
          <w:bCs/>
          <w:sz w:val="24"/>
          <w:szCs w:val="24"/>
          <w:lang w:val="en-US" w:eastAsia="zh-CN"/>
        </w:rPr>
      </w:pPr>
      <w:bookmarkStart w:id="53" w:name="_Toc26817"/>
      <w:r>
        <w:rPr>
          <w:rFonts w:hint="eastAsia" w:ascii="仿宋" w:hAnsi="仿宋" w:eastAsia="仿宋" w:cs="仿宋"/>
          <w:b/>
          <w:bCs/>
          <w:sz w:val="24"/>
          <w:szCs w:val="24"/>
          <w:lang w:val="en-US" w:eastAsia="zh-CN"/>
        </w:rPr>
        <w:t>5、报价一览表</w:t>
      </w:r>
      <w:bookmarkEnd w:id="53"/>
    </w:p>
    <w:p w14:paraId="33502223">
      <w:pPr>
        <w:rPr>
          <w:rFonts w:hint="eastAsia" w:ascii="仿宋" w:hAnsi="仿宋" w:eastAsia="仿宋" w:cs="仿宋"/>
          <w:lang w:val="en-US" w:eastAsia="zh-CN"/>
        </w:rPr>
      </w:pPr>
    </w:p>
    <w:p w14:paraId="26930599">
      <w:pPr>
        <w:jc w:val="center"/>
        <w:rPr>
          <w:rFonts w:hint="eastAsia" w:ascii="仿宋" w:hAnsi="仿宋" w:eastAsia="仿宋" w:cs="仿宋"/>
          <w:lang w:val="en-US" w:eastAsia="zh-CN"/>
        </w:rPr>
      </w:pPr>
      <w:r>
        <w:rPr>
          <w:rFonts w:hint="eastAsia" w:ascii="仿宋" w:hAnsi="仿宋" w:eastAsia="仿宋" w:cs="仿宋"/>
          <w:b/>
          <w:bCs/>
          <w:sz w:val="32"/>
          <w:szCs w:val="32"/>
          <w:lang w:val="en-US" w:eastAsia="zh-CN"/>
        </w:rPr>
        <w:t>首次报价表</w:t>
      </w:r>
    </w:p>
    <w:p w14:paraId="3B064475">
      <w:pPr>
        <w:rPr>
          <w:rFonts w:hint="eastAsia" w:ascii="仿宋" w:hAnsi="仿宋" w:eastAsia="仿宋" w:cs="仿宋"/>
          <w:lang w:val="en-US" w:eastAsia="zh-CN"/>
        </w:rPr>
      </w:pPr>
    </w:p>
    <w:p w14:paraId="78D89CC0">
      <w:pPr>
        <w:rPr>
          <w:rFonts w:hint="eastAsia" w:ascii="仿宋" w:hAnsi="仿宋" w:eastAsia="仿宋" w:cs="仿宋"/>
          <w:u w:val="single"/>
          <w:lang w:val="en-US" w:eastAsia="zh-CN"/>
        </w:rPr>
      </w:pPr>
      <w:r>
        <w:rPr>
          <w:rFonts w:hint="eastAsia" w:ascii="仿宋" w:hAnsi="仿宋" w:eastAsia="仿宋" w:cs="仿宋"/>
          <w:u w:val="none"/>
          <w:lang w:val="en-US" w:eastAsia="zh-CN"/>
        </w:rPr>
        <w:t>项目名称：</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项目编号：</w:t>
      </w:r>
      <w:r>
        <w:rPr>
          <w:rFonts w:hint="eastAsia" w:ascii="仿宋" w:hAnsi="仿宋" w:eastAsia="仿宋" w:cs="仿宋"/>
          <w:u w:val="single"/>
          <w:lang w:val="en-US" w:eastAsia="zh-CN"/>
        </w:rPr>
        <w:t xml:space="preserve">              </w:t>
      </w:r>
    </w:p>
    <w:p w14:paraId="57D2A992">
      <w:pPr>
        <w:rPr>
          <w:rFonts w:hint="eastAsia" w:ascii="仿宋" w:hAnsi="仿宋" w:eastAsia="仿宋" w:cs="仿宋"/>
          <w:u w:val="single"/>
          <w:lang w:val="en-US" w:eastAsia="zh-CN"/>
        </w:rPr>
      </w:pPr>
      <w:r>
        <w:rPr>
          <w:rFonts w:hint="eastAsia" w:ascii="仿宋" w:hAnsi="仿宋" w:eastAsia="仿宋" w:cs="仿宋"/>
          <w:u w:val="none"/>
          <w:lang w:val="en-US" w:eastAsia="zh-CN"/>
        </w:rPr>
        <w:t>标项(包)名称：</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报价单位：人民币元</w:t>
      </w:r>
    </w:p>
    <w:tbl>
      <w:tblPr>
        <w:tblStyle w:val="27"/>
        <w:tblpPr w:leftFromText="180" w:rightFromText="180" w:vertAnchor="text" w:horzAnchor="page" w:tblpX="1707" w:tblpY="344"/>
        <w:tblOverlap w:val="never"/>
        <w:tblW w:w="9075"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6926"/>
      </w:tblGrid>
      <w:tr w14:paraId="43163C0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76" w:hRule="atLeast"/>
        </w:trPr>
        <w:tc>
          <w:tcPr>
            <w:tcW w:w="2149" w:type="dxa"/>
            <w:tcBorders>
              <w:bottom w:val="single" w:color="000000" w:sz="6" w:space="0"/>
              <w:right w:val="single" w:color="000000" w:sz="6" w:space="0"/>
            </w:tcBorders>
            <w:vAlign w:val="top"/>
          </w:tcPr>
          <w:p w14:paraId="375F5A6B">
            <w:pPr>
              <w:pStyle w:val="41"/>
              <w:spacing w:before="142"/>
              <w:ind w:left="92" w:leftChars="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总价：</w:t>
            </w:r>
          </w:p>
        </w:tc>
        <w:tc>
          <w:tcPr>
            <w:tcW w:w="6926" w:type="dxa"/>
            <w:tcBorders>
              <w:left w:val="single" w:color="000000" w:sz="6" w:space="0"/>
              <w:bottom w:val="single" w:color="000000" w:sz="6" w:space="0"/>
            </w:tcBorders>
            <w:vAlign w:val="top"/>
          </w:tcPr>
          <w:p w14:paraId="0CBDB7AE">
            <w:pPr>
              <w:pStyle w:val="41"/>
              <w:tabs>
                <w:tab w:val="left" w:pos="1837"/>
                <w:tab w:val="left" w:pos="2313"/>
                <w:tab w:val="left" w:pos="4040"/>
              </w:tabs>
              <w:spacing w:before="142"/>
              <w:ind w:left="107" w:leftChars="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大写</w:t>
            </w:r>
            <w:r>
              <w:rPr>
                <w:rFonts w:hint="eastAsia" w:ascii="仿宋" w:hAnsi="仿宋" w:eastAsia="仿宋" w:cs="仿宋"/>
                <w:spacing w:val="-3"/>
                <w:sz w:val="21"/>
                <w:szCs w:val="21"/>
                <w:highlight w:val="none"/>
              </w:rPr>
              <w:t>：</w:t>
            </w:r>
            <w:r>
              <w:rPr>
                <w:rFonts w:hint="eastAsia" w:ascii="仿宋" w:hAnsi="仿宋" w:eastAsia="仿宋" w:cs="仿宋"/>
                <w:spacing w:val="-3"/>
                <w:sz w:val="21"/>
                <w:szCs w:val="21"/>
                <w:highlight w:val="none"/>
                <w:u w:val="single"/>
              </w:rPr>
              <w:t xml:space="preserve"> </w:t>
            </w:r>
            <w:r>
              <w:rPr>
                <w:rFonts w:hint="eastAsia" w:ascii="仿宋" w:hAnsi="仿宋" w:eastAsia="仿宋" w:cs="仿宋"/>
                <w:spacing w:val="-3"/>
                <w:sz w:val="21"/>
                <w:szCs w:val="21"/>
                <w:highlight w:val="none"/>
                <w:u w:val="single"/>
              </w:rPr>
              <w:tab/>
            </w:r>
            <w:r>
              <w:rPr>
                <w:rFonts w:hint="eastAsia" w:ascii="仿宋" w:hAnsi="仿宋" w:eastAsia="仿宋" w:cs="仿宋"/>
                <w:spacing w:val="-3"/>
                <w:sz w:val="21"/>
                <w:szCs w:val="21"/>
                <w:highlight w:val="none"/>
              </w:rPr>
              <w:tab/>
            </w:r>
            <w:r>
              <w:rPr>
                <w:rFonts w:hint="eastAsia" w:ascii="仿宋" w:hAnsi="仿宋" w:eastAsia="仿宋" w:cs="仿宋"/>
                <w:spacing w:val="-3"/>
                <w:sz w:val="21"/>
                <w:szCs w:val="21"/>
                <w:highlight w:val="none"/>
              </w:rPr>
              <w:t>小</w:t>
            </w:r>
            <w:r>
              <w:rPr>
                <w:rFonts w:hint="eastAsia" w:ascii="仿宋" w:hAnsi="仿宋" w:eastAsia="仿宋" w:cs="仿宋"/>
                <w:spacing w:val="-1"/>
                <w:sz w:val="21"/>
                <w:szCs w:val="21"/>
                <w:highlight w:val="none"/>
              </w:rPr>
              <w:t>写</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none"/>
                <w:lang w:val="en-US" w:eastAsia="zh-CN"/>
              </w:rPr>
              <w:t>元</w:t>
            </w:r>
          </w:p>
        </w:tc>
      </w:tr>
      <w:tr w14:paraId="6FC67C8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55" w:hRule="atLeast"/>
        </w:trPr>
        <w:tc>
          <w:tcPr>
            <w:tcW w:w="2149" w:type="dxa"/>
            <w:tcBorders>
              <w:top w:val="single" w:color="000000" w:sz="6" w:space="0"/>
              <w:bottom w:val="single" w:color="000000" w:sz="6" w:space="0"/>
              <w:right w:val="single" w:color="000000" w:sz="6" w:space="0"/>
            </w:tcBorders>
            <w:vAlign w:val="top"/>
          </w:tcPr>
          <w:p w14:paraId="2F046511">
            <w:pPr>
              <w:pStyle w:val="41"/>
              <w:spacing w:before="142"/>
              <w:ind w:left="92" w:leftChars="0"/>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合同履行期限</w:t>
            </w:r>
          </w:p>
        </w:tc>
        <w:tc>
          <w:tcPr>
            <w:tcW w:w="6926" w:type="dxa"/>
            <w:tcBorders>
              <w:top w:val="single" w:color="000000" w:sz="6" w:space="0"/>
              <w:left w:val="single" w:color="000000" w:sz="6" w:space="0"/>
              <w:bottom w:val="single" w:color="000000" w:sz="6" w:space="0"/>
            </w:tcBorders>
            <w:vAlign w:val="top"/>
          </w:tcPr>
          <w:p w14:paraId="49957642">
            <w:pPr>
              <w:pStyle w:val="41"/>
              <w:tabs>
                <w:tab w:val="left" w:pos="1837"/>
                <w:tab w:val="left" w:pos="2313"/>
                <w:tab w:val="left" w:pos="4040"/>
              </w:tabs>
              <w:spacing w:before="142"/>
              <w:ind w:left="107" w:leftChars="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 </w:t>
            </w:r>
          </w:p>
        </w:tc>
      </w:tr>
      <w:tr w14:paraId="083B868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right w:val="single" w:color="000000" w:sz="6" w:space="0"/>
            </w:tcBorders>
          </w:tcPr>
          <w:p w14:paraId="4EF2CDA0">
            <w:pPr>
              <w:pStyle w:val="41"/>
              <w:spacing w:before="142"/>
              <w:ind w:left="9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备注：</w:t>
            </w:r>
          </w:p>
        </w:tc>
        <w:tc>
          <w:tcPr>
            <w:tcW w:w="6926" w:type="dxa"/>
            <w:tcBorders>
              <w:top w:val="single" w:color="000000" w:sz="6" w:space="0"/>
              <w:left w:val="single" w:color="000000" w:sz="6" w:space="0"/>
            </w:tcBorders>
          </w:tcPr>
          <w:p w14:paraId="685EC0AE">
            <w:pPr>
              <w:pStyle w:val="41"/>
              <w:tabs>
                <w:tab w:val="left" w:pos="1837"/>
                <w:tab w:val="left" w:pos="2313"/>
                <w:tab w:val="left" w:pos="4040"/>
              </w:tabs>
              <w:spacing w:before="142"/>
              <w:ind w:left="107"/>
              <w:rPr>
                <w:rFonts w:hint="eastAsia" w:ascii="仿宋" w:hAnsi="仿宋" w:eastAsia="仿宋" w:cs="仿宋"/>
                <w:sz w:val="21"/>
                <w:szCs w:val="21"/>
                <w:highlight w:val="none"/>
              </w:rPr>
            </w:pPr>
          </w:p>
        </w:tc>
      </w:tr>
    </w:tbl>
    <w:p w14:paraId="32747346">
      <w:pPr>
        <w:widowControl w:val="0"/>
        <w:spacing w:line="360" w:lineRule="auto"/>
        <w:ind w:firstLine="210" w:firstLineChars="100"/>
        <w:jc w:val="both"/>
        <w:rPr>
          <w:rFonts w:hint="eastAsia" w:ascii="仿宋" w:hAnsi="仿宋" w:eastAsia="仿宋" w:cs="仿宋"/>
          <w:kern w:val="2"/>
          <w:sz w:val="21"/>
          <w:szCs w:val="24"/>
          <w:lang w:val="en-US" w:eastAsia="zh-CN" w:bidi="zh-CN"/>
        </w:rPr>
      </w:pPr>
      <w:r>
        <w:rPr>
          <w:rFonts w:hint="eastAsia" w:ascii="仿宋" w:hAnsi="仿宋" w:eastAsia="仿宋" w:cs="仿宋"/>
          <w:kern w:val="2"/>
          <w:sz w:val="21"/>
          <w:szCs w:val="24"/>
          <w:lang w:val="en-US" w:eastAsia="zh-CN" w:bidi="zh-CN"/>
        </w:rPr>
        <w:t>注：1.此表中，每包的响应报价应和《报价明细表》中的总价相一致。</w:t>
      </w:r>
    </w:p>
    <w:p w14:paraId="2A87E5C6">
      <w:pPr>
        <w:widowControl w:val="0"/>
        <w:spacing w:line="360" w:lineRule="auto"/>
        <w:ind w:firstLine="210" w:firstLineChars="100"/>
        <w:jc w:val="both"/>
        <w:outlineLvl w:val="9"/>
        <w:rPr>
          <w:rFonts w:hint="eastAsia" w:ascii="仿宋" w:hAnsi="仿宋" w:eastAsia="仿宋" w:cs="仿宋"/>
          <w:kern w:val="2"/>
          <w:sz w:val="21"/>
          <w:szCs w:val="24"/>
          <w:lang w:val="en-US" w:eastAsia="zh-CN" w:bidi="zh-CN"/>
        </w:rPr>
      </w:pPr>
      <w:bookmarkStart w:id="54" w:name="_Toc28372"/>
      <w:r>
        <w:rPr>
          <w:rFonts w:hint="eastAsia" w:ascii="仿宋" w:hAnsi="仿宋" w:eastAsia="仿宋" w:cs="仿宋"/>
          <w:kern w:val="2"/>
          <w:sz w:val="21"/>
          <w:szCs w:val="24"/>
          <w:lang w:val="en-US" w:eastAsia="zh-CN" w:bidi="zh-CN"/>
        </w:rPr>
        <w:t>2.本表必须按包分别填写。</w:t>
      </w:r>
      <w:bookmarkEnd w:id="54"/>
    </w:p>
    <w:p w14:paraId="0A0A0AF9">
      <w:pPr>
        <w:widowControl w:val="0"/>
        <w:spacing w:line="360" w:lineRule="auto"/>
        <w:ind w:firstLine="210" w:firstLineChars="100"/>
        <w:jc w:val="both"/>
        <w:rPr>
          <w:rFonts w:hint="default" w:ascii="仿宋" w:hAnsi="仿宋" w:eastAsia="仿宋" w:cs="仿宋"/>
          <w:kern w:val="2"/>
          <w:sz w:val="21"/>
          <w:szCs w:val="24"/>
          <w:lang w:val="en-US" w:eastAsia="zh-CN" w:bidi="zh-CN"/>
        </w:rPr>
      </w:pPr>
      <w:r>
        <w:rPr>
          <w:rFonts w:hint="eastAsia" w:ascii="仿宋" w:hAnsi="仿宋" w:eastAsia="仿宋" w:cs="仿宋"/>
          <w:kern w:val="2"/>
          <w:sz w:val="21"/>
          <w:szCs w:val="24"/>
          <w:lang w:val="en-US" w:eastAsia="zh-CN" w:bidi="zh-CN"/>
        </w:rPr>
        <w:t>3.首次报价不作为评审的依据。</w:t>
      </w:r>
    </w:p>
    <w:p w14:paraId="7EEBE554">
      <w:pPr>
        <w:widowControl w:val="0"/>
        <w:spacing w:line="360" w:lineRule="auto"/>
        <w:ind w:firstLine="210" w:firstLineChars="100"/>
        <w:jc w:val="both"/>
        <w:rPr>
          <w:rFonts w:hint="eastAsia" w:ascii="仿宋" w:hAnsi="仿宋" w:eastAsia="仿宋" w:cs="仿宋"/>
          <w:kern w:val="2"/>
          <w:sz w:val="21"/>
          <w:szCs w:val="24"/>
          <w:lang w:val="en-US" w:eastAsia="zh-CN" w:bidi="zh-CN"/>
        </w:rPr>
      </w:pPr>
    </w:p>
    <w:p w14:paraId="077E4D62">
      <w:pPr>
        <w:widowControl w:val="0"/>
        <w:spacing w:line="360" w:lineRule="auto"/>
        <w:ind w:firstLine="210" w:firstLineChars="100"/>
        <w:jc w:val="both"/>
        <w:rPr>
          <w:rFonts w:hint="eastAsia" w:ascii="仿宋" w:hAnsi="仿宋" w:eastAsia="仿宋" w:cs="仿宋"/>
          <w:kern w:val="2"/>
          <w:sz w:val="21"/>
          <w:szCs w:val="24"/>
          <w:lang w:val="en-US" w:eastAsia="zh-CN" w:bidi="zh-CN"/>
        </w:rPr>
      </w:pPr>
    </w:p>
    <w:p w14:paraId="03B2472D">
      <w:pPr>
        <w:widowControl w:val="0"/>
        <w:spacing w:line="360" w:lineRule="auto"/>
        <w:ind w:firstLine="240" w:firstLineChars="100"/>
        <w:jc w:val="both"/>
        <w:rPr>
          <w:rFonts w:hint="eastAsia" w:ascii="仿宋" w:hAnsi="仿宋" w:eastAsia="仿宋" w:cs="仿宋"/>
          <w:kern w:val="2"/>
          <w:sz w:val="24"/>
          <w:szCs w:val="24"/>
          <w:u w:val="single"/>
          <w:lang w:val="en-US" w:eastAsia="zh-CN" w:bidi="zh-CN"/>
        </w:rPr>
      </w:pPr>
      <w:r>
        <w:rPr>
          <w:rFonts w:hint="eastAsia" w:ascii="仿宋" w:hAnsi="仿宋" w:eastAsia="仿宋" w:cs="仿宋"/>
          <w:kern w:val="2"/>
          <w:sz w:val="24"/>
          <w:szCs w:val="24"/>
          <w:lang w:val="en-US" w:eastAsia="zh-CN" w:bidi="zh-CN"/>
        </w:rPr>
        <w:t>供应商名称（</w:t>
      </w:r>
      <w:r>
        <w:rPr>
          <w:rFonts w:hint="eastAsia" w:ascii="仿宋" w:hAnsi="仿宋" w:eastAsia="仿宋" w:cs="仿宋"/>
          <w:sz w:val="24"/>
          <w:highlight w:val="none"/>
          <w:lang w:val="en-US" w:eastAsia="zh-CN"/>
        </w:rPr>
        <w:t>电子印章</w:t>
      </w:r>
      <w:r>
        <w:rPr>
          <w:rFonts w:hint="eastAsia" w:ascii="仿宋" w:hAnsi="仿宋" w:eastAsia="仿宋" w:cs="仿宋"/>
          <w:kern w:val="2"/>
          <w:sz w:val="24"/>
          <w:szCs w:val="24"/>
          <w:lang w:val="en-US" w:eastAsia="zh-CN" w:bidi="zh-CN"/>
        </w:rPr>
        <w:t xml:space="preserve">）： </w:t>
      </w:r>
      <w:r>
        <w:rPr>
          <w:rFonts w:hint="eastAsia" w:ascii="仿宋" w:hAnsi="仿宋" w:eastAsia="仿宋" w:cs="仿宋"/>
          <w:kern w:val="2"/>
          <w:sz w:val="24"/>
          <w:szCs w:val="24"/>
          <w:u w:val="single"/>
          <w:lang w:val="en-US" w:eastAsia="zh-CN" w:bidi="zh-CN"/>
        </w:rPr>
        <w:t xml:space="preserve">                </w:t>
      </w:r>
    </w:p>
    <w:p w14:paraId="74CCDECB">
      <w:pPr>
        <w:widowControl w:val="0"/>
        <w:spacing w:line="360" w:lineRule="auto"/>
        <w:ind w:firstLine="240" w:firstLineChars="100"/>
        <w:jc w:val="both"/>
        <w:rPr>
          <w:rFonts w:hint="eastAsia"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日期：</w:t>
      </w:r>
      <w:r>
        <w:rPr>
          <w:rFonts w:hint="eastAsia" w:ascii="仿宋" w:hAnsi="仿宋" w:eastAsia="仿宋" w:cs="仿宋"/>
          <w:kern w:val="2"/>
          <w:sz w:val="24"/>
          <w:szCs w:val="24"/>
          <w:u w:val="single"/>
          <w:lang w:val="en-US" w:eastAsia="zh-CN" w:bidi="zh-CN"/>
        </w:rPr>
        <w:t xml:space="preserve">     年    月    日</w:t>
      </w:r>
    </w:p>
    <w:p w14:paraId="18861E70">
      <w:pPr>
        <w:pStyle w:val="22"/>
        <w:rPr>
          <w:rFonts w:hint="eastAsia" w:ascii="仿宋" w:hAnsi="仿宋" w:eastAsia="仿宋" w:cs="仿宋"/>
          <w:lang w:val="en-US" w:eastAsia="zh-CN"/>
        </w:rPr>
      </w:pPr>
    </w:p>
    <w:p w14:paraId="69C61F62">
      <w:pPr>
        <w:rPr>
          <w:rFonts w:hint="eastAsia" w:ascii="仿宋" w:hAnsi="仿宋" w:eastAsia="仿宋" w:cs="仿宋"/>
          <w:lang w:val="en-US" w:eastAsia="zh-CN"/>
        </w:rPr>
      </w:pPr>
      <w:r>
        <w:rPr>
          <w:rFonts w:hint="eastAsia" w:ascii="仿宋" w:hAnsi="仿宋" w:eastAsia="仿宋" w:cs="仿宋"/>
          <w:lang w:val="en-US" w:eastAsia="zh-CN"/>
        </w:rPr>
        <w:br w:type="page"/>
      </w:r>
    </w:p>
    <w:p w14:paraId="44CD5C3A">
      <w:pPr>
        <w:pStyle w:val="15"/>
        <w:ind w:left="0" w:leftChars="0" w:firstLine="0" w:firstLineChars="0"/>
        <w:outlineLvl w:val="2"/>
        <w:rPr>
          <w:rFonts w:hint="default" w:ascii="仿宋" w:hAnsi="仿宋" w:eastAsia="仿宋" w:cs="仿宋"/>
          <w:b/>
          <w:bCs/>
          <w:sz w:val="24"/>
          <w:szCs w:val="24"/>
          <w:lang w:val="en-US" w:eastAsia="zh-CN"/>
        </w:rPr>
      </w:pPr>
      <w:bookmarkStart w:id="55" w:name="_Toc32732"/>
      <w:r>
        <w:rPr>
          <w:rFonts w:hint="eastAsia" w:ascii="仿宋" w:hAnsi="仿宋" w:eastAsia="仿宋" w:cs="仿宋"/>
          <w:b/>
          <w:bCs/>
          <w:sz w:val="24"/>
          <w:szCs w:val="24"/>
          <w:lang w:val="en-US" w:eastAsia="zh-CN"/>
        </w:rPr>
        <w:t>6、</w:t>
      </w:r>
      <w:bookmarkEnd w:id="55"/>
      <w:r>
        <w:rPr>
          <w:rFonts w:hint="eastAsia" w:ascii="仿宋" w:hAnsi="仿宋" w:eastAsia="仿宋" w:cs="仿宋"/>
          <w:b/>
          <w:bCs/>
          <w:sz w:val="24"/>
          <w:szCs w:val="24"/>
          <w:lang w:val="en-US" w:eastAsia="zh-CN"/>
        </w:rPr>
        <w:t>报价明细表</w:t>
      </w:r>
    </w:p>
    <w:p w14:paraId="676CCB84">
      <w:pPr>
        <w:pStyle w:val="15"/>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报价明细表</w:t>
      </w:r>
    </w:p>
    <w:p w14:paraId="6A1D15E8">
      <w:pPr>
        <w:pStyle w:val="15"/>
        <w:ind w:left="0" w:leftChars="0" w:firstLine="0" w:firstLineChars="0"/>
        <w:jc w:val="center"/>
        <w:rPr>
          <w:rFonts w:hint="eastAsia" w:ascii="仿宋" w:hAnsi="仿宋" w:eastAsia="仿宋" w:cs="仿宋"/>
          <w:lang w:val="en-US" w:eastAsia="zh-CN"/>
        </w:rPr>
      </w:pPr>
    </w:p>
    <w:p w14:paraId="76F3C3B0">
      <w:pPr>
        <w:rPr>
          <w:rFonts w:hint="eastAsia" w:ascii="仿宋" w:hAnsi="仿宋" w:eastAsia="仿宋" w:cs="仿宋"/>
          <w:u w:val="single"/>
          <w:lang w:val="en-US" w:eastAsia="zh-CN"/>
        </w:rPr>
      </w:pPr>
      <w:r>
        <w:rPr>
          <w:rFonts w:hint="eastAsia" w:ascii="仿宋" w:hAnsi="仿宋" w:eastAsia="仿宋" w:cs="仿宋"/>
          <w:u w:val="none"/>
          <w:lang w:val="en-US" w:eastAsia="zh-CN"/>
        </w:rPr>
        <w:t>项目名称：</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项目编号：</w:t>
      </w:r>
      <w:r>
        <w:rPr>
          <w:rFonts w:hint="eastAsia" w:ascii="仿宋" w:hAnsi="仿宋" w:eastAsia="仿宋" w:cs="仿宋"/>
          <w:u w:val="single"/>
          <w:lang w:val="en-US" w:eastAsia="zh-CN"/>
        </w:rPr>
        <w:t xml:space="preserve">              </w:t>
      </w:r>
    </w:p>
    <w:p w14:paraId="01D032BF">
      <w:pPr>
        <w:rPr>
          <w:rFonts w:hint="eastAsia" w:ascii="仿宋" w:hAnsi="仿宋" w:eastAsia="仿宋" w:cs="仿宋"/>
          <w:u w:val="single"/>
          <w:lang w:val="en-US" w:eastAsia="zh-CN"/>
        </w:rPr>
      </w:pPr>
      <w:r>
        <w:rPr>
          <w:rFonts w:hint="eastAsia" w:ascii="仿宋" w:hAnsi="仿宋" w:eastAsia="仿宋" w:cs="仿宋"/>
          <w:u w:val="none"/>
          <w:lang w:val="en-US" w:eastAsia="zh-CN"/>
        </w:rPr>
        <w:t>标项(包)名称：</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报价单位：人民币元</w:t>
      </w:r>
    </w:p>
    <w:tbl>
      <w:tblPr>
        <w:tblStyle w:val="2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333"/>
        <w:gridCol w:w="1169"/>
        <w:gridCol w:w="973"/>
        <w:gridCol w:w="973"/>
        <w:gridCol w:w="1129"/>
        <w:gridCol w:w="1321"/>
        <w:gridCol w:w="1139"/>
      </w:tblGrid>
      <w:tr w14:paraId="5F27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7109FCDA">
            <w:pPr>
              <w:pStyle w:val="2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333" w:type="dxa"/>
            <w:vAlign w:val="center"/>
          </w:tcPr>
          <w:p w14:paraId="7D79879C">
            <w:pPr>
              <w:pStyle w:val="2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1169" w:type="dxa"/>
            <w:vAlign w:val="center"/>
          </w:tcPr>
          <w:p w14:paraId="48B61076">
            <w:pPr>
              <w:pStyle w:val="2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品牌/型号</w:t>
            </w:r>
          </w:p>
        </w:tc>
        <w:tc>
          <w:tcPr>
            <w:tcW w:w="973" w:type="dxa"/>
            <w:vAlign w:val="center"/>
          </w:tcPr>
          <w:p w14:paraId="4C7F67DA">
            <w:pPr>
              <w:pStyle w:val="26"/>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单位</w:t>
            </w:r>
          </w:p>
        </w:tc>
        <w:tc>
          <w:tcPr>
            <w:tcW w:w="973" w:type="dxa"/>
            <w:vAlign w:val="center"/>
          </w:tcPr>
          <w:p w14:paraId="79CBF794">
            <w:pPr>
              <w:pStyle w:val="2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c>
          <w:tcPr>
            <w:tcW w:w="1129" w:type="dxa"/>
            <w:vAlign w:val="center"/>
          </w:tcPr>
          <w:p w14:paraId="694450DE">
            <w:pPr>
              <w:pStyle w:val="2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1321" w:type="dxa"/>
            <w:vAlign w:val="center"/>
          </w:tcPr>
          <w:p w14:paraId="7F08FC89">
            <w:pPr>
              <w:pStyle w:val="2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合价（元）</w:t>
            </w:r>
          </w:p>
        </w:tc>
        <w:tc>
          <w:tcPr>
            <w:tcW w:w="1139" w:type="dxa"/>
            <w:vAlign w:val="center"/>
          </w:tcPr>
          <w:p w14:paraId="01761EFB">
            <w:pPr>
              <w:pStyle w:val="26"/>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4C7B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007DAF3B">
            <w:pPr>
              <w:pStyle w:val="26"/>
              <w:jc w:val="center"/>
              <w:rPr>
                <w:rFonts w:hint="eastAsia" w:ascii="仿宋" w:hAnsi="仿宋" w:eastAsia="仿宋" w:cs="仿宋"/>
                <w:color w:val="auto"/>
                <w:sz w:val="21"/>
                <w:szCs w:val="21"/>
                <w:highlight w:val="none"/>
                <w:vertAlign w:val="baseline"/>
                <w:lang w:val="en-US" w:eastAsia="zh-CN"/>
              </w:rPr>
            </w:pPr>
          </w:p>
        </w:tc>
        <w:tc>
          <w:tcPr>
            <w:tcW w:w="1333" w:type="dxa"/>
            <w:vAlign w:val="center"/>
          </w:tcPr>
          <w:p w14:paraId="7D7FF91E">
            <w:pPr>
              <w:pStyle w:val="26"/>
              <w:jc w:val="center"/>
              <w:rPr>
                <w:rFonts w:hint="eastAsia" w:ascii="仿宋" w:hAnsi="仿宋" w:eastAsia="仿宋" w:cs="仿宋"/>
                <w:color w:val="auto"/>
                <w:sz w:val="21"/>
                <w:szCs w:val="21"/>
                <w:highlight w:val="none"/>
                <w:vertAlign w:val="baseline"/>
                <w:lang w:val="en-US" w:eastAsia="zh-CN"/>
              </w:rPr>
            </w:pPr>
          </w:p>
        </w:tc>
        <w:tc>
          <w:tcPr>
            <w:tcW w:w="1169" w:type="dxa"/>
            <w:vAlign w:val="center"/>
          </w:tcPr>
          <w:p w14:paraId="6836391D">
            <w:pPr>
              <w:pStyle w:val="26"/>
              <w:jc w:val="center"/>
              <w:rPr>
                <w:rFonts w:hint="eastAsia" w:ascii="仿宋" w:hAnsi="仿宋" w:eastAsia="仿宋" w:cs="仿宋"/>
                <w:color w:val="auto"/>
                <w:sz w:val="21"/>
                <w:szCs w:val="21"/>
                <w:highlight w:val="none"/>
                <w:vertAlign w:val="baseline"/>
                <w:lang w:val="en-US" w:eastAsia="zh-CN"/>
              </w:rPr>
            </w:pPr>
          </w:p>
        </w:tc>
        <w:tc>
          <w:tcPr>
            <w:tcW w:w="973" w:type="dxa"/>
            <w:vAlign w:val="center"/>
          </w:tcPr>
          <w:p w14:paraId="261950C8">
            <w:pPr>
              <w:pStyle w:val="26"/>
              <w:jc w:val="center"/>
              <w:rPr>
                <w:rFonts w:hint="eastAsia" w:ascii="仿宋" w:hAnsi="仿宋" w:eastAsia="仿宋" w:cs="仿宋"/>
                <w:color w:val="auto"/>
                <w:sz w:val="21"/>
                <w:szCs w:val="21"/>
                <w:highlight w:val="none"/>
                <w:vertAlign w:val="baseline"/>
                <w:lang w:val="en-US" w:eastAsia="zh-CN"/>
              </w:rPr>
            </w:pPr>
          </w:p>
        </w:tc>
        <w:tc>
          <w:tcPr>
            <w:tcW w:w="973" w:type="dxa"/>
            <w:vAlign w:val="center"/>
          </w:tcPr>
          <w:p w14:paraId="6A31FD48">
            <w:pPr>
              <w:pStyle w:val="26"/>
              <w:jc w:val="center"/>
              <w:rPr>
                <w:rFonts w:hint="eastAsia" w:ascii="仿宋" w:hAnsi="仿宋" w:eastAsia="仿宋" w:cs="仿宋"/>
                <w:color w:val="auto"/>
                <w:sz w:val="21"/>
                <w:szCs w:val="21"/>
                <w:highlight w:val="none"/>
                <w:vertAlign w:val="baseline"/>
                <w:lang w:val="en-US" w:eastAsia="zh-CN"/>
              </w:rPr>
            </w:pPr>
          </w:p>
        </w:tc>
        <w:tc>
          <w:tcPr>
            <w:tcW w:w="1129" w:type="dxa"/>
            <w:vAlign w:val="center"/>
          </w:tcPr>
          <w:p w14:paraId="416516B4">
            <w:pPr>
              <w:pStyle w:val="26"/>
              <w:jc w:val="center"/>
              <w:rPr>
                <w:rFonts w:hint="eastAsia" w:ascii="仿宋" w:hAnsi="仿宋" w:eastAsia="仿宋" w:cs="仿宋"/>
                <w:color w:val="auto"/>
                <w:sz w:val="21"/>
                <w:szCs w:val="21"/>
                <w:highlight w:val="none"/>
                <w:vertAlign w:val="baseline"/>
                <w:lang w:val="en-US" w:eastAsia="zh-CN"/>
              </w:rPr>
            </w:pPr>
          </w:p>
        </w:tc>
        <w:tc>
          <w:tcPr>
            <w:tcW w:w="1321" w:type="dxa"/>
            <w:vAlign w:val="center"/>
          </w:tcPr>
          <w:p w14:paraId="6A496C46">
            <w:pPr>
              <w:pStyle w:val="26"/>
              <w:jc w:val="center"/>
              <w:rPr>
                <w:rFonts w:hint="eastAsia" w:ascii="仿宋" w:hAnsi="仿宋" w:eastAsia="仿宋" w:cs="仿宋"/>
                <w:color w:val="auto"/>
                <w:sz w:val="21"/>
                <w:szCs w:val="21"/>
                <w:highlight w:val="none"/>
                <w:vertAlign w:val="baseline"/>
                <w:lang w:val="en-US" w:eastAsia="zh-CN"/>
              </w:rPr>
            </w:pPr>
          </w:p>
        </w:tc>
        <w:tc>
          <w:tcPr>
            <w:tcW w:w="1139" w:type="dxa"/>
            <w:vAlign w:val="center"/>
          </w:tcPr>
          <w:p w14:paraId="29D24B44">
            <w:pPr>
              <w:pStyle w:val="26"/>
              <w:jc w:val="center"/>
              <w:rPr>
                <w:rFonts w:hint="eastAsia" w:ascii="仿宋" w:hAnsi="仿宋" w:eastAsia="仿宋" w:cs="仿宋"/>
                <w:color w:val="auto"/>
                <w:sz w:val="21"/>
                <w:szCs w:val="21"/>
                <w:highlight w:val="none"/>
                <w:vertAlign w:val="baseline"/>
                <w:lang w:val="en-US" w:eastAsia="zh-CN"/>
              </w:rPr>
            </w:pPr>
          </w:p>
        </w:tc>
      </w:tr>
      <w:tr w14:paraId="2AA0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657EDCDC">
            <w:pPr>
              <w:pStyle w:val="26"/>
              <w:jc w:val="center"/>
              <w:rPr>
                <w:rFonts w:hint="eastAsia" w:ascii="仿宋" w:hAnsi="仿宋" w:eastAsia="仿宋" w:cs="仿宋"/>
                <w:color w:val="auto"/>
                <w:sz w:val="21"/>
                <w:szCs w:val="21"/>
                <w:highlight w:val="none"/>
                <w:vertAlign w:val="baseline"/>
                <w:lang w:val="en-US" w:eastAsia="zh-CN"/>
              </w:rPr>
            </w:pPr>
          </w:p>
        </w:tc>
        <w:tc>
          <w:tcPr>
            <w:tcW w:w="1333" w:type="dxa"/>
            <w:vAlign w:val="center"/>
          </w:tcPr>
          <w:p w14:paraId="5F94584A">
            <w:pPr>
              <w:pStyle w:val="26"/>
              <w:jc w:val="center"/>
              <w:rPr>
                <w:rFonts w:hint="eastAsia" w:ascii="仿宋" w:hAnsi="仿宋" w:eastAsia="仿宋" w:cs="仿宋"/>
                <w:color w:val="auto"/>
                <w:sz w:val="21"/>
                <w:szCs w:val="21"/>
                <w:highlight w:val="none"/>
                <w:vertAlign w:val="baseline"/>
                <w:lang w:val="en-US" w:eastAsia="zh-CN"/>
              </w:rPr>
            </w:pPr>
          </w:p>
        </w:tc>
        <w:tc>
          <w:tcPr>
            <w:tcW w:w="1169" w:type="dxa"/>
            <w:vAlign w:val="center"/>
          </w:tcPr>
          <w:p w14:paraId="42A64C78">
            <w:pPr>
              <w:pStyle w:val="26"/>
              <w:jc w:val="center"/>
              <w:rPr>
                <w:rFonts w:hint="eastAsia" w:ascii="仿宋" w:hAnsi="仿宋" w:eastAsia="仿宋" w:cs="仿宋"/>
                <w:color w:val="auto"/>
                <w:sz w:val="21"/>
                <w:szCs w:val="21"/>
                <w:highlight w:val="none"/>
                <w:vertAlign w:val="baseline"/>
                <w:lang w:val="en-US" w:eastAsia="zh-CN"/>
              </w:rPr>
            </w:pPr>
          </w:p>
        </w:tc>
        <w:tc>
          <w:tcPr>
            <w:tcW w:w="973" w:type="dxa"/>
            <w:vAlign w:val="center"/>
          </w:tcPr>
          <w:p w14:paraId="2EA4D42E">
            <w:pPr>
              <w:pStyle w:val="26"/>
              <w:jc w:val="center"/>
              <w:rPr>
                <w:rFonts w:hint="eastAsia" w:ascii="仿宋" w:hAnsi="仿宋" w:eastAsia="仿宋" w:cs="仿宋"/>
                <w:color w:val="auto"/>
                <w:sz w:val="21"/>
                <w:szCs w:val="21"/>
                <w:highlight w:val="none"/>
                <w:vertAlign w:val="baseline"/>
                <w:lang w:val="en-US" w:eastAsia="zh-CN"/>
              </w:rPr>
            </w:pPr>
          </w:p>
        </w:tc>
        <w:tc>
          <w:tcPr>
            <w:tcW w:w="973" w:type="dxa"/>
            <w:vAlign w:val="center"/>
          </w:tcPr>
          <w:p w14:paraId="6F1E87DC">
            <w:pPr>
              <w:pStyle w:val="26"/>
              <w:jc w:val="center"/>
              <w:rPr>
                <w:rFonts w:hint="eastAsia" w:ascii="仿宋" w:hAnsi="仿宋" w:eastAsia="仿宋" w:cs="仿宋"/>
                <w:color w:val="auto"/>
                <w:sz w:val="21"/>
                <w:szCs w:val="21"/>
                <w:highlight w:val="none"/>
                <w:vertAlign w:val="baseline"/>
                <w:lang w:val="en-US" w:eastAsia="zh-CN"/>
              </w:rPr>
            </w:pPr>
          </w:p>
        </w:tc>
        <w:tc>
          <w:tcPr>
            <w:tcW w:w="1129" w:type="dxa"/>
            <w:vAlign w:val="center"/>
          </w:tcPr>
          <w:p w14:paraId="7E37B7EF">
            <w:pPr>
              <w:pStyle w:val="26"/>
              <w:jc w:val="center"/>
              <w:rPr>
                <w:rFonts w:hint="eastAsia" w:ascii="仿宋" w:hAnsi="仿宋" w:eastAsia="仿宋" w:cs="仿宋"/>
                <w:color w:val="auto"/>
                <w:sz w:val="21"/>
                <w:szCs w:val="21"/>
                <w:highlight w:val="none"/>
                <w:vertAlign w:val="baseline"/>
                <w:lang w:val="en-US" w:eastAsia="zh-CN"/>
              </w:rPr>
            </w:pPr>
          </w:p>
        </w:tc>
        <w:tc>
          <w:tcPr>
            <w:tcW w:w="1321" w:type="dxa"/>
            <w:vAlign w:val="center"/>
          </w:tcPr>
          <w:p w14:paraId="66A8036F">
            <w:pPr>
              <w:pStyle w:val="26"/>
              <w:jc w:val="center"/>
              <w:rPr>
                <w:rFonts w:hint="eastAsia" w:ascii="仿宋" w:hAnsi="仿宋" w:eastAsia="仿宋" w:cs="仿宋"/>
                <w:color w:val="auto"/>
                <w:sz w:val="21"/>
                <w:szCs w:val="21"/>
                <w:highlight w:val="none"/>
                <w:vertAlign w:val="baseline"/>
                <w:lang w:val="en-US" w:eastAsia="zh-CN"/>
              </w:rPr>
            </w:pPr>
          </w:p>
        </w:tc>
        <w:tc>
          <w:tcPr>
            <w:tcW w:w="1139" w:type="dxa"/>
            <w:vAlign w:val="center"/>
          </w:tcPr>
          <w:p w14:paraId="7405F149">
            <w:pPr>
              <w:pStyle w:val="26"/>
              <w:jc w:val="center"/>
              <w:rPr>
                <w:rFonts w:hint="eastAsia" w:ascii="仿宋" w:hAnsi="仿宋" w:eastAsia="仿宋" w:cs="仿宋"/>
                <w:color w:val="auto"/>
                <w:sz w:val="21"/>
                <w:szCs w:val="21"/>
                <w:highlight w:val="none"/>
                <w:vertAlign w:val="baseline"/>
                <w:lang w:val="en-US" w:eastAsia="zh-CN"/>
              </w:rPr>
            </w:pPr>
          </w:p>
        </w:tc>
      </w:tr>
      <w:tr w14:paraId="2E31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6A876A44">
            <w:pPr>
              <w:pStyle w:val="26"/>
              <w:jc w:val="center"/>
              <w:rPr>
                <w:rFonts w:hint="eastAsia" w:ascii="仿宋" w:hAnsi="仿宋" w:eastAsia="仿宋" w:cs="仿宋"/>
                <w:color w:val="auto"/>
                <w:sz w:val="21"/>
                <w:szCs w:val="21"/>
                <w:highlight w:val="none"/>
                <w:vertAlign w:val="baseline"/>
                <w:lang w:val="en-US" w:eastAsia="zh-CN"/>
              </w:rPr>
            </w:pPr>
          </w:p>
        </w:tc>
        <w:tc>
          <w:tcPr>
            <w:tcW w:w="1333" w:type="dxa"/>
            <w:vAlign w:val="center"/>
          </w:tcPr>
          <w:p w14:paraId="1C6B731C">
            <w:pPr>
              <w:pStyle w:val="26"/>
              <w:jc w:val="center"/>
              <w:rPr>
                <w:rFonts w:hint="eastAsia" w:ascii="仿宋" w:hAnsi="仿宋" w:eastAsia="仿宋" w:cs="仿宋"/>
                <w:color w:val="auto"/>
                <w:sz w:val="21"/>
                <w:szCs w:val="21"/>
                <w:highlight w:val="none"/>
                <w:vertAlign w:val="baseline"/>
                <w:lang w:val="en-US" w:eastAsia="zh-CN"/>
              </w:rPr>
            </w:pPr>
          </w:p>
        </w:tc>
        <w:tc>
          <w:tcPr>
            <w:tcW w:w="1169" w:type="dxa"/>
            <w:vAlign w:val="center"/>
          </w:tcPr>
          <w:p w14:paraId="7A6B99B0">
            <w:pPr>
              <w:pStyle w:val="26"/>
              <w:jc w:val="center"/>
              <w:rPr>
                <w:rFonts w:hint="eastAsia" w:ascii="仿宋" w:hAnsi="仿宋" w:eastAsia="仿宋" w:cs="仿宋"/>
                <w:color w:val="auto"/>
                <w:sz w:val="21"/>
                <w:szCs w:val="21"/>
                <w:highlight w:val="none"/>
                <w:vertAlign w:val="baseline"/>
                <w:lang w:val="en-US" w:eastAsia="zh-CN"/>
              </w:rPr>
            </w:pPr>
          </w:p>
        </w:tc>
        <w:tc>
          <w:tcPr>
            <w:tcW w:w="973" w:type="dxa"/>
            <w:vAlign w:val="center"/>
          </w:tcPr>
          <w:p w14:paraId="17299564">
            <w:pPr>
              <w:pStyle w:val="26"/>
              <w:jc w:val="center"/>
              <w:rPr>
                <w:rFonts w:hint="eastAsia" w:ascii="仿宋" w:hAnsi="仿宋" w:eastAsia="仿宋" w:cs="仿宋"/>
                <w:color w:val="auto"/>
                <w:sz w:val="21"/>
                <w:szCs w:val="21"/>
                <w:highlight w:val="none"/>
                <w:vertAlign w:val="baseline"/>
                <w:lang w:val="en-US" w:eastAsia="zh-CN"/>
              </w:rPr>
            </w:pPr>
          </w:p>
        </w:tc>
        <w:tc>
          <w:tcPr>
            <w:tcW w:w="973" w:type="dxa"/>
            <w:vAlign w:val="center"/>
          </w:tcPr>
          <w:p w14:paraId="5BAB37B8">
            <w:pPr>
              <w:pStyle w:val="26"/>
              <w:jc w:val="center"/>
              <w:rPr>
                <w:rFonts w:hint="eastAsia" w:ascii="仿宋" w:hAnsi="仿宋" w:eastAsia="仿宋" w:cs="仿宋"/>
                <w:color w:val="auto"/>
                <w:sz w:val="21"/>
                <w:szCs w:val="21"/>
                <w:highlight w:val="none"/>
                <w:vertAlign w:val="baseline"/>
                <w:lang w:val="en-US" w:eastAsia="zh-CN"/>
              </w:rPr>
            </w:pPr>
          </w:p>
        </w:tc>
        <w:tc>
          <w:tcPr>
            <w:tcW w:w="1129" w:type="dxa"/>
            <w:vAlign w:val="center"/>
          </w:tcPr>
          <w:p w14:paraId="771FC681">
            <w:pPr>
              <w:pStyle w:val="26"/>
              <w:jc w:val="center"/>
              <w:rPr>
                <w:rFonts w:hint="eastAsia" w:ascii="仿宋" w:hAnsi="仿宋" w:eastAsia="仿宋" w:cs="仿宋"/>
                <w:color w:val="auto"/>
                <w:sz w:val="21"/>
                <w:szCs w:val="21"/>
                <w:highlight w:val="none"/>
                <w:vertAlign w:val="baseline"/>
                <w:lang w:val="en-US" w:eastAsia="zh-CN"/>
              </w:rPr>
            </w:pPr>
          </w:p>
        </w:tc>
        <w:tc>
          <w:tcPr>
            <w:tcW w:w="1321" w:type="dxa"/>
            <w:vAlign w:val="center"/>
          </w:tcPr>
          <w:p w14:paraId="303D2EE3">
            <w:pPr>
              <w:pStyle w:val="26"/>
              <w:jc w:val="center"/>
              <w:rPr>
                <w:rFonts w:hint="eastAsia" w:ascii="仿宋" w:hAnsi="仿宋" w:eastAsia="仿宋" w:cs="仿宋"/>
                <w:color w:val="auto"/>
                <w:sz w:val="21"/>
                <w:szCs w:val="21"/>
                <w:highlight w:val="none"/>
                <w:vertAlign w:val="baseline"/>
                <w:lang w:val="en-US" w:eastAsia="zh-CN"/>
              </w:rPr>
            </w:pPr>
          </w:p>
        </w:tc>
        <w:tc>
          <w:tcPr>
            <w:tcW w:w="1139" w:type="dxa"/>
            <w:vAlign w:val="center"/>
          </w:tcPr>
          <w:p w14:paraId="0AD20F8E">
            <w:pPr>
              <w:pStyle w:val="26"/>
              <w:jc w:val="center"/>
              <w:rPr>
                <w:rFonts w:hint="eastAsia" w:ascii="仿宋" w:hAnsi="仿宋" w:eastAsia="仿宋" w:cs="仿宋"/>
                <w:color w:val="auto"/>
                <w:sz w:val="21"/>
                <w:szCs w:val="21"/>
                <w:highlight w:val="none"/>
                <w:vertAlign w:val="baseline"/>
                <w:lang w:val="en-US" w:eastAsia="zh-CN"/>
              </w:rPr>
            </w:pPr>
          </w:p>
        </w:tc>
      </w:tr>
      <w:tr w14:paraId="7547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5A7B947E">
            <w:pPr>
              <w:pStyle w:val="26"/>
              <w:jc w:val="center"/>
              <w:rPr>
                <w:rFonts w:hint="eastAsia" w:ascii="仿宋" w:hAnsi="仿宋" w:eastAsia="仿宋" w:cs="仿宋"/>
                <w:color w:val="auto"/>
                <w:sz w:val="21"/>
                <w:szCs w:val="21"/>
                <w:highlight w:val="none"/>
                <w:vertAlign w:val="baseline"/>
                <w:lang w:val="en-US" w:eastAsia="zh-CN"/>
              </w:rPr>
            </w:pPr>
          </w:p>
        </w:tc>
        <w:tc>
          <w:tcPr>
            <w:tcW w:w="1333" w:type="dxa"/>
            <w:vAlign w:val="center"/>
          </w:tcPr>
          <w:p w14:paraId="41551438">
            <w:pPr>
              <w:pStyle w:val="26"/>
              <w:jc w:val="center"/>
              <w:rPr>
                <w:rFonts w:hint="eastAsia" w:ascii="仿宋" w:hAnsi="仿宋" w:eastAsia="仿宋" w:cs="仿宋"/>
                <w:color w:val="auto"/>
                <w:sz w:val="21"/>
                <w:szCs w:val="21"/>
                <w:highlight w:val="none"/>
                <w:vertAlign w:val="baseline"/>
                <w:lang w:val="en-US" w:eastAsia="zh-CN"/>
              </w:rPr>
            </w:pPr>
          </w:p>
        </w:tc>
        <w:tc>
          <w:tcPr>
            <w:tcW w:w="1169" w:type="dxa"/>
            <w:vAlign w:val="center"/>
          </w:tcPr>
          <w:p w14:paraId="180061FB">
            <w:pPr>
              <w:pStyle w:val="26"/>
              <w:jc w:val="center"/>
              <w:rPr>
                <w:rFonts w:hint="eastAsia" w:ascii="仿宋" w:hAnsi="仿宋" w:eastAsia="仿宋" w:cs="仿宋"/>
                <w:color w:val="auto"/>
                <w:sz w:val="21"/>
                <w:szCs w:val="21"/>
                <w:highlight w:val="none"/>
                <w:vertAlign w:val="baseline"/>
                <w:lang w:val="en-US" w:eastAsia="zh-CN"/>
              </w:rPr>
            </w:pPr>
          </w:p>
        </w:tc>
        <w:tc>
          <w:tcPr>
            <w:tcW w:w="973" w:type="dxa"/>
            <w:vAlign w:val="center"/>
          </w:tcPr>
          <w:p w14:paraId="72CE65FB">
            <w:pPr>
              <w:pStyle w:val="26"/>
              <w:jc w:val="center"/>
              <w:rPr>
                <w:rFonts w:hint="eastAsia" w:ascii="仿宋" w:hAnsi="仿宋" w:eastAsia="仿宋" w:cs="仿宋"/>
                <w:color w:val="auto"/>
                <w:sz w:val="21"/>
                <w:szCs w:val="21"/>
                <w:highlight w:val="none"/>
                <w:vertAlign w:val="baseline"/>
                <w:lang w:val="en-US" w:eastAsia="zh-CN"/>
              </w:rPr>
            </w:pPr>
          </w:p>
        </w:tc>
        <w:tc>
          <w:tcPr>
            <w:tcW w:w="973" w:type="dxa"/>
            <w:vAlign w:val="center"/>
          </w:tcPr>
          <w:p w14:paraId="22D7BCFC">
            <w:pPr>
              <w:pStyle w:val="26"/>
              <w:jc w:val="center"/>
              <w:rPr>
                <w:rFonts w:hint="eastAsia" w:ascii="仿宋" w:hAnsi="仿宋" w:eastAsia="仿宋" w:cs="仿宋"/>
                <w:color w:val="auto"/>
                <w:sz w:val="21"/>
                <w:szCs w:val="21"/>
                <w:highlight w:val="none"/>
                <w:vertAlign w:val="baseline"/>
                <w:lang w:val="en-US" w:eastAsia="zh-CN"/>
              </w:rPr>
            </w:pPr>
          </w:p>
        </w:tc>
        <w:tc>
          <w:tcPr>
            <w:tcW w:w="1129" w:type="dxa"/>
            <w:vAlign w:val="center"/>
          </w:tcPr>
          <w:p w14:paraId="0D47150D">
            <w:pPr>
              <w:pStyle w:val="26"/>
              <w:jc w:val="center"/>
              <w:rPr>
                <w:rFonts w:hint="eastAsia" w:ascii="仿宋" w:hAnsi="仿宋" w:eastAsia="仿宋" w:cs="仿宋"/>
                <w:color w:val="auto"/>
                <w:sz w:val="21"/>
                <w:szCs w:val="21"/>
                <w:highlight w:val="none"/>
                <w:vertAlign w:val="baseline"/>
                <w:lang w:val="en-US" w:eastAsia="zh-CN"/>
              </w:rPr>
            </w:pPr>
          </w:p>
        </w:tc>
        <w:tc>
          <w:tcPr>
            <w:tcW w:w="1321" w:type="dxa"/>
            <w:vAlign w:val="center"/>
          </w:tcPr>
          <w:p w14:paraId="778A9B9D">
            <w:pPr>
              <w:pStyle w:val="26"/>
              <w:jc w:val="center"/>
              <w:rPr>
                <w:rFonts w:hint="eastAsia" w:ascii="仿宋" w:hAnsi="仿宋" w:eastAsia="仿宋" w:cs="仿宋"/>
                <w:color w:val="auto"/>
                <w:sz w:val="21"/>
                <w:szCs w:val="21"/>
                <w:highlight w:val="none"/>
                <w:vertAlign w:val="baseline"/>
                <w:lang w:val="en-US" w:eastAsia="zh-CN"/>
              </w:rPr>
            </w:pPr>
          </w:p>
        </w:tc>
        <w:tc>
          <w:tcPr>
            <w:tcW w:w="1139" w:type="dxa"/>
            <w:vAlign w:val="center"/>
          </w:tcPr>
          <w:p w14:paraId="4258C356">
            <w:pPr>
              <w:pStyle w:val="26"/>
              <w:jc w:val="center"/>
              <w:rPr>
                <w:rFonts w:hint="eastAsia" w:ascii="仿宋" w:hAnsi="仿宋" w:eastAsia="仿宋" w:cs="仿宋"/>
                <w:color w:val="auto"/>
                <w:sz w:val="21"/>
                <w:szCs w:val="21"/>
                <w:highlight w:val="none"/>
                <w:vertAlign w:val="baseline"/>
                <w:lang w:val="en-US" w:eastAsia="zh-CN"/>
              </w:rPr>
            </w:pPr>
          </w:p>
        </w:tc>
      </w:tr>
      <w:tr w14:paraId="5364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9" w:type="dxa"/>
            <w:gridSpan w:val="6"/>
            <w:vAlign w:val="center"/>
          </w:tcPr>
          <w:p w14:paraId="33805BD0">
            <w:pPr>
              <w:pStyle w:val="26"/>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总价（元）</w:t>
            </w:r>
          </w:p>
        </w:tc>
        <w:tc>
          <w:tcPr>
            <w:tcW w:w="1321" w:type="dxa"/>
            <w:vAlign w:val="center"/>
          </w:tcPr>
          <w:p w14:paraId="652F20EE">
            <w:pPr>
              <w:pStyle w:val="26"/>
              <w:jc w:val="center"/>
              <w:rPr>
                <w:rFonts w:hint="eastAsia" w:ascii="仿宋" w:hAnsi="仿宋" w:eastAsia="仿宋" w:cs="仿宋"/>
                <w:color w:val="auto"/>
                <w:sz w:val="21"/>
                <w:szCs w:val="21"/>
                <w:highlight w:val="none"/>
                <w:vertAlign w:val="baseline"/>
                <w:lang w:val="en-US" w:eastAsia="zh-CN"/>
              </w:rPr>
            </w:pPr>
          </w:p>
        </w:tc>
        <w:tc>
          <w:tcPr>
            <w:tcW w:w="1139" w:type="dxa"/>
            <w:vAlign w:val="center"/>
          </w:tcPr>
          <w:p w14:paraId="61EB3417">
            <w:pPr>
              <w:pStyle w:val="26"/>
              <w:jc w:val="center"/>
              <w:rPr>
                <w:rFonts w:hint="eastAsia" w:ascii="仿宋" w:hAnsi="仿宋" w:eastAsia="仿宋" w:cs="仿宋"/>
                <w:color w:val="auto"/>
                <w:sz w:val="21"/>
                <w:szCs w:val="21"/>
                <w:highlight w:val="none"/>
                <w:vertAlign w:val="baseline"/>
                <w:lang w:val="en-US" w:eastAsia="zh-CN"/>
              </w:rPr>
            </w:pPr>
          </w:p>
        </w:tc>
      </w:tr>
    </w:tbl>
    <w:p w14:paraId="7BA5A266">
      <w:pPr>
        <w:widowControl w:val="0"/>
        <w:spacing w:line="360" w:lineRule="auto"/>
        <w:ind w:left="0" w:leftChars="0" w:firstLine="0" w:firstLineChars="0"/>
        <w:jc w:val="both"/>
        <w:rPr>
          <w:rFonts w:hint="eastAsia" w:ascii="仿宋" w:hAnsi="仿宋" w:eastAsia="仿宋" w:cs="仿宋"/>
          <w:kern w:val="2"/>
          <w:sz w:val="21"/>
          <w:szCs w:val="24"/>
          <w:lang w:val="en-US" w:eastAsia="zh-CN" w:bidi="zh-CN"/>
        </w:rPr>
      </w:pPr>
    </w:p>
    <w:p w14:paraId="2D59FC5D">
      <w:pPr>
        <w:pStyle w:val="22"/>
        <w:rPr>
          <w:rFonts w:hint="eastAsia" w:ascii="仿宋" w:hAnsi="仿宋" w:eastAsia="仿宋" w:cs="仿宋"/>
          <w:lang w:val="en-US" w:eastAsia="zh-CN"/>
        </w:rPr>
      </w:pPr>
    </w:p>
    <w:p w14:paraId="1A231FB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注：1.本表应按包分别填写。</w:t>
      </w:r>
    </w:p>
    <w:p w14:paraId="788A876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2.如果不提供报价明细表将视为没有实质性响应采购文件。</w:t>
      </w:r>
    </w:p>
    <w:p w14:paraId="255C5D3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3.上述各项的详细规格（如有），可另页描述。</w:t>
      </w:r>
    </w:p>
    <w:p w14:paraId="5015BC05">
      <w:pPr>
        <w:spacing w:line="360" w:lineRule="auto"/>
        <w:rPr>
          <w:rFonts w:hint="eastAsia" w:ascii="仿宋" w:hAnsi="仿宋" w:eastAsia="仿宋" w:cs="仿宋"/>
          <w:sz w:val="24"/>
          <w:szCs w:val="24"/>
          <w:lang w:val="en-US" w:eastAsia="zh-CN"/>
        </w:rPr>
      </w:pPr>
    </w:p>
    <w:p w14:paraId="5DE0D021">
      <w:pPr>
        <w:spacing w:line="360" w:lineRule="auto"/>
        <w:rPr>
          <w:rFonts w:hint="eastAsia" w:ascii="仿宋" w:hAnsi="仿宋" w:eastAsia="仿宋" w:cs="仿宋"/>
          <w:sz w:val="24"/>
          <w:szCs w:val="24"/>
          <w:lang w:val="en-US" w:eastAsia="zh-CN"/>
        </w:rPr>
      </w:pPr>
    </w:p>
    <w:p w14:paraId="5B7673EB">
      <w:pPr>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供应商名称（</w:t>
      </w:r>
      <w:r>
        <w:rPr>
          <w:rFonts w:hint="eastAsia" w:ascii="仿宋" w:hAnsi="仿宋" w:eastAsia="仿宋" w:cs="仿宋"/>
          <w:sz w:val="24"/>
          <w:highlight w:val="none"/>
          <w:lang w:val="en-US" w:eastAsia="zh-CN"/>
        </w:rPr>
        <w:t>电子印章</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p>
    <w:p w14:paraId="72A8176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r>
        <w:rPr>
          <w:rFonts w:hint="eastAsia" w:ascii="仿宋" w:hAnsi="仿宋" w:eastAsia="仿宋" w:cs="仿宋"/>
          <w:sz w:val="24"/>
          <w:szCs w:val="24"/>
          <w:u w:val="single"/>
          <w:lang w:val="en-US" w:eastAsia="zh-CN"/>
        </w:rPr>
        <w:t xml:space="preserve">     年     月    日</w:t>
      </w:r>
    </w:p>
    <w:p w14:paraId="3D850301">
      <w:pPr>
        <w:pStyle w:val="15"/>
        <w:rPr>
          <w:rFonts w:hint="eastAsia" w:ascii="仿宋" w:hAnsi="仿宋" w:eastAsia="仿宋" w:cs="仿宋"/>
          <w:sz w:val="24"/>
          <w:szCs w:val="24"/>
          <w:lang w:val="en-US" w:eastAsia="zh-CN"/>
        </w:rPr>
      </w:pPr>
    </w:p>
    <w:p w14:paraId="2B922471">
      <w:pPr>
        <w:rPr>
          <w:rFonts w:hint="eastAsia" w:ascii="仿宋" w:hAnsi="仿宋" w:eastAsia="仿宋" w:cs="仿宋"/>
          <w:lang w:val="en-US" w:eastAsia="zh-CN"/>
        </w:rPr>
      </w:pPr>
      <w:r>
        <w:rPr>
          <w:rFonts w:hint="eastAsia" w:ascii="仿宋" w:hAnsi="仿宋" w:eastAsia="仿宋" w:cs="仿宋"/>
          <w:lang w:val="en-US" w:eastAsia="zh-CN"/>
        </w:rPr>
        <w:br w:type="page"/>
      </w:r>
    </w:p>
    <w:p w14:paraId="0ADCB4E8">
      <w:pPr>
        <w:pStyle w:val="22"/>
        <w:ind w:left="0" w:leftChars="0" w:firstLine="0" w:firstLineChars="0"/>
        <w:jc w:val="left"/>
        <w:outlineLvl w:val="1"/>
        <w:rPr>
          <w:rFonts w:hint="default" w:ascii="仿宋" w:hAnsi="仿宋" w:eastAsia="仿宋" w:cs="仿宋"/>
          <w:b/>
          <w:bCs/>
          <w:sz w:val="24"/>
          <w:szCs w:val="24"/>
          <w:lang w:val="en-US" w:eastAsia="zh-CN"/>
        </w:rPr>
      </w:pPr>
      <w:bookmarkStart w:id="56" w:name="_Toc24571"/>
      <w:bookmarkStart w:id="57" w:name="_Toc27376"/>
      <w:r>
        <w:rPr>
          <w:rFonts w:hint="eastAsia" w:ascii="仿宋" w:hAnsi="仿宋" w:eastAsia="仿宋" w:cs="仿宋"/>
          <w:b/>
          <w:bCs/>
          <w:sz w:val="24"/>
          <w:szCs w:val="24"/>
          <w:lang w:val="en-US" w:eastAsia="zh-CN"/>
        </w:rPr>
        <w:t>三、商务技术文件</w:t>
      </w:r>
      <w:bookmarkEnd w:id="56"/>
    </w:p>
    <w:bookmarkEnd w:id="57"/>
    <w:p w14:paraId="54EDCC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bCs/>
        </w:rPr>
      </w:pPr>
      <w:bookmarkStart w:id="58" w:name="_Toc26890"/>
      <w:r>
        <w:rPr>
          <w:rFonts w:hint="eastAsia" w:ascii="仿宋" w:hAnsi="仿宋" w:eastAsia="仿宋" w:cs="仿宋"/>
          <w:b/>
          <w:bCs/>
          <w:color w:val="000000"/>
          <w:kern w:val="0"/>
          <w:sz w:val="24"/>
          <w:szCs w:val="24"/>
          <w:lang w:val="en-US" w:eastAsia="zh-CN" w:bidi="ar"/>
        </w:rPr>
        <w:t xml:space="preserve">7、投标书 </w:t>
      </w:r>
    </w:p>
    <w:p w14:paraId="346BB28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p>
    <w:p w14:paraId="069587B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2"/>
          <w:szCs w:val="32"/>
          <w:lang w:val="en-US"/>
        </w:rPr>
      </w:pPr>
      <w:r>
        <w:rPr>
          <w:rFonts w:hint="eastAsia" w:ascii="仿宋" w:hAnsi="仿宋" w:eastAsia="仿宋" w:cs="仿宋"/>
          <w:b/>
          <w:bCs/>
          <w:color w:val="000000"/>
          <w:kern w:val="0"/>
          <w:sz w:val="32"/>
          <w:szCs w:val="32"/>
          <w:lang w:val="en-US" w:eastAsia="zh-CN" w:bidi="ar"/>
        </w:rPr>
        <w:t>投标书</w:t>
      </w:r>
    </w:p>
    <w:p w14:paraId="14AD1C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54C8D1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（采购人或采购代理机构）</w:t>
      </w:r>
      <w:r>
        <w:rPr>
          <w:rFonts w:hint="eastAsia" w:ascii="仿宋" w:hAnsi="仿宋" w:eastAsia="仿宋" w:cs="仿宋"/>
          <w:color w:val="000000"/>
          <w:kern w:val="0"/>
          <w:sz w:val="24"/>
          <w:szCs w:val="24"/>
          <w:lang w:val="en-US" w:eastAsia="zh-CN" w:bidi="ar"/>
        </w:rPr>
        <w:t xml:space="preserve"> </w:t>
      </w:r>
    </w:p>
    <w:p w14:paraId="249C22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我方参加你方就</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（采购项目名称）、</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（标项(包)名称）</w:t>
      </w:r>
      <w:r>
        <w:rPr>
          <w:rFonts w:hint="eastAsia" w:ascii="仿宋" w:hAnsi="仿宋" w:eastAsia="仿宋" w:cs="仿宋"/>
          <w:color w:val="000000"/>
          <w:kern w:val="0"/>
          <w:sz w:val="24"/>
          <w:szCs w:val="24"/>
          <w:lang w:val="en-US" w:eastAsia="zh-CN" w:bidi="ar"/>
        </w:rPr>
        <w:t xml:space="preserve">组织的采购活动，并对此项目进行投标响应。 </w:t>
      </w:r>
    </w:p>
    <w:p w14:paraId="49AB657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rPr>
      </w:pPr>
      <w:bookmarkStart w:id="59" w:name="_Toc31541"/>
      <w:r>
        <w:rPr>
          <w:rFonts w:hint="eastAsia" w:ascii="仿宋" w:hAnsi="仿宋" w:eastAsia="仿宋" w:cs="仿宋"/>
          <w:color w:val="000000"/>
          <w:kern w:val="0"/>
          <w:sz w:val="24"/>
          <w:szCs w:val="24"/>
          <w:lang w:val="en-US" w:eastAsia="zh-CN" w:bidi="ar"/>
        </w:rPr>
        <w:t>1. 我方已详细审查全部采购文件，自愿参与投标响应并承诺如下：</w:t>
      </w:r>
      <w:bookmarkEnd w:id="59"/>
      <w:r>
        <w:rPr>
          <w:rFonts w:hint="eastAsia" w:ascii="仿宋" w:hAnsi="仿宋" w:eastAsia="仿宋" w:cs="仿宋"/>
          <w:color w:val="000000"/>
          <w:kern w:val="0"/>
          <w:sz w:val="24"/>
          <w:szCs w:val="24"/>
          <w:lang w:val="en-US" w:eastAsia="zh-CN" w:bidi="ar"/>
        </w:rPr>
        <w:t xml:space="preserve"> </w:t>
      </w:r>
    </w:p>
    <w:p w14:paraId="3F4518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（1）本响应有效期为自提交响应文件的截止之日起</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个日历日。 </w:t>
      </w:r>
    </w:p>
    <w:p w14:paraId="05DCC4F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（2）除合同条款及采购需求偏离表列出的偏离外，我方响应采购文件的全部要求。 </w:t>
      </w:r>
    </w:p>
    <w:p w14:paraId="099618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（3）我方已提供的全部文件资料是真实、准确的，并对此承担一切法律后果。 </w:t>
      </w:r>
    </w:p>
    <w:p w14:paraId="6F3A65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（4）如我方成交，我方将在法律规定的期限内与你方签订合同，按照采购文件要求提交履约保证金，并在合同约定的期限内完成合同规定的全部义务。 </w:t>
      </w:r>
    </w:p>
    <w:p w14:paraId="2C2A07A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rPr>
      </w:pPr>
      <w:bookmarkStart w:id="60" w:name="_Toc30568"/>
      <w:r>
        <w:rPr>
          <w:rFonts w:hint="eastAsia" w:ascii="仿宋" w:hAnsi="仿宋" w:eastAsia="仿宋" w:cs="仿宋"/>
          <w:color w:val="000000"/>
          <w:kern w:val="0"/>
          <w:sz w:val="24"/>
          <w:szCs w:val="24"/>
          <w:lang w:val="en-US" w:eastAsia="zh-CN" w:bidi="ar"/>
        </w:rPr>
        <w:t>2. 其他补充条款（如有）：</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w:t>
      </w:r>
      <w:bookmarkEnd w:id="60"/>
      <w:r>
        <w:rPr>
          <w:rFonts w:hint="eastAsia" w:ascii="仿宋" w:hAnsi="仿宋" w:eastAsia="仿宋" w:cs="仿宋"/>
          <w:color w:val="000000"/>
          <w:kern w:val="0"/>
          <w:sz w:val="24"/>
          <w:szCs w:val="24"/>
          <w:lang w:val="en-US" w:eastAsia="zh-CN" w:bidi="ar"/>
        </w:rPr>
        <w:t xml:space="preserve"> </w:t>
      </w:r>
    </w:p>
    <w:p w14:paraId="3D23A0E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与本投标有关的一切正式往来信函请寄： </w:t>
      </w:r>
    </w:p>
    <w:p w14:paraId="54CFF4E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地址</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传真</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183164F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电话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电子函件</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678DAD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2ED61C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供应商名称（</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4E5AF9C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14:paraId="428E2404">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061D2B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8、授权委托书</w:t>
      </w:r>
      <w:bookmarkEnd w:id="58"/>
      <w:r>
        <w:rPr>
          <w:rFonts w:hint="eastAsia" w:ascii="仿宋" w:hAnsi="仿宋" w:eastAsia="仿宋" w:cs="仿宋"/>
          <w:color w:val="000000"/>
          <w:kern w:val="0"/>
          <w:sz w:val="24"/>
          <w:szCs w:val="24"/>
          <w:lang w:val="en-US" w:eastAsia="zh-CN" w:bidi="ar"/>
        </w:rPr>
        <w:t xml:space="preserve"> </w:t>
      </w:r>
    </w:p>
    <w:p w14:paraId="2FA8577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lang w:val="en-US" w:eastAsia="zh-CN" w:bidi="ar"/>
        </w:rPr>
      </w:pPr>
    </w:p>
    <w:p w14:paraId="7709ABF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授权委托书</w:t>
      </w:r>
    </w:p>
    <w:p w14:paraId="0368757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p>
    <w:p w14:paraId="2C744F8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（姓名）系</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（供应商名称）的法定代表人（单位负责人），现委托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u w:val="single"/>
          <w:lang w:val="en-US" w:eastAsia="zh-CN" w:bidi="ar"/>
        </w:rPr>
        <w:t xml:space="preserve">           （项目名称）</w:t>
      </w:r>
      <w:r>
        <w:rPr>
          <w:rFonts w:hint="eastAsia" w:ascii="仿宋" w:hAnsi="仿宋" w:eastAsia="仿宋" w:cs="仿宋"/>
          <w:color w:val="000000"/>
          <w:kern w:val="0"/>
          <w:sz w:val="24"/>
          <w:szCs w:val="24"/>
          <w:lang w:val="en-US" w:eastAsia="zh-CN" w:bidi="ar"/>
        </w:rPr>
        <w:t xml:space="preserve">响应文件和处理有关事宜，其法律后果由我方承担。 </w:t>
      </w:r>
    </w:p>
    <w:p w14:paraId="0EA116F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委托期限：自本授权委托书签署之日起至响应有效期届满之日止。 </w:t>
      </w:r>
    </w:p>
    <w:p w14:paraId="22362CA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代理人无转委托权。 </w:t>
      </w:r>
    </w:p>
    <w:p w14:paraId="26F401F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7AE4CE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供应商名称（</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2F310BA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法定代表人（单位负责人）（签字或</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4E46D7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委托代理人（签字/签章）：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66FB05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r>
        <w:rPr>
          <w:rFonts w:hint="eastAsia" w:ascii="仿宋" w:hAnsi="仿宋" w:eastAsia="仿宋" w:cs="仿宋"/>
          <w:color w:val="000000"/>
          <w:kern w:val="0"/>
          <w:sz w:val="24"/>
          <w:szCs w:val="24"/>
          <w:lang w:val="en-US" w:eastAsia="zh-CN" w:bidi="ar"/>
        </w:rPr>
        <w:t xml:space="preserve"> </w:t>
      </w:r>
    </w:p>
    <w:p w14:paraId="3B8D11F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6683474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31D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607985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c>
          <w:tcPr>
            <w:tcW w:w="4261" w:type="dxa"/>
          </w:tcPr>
          <w:p w14:paraId="37EA785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r>
    </w:tbl>
    <w:p w14:paraId="2C0CF16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委托代理人有效期内的身份证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A68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025917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c>
          <w:tcPr>
            <w:tcW w:w="4261" w:type="dxa"/>
          </w:tcPr>
          <w:p w14:paraId="12A8A9D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r>
    </w:tbl>
    <w:p w14:paraId="0C9C60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说明：1.若供应商为事业单位或其他组织或分支机构（仅当采购文件注明允许分支机构投标的），则法定代表人（单位负责人）处的签署人可为单位负责人。 </w:t>
      </w:r>
    </w:p>
    <w:p w14:paraId="49C20D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2.若响应文件中签字之处均为法定代表人（单位负责人）本人签署，则可不提供本《授权委托书》，但须提供《法定代表人（单位负责人）身份证明》。 </w:t>
      </w:r>
    </w:p>
    <w:p w14:paraId="447562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4"/>
          <w:szCs w:val="24"/>
        </w:rPr>
      </w:pPr>
      <w:bookmarkStart w:id="61" w:name="_Toc24165"/>
      <w:r>
        <w:rPr>
          <w:rFonts w:hint="eastAsia" w:ascii="仿宋" w:hAnsi="仿宋" w:eastAsia="仿宋" w:cs="仿宋"/>
          <w:color w:val="000000"/>
          <w:kern w:val="0"/>
          <w:sz w:val="24"/>
          <w:szCs w:val="24"/>
          <w:lang w:val="en-US" w:eastAsia="zh-CN" w:bidi="ar"/>
        </w:rPr>
        <w:t>3.供应商为自然人的情形，可不提供本《授权委托书》。</w:t>
      </w:r>
      <w:bookmarkEnd w:id="61"/>
    </w:p>
    <w:p w14:paraId="764E4048">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496E2F3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附：法定代表人（单位负责人）身份证明</w:t>
      </w:r>
    </w:p>
    <w:p w14:paraId="2CB76A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1C85541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 xml:space="preserve">（采购人或采购代理机构） </w:t>
      </w:r>
    </w:p>
    <w:p w14:paraId="3D2EC9D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兹证明， </w:t>
      </w:r>
    </w:p>
    <w:p w14:paraId="59DB55F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u w:val="single"/>
          <w:lang w:val="en-US" w:eastAsia="zh-CN" w:bidi="ar"/>
        </w:rPr>
      </w:pPr>
      <w:r>
        <w:rPr>
          <w:rFonts w:hint="eastAsia" w:ascii="仿宋" w:hAnsi="仿宋" w:eastAsia="仿宋" w:cs="仿宋"/>
          <w:color w:val="000000"/>
          <w:kern w:val="0"/>
          <w:sz w:val="24"/>
          <w:szCs w:val="24"/>
          <w:lang w:val="en-US" w:eastAsia="zh-CN" w:bidi="ar"/>
        </w:rPr>
        <w:t>姓名：</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性别：</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年龄：</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职务：</w:t>
      </w:r>
      <w:r>
        <w:rPr>
          <w:rFonts w:hint="eastAsia" w:ascii="仿宋" w:hAnsi="仿宋" w:eastAsia="仿宋" w:cs="仿宋"/>
          <w:color w:val="000000"/>
          <w:kern w:val="0"/>
          <w:sz w:val="24"/>
          <w:szCs w:val="24"/>
          <w:u w:val="single"/>
          <w:lang w:val="en-US" w:eastAsia="zh-CN" w:bidi="ar"/>
        </w:rPr>
        <w:t xml:space="preserve">     </w:t>
      </w:r>
    </w:p>
    <w:p w14:paraId="469BF05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系</w:t>
      </w:r>
      <w:r>
        <w:rPr>
          <w:rFonts w:hint="eastAsia" w:ascii="仿宋" w:hAnsi="仿宋" w:eastAsia="仿宋" w:cs="仿宋"/>
          <w:color w:val="000000"/>
          <w:kern w:val="0"/>
          <w:sz w:val="24"/>
          <w:szCs w:val="24"/>
          <w:u w:val="single"/>
          <w:lang w:val="en-US" w:eastAsia="zh-CN" w:bidi="ar"/>
        </w:rPr>
        <w:t xml:space="preserve">       （供应商名称）</w:t>
      </w:r>
      <w:r>
        <w:rPr>
          <w:rFonts w:hint="eastAsia" w:ascii="仿宋" w:hAnsi="仿宋" w:eastAsia="仿宋" w:cs="仿宋"/>
          <w:color w:val="000000"/>
          <w:kern w:val="0"/>
          <w:sz w:val="24"/>
          <w:szCs w:val="24"/>
          <w:lang w:val="en-US" w:eastAsia="zh-CN" w:bidi="ar"/>
        </w:rPr>
        <w:t xml:space="preserve">的法定代表人（单位负责人）。 </w:t>
      </w:r>
    </w:p>
    <w:p w14:paraId="6F5C65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2DC27F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7A6B232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附：法定代表人（单位负责人）有效期内的身份证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00E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3C16B86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vertAlign w:val="baseline"/>
                <w:lang w:val="en-US" w:eastAsia="zh-CN" w:bidi="ar"/>
              </w:rPr>
            </w:pPr>
          </w:p>
        </w:tc>
        <w:tc>
          <w:tcPr>
            <w:tcW w:w="4261" w:type="dxa"/>
          </w:tcPr>
          <w:p w14:paraId="3017CEE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vertAlign w:val="baseline"/>
                <w:lang w:val="en-US" w:eastAsia="zh-CN" w:bidi="ar"/>
              </w:rPr>
            </w:pPr>
          </w:p>
        </w:tc>
      </w:tr>
    </w:tbl>
    <w:p w14:paraId="37D128E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6DD4B12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70DEBCF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供应商名称（</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7389D73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法定代表人（单位负责人）（签字或</w:t>
      </w:r>
      <w:r>
        <w:rPr>
          <w:rFonts w:hint="eastAsia" w:ascii="仿宋" w:hAnsi="仿宋" w:eastAsia="仿宋" w:cs="仿宋"/>
          <w:sz w:val="24"/>
          <w:highlight w:val="none"/>
          <w:lang w:val="en-US" w:eastAsia="zh-CN"/>
        </w:rPr>
        <w:t>电子印章</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1FEED4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14:paraId="3AFEE2E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3D1D7A94">
      <w:pPr>
        <w:rPr>
          <w:rFonts w:hint="eastAsia" w:ascii="仿宋" w:hAnsi="仿宋" w:eastAsia="仿宋" w:cs="仿宋"/>
          <w:lang w:val="en-US" w:eastAsia="zh-CN"/>
        </w:rPr>
      </w:pPr>
      <w:r>
        <w:rPr>
          <w:rFonts w:hint="eastAsia" w:ascii="仿宋" w:hAnsi="仿宋" w:eastAsia="仿宋" w:cs="仿宋"/>
          <w:lang w:val="en-US" w:eastAsia="zh-CN"/>
        </w:rPr>
        <w:br w:type="page"/>
      </w:r>
    </w:p>
    <w:p w14:paraId="40245BEE">
      <w:pPr>
        <w:keepNext w:val="0"/>
        <w:keepLines w:val="0"/>
        <w:widowControl/>
        <w:suppressLineNumbers w:val="0"/>
        <w:jc w:val="left"/>
        <w:outlineLvl w:val="2"/>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9、磋商保证金凭证/交款单据电子件</w:t>
      </w:r>
    </w:p>
    <w:p w14:paraId="2A000158">
      <w:pPr>
        <w:rPr>
          <w:rFonts w:hint="eastAsia" w:ascii="仿宋" w:hAnsi="仿宋" w:eastAsia="仿宋" w:cs="仿宋"/>
          <w:highlight w:val="none"/>
        </w:rPr>
      </w:pPr>
      <w:r>
        <w:rPr>
          <w:rFonts w:hint="eastAsia" w:ascii="仿宋" w:hAnsi="仿宋" w:eastAsia="仿宋" w:cs="仿宋"/>
          <w:highlight w:val="none"/>
        </w:rPr>
        <w:br w:type="page"/>
      </w:r>
    </w:p>
    <w:p w14:paraId="6FADFAD5">
      <w:pPr>
        <w:pStyle w:val="22"/>
        <w:ind w:left="0" w:leftChars="0" w:firstLine="0" w:firstLineChars="0"/>
        <w:jc w:val="left"/>
        <w:outlineLvl w:val="2"/>
        <w:rPr>
          <w:rFonts w:hint="eastAsia" w:ascii="仿宋" w:hAnsi="仿宋" w:eastAsia="仿宋" w:cs="仿宋"/>
          <w:b/>
          <w:bCs/>
          <w:sz w:val="32"/>
          <w:szCs w:val="32"/>
          <w:lang w:val="en-US" w:eastAsia="zh-CN"/>
        </w:rPr>
      </w:pPr>
      <w:r>
        <w:rPr>
          <w:rFonts w:hint="eastAsia" w:ascii="仿宋" w:hAnsi="仿宋" w:eastAsia="仿宋" w:cs="仿宋"/>
          <w:b/>
          <w:bCs/>
          <w:sz w:val="24"/>
          <w:szCs w:val="24"/>
          <w:lang w:val="en-US" w:eastAsia="zh-CN"/>
        </w:rPr>
        <w:t>10、商务条款偏离表</w:t>
      </w:r>
    </w:p>
    <w:p w14:paraId="02D7367C">
      <w:pPr>
        <w:pStyle w:val="22"/>
        <w:ind w:left="0" w:leftChars="0" w:firstLine="0" w:firstLineChars="0"/>
        <w:jc w:val="center"/>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val="en-US" w:eastAsia="zh-CN"/>
        </w:rPr>
        <w:t>商务条款偏离表</w:t>
      </w:r>
    </w:p>
    <w:p w14:paraId="055B3AB0">
      <w:pPr>
        <w:rPr>
          <w:rFonts w:hint="eastAsia" w:ascii="仿宋" w:hAnsi="仿宋" w:eastAsia="仿宋" w:cs="仿宋"/>
          <w:lang w:val="en-US" w:eastAsia="zh-CN"/>
        </w:rPr>
      </w:pPr>
    </w:p>
    <w:p w14:paraId="1038DDBF">
      <w:pPr>
        <w:pStyle w:val="22"/>
        <w:ind w:left="0" w:leftChars="0" w:firstLine="0" w:firstLineChars="0"/>
        <w:jc w:val="left"/>
        <w:rPr>
          <w:rFonts w:hint="eastAsia" w:ascii="仿宋" w:hAnsi="仿宋" w:eastAsia="仿宋" w:cs="仿宋"/>
          <w:highlight w:val="none"/>
          <w:u w:val="single"/>
          <w:lang w:val="en-US" w:eastAsia="zh-CN"/>
        </w:rPr>
      </w:pPr>
      <w:r>
        <w:rPr>
          <w:rFonts w:hint="eastAsia" w:ascii="仿宋" w:hAnsi="仿宋" w:eastAsia="仿宋" w:cs="仿宋"/>
          <w:highlight w:val="none"/>
          <w:lang w:val="en-US" w:eastAsia="zh-CN"/>
        </w:rPr>
        <w:t>项目名称：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lang w:val="en-US" w:eastAsia="zh-CN"/>
        </w:rPr>
        <w:t xml:space="preserve">       项目编号</w:t>
      </w:r>
      <w:r>
        <w:rPr>
          <w:rFonts w:hint="eastAsia" w:ascii="仿宋" w:hAnsi="仿宋" w:eastAsia="仿宋" w:cs="仿宋"/>
          <w:highlight w:val="none"/>
          <w:u w:val="single"/>
          <w:lang w:val="en-US" w:eastAsia="zh-CN"/>
        </w:rPr>
        <w:t xml:space="preserve">                        </w:t>
      </w:r>
    </w:p>
    <w:p w14:paraId="420011B6">
      <w:pPr>
        <w:rPr>
          <w:rFonts w:hint="default"/>
          <w:lang w:val="en-US" w:eastAsia="zh-CN"/>
        </w:rPr>
      </w:pPr>
      <w:r>
        <w:rPr>
          <w:rFonts w:hint="eastAsia" w:ascii="仿宋" w:hAnsi="仿宋" w:eastAsia="仿宋" w:cs="仿宋"/>
          <w:highlight w:val="none"/>
          <w:lang w:val="en-US" w:eastAsia="zh-CN"/>
        </w:rPr>
        <w:t>标项(包)名称：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lang w:val="en-US" w:eastAsia="zh-CN"/>
        </w:rPr>
        <w:t xml:space="preserve">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21"/>
        <w:gridCol w:w="1901"/>
        <w:gridCol w:w="1753"/>
        <w:gridCol w:w="1561"/>
        <w:gridCol w:w="1052"/>
      </w:tblGrid>
      <w:tr w14:paraId="209C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56478A9E">
            <w:pPr>
              <w:spacing w:line="360" w:lineRule="auto"/>
              <w:rPr>
                <w:rFonts w:hint="eastAsia" w:ascii="仿宋" w:hAnsi="仿宋" w:eastAsia="仿宋" w:cs="仿宋"/>
                <w:sz w:val="21"/>
                <w:szCs w:val="21"/>
                <w:vertAlign w:val="baseline"/>
                <w:lang w:val="en-US" w:eastAsia="zh-CN"/>
              </w:rPr>
            </w:pPr>
            <w:r>
              <w:rPr>
                <w:rFonts w:hint="eastAsia" w:ascii="仿宋" w:hAnsi="仿宋" w:eastAsia="仿宋" w:cs="仿宋"/>
                <w:b/>
                <w:bCs/>
                <w:sz w:val="21"/>
                <w:szCs w:val="21"/>
                <w:vertAlign w:val="baseline"/>
                <w:lang w:val="en-US" w:eastAsia="zh-CN"/>
              </w:rPr>
              <w:t>对本项目商务条款的偏离情况（请进行勾选）：</w:t>
            </w:r>
          </w:p>
          <w:p w14:paraId="546D4563">
            <w:pPr>
              <w:spacing w:line="36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r>
              <w:rPr>
                <w:rFonts w:hint="eastAsia" w:ascii="仿宋" w:hAnsi="仿宋" w:eastAsia="仿宋" w:cs="仿宋"/>
                <w:b/>
                <w:bCs/>
                <w:sz w:val="21"/>
                <w:szCs w:val="21"/>
                <w:vertAlign w:val="baseline"/>
                <w:lang w:val="en-US" w:eastAsia="zh-CN"/>
              </w:rPr>
              <w:t>无偏离</w:t>
            </w:r>
            <w:r>
              <w:rPr>
                <w:rFonts w:hint="eastAsia" w:ascii="仿宋" w:hAnsi="仿宋" w:eastAsia="仿宋" w:cs="仿宋"/>
                <w:sz w:val="21"/>
                <w:szCs w:val="21"/>
                <w:vertAlign w:val="baseline"/>
                <w:lang w:val="en-US" w:eastAsia="zh-CN"/>
              </w:rPr>
              <w:t>（如无偏离，仅勾选无偏离即可）</w:t>
            </w:r>
          </w:p>
          <w:p w14:paraId="486C4A45">
            <w:pPr>
              <w:spacing w:line="36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r>
              <w:rPr>
                <w:rFonts w:hint="eastAsia" w:ascii="仿宋" w:hAnsi="仿宋" w:eastAsia="仿宋" w:cs="仿宋"/>
                <w:b/>
                <w:bCs/>
                <w:sz w:val="21"/>
                <w:szCs w:val="21"/>
                <w:vertAlign w:val="baseline"/>
                <w:lang w:val="en-US" w:eastAsia="zh-CN"/>
              </w:rPr>
              <w:t>有偏离</w:t>
            </w:r>
            <w:r>
              <w:rPr>
                <w:rFonts w:hint="eastAsia" w:ascii="仿宋" w:hAnsi="仿宋" w:eastAsia="仿宋" w:cs="仿宋"/>
                <w:sz w:val="21"/>
                <w:szCs w:val="21"/>
                <w:vertAlign w:val="baseline"/>
                <w:lang w:val="en-US" w:eastAsia="zh-CN"/>
              </w:rPr>
              <w:t>（如有偏离，则应在本表中对偏离项逐一列明）</w:t>
            </w:r>
          </w:p>
        </w:tc>
      </w:tr>
      <w:tr w14:paraId="2893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4D7AC5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421" w:type="dxa"/>
            <w:vAlign w:val="center"/>
          </w:tcPr>
          <w:p w14:paraId="121CA31C">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采购文件</w:t>
            </w:r>
          </w:p>
          <w:p w14:paraId="648C9E75">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条目号</w:t>
            </w:r>
          </w:p>
          <w:p w14:paraId="5878D97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（页码）</w:t>
            </w:r>
          </w:p>
        </w:tc>
        <w:tc>
          <w:tcPr>
            <w:tcW w:w="1901" w:type="dxa"/>
            <w:vAlign w:val="center"/>
          </w:tcPr>
          <w:p w14:paraId="1E2A319A">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采购文件要求</w:t>
            </w:r>
          </w:p>
        </w:tc>
        <w:tc>
          <w:tcPr>
            <w:tcW w:w="1753" w:type="dxa"/>
            <w:vAlign w:val="center"/>
          </w:tcPr>
          <w:p w14:paraId="4E50F323">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响应文件内容</w:t>
            </w:r>
          </w:p>
        </w:tc>
        <w:tc>
          <w:tcPr>
            <w:tcW w:w="1561" w:type="dxa"/>
            <w:vAlign w:val="center"/>
          </w:tcPr>
          <w:p w14:paraId="75CAD4E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偏离情况</w:t>
            </w:r>
          </w:p>
        </w:tc>
        <w:tc>
          <w:tcPr>
            <w:tcW w:w="1052" w:type="dxa"/>
            <w:vAlign w:val="center"/>
          </w:tcPr>
          <w:p w14:paraId="75632403">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说明</w:t>
            </w:r>
          </w:p>
        </w:tc>
      </w:tr>
      <w:tr w14:paraId="1990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1E1F847">
            <w:pPr>
              <w:rPr>
                <w:rFonts w:hint="eastAsia" w:ascii="仿宋" w:hAnsi="仿宋" w:eastAsia="仿宋" w:cs="仿宋"/>
                <w:sz w:val="21"/>
                <w:szCs w:val="21"/>
                <w:vertAlign w:val="baseline"/>
                <w:lang w:val="en-US" w:eastAsia="zh-CN"/>
              </w:rPr>
            </w:pPr>
          </w:p>
        </w:tc>
        <w:tc>
          <w:tcPr>
            <w:tcW w:w="1421" w:type="dxa"/>
          </w:tcPr>
          <w:p w14:paraId="51DE09AB">
            <w:pPr>
              <w:rPr>
                <w:rFonts w:hint="eastAsia" w:ascii="仿宋" w:hAnsi="仿宋" w:eastAsia="仿宋" w:cs="仿宋"/>
                <w:sz w:val="21"/>
                <w:szCs w:val="21"/>
                <w:vertAlign w:val="baseline"/>
                <w:lang w:val="en-US" w:eastAsia="zh-CN"/>
              </w:rPr>
            </w:pPr>
          </w:p>
        </w:tc>
        <w:tc>
          <w:tcPr>
            <w:tcW w:w="1901" w:type="dxa"/>
          </w:tcPr>
          <w:p w14:paraId="73673D7B">
            <w:pPr>
              <w:rPr>
                <w:rFonts w:hint="eastAsia" w:ascii="仿宋" w:hAnsi="仿宋" w:eastAsia="仿宋" w:cs="仿宋"/>
                <w:sz w:val="21"/>
                <w:szCs w:val="21"/>
                <w:vertAlign w:val="baseline"/>
                <w:lang w:val="en-US" w:eastAsia="zh-CN"/>
              </w:rPr>
            </w:pPr>
          </w:p>
        </w:tc>
        <w:tc>
          <w:tcPr>
            <w:tcW w:w="1753" w:type="dxa"/>
          </w:tcPr>
          <w:p w14:paraId="63C82CAF">
            <w:pPr>
              <w:rPr>
                <w:rFonts w:hint="eastAsia" w:ascii="仿宋" w:hAnsi="仿宋" w:eastAsia="仿宋" w:cs="仿宋"/>
                <w:sz w:val="21"/>
                <w:szCs w:val="21"/>
                <w:vertAlign w:val="baseline"/>
                <w:lang w:val="en-US" w:eastAsia="zh-CN"/>
              </w:rPr>
            </w:pPr>
          </w:p>
        </w:tc>
        <w:tc>
          <w:tcPr>
            <w:tcW w:w="1561" w:type="dxa"/>
          </w:tcPr>
          <w:p w14:paraId="34867C06">
            <w:pPr>
              <w:rPr>
                <w:rFonts w:hint="eastAsia" w:ascii="仿宋" w:hAnsi="仿宋" w:eastAsia="仿宋" w:cs="仿宋"/>
                <w:sz w:val="21"/>
                <w:szCs w:val="21"/>
                <w:vertAlign w:val="baseline"/>
                <w:lang w:val="en-US" w:eastAsia="zh-CN"/>
              </w:rPr>
            </w:pPr>
          </w:p>
        </w:tc>
        <w:tc>
          <w:tcPr>
            <w:tcW w:w="1052" w:type="dxa"/>
          </w:tcPr>
          <w:p w14:paraId="118423EE">
            <w:pPr>
              <w:rPr>
                <w:rFonts w:hint="eastAsia" w:ascii="仿宋" w:hAnsi="仿宋" w:eastAsia="仿宋" w:cs="仿宋"/>
                <w:sz w:val="21"/>
                <w:szCs w:val="21"/>
                <w:vertAlign w:val="baseline"/>
                <w:lang w:val="en-US" w:eastAsia="zh-CN"/>
              </w:rPr>
            </w:pPr>
          </w:p>
        </w:tc>
      </w:tr>
      <w:tr w14:paraId="7C1D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21B3512B">
            <w:pPr>
              <w:rPr>
                <w:rFonts w:hint="eastAsia" w:ascii="仿宋" w:hAnsi="仿宋" w:eastAsia="仿宋" w:cs="仿宋"/>
                <w:sz w:val="21"/>
                <w:szCs w:val="21"/>
                <w:vertAlign w:val="baseline"/>
                <w:lang w:val="en-US" w:eastAsia="zh-CN"/>
              </w:rPr>
            </w:pPr>
          </w:p>
        </w:tc>
        <w:tc>
          <w:tcPr>
            <w:tcW w:w="1421" w:type="dxa"/>
          </w:tcPr>
          <w:p w14:paraId="1AA97393">
            <w:pPr>
              <w:rPr>
                <w:rFonts w:hint="eastAsia" w:ascii="仿宋" w:hAnsi="仿宋" w:eastAsia="仿宋" w:cs="仿宋"/>
                <w:sz w:val="21"/>
                <w:szCs w:val="21"/>
                <w:vertAlign w:val="baseline"/>
                <w:lang w:val="en-US" w:eastAsia="zh-CN"/>
              </w:rPr>
            </w:pPr>
          </w:p>
        </w:tc>
        <w:tc>
          <w:tcPr>
            <w:tcW w:w="1901" w:type="dxa"/>
          </w:tcPr>
          <w:p w14:paraId="697DCC3F">
            <w:pPr>
              <w:rPr>
                <w:rFonts w:hint="eastAsia" w:ascii="仿宋" w:hAnsi="仿宋" w:eastAsia="仿宋" w:cs="仿宋"/>
                <w:sz w:val="21"/>
                <w:szCs w:val="21"/>
                <w:vertAlign w:val="baseline"/>
                <w:lang w:val="en-US" w:eastAsia="zh-CN"/>
              </w:rPr>
            </w:pPr>
          </w:p>
        </w:tc>
        <w:tc>
          <w:tcPr>
            <w:tcW w:w="1753" w:type="dxa"/>
          </w:tcPr>
          <w:p w14:paraId="4ECEBD55">
            <w:pPr>
              <w:rPr>
                <w:rFonts w:hint="eastAsia" w:ascii="仿宋" w:hAnsi="仿宋" w:eastAsia="仿宋" w:cs="仿宋"/>
                <w:sz w:val="21"/>
                <w:szCs w:val="21"/>
                <w:vertAlign w:val="baseline"/>
                <w:lang w:val="en-US" w:eastAsia="zh-CN"/>
              </w:rPr>
            </w:pPr>
          </w:p>
        </w:tc>
        <w:tc>
          <w:tcPr>
            <w:tcW w:w="1561" w:type="dxa"/>
          </w:tcPr>
          <w:p w14:paraId="114BCD8A">
            <w:pPr>
              <w:rPr>
                <w:rFonts w:hint="eastAsia" w:ascii="仿宋" w:hAnsi="仿宋" w:eastAsia="仿宋" w:cs="仿宋"/>
                <w:sz w:val="21"/>
                <w:szCs w:val="21"/>
                <w:vertAlign w:val="baseline"/>
                <w:lang w:val="en-US" w:eastAsia="zh-CN"/>
              </w:rPr>
            </w:pPr>
          </w:p>
        </w:tc>
        <w:tc>
          <w:tcPr>
            <w:tcW w:w="1052" w:type="dxa"/>
          </w:tcPr>
          <w:p w14:paraId="6954826D">
            <w:pPr>
              <w:rPr>
                <w:rFonts w:hint="eastAsia" w:ascii="仿宋" w:hAnsi="仿宋" w:eastAsia="仿宋" w:cs="仿宋"/>
                <w:sz w:val="21"/>
                <w:szCs w:val="21"/>
                <w:vertAlign w:val="baseline"/>
                <w:lang w:val="en-US" w:eastAsia="zh-CN"/>
              </w:rPr>
            </w:pPr>
          </w:p>
        </w:tc>
      </w:tr>
      <w:tr w14:paraId="597B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41A3E12F">
            <w:pPr>
              <w:rPr>
                <w:rFonts w:hint="eastAsia" w:ascii="仿宋" w:hAnsi="仿宋" w:eastAsia="仿宋" w:cs="仿宋"/>
                <w:sz w:val="21"/>
                <w:szCs w:val="21"/>
                <w:vertAlign w:val="baseline"/>
                <w:lang w:val="en-US" w:eastAsia="zh-CN"/>
              </w:rPr>
            </w:pPr>
          </w:p>
        </w:tc>
        <w:tc>
          <w:tcPr>
            <w:tcW w:w="1421" w:type="dxa"/>
          </w:tcPr>
          <w:p w14:paraId="6F3F7E02">
            <w:pPr>
              <w:rPr>
                <w:rFonts w:hint="eastAsia" w:ascii="仿宋" w:hAnsi="仿宋" w:eastAsia="仿宋" w:cs="仿宋"/>
                <w:sz w:val="21"/>
                <w:szCs w:val="21"/>
                <w:vertAlign w:val="baseline"/>
                <w:lang w:val="en-US" w:eastAsia="zh-CN"/>
              </w:rPr>
            </w:pPr>
          </w:p>
        </w:tc>
        <w:tc>
          <w:tcPr>
            <w:tcW w:w="1901" w:type="dxa"/>
          </w:tcPr>
          <w:p w14:paraId="051F51AA">
            <w:pPr>
              <w:rPr>
                <w:rFonts w:hint="eastAsia" w:ascii="仿宋" w:hAnsi="仿宋" w:eastAsia="仿宋" w:cs="仿宋"/>
                <w:sz w:val="21"/>
                <w:szCs w:val="21"/>
                <w:vertAlign w:val="baseline"/>
                <w:lang w:val="en-US" w:eastAsia="zh-CN"/>
              </w:rPr>
            </w:pPr>
          </w:p>
        </w:tc>
        <w:tc>
          <w:tcPr>
            <w:tcW w:w="1753" w:type="dxa"/>
          </w:tcPr>
          <w:p w14:paraId="6872057A">
            <w:pPr>
              <w:rPr>
                <w:rFonts w:hint="eastAsia" w:ascii="仿宋" w:hAnsi="仿宋" w:eastAsia="仿宋" w:cs="仿宋"/>
                <w:sz w:val="21"/>
                <w:szCs w:val="21"/>
                <w:vertAlign w:val="baseline"/>
                <w:lang w:val="en-US" w:eastAsia="zh-CN"/>
              </w:rPr>
            </w:pPr>
          </w:p>
        </w:tc>
        <w:tc>
          <w:tcPr>
            <w:tcW w:w="1561" w:type="dxa"/>
          </w:tcPr>
          <w:p w14:paraId="746671B4">
            <w:pPr>
              <w:rPr>
                <w:rFonts w:hint="eastAsia" w:ascii="仿宋" w:hAnsi="仿宋" w:eastAsia="仿宋" w:cs="仿宋"/>
                <w:sz w:val="21"/>
                <w:szCs w:val="21"/>
                <w:vertAlign w:val="baseline"/>
                <w:lang w:val="en-US" w:eastAsia="zh-CN"/>
              </w:rPr>
            </w:pPr>
          </w:p>
        </w:tc>
        <w:tc>
          <w:tcPr>
            <w:tcW w:w="1052" w:type="dxa"/>
          </w:tcPr>
          <w:p w14:paraId="1BEB90CF">
            <w:pPr>
              <w:rPr>
                <w:rFonts w:hint="eastAsia" w:ascii="仿宋" w:hAnsi="仿宋" w:eastAsia="仿宋" w:cs="仿宋"/>
                <w:sz w:val="21"/>
                <w:szCs w:val="21"/>
                <w:vertAlign w:val="baseline"/>
                <w:lang w:val="en-US" w:eastAsia="zh-CN"/>
              </w:rPr>
            </w:pPr>
          </w:p>
        </w:tc>
      </w:tr>
      <w:tr w14:paraId="679D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7A952084">
            <w:pPr>
              <w:rPr>
                <w:rFonts w:hint="eastAsia" w:ascii="仿宋" w:hAnsi="仿宋" w:eastAsia="仿宋" w:cs="仿宋"/>
                <w:sz w:val="21"/>
                <w:szCs w:val="21"/>
                <w:vertAlign w:val="baseline"/>
                <w:lang w:val="en-US" w:eastAsia="zh-CN"/>
              </w:rPr>
            </w:pPr>
          </w:p>
        </w:tc>
        <w:tc>
          <w:tcPr>
            <w:tcW w:w="1421" w:type="dxa"/>
          </w:tcPr>
          <w:p w14:paraId="67E90960">
            <w:pPr>
              <w:rPr>
                <w:rFonts w:hint="eastAsia" w:ascii="仿宋" w:hAnsi="仿宋" w:eastAsia="仿宋" w:cs="仿宋"/>
                <w:sz w:val="21"/>
                <w:szCs w:val="21"/>
                <w:vertAlign w:val="baseline"/>
                <w:lang w:val="en-US" w:eastAsia="zh-CN"/>
              </w:rPr>
            </w:pPr>
          </w:p>
        </w:tc>
        <w:tc>
          <w:tcPr>
            <w:tcW w:w="1901" w:type="dxa"/>
          </w:tcPr>
          <w:p w14:paraId="75EE83EE">
            <w:pPr>
              <w:rPr>
                <w:rFonts w:hint="eastAsia" w:ascii="仿宋" w:hAnsi="仿宋" w:eastAsia="仿宋" w:cs="仿宋"/>
                <w:sz w:val="21"/>
                <w:szCs w:val="21"/>
                <w:vertAlign w:val="baseline"/>
                <w:lang w:val="en-US" w:eastAsia="zh-CN"/>
              </w:rPr>
            </w:pPr>
          </w:p>
        </w:tc>
        <w:tc>
          <w:tcPr>
            <w:tcW w:w="1753" w:type="dxa"/>
          </w:tcPr>
          <w:p w14:paraId="44BFFFB4">
            <w:pPr>
              <w:rPr>
                <w:rFonts w:hint="eastAsia" w:ascii="仿宋" w:hAnsi="仿宋" w:eastAsia="仿宋" w:cs="仿宋"/>
                <w:sz w:val="21"/>
                <w:szCs w:val="21"/>
                <w:vertAlign w:val="baseline"/>
                <w:lang w:val="en-US" w:eastAsia="zh-CN"/>
              </w:rPr>
            </w:pPr>
          </w:p>
        </w:tc>
        <w:tc>
          <w:tcPr>
            <w:tcW w:w="1561" w:type="dxa"/>
          </w:tcPr>
          <w:p w14:paraId="19919215">
            <w:pPr>
              <w:rPr>
                <w:rFonts w:hint="eastAsia" w:ascii="仿宋" w:hAnsi="仿宋" w:eastAsia="仿宋" w:cs="仿宋"/>
                <w:sz w:val="21"/>
                <w:szCs w:val="21"/>
                <w:vertAlign w:val="baseline"/>
                <w:lang w:val="en-US" w:eastAsia="zh-CN"/>
              </w:rPr>
            </w:pPr>
          </w:p>
        </w:tc>
        <w:tc>
          <w:tcPr>
            <w:tcW w:w="1052" w:type="dxa"/>
          </w:tcPr>
          <w:p w14:paraId="3EB56E97">
            <w:pPr>
              <w:rPr>
                <w:rFonts w:hint="eastAsia" w:ascii="仿宋" w:hAnsi="仿宋" w:eastAsia="仿宋" w:cs="仿宋"/>
                <w:sz w:val="21"/>
                <w:szCs w:val="21"/>
                <w:vertAlign w:val="baseline"/>
                <w:lang w:val="en-US" w:eastAsia="zh-CN"/>
              </w:rPr>
            </w:pPr>
          </w:p>
        </w:tc>
      </w:tr>
      <w:tr w14:paraId="64B0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14B28D9A">
            <w:pPr>
              <w:rPr>
                <w:rFonts w:hint="eastAsia" w:ascii="仿宋" w:hAnsi="仿宋" w:eastAsia="仿宋" w:cs="仿宋"/>
                <w:sz w:val="21"/>
                <w:szCs w:val="21"/>
                <w:vertAlign w:val="baseline"/>
                <w:lang w:val="en-US" w:eastAsia="zh-CN"/>
              </w:rPr>
            </w:pPr>
          </w:p>
        </w:tc>
        <w:tc>
          <w:tcPr>
            <w:tcW w:w="1421" w:type="dxa"/>
          </w:tcPr>
          <w:p w14:paraId="5285C9BE">
            <w:pPr>
              <w:rPr>
                <w:rFonts w:hint="eastAsia" w:ascii="仿宋" w:hAnsi="仿宋" w:eastAsia="仿宋" w:cs="仿宋"/>
                <w:sz w:val="21"/>
                <w:szCs w:val="21"/>
                <w:vertAlign w:val="baseline"/>
                <w:lang w:val="en-US" w:eastAsia="zh-CN"/>
              </w:rPr>
            </w:pPr>
          </w:p>
        </w:tc>
        <w:tc>
          <w:tcPr>
            <w:tcW w:w="1901" w:type="dxa"/>
          </w:tcPr>
          <w:p w14:paraId="39F09831">
            <w:pPr>
              <w:rPr>
                <w:rFonts w:hint="eastAsia" w:ascii="仿宋" w:hAnsi="仿宋" w:eastAsia="仿宋" w:cs="仿宋"/>
                <w:sz w:val="21"/>
                <w:szCs w:val="21"/>
                <w:vertAlign w:val="baseline"/>
                <w:lang w:val="en-US" w:eastAsia="zh-CN"/>
              </w:rPr>
            </w:pPr>
          </w:p>
        </w:tc>
        <w:tc>
          <w:tcPr>
            <w:tcW w:w="1753" w:type="dxa"/>
          </w:tcPr>
          <w:p w14:paraId="49F3108F">
            <w:pPr>
              <w:rPr>
                <w:rFonts w:hint="eastAsia" w:ascii="仿宋" w:hAnsi="仿宋" w:eastAsia="仿宋" w:cs="仿宋"/>
                <w:sz w:val="21"/>
                <w:szCs w:val="21"/>
                <w:vertAlign w:val="baseline"/>
                <w:lang w:val="en-US" w:eastAsia="zh-CN"/>
              </w:rPr>
            </w:pPr>
          </w:p>
        </w:tc>
        <w:tc>
          <w:tcPr>
            <w:tcW w:w="1561" w:type="dxa"/>
          </w:tcPr>
          <w:p w14:paraId="44FB785B">
            <w:pPr>
              <w:rPr>
                <w:rFonts w:hint="eastAsia" w:ascii="仿宋" w:hAnsi="仿宋" w:eastAsia="仿宋" w:cs="仿宋"/>
                <w:sz w:val="21"/>
                <w:szCs w:val="21"/>
                <w:vertAlign w:val="baseline"/>
                <w:lang w:val="en-US" w:eastAsia="zh-CN"/>
              </w:rPr>
            </w:pPr>
          </w:p>
        </w:tc>
        <w:tc>
          <w:tcPr>
            <w:tcW w:w="1052" w:type="dxa"/>
          </w:tcPr>
          <w:p w14:paraId="6E4D0104">
            <w:pPr>
              <w:rPr>
                <w:rFonts w:hint="eastAsia" w:ascii="仿宋" w:hAnsi="仿宋" w:eastAsia="仿宋" w:cs="仿宋"/>
                <w:sz w:val="21"/>
                <w:szCs w:val="21"/>
                <w:vertAlign w:val="baseline"/>
                <w:lang w:val="en-US" w:eastAsia="zh-CN"/>
              </w:rPr>
            </w:pPr>
          </w:p>
        </w:tc>
      </w:tr>
    </w:tbl>
    <w:p w14:paraId="7987A9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14:paraId="5687EF41">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对商务条款中的所有要求，除本表所列明的所有偏离外，均视作供应商已对之理解和响应。</w:t>
      </w:r>
    </w:p>
    <w:p w14:paraId="22DC465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lang w:val="en-US" w:eastAsia="zh-CN"/>
        </w:rPr>
      </w:pPr>
      <w:bookmarkStart w:id="62" w:name="_Toc30559"/>
      <w:r>
        <w:rPr>
          <w:rFonts w:hint="eastAsia" w:ascii="仿宋" w:hAnsi="仿宋" w:eastAsia="仿宋" w:cs="仿宋"/>
          <w:sz w:val="24"/>
          <w:szCs w:val="24"/>
          <w:lang w:val="en-US" w:eastAsia="zh-CN"/>
        </w:rPr>
        <w:t>2. “偏离情况”列应据实填写“正偏离”或“负偏离”。</w:t>
      </w:r>
      <w:bookmarkEnd w:id="62"/>
    </w:p>
    <w:p w14:paraId="12C79E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07A098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0E9B92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供应商名称（</w:t>
      </w:r>
      <w:r>
        <w:rPr>
          <w:rFonts w:hint="eastAsia" w:ascii="仿宋" w:hAnsi="仿宋" w:eastAsia="仿宋" w:cs="仿宋"/>
          <w:sz w:val="24"/>
          <w:highlight w:val="none"/>
          <w:lang w:val="en-US" w:eastAsia="zh-CN"/>
        </w:rPr>
        <w:t>电子印章</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p>
    <w:p w14:paraId="6843F2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r>
        <w:rPr>
          <w:rFonts w:hint="eastAsia" w:ascii="仿宋" w:hAnsi="仿宋" w:eastAsia="仿宋" w:cs="仿宋"/>
          <w:sz w:val="24"/>
          <w:szCs w:val="24"/>
          <w:u w:val="single"/>
          <w:lang w:val="en-US" w:eastAsia="zh-CN"/>
        </w:rPr>
        <w:t xml:space="preserve">     年     月     日</w:t>
      </w:r>
    </w:p>
    <w:p w14:paraId="7A105DD9">
      <w:pPr>
        <w:pStyle w:val="15"/>
        <w:rPr>
          <w:rFonts w:hint="eastAsia" w:ascii="仿宋" w:hAnsi="仿宋" w:eastAsia="仿宋" w:cs="仿宋"/>
          <w:sz w:val="24"/>
          <w:szCs w:val="24"/>
          <w:lang w:val="en-US" w:eastAsia="zh-CN"/>
        </w:rPr>
      </w:pPr>
    </w:p>
    <w:p w14:paraId="00B36B70">
      <w:pPr>
        <w:rPr>
          <w:rFonts w:hint="eastAsia" w:ascii="仿宋" w:hAnsi="仿宋" w:eastAsia="仿宋" w:cs="仿宋"/>
          <w:lang w:val="en-US" w:eastAsia="zh-CN"/>
        </w:rPr>
      </w:pPr>
      <w:r>
        <w:rPr>
          <w:rFonts w:hint="eastAsia" w:ascii="仿宋" w:hAnsi="仿宋" w:eastAsia="仿宋" w:cs="仿宋"/>
          <w:lang w:val="en-US" w:eastAsia="zh-CN"/>
        </w:rPr>
        <w:br w:type="page"/>
      </w:r>
    </w:p>
    <w:p w14:paraId="3990C404">
      <w:pPr>
        <w:pStyle w:val="22"/>
        <w:ind w:left="0" w:leftChars="0" w:firstLine="0" w:firstLineChars="0"/>
        <w:outlineLvl w:val="2"/>
        <w:rPr>
          <w:rFonts w:hint="eastAsia" w:ascii="仿宋" w:hAnsi="仿宋" w:eastAsia="仿宋" w:cs="仿宋"/>
          <w:b/>
          <w:bCs/>
          <w:sz w:val="24"/>
          <w:szCs w:val="24"/>
          <w:lang w:val="en-US" w:eastAsia="zh-CN"/>
        </w:rPr>
      </w:pPr>
      <w:bookmarkStart w:id="63" w:name="_Toc12415"/>
      <w:r>
        <w:rPr>
          <w:rFonts w:hint="eastAsia" w:ascii="仿宋" w:hAnsi="仿宋" w:eastAsia="仿宋" w:cs="仿宋"/>
          <w:b/>
          <w:bCs/>
          <w:sz w:val="24"/>
          <w:szCs w:val="24"/>
          <w:lang w:val="en-US" w:eastAsia="zh-CN"/>
        </w:rPr>
        <w:t>11、技术要求偏离表</w:t>
      </w:r>
      <w:bookmarkEnd w:id="63"/>
    </w:p>
    <w:p w14:paraId="21C5409F">
      <w:pPr>
        <w:pStyle w:val="22"/>
        <w:ind w:left="0" w:leftChars="0" w:firstLine="0" w:firstLineChars="0"/>
        <w:rPr>
          <w:rFonts w:hint="eastAsia" w:ascii="仿宋" w:hAnsi="仿宋" w:eastAsia="仿宋" w:cs="仿宋"/>
          <w:sz w:val="24"/>
          <w:szCs w:val="24"/>
          <w:lang w:val="en-US" w:eastAsia="zh-CN"/>
        </w:rPr>
      </w:pPr>
    </w:p>
    <w:p w14:paraId="15E8DE16">
      <w:pPr>
        <w:pStyle w:val="22"/>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技术要求偏离表</w:t>
      </w:r>
    </w:p>
    <w:p w14:paraId="57ABB5DC">
      <w:pPr>
        <w:pStyle w:val="22"/>
        <w:ind w:left="0" w:leftChars="0" w:firstLine="0" w:firstLineChars="0"/>
        <w:rPr>
          <w:rFonts w:hint="eastAsia" w:ascii="仿宋" w:hAnsi="仿宋" w:eastAsia="仿宋" w:cs="仿宋"/>
          <w:sz w:val="24"/>
          <w:szCs w:val="24"/>
          <w:lang w:val="en-US" w:eastAsia="zh-CN"/>
        </w:rPr>
      </w:pPr>
    </w:p>
    <w:p w14:paraId="6CCE6F01">
      <w:pPr>
        <w:pStyle w:val="22"/>
        <w:ind w:left="0" w:leftChars="0" w:firstLine="0" w:firstLineChars="0"/>
        <w:jc w:val="left"/>
        <w:rPr>
          <w:rFonts w:hint="eastAsia" w:ascii="仿宋" w:hAnsi="仿宋" w:eastAsia="仿宋" w:cs="仿宋"/>
          <w:highlight w:val="none"/>
          <w:u w:val="single"/>
          <w:lang w:val="en-US" w:eastAsia="zh-CN"/>
        </w:rPr>
      </w:pPr>
      <w:r>
        <w:rPr>
          <w:rFonts w:hint="eastAsia" w:ascii="仿宋" w:hAnsi="仿宋" w:eastAsia="仿宋" w:cs="仿宋"/>
          <w:highlight w:val="none"/>
          <w:lang w:val="en-US" w:eastAsia="zh-CN"/>
        </w:rPr>
        <w:t>项目名称：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lang w:val="en-US" w:eastAsia="zh-CN"/>
        </w:rPr>
        <w:t xml:space="preserve">       项目编号</w:t>
      </w:r>
      <w:r>
        <w:rPr>
          <w:rFonts w:hint="eastAsia" w:ascii="仿宋" w:hAnsi="仿宋" w:eastAsia="仿宋" w:cs="仿宋"/>
          <w:highlight w:val="none"/>
          <w:u w:val="single"/>
          <w:lang w:val="en-US" w:eastAsia="zh-CN"/>
        </w:rPr>
        <w:t xml:space="preserve">                        </w:t>
      </w:r>
    </w:p>
    <w:p w14:paraId="603D5E21">
      <w:pPr>
        <w:rPr>
          <w:rFonts w:hint="default"/>
          <w:lang w:val="en-US" w:eastAsia="zh-CN"/>
        </w:rPr>
      </w:pPr>
      <w:r>
        <w:rPr>
          <w:rFonts w:hint="eastAsia" w:ascii="仿宋" w:hAnsi="仿宋" w:eastAsia="仿宋" w:cs="仿宋"/>
          <w:highlight w:val="none"/>
          <w:lang w:val="en-US" w:eastAsia="zh-CN"/>
        </w:rPr>
        <w:t>标项(包)名称：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lang w:val="en-US" w:eastAsia="zh-CN"/>
        </w:rPr>
        <w:t xml:space="preserve">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22"/>
        <w:gridCol w:w="1805"/>
        <w:gridCol w:w="1672"/>
        <w:gridCol w:w="1421"/>
        <w:gridCol w:w="1421"/>
      </w:tblGrid>
      <w:tr w14:paraId="40BB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B9E32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422" w:type="dxa"/>
            <w:vAlign w:val="center"/>
          </w:tcPr>
          <w:p w14:paraId="1A19BB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采购文件条</w:t>
            </w:r>
          </w:p>
          <w:p w14:paraId="2F1EC9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目号(页码)</w:t>
            </w:r>
          </w:p>
        </w:tc>
        <w:tc>
          <w:tcPr>
            <w:tcW w:w="1805" w:type="dxa"/>
            <w:vAlign w:val="center"/>
          </w:tcPr>
          <w:p w14:paraId="67C9B8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采购文件要求</w:t>
            </w:r>
          </w:p>
        </w:tc>
        <w:tc>
          <w:tcPr>
            <w:tcW w:w="1672" w:type="dxa"/>
            <w:vAlign w:val="center"/>
          </w:tcPr>
          <w:p w14:paraId="38950A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响应文件内容</w:t>
            </w:r>
          </w:p>
        </w:tc>
        <w:tc>
          <w:tcPr>
            <w:tcW w:w="1421" w:type="dxa"/>
            <w:vAlign w:val="center"/>
          </w:tcPr>
          <w:p w14:paraId="02AAC2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偏离情况</w:t>
            </w:r>
          </w:p>
        </w:tc>
        <w:tc>
          <w:tcPr>
            <w:tcW w:w="1421" w:type="dxa"/>
            <w:vAlign w:val="center"/>
          </w:tcPr>
          <w:p w14:paraId="5E4054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说明</w:t>
            </w:r>
          </w:p>
        </w:tc>
      </w:tr>
      <w:tr w14:paraId="5B08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A099B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2" w:type="dxa"/>
          </w:tcPr>
          <w:p w14:paraId="461167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805" w:type="dxa"/>
          </w:tcPr>
          <w:p w14:paraId="41C39F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672" w:type="dxa"/>
          </w:tcPr>
          <w:p w14:paraId="27423D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050007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054519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r>
      <w:tr w14:paraId="6CB2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62A43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2" w:type="dxa"/>
          </w:tcPr>
          <w:p w14:paraId="2BCB12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805" w:type="dxa"/>
          </w:tcPr>
          <w:p w14:paraId="50ADC7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672" w:type="dxa"/>
          </w:tcPr>
          <w:p w14:paraId="0E8B17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6BFB2D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7B4B35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r>
      <w:tr w14:paraId="0BD5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C07B3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2" w:type="dxa"/>
          </w:tcPr>
          <w:p w14:paraId="104550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805" w:type="dxa"/>
          </w:tcPr>
          <w:p w14:paraId="76A62D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672" w:type="dxa"/>
          </w:tcPr>
          <w:p w14:paraId="0AA668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35918B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2270C5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r>
      <w:tr w14:paraId="4046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1895A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2" w:type="dxa"/>
          </w:tcPr>
          <w:p w14:paraId="75958F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805" w:type="dxa"/>
          </w:tcPr>
          <w:p w14:paraId="214092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672" w:type="dxa"/>
          </w:tcPr>
          <w:p w14:paraId="197FC5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551A86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7D47F8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r>
      <w:tr w14:paraId="2C9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D0962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2" w:type="dxa"/>
          </w:tcPr>
          <w:p w14:paraId="7F08BD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805" w:type="dxa"/>
          </w:tcPr>
          <w:p w14:paraId="2E02BA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672" w:type="dxa"/>
          </w:tcPr>
          <w:p w14:paraId="21CD87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4C3286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5A8158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r>
      <w:tr w14:paraId="4AE2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E31D9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2" w:type="dxa"/>
          </w:tcPr>
          <w:p w14:paraId="27BF16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805" w:type="dxa"/>
          </w:tcPr>
          <w:p w14:paraId="10B8E2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672" w:type="dxa"/>
          </w:tcPr>
          <w:p w14:paraId="662002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4EE10F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22C1AC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r>
      <w:tr w14:paraId="00E6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D40E2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2" w:type="dxa"/>
          </w:tcPr>
          <w:p w14:paraId="0A3566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805" w:type="dxa"/>
          </w:tcPr>
          <w:p w14:paraId="683B0B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672" w:type="dxa"/>
          </w:tcPr>
          <w:p w14:paraId="1A9FCC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58E262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c>
          <w:tcPr>
            <w:tcW w:w="1421" w:type="dxa"/>
          </w:tcPr>
          <w:p w14:paraId="7EB893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vertAlign w:val="baseline"/>
                <w:lang w:val="en-US" w:eastAsia="zh-CN"/>
              </w:rPr>
            </w:pPr>
          </w:p>
        </w:tc>
      </w:tr>
    </w:tbl>
    <w:p w14:paraId="695BEB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14:paraId="5B3FB312">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对照采购文件技术规格，逐条说明所提供产品或服务已对采购文件的技术规格做出了实质性的响应，或申明与技术规格条文的偏差和例外。</w:t>
      </w:r>
    </w:p>
    <w:p w14:paraId="1EDF457C">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“偏离情况”列应据实填写“正偏离”、“负偏离”或“无偏离”。</w:t>
      </w:r>
    </w:p>
    <w:p w14:paraId="4C5F12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0AC2E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6156BF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供应商名称（加盖公章）： </w:t>
      </w:r>
      <w:r>
        <w:rPr>
          <w:rFonts w:hint="eastAsia" w:ascii="仿宋" w:hAnsi="仿宋" w:eastAsia="仿宋" w:cs="仿宋"/>
          <w:sz w:val="24"/>
          <w:szCs w:val="24"/>
          <w:u w:val="single"/>
          <w:lang w:val="en-US" w:eastAsia="zh-CN"/>
        </w:rPr>
        <w:t xml:space="preserve">              </w:t>
      </w:r>
    </w:p>
    <w:p w14:paraId="5AF9FE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r>
        <w:rPr>
          <w:rFonts w:hint="eastAsia" w:ascii="仿宋" w:hAnsi="仿宋" w:eastAsia="仿宋" w:cs="仿宋"/>
          <w:sz w:val="24"/>
          <w:szCs w:val="24"/>
          <w:u w:val="single"/>
          <w:lang w:val="en-US" w:eastAsia="zh-CN"/>
        </w:rPr>
        <w:t xml:space="preserve">     年     月     日</w:t>
      </w:r>
    </w:p>
    <w:p w14:paraId="6C85E0A9">
      <w:pPr>
        <w:rPr>
          <w:rFonts w:hint="eastAsia" w:ascii="仿宋" w:hAnsi="仿宋" w:eastAsia="仿宋" w:cs="仿宋"/>
          <w:lang w:val="en-US" w:eastAsia="zh-CN"/>
        </w:rPr>
      </w:pPr>
      <w:r>
        <w:rPr>
          <w:rFonts w:hint="eastAsia" w:ascii="仿宋" w:hAnsi="仿宋" w:eastAsia="仿宋" w:cs="仿宋"/>
          <w:lang w:val="en-US" w:eastAsia="zh-CN"/>
        </w:rPr>
        <w:br w:type="page"/>
      </w:r>
    </w:p>
    <w:p w14:paraId="5BB66E88">
      <w:pPr>
        <w:widowControl w:val="0"/>
        <w:spacing w:line="360" w:lineRule="auto"/>
        <w:ind w:left="0" w:leftChars="0" w:firstLine="0" w:firstLineChars="0"/>
        <w:jc w:val="both"/>
        <w:outlineLvl w:val="2"/>
        <w:rPr>
          <w:rFonts w:hint="default" w:ascii="仿宋" w:hAnsi="仿宋" w:eastAsia="仿宋" w:cs="仿宋"/>
          <w:b/>
          <w:bCs/>
          <w:kern w:val="2"/>
          <w:sz w:val="24"/>
          <w:szCs w:val="24"/>
          <w:lang w:val="en-US" w:eastAsia="zh-CN" w:bidi="zh-CN"/>
        </w:rPr>
      </w:pPr>
      <w:r>
        <w:rPr>
          <w:rFonts w:hint="eastAsia" w:ascii="仿宋" w:hAnsi="仿宋" w:eastAsia="仿宋" w:cs="仿宋"/>
          <w:b/>
          <w:bCs/>
          <w:kern w:val="2"/>
          <w:sz w:val="24"/>
          <w:szCs w:val="24"/>
          <w:lang w:val="en-US" w:eastAsia="zh-CN" w:bidi="zh-CN"/>
        </w:rPr>
        <w:t>12、采购文件要求提供或供应商认为应附的商务技术文件</w:t>
      </w:r>
    </w:p>
    <w:p w14:paraId="6B9A9D13">
      <w:pPr>
        <w:pStyle w:val="44"/>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供应商应根据采购文件的规定自行编写， 详细叙述拟提供产品/服务情况。</w:t>
      </w:r>
    </w:p>
    <w:p w14:paraId="6DE795C6">
      <w:pPr>
        <w:pStyle w:val="22"/>
        <w:ind w:left="0" w:leftChars="0" w:firstLine="0" w:firstLineChars="0"/>
        <w:rPr>
          <w:rFonts w:hint="eastAsia" w:ascii="仿宋" w:hAnsi="仿宋" w:eastAsia="仿宋" w:cs="仿宋"/>
          <w:lang w:val="en-US" w:eastAsia="zh-CN"/>
        </w:rPr>
      </w:pPr>
      <w:r>
        <w:rPr>
          <w:rFonts w:hint="eastAsia" w:ascii="仿宋" w:hAnsi="仿宋" w:eastAsia="仿宋" w:cs="仿宋"/>
          <w:highlight w:val="none"/>
          <w:lang w:val="en-US" w:eastAsia="zh-CN"/>
        </w:rPr>
        <w:br w:type="page"/>
      </w:r>
    </w:p>
    <w:p w14:paraId="7E25A031">
      <w:pPr>
        <w:rPr>
          <w:rFonts w:hint="eastAsia" w:ascii="仿宋" w:hAnsi="仿宋" w:eastAsia="仿宋" w:cs="仿宋"/>
          <w:lang w:val="en-US" w:eastAsia="zh-CN"/>
        </w:rPr>
      </w:pPr>
    </w:p>
    <w:p w14:paraId="30F22A6F">
      <w:pPr>
        <w:keepNext/>
        <w:keepLines/>
        <w:widowControl w:val="0"/>
        <w:spacing w:before="0" w:after="260" w:line="240" w:lineRule="atLeast"/>
        <w:jc w:val="both"/>
        <w:outlineLvl w:val="2"/>
        <w:rPr>
          <w:rFonts w:hint="eastAsia" w:ascii="仿宋" w:hAnsi="仿宋" w:eastAsia="仿宋" w:cs="仿宋"/>
          <w:b/>
          <w:bCs/>
          <w:kern w:val="2"/>
          <w:sz w:val="24"/>
          <w:szCs w:val="32"/>
          <w:lang w:val="en-US" w:eastAsia="zh-CN" w:bidi="ar-SA"/>
        </w:rPr>
      </w:pPr>
      <w:bookmarkStart w:id="64" w:name="_Toc216582819"/>
      <w:bookmarkStart w:id="65" w:name="_Toc520356224"/>
      <w:bookmarkStart w:id="66" w:name="_Toc480942355"/>
      <w:bookmarkStart w:id="67" w:name="_Ref467988543"/>
      <w:bookmarkStart w:id="68" w:name="_Toc20238"/>
      <w:bookmarkStart w:id="69" w:name="_Toc15963"/>
      <w:bookmarkStart w:id="70" w:name="_Toc21379"/>
      <w:bookmarkStart w:id="71" w:name="_Toc507399535"/>
      <w:bookmarkStart w:id="72" w:name="_Toc4183"/>
      <w:bookmarkStart w:id="73" w:name="_Toc9592"/>
      <w:bookmarkStart w:id="74" w:name="_Toc21320"/>
      <w:bookmarkStart w:id="75" w:name="_Toc17143"/>
      <w:bookmarkStart w:id="76" w:name="_Toc3420"/>
      <w:bookmarkStart w:id="77" w:name="_Toc8281"/>
      <w:r>
        <w:rPr>
          <w:rFonts w:hint="eastAsia" w:ascii="仿宋" w:hAnsi="仿宋" w:eastAsia="仿宋" w:cs="仿宋"/>
          <w:b/>
          <w:bCs/>
          <w:kern w:val="2"/>
          <w:sz w:val="24"/>
          <w:szCs w:val="32"/>
          <w:lang w:val="en-US" w:eastAsia="zh-CN" w:bidi="ar-SA"/>
        </w:rPr>
        <w:t>13</w:t>
      </w:r>
      <w:bookmarkEnd w:id="64"/>
      <w:bookmarkEnd w:id="65"/>
      <w:bookmarkEnd w:id="66"/>
      <w:bookmarkEnd w:id="67"/>
      <w:bookmarkStart w:id="78" w:name="_Hlt520350957"/>
      <w:bookmarkEnd w:id="78"/>
      <w:bookmarkStart w:id="79" w:name="_Hlt520274065"/>
      <w:bookmarkEnd w:id="79"/>
      <w:bookmarkStart w:id="80" w:name="_Hlt520343000"/>
      <w:bookmarkEnd w:id="80"/>
      <w:bookmarkStart w:id="81" w:name="_Hlt520343392"/>
      <w:bookmarkEnd w:id="81"/>
      <w:bookmarkStart w:id="82" w:name="_Hlt520273711"/>
      <w:bookmarkEnd w:id="82"/>
      <w:bookmarkStart w:id="83" w:name="_Hlt520274407"/>
      <w:bookmarkEnd w:id="83"/>
      <w:bookmarkStart w:id="84" w:name="_Hlt520273973"/>
      <w:bookmarkEnd w:id="84"/>
      <w:bookmarkStart w:id="85" w:name="_Hlt520274911"/>
      <w:bookmarkEnd w:id="85"/>
      <w:bookmarkStart w:id="86" w:name="_Hlt520350918"/>
      <w:bookmarkEnd w:id="86"/>
      <w:bookmarkStart w:id="87" w:name="_Hlt520271212"/>
      <w:bookmarkEnd w:id="87"/>
      <w:bookmarkStart w:id="88" w:name="_Hlt520274393"/>
      <w:bookmarkEnd w:id="88"/>
      <w:bookmarkStart w:id="89" w:name="_Toc216513801"/>
      <w:bookmarkStart w:id="90" w:name="_Toc216582821"/>
      <w:r>
        <w:rPr>
          <w:rFonts w:hint="eastAsia" w:ascii="仿宋" w:hAnsi="仿宋" w:eastAsia="仿宋" w:cs="仿宋"/>
          <w:b/>
          <w:bCs/>
          <w:kern w:val="2"/>
          <w:sz w:val="24"/>
          <w:szCs w:val="32"/>
          <w:lang w:val="en-US" w:eastAsia="zh-CN" w:bidi="ar-SA"/>
        </w:rPr>
        <w:t>、中标服务费承诺书</w:t>
      </w:r>
      <w:bookmarkEnd w:id="68"/>
      <w:bookmarkEnd w:id="69"/>
      <w:bookmarkEnd w:id="70"/>
      <w:bookmarkEnd w:id="71"/>
      <w:bookmarkEnd w:id="72"/>
      <w:bookmarkEnd w:id="73"/>
      <w:bookmarkEnd w:id="74"/>
      <w:bookmarkEnd w:id="75"/>
    </w:p>
    <w:p w14:paraId="3F34144E">
      <w:pPr>
        <w:spacing w:line="240" w:lineRule="atLeast"/>
        <w:ind w:left="1157" w:leftChars="257" w:hanging="540"/>
        <w:rPr>
          <w:rFonts w:hint="eastAsia" w:ascii="仿宋" w:hAnsi="仿宋" w:eastAsia="仿宋" w:cs="仿宋"/>
          <w:b/>
          <w:sz w:val="24"/>
        </w:rPr>
      </w:pPr>
    </w:p>
    <w:p w14:paraId="6043FF20">
      <w:pPr>
        <w:spacing w:line="240" w:lineRule="atLeast"/>
        <w:ind w:left="1157" w:leftChars="257" w:hanging="540"/>
        <w:jc w:val="center"/>
        <w:rPr>
          <w:rFonts w:hint="eastAsia" w:ascii="仿宋" w:hAnsi="仿宋" w:eastAsia="仿宋" w:cs="仿宋"/>
          <w:b/>
          <w:bCs/>
          <w:sz w:val="24"/>
        </w:rPr>
      </w:pPr>
      <w:r>
        <w:rPr>
          <w:rFonts w:hint="eastAsia" w:ascii="仿宋" w:hAnsi="仿宋" w:eastAsia="仿宋" w:cs="仿宋"/>
          <w:b/>
          <w:bCs/>
          <w:sz w:val="24"/>
        </w:rPr>
        <w:t>中标服务费承诺书</w:t>
      </w:r>
    </w:p>
    <w:p w14:paraId="7DD74E0B">
      <w:pPr>
        <w:spacing w:line="440" w:lineRule="exact"/>
        <w:ind w:left="1080" w:hanging="1080"/>
        <w:rPr>
          <w:rFonts w:hint="eastAsia" w:ascii="仿宋" w:hAnsi="仿宋" w:eastAsia="仿宋" w:cs="仿宋"/>
          <w:sz w:val="24"/>
        </w:rPr>
      </w:pPr>
    </w:p>
    <w:p w14:paraId="1FFE20D2">
      <w:pPr>
        <w:spacing w:line="360" w:lineRule="auto"/>
        <w:ind w:left="1080" w:hanging="1080"/>
        <w:rPr>
          <w:rFonts w:hint="eastAsia" w:ascii="仿宋" w:hAnsi="仿宋" w:eastAsia="仿宋" w:cs="仿宋"/>
          <w:sz w:val="24"/>
          <w:u w:val="single"/>
          <w:lang w:val="en-US" w:eastAsia="zh-CN"/>
        </w:rPr>
      </w:pPr>
      <w:r>
        <w:rPr>
          <w:rFonts w:hint="eastAsia" w:ascii="仿宋" w:hAnsi="仿宋" w:eastAsia="仿宋" w:cs="仿宋"/>
          <w:sz w:val="24"/>
        </w:rPr>
        <w:t>致：</w:t>
      </w:r>
      <w:r>
        <w:rPr>
          <w:rFonts w:hint="eastAsia" w:ascii="仿宋" w:hAnsi="仿宋" w:eastAsia="仿宋" w:cs="仿宋"/>
          <w:sz w:val="24"/>
          <w:lang w:val="en-US" w:eastAsia="zh-CN"/>
        </w:rPr>
        <w:t>新疆恒晟华工程项目管理有限公司</w:t>
      </w:r>
    </w:p>
    <w:p w14:paraId="619A1607">
      <w:pPr>
        <w:spacing w:line="360" w:lineRule="auto"/>
        <w:ind w:left="1157" w:leftChars="257" w:hanging="540"/>
        <w:rPr>
          <w:rFonts w:hint="eastAsia" w:ascii="仿宋" w:hAnsi="仿宋" w:eastAsia="仿宋" w:cs="仿宋"/>
          <w:sz w:val="24"/>
        </w:rPr>
      </w:pPr>
    </w:p>
    <w:p w14:paraId="5075EC00">
      <w:pPr>
        <w:spacing w:line="360" w:lineRule="auto"/>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（采购项目名称）、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（项目编号)、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（标项(包)名称）</w:t>
      </w:r>
      <w:r>
        <w:rPr>
          <w:rFonts w:hint="eastAsia" w:ascii="仿宋" w:hAnsi="仿宋" w:eastAsia="仿宋" w:cs="仿宋"/>
          <w:sz w:val="24"/>
        </w:rPr>
        <w:t>项目招标中若获得中标资格，我们保证在领取中标通知书的同时按</w:t>
      </w:r>
      <w:r>
        <w:rPr>
          <w:rFonts w:hint="eastAsia" w:ascii="仿宋" w:hAnsi="仿宋" w:eastAsia="仿宋" w:cs="仿宋"/>
          <w:sz w:val="24"/>
          <w:lang w:val="en-US" w:eastAsia="zh-CN"/>
        </w:rPr>
        <w:t>采购文件</w:t>
      </w:r>
      <w:r>
        <w:rPr>
          <w:rFonts w:hint="eastAsia" w:ascii="仿宋" w:hAnsi="仿宋" w:eastAsia="仿宋" w:cs="仿宋"/>
          <w:sz w:val="24"/>
        </w:rPr>
        <w:t>的规定，以支票、电汇等形式，向贵公司一次性支付应由我们交纳的中标服务费用。</w:t>
      </w:r>
    </w:p>
    <w:p w14:paraId="01949CEA">
      <w:pPr>
        <w:spacing w:line="360" w:lineRule="auto"/>
        <w:ind w:left="1157" w:leftChars="257" w:hanging="540"/>
        <w:rPr>
          <w:rFonts w:hint="eastAsia" w:ascii="仿宋" w:hAnsi="仿宋" w:eastAsia="仿宋" w:cs="仿宋"/>
          <w:sz w:val="24"/>
        </w:rPr>
      </w:pPr>
      <w:r>
        <w:rPr>
          <w:rFonts w:hint="eastAsia" w:ascii="仿宋" w:hAnsi="仿宋" w:eastAsia="仿宋" w:cs="仿宋"/>
          <w:sz w:val="24"/>
        </w:rPr>
        <w:t>特此承诺！</w:t>
      </w:r>
    </w:p>
    <w:p w14:paraId="6BBF18AE">
      <w:pPr>
        <w:spacing w:line="440" w:lineRule="exact"/>
        <w:ind w:left="1157" w:leftChars="257" w:hanging="540"/>
        <w:rPr>
          <w:rFonts w:hint="eastAsia" w:ascii="仿宋" w:hAnsi="仿宋" w:eastAsia="仿宋" w:cs="仿宋"/>
          <w:sz w:val="24"/>
        </w:rPr>
      </w:pPr>
    </w:p>
    <w:p w14:paraId="2AE70D8B">
      <w:pPr>
        <w:spacing w:line="440" w:lineRule="exact"/>
        <w:ind w:left="1157" w:leftChars="257" w:hanging="540"/>
        <w:rPr>
          <w:rFonts w:hint="eastAsia" w:ascii="仿宋" w:hAnsi="仿宋" w:eastAsia="仿宋" w:cs="仿宋"/>
          <w:sz w:val="24"/>
        </w:rPr>
      </w:pPr>
    </w:p>
    <w:p w14:paraId="0C1CDDE4">
      <w:pPr>
        <w:spacing w:line="440" w:lineRule="exact"/>
        <w:ind w:left="1157" w:leftChars="257" w:hanging="540"/>
        <w:rPr>
          <w:rFonts w:hint="eastAsia" w:ascii="仿宋" w:hAnsi="仿宋" w:eastAsia="仿宋" w:cs="仿宋"/>
          <w:sz w:val="24"/>
        </w:rPr>
      </w:pPr>
    </w:p>
    <w:p w14:paraId="4A73F895">
      <w:pPr>
        <w:spacing w:line="440" w:lineRule="exact"/>
        <w:ind w:left="1157" w:leftChars="257" w:hanging="540"/>
        <w:rPr>
          <w:rFonts w:hint="eastAsia" w:ascii="仿宋" w:hAnsi="仿宋" w:eastAsia="仿宋" w:cs="仿宋"/>
          <w:sz w:val="24"/>
        </w:rPr>
      </w:pPr>
    </w:p>
    <w:p w14:paraId="2F4A2AF1">
      <w:pPr>
        <w:spacing w:line="440" w:lineRule="exact"/>
        <w:ind w:left="1080" w:hanging="1080"/>
        <w:rPr>
          <w:rFonts w:hint="eastAsia" w:ascii="仿宋" w:hAnsi="仿宋" w:eastAsia="仿宋" w:cs="仿宋"/>
          <w:sz w:val="24"/>
        </w:rPr>
      </w:pPr>
    </w:p>
    <w:p w14:paraId="32047B69">
      <w:pPr>
        <w:spacing w:line="440" w:lineRule="exact"/>
        <w:ind w:left="1495" w:leftChars="273" w:hanging="840" w:hangingChars="350"/>
        <w:rPr>
          <w:rFonts w:hint="eastAsia" w:ascii="仿宋" w:hAnsi="仿宋" w:eastAsia="仿宋" w:cs="仿宋"/>
          <w:sz w:val="24"/>
        </w:rPr>
      </w:pPr>
      <w:r>
        <w:rPr>
          <w:rFonts w:hint="eastAsia" w:ascii="仿宋" w:hAnsi="仿宋" w:eastAsia="仿宋" w:cs="仿宋"/>
          <w:sz w:val="24"/>
        </w:rPr>
        <w:t>承诺方法定名称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电子印章</w:t>
      </w:r>
      <w:r>
        <w:rPr>
          <w:rFonts w:hint="eastAsia" w:ascii="仿宋" w:hAnsi="仿宋" w:eastAsia="仿宋" w:cs="仿宋"/>
          <w:sz w:val="24"/>
          <w:highlight w:val="none"/>
          <w:lang w:eastAsia="zh-CN"/>
        </w:rPr>
        <w:t>）</w:t>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32F51A25">
      <w:pPr>
        <w:spacing w:line="440" w:lineRule="exact"/>
        <w:ind w:left="1697" w:leftChars="257" w:hanging="108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76C81575">
      <w:pPr>
        <w:spacing w:line="440" w:lineRule="exact"/>
        <w:ind w:left="1697" w:leftChars="257" w:hanging="1080"/>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08EF4353">
      <w:pPr>
        <w:spacing w:line="440" w:lineRule="exact"/>
        <w:ind w:left="1697" w:leftChars="257" w:hanging="1080"/>
        <w:rPr>
          <w:rFonts w:hint="eastAsia" w:ascii="仿宋" w:hAnsi="仿宋" w:eastAsia="仿宋" w:cs="仿宋"/>
          <w:sz w:val="24"/>
        </w:rPr>
      </w:pPr>
      <w:r>
        <w:rPr>
          <w:rFonts w:hint="eastAsia" w:ascii="仿宋" w:hAnsi="仿宋" w:eastAsia="仿宋" w:cs="仿宋"/>
          <w:sz w:val="24"/>
        </w:rPr>
        <w:t>电传：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04FD916C">
      <w:pPr>
        <w:spacing w:line="440" w:lineRule="exact"/>
        <w:ind w:left="1697" w:leftChars="257" w:hanging="1080"/>
        <w:rPr>
          <w:rFonts w:hint="eastAsia" w:ascii="仿宋" w:hAnsi="仿宋" w:eastAsia="仿宋" w:cs="仿宋"/>
          <w:sz w:val="24"/>
          <w:u w:val="single"/>
        </w:rPr>
      </w:pPr>
      <w:r>
        <w:rPr>
          <w:rFonts w:hint="eastAsia" w:ascii="仿宋" w:hAnsi="仿宋" w:eastAsia="仿宋" w:cs="仿宋"/>
          <w:sz w:val="24"/>
        </w:rPr>
        <w:t>承诺方</w:t>
      </w:r>
      <w:r>
        <w:rPr>
          <w:rFonts w:hint="eastAsia" w:ascii="仿宋" w:hAnsi="仿宋" w:eastAsia="仿宋" w:cs="仿宋"/>
          <w:sz w:val="24"/>
          <w:lang w:val="en-US" w:eastAsia="zh-CN"/>
        </w:rPr>
        <w:t>法定代表人或法定代表人授权代表（签字或电子印章）：</w:t>
      </w:r>
      <w:r>
        <w:rPr>
          <w:rFonts w:hint="eastAsia" w:ascii="仿宋" w:hAnsi="仿宋" w:eastAsia="仿宋" w:cs="仿宋"/>
          <w:sz w:val="24"/>
          <w:u w:val="single"/>
        </w:rPr>
        <w:tab/>
      </w:r>
      <w:r>
        <w:rPr>
          <w:rFonts w:hint="eastAsia" w:ascii="仿宋" w:hAnsi="仿宋" w:eastAsia="仿宋" w:cs="仿宋"/>
          <w:sz w:val="24"/>
          <w:u w:val="single"/>
        </w:rPr>
        <w:tab/>
      </w:r>
    </w:p>
    <w:p w14:paraId="76EBE414">
      <w:pPr>
        <w:spacing w:line="440" w:lineRule="exact"/>
        <w:ind w:left="1697" w:leftChars="257" w:hanging="1080"/>
        <w:rPr>
          <w:rFonts w:hint="eastAsia" w:ascii="仿宋" w:hAnsi="仿宋" w:eastAsia="仿宋" w:cs="仿宋"/>
          <w:sz w:val="24"/>
          <w:u w:val="single"/>
        </w:rPr>
      </w:pPr>
      <w:r>
        <w:rPr>
          <w:rFonts w:hint="eastAsia" w:ascii="仿宋" w:hAnsi="仿宋" w:eastAsia="仿宋" w:cs="仿宋"/>
          <w:sz w:val="24"/>
        </w:rPr>
        <w:t>承诺日期：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bookmarkEnd w:id="89"/>
      <w:bookmarkEnd w:id="90"/>
    </w:p>
    <w:p w14:paraId="6CFF7904">
      <w:pPr>
        <w:rPr>
          <w:rFonts w:hint="eastAsia" w:ascii="仿宋" w:hAnsi="仿宋" w:eastAsia="仿宋" w:cs="仿宋"/>
          <w:b w:val="0"/>
          <w:bCs w:val="0"/>
          <w:kern w:val="2"/>
          <w:sz w:val="24"/>
          <w:szCs w:val="24"/>
          <w:lang w:val="en-US" w:eastAsia="zh-CN" w:bidi="zh-CN"/>
        </w:rPr>
      </w:pPr>
      <w:r>
        <w:rPr>
          <w:rFonts w:hint="eastAsia" w:ascii="仿宋" w:hAnsi="仿宋" w:eastAsia="仿宋" w:cs="仿宋"/>
          <w:b w:val="0"/>
          <w:bCs w:val="0"/>
          <w:kern w:val="2"/>
          <w:sz w:val="24"/>
          <w:szCs w:val="24"/>
          <w:lang w:val="en-US" w:eastAsia="zh-CN" w:bidi="zh-CN"/>
        </w:rPr>
        <w:br w:type="page"/>
      </w:r>
    </w:p>
    <w:p w14:paraId="6186EEB4">
      <w:pPr>
        <w:widowControl w:val="0"/>
        <w:spacing w:before="1"/>
        <w:jc w:val="both"/>
        <w:outlineLvl w:val="2"/>
        <w:rPr>
          <w:rFonts w:hint="eastAsia" w:ascii="仿宋" w:hAnsi="仿宋" w:eastAsia="仿宋" w:cs="仿宋"/>
          <w:b/>
          <w:bCs/>
          <w:kern w:val="2"/>
          <w:sz w:val="24"/>
          <w:szCs w:val="24"/>
          <w:lang w:val="zh-CN" w:eastAsia="zh-CN" w:bidi="zh-CN"/>
        </w:rPr>
      </w:pPr>
      <w:bookmarkStart w:id="91" w:name="_Toc20782"/>
      <w:bookmarkStart w:id="92" w:name="_Toc571"/>
      <w:bookmarkStart w:id="93" w:name="_Toc24678"/>
      <w:bookmarkStart w:id="94" w:name="_Toc8649"/>
      <w:bookmarkStart w:id="95" w:name="_Toc15106"/>
      <w:r>
        <w:rPr>
          <w:rFonts w:hint="eastAsia" w:ascii="仿宋" w:hAnsi="仿宋" w:eastAsia="仿宋" w:cs="仿宋"/>
          <w:b/>
          <w:bCs/>
          <w:kern w:val="2"/>
          <w:sz w:val="24"/>
          <w:szCs w:val="24"/>
          <w:lang w:val="en-US" w:eastAsia="zh-CN" w:bidi="zh-CN"/>
        </w:rPr>
        <w:t>14、</w:t>
      </w:r>
      <w:r>
        <w:rPr>
          <w:rFonts w:hint="eastAsia" w:ascii="仿宋" w:hAnsi="仿宋" w:eastAsia="仿宋" w:cs="仿宋"/>
          <w:b/>
          <w:bCs/>
          <w:kern w:val="2"/>
          <w:sz w:val="24"/>
          <w:szCs w:val="24"/>
          <w:lang w:val="zh-CN" w:eastAsia="zh-CN" w:bidi="zh-CN"/>
        </w:rPr>
        <w:t>保证金信息表</w:t>
      </w:r>
      <w:bookmarkEnd w:id="76"/>
      <w:bookmarkEnd w:id="77"/>
      <w:r>
        <w:rPr>
          <w:rFonts w:hint="eastAsia" w:ascii="仿宋" w:hAnsi="仿宋" w:eastAsia="仿宋" w:cs="仿宋"/>
          <w:b/>
          <w:bCs/>
          <w:kern w:val="2"/>
          <w:sz w:val="24"/>
          <w:szCs w:val="24"/>
          <w:lang w:val="zh-CN" w:eastAsia="zh-CN" w:bidi="zh-CN"/>
        </w:rPr>
        <w:t>（</w:t>
      </w:r>
      <w:r>
        <w:rPr>
          <w:rFonts w:hint="eastAsia" w:ascii="仿宋" w:hAnsi="仿宋" w:eastAsia="仿宋" w:cs="仿宋"/>
          <w:b/>
          <w:bCs/>
          <w:kern w:val="2"/>
          <w:sz w:val="24"/>
          <w:szCs w:val="24"/>
          <w:lang w:val="en-US" w:eastAsia="zh-CN" w:bidi="zh-CN"/>
        </w:rPr>
        <w:t>保函方式提交的无需提供</w:t>
      </w:r>
      <w:r>
        <w:rPr>
          <w:rFonts w:hint="eastAsia" w:ascii="仿宋" w:hAnsi="仿宋" w:eastAsia="仿宋" w:cs="仿宋"/>
          <w:b/>
          <w:bCs/>
          <w:kern w:val="2"/>
          <w:sz w:val="24"/>
          <w:szCs w:val="24"/>
          <w:lang w:val="zh-CN" w:eastAsia="zh-CN" w:bidi="zh-CN"/>
        </w:rPr>
        <w:t>）</w:t>
      </w:r>
      <w:bookmarkEnd w:id="91"/>
      <w:bookmarkEnd w:id="92"/>
      <w:bookmarkEnd w:id="93"/>
      <w:bookmarkEnd w:id="94"/>
      <w:bookmarkEnd w:id="95"/>
    </w:p>
    <w:p w14:paraId="5AEC4FA6">
      <w:pPr>
        <w:widowControl w:val="0"/>
        <w:snapToGrid w:val="0"/>
        <w:spacing w:line="440" w:lineRule="exact"/>
        <w:jc w:val="center"/>
        <w:outlineLvl w:val="9"/>
        <w:rPr>
          <w:rFonts w:hint="eastAsia" w:ascii="仿宋" w:hAnsi="仿宋" w:eastAsia="仿宋" w:cs="仿宋"/>
          <w:b/>
          <w:kern w:val="2"/>
          <w:sz w:val="32"/>
          <w:szCs w:val="32"/>
          <w:lang w:val="en-US" w:eastAsia="zh-CN" w:bidi="ar-SA"/>
        </w:rPr>
      </w:pPr>
    </w:p>
    <w:p w14:paraId="51BAB57B">
      <w:pPr>
        <w:widowControl w:val="0"/>
        <w:snapToGrid w:val="0"/>
        <w:spacing w:line="440" w:lineRule="exact"/>
        <w:jc w:val="center"/>
        <w:outlineLvl w:val="9"/>
        <w:rPr>
          <w:rFonts w:hint="eastAsia" w:ascii="仿宋" w:hAnsi="仿宋" w:eastAsia="仿宋" w:cs="仿宋"/>
          <w:b/>
          <w:kern w:val="2"/>
          <w:sz w:val="32"/>
          <w:szCs w:val="32"/>
          <w:lang w:val="en-US" w:eastAsia="zh-CN" w:bidi="ar-SA"/>
        </w:rPr>
      </w:pPr>
      <w:bookmarkStart w:id="96" w:name="_Toc14307"/>
      <w:bookmarkStart w:id="97" w:name="_Toc25967"/>
      <w:bookmarkStart w:id="98" w:name="_Toc16938"/>
      <w:bookmarkStart w:id="99" w:name="_Toc28181"/>
      <w:bookmarkStart w:id="100" w:name="_Toc31463"/>
      <w:bookmarkStart w:id="101" w:name="_Toc26104"/>
      <w:bookmarkStart w:id="102" w:name="_Toc27316"/>
      <w:r>
        <w:rPr>
          <w:rFonts w:hint="eastAsia" w:ascii="仿宋" w:hAnsi="仿宋" w:eastAsia="仿宋" w:cs="仿宋"/>
          <w:b/>
          <w:kern w:val="2"/>
          <w:sz w:val="24"/>
          <w:szCs w:val="24"/>
          <w:lang w:val="en-US" w:eastAsia="zh-CN" w:bidi="ar-SA"/>
        </w:rPr>
        <w:t>退还保证金申请函</w:t>
      </w:r>
      <w:bookmarkEnd w:id="96"/>
      <w:bookmarkEnd w:id="97"/>
      <w:bookmarkEnd w:id="98"/>
      <w:bookmarkEnd w:id="99"/>
      <w:bookmarkEnd w:id="100"/>
      <w:bookmarkEnd w:id="101"/>
      <w:bookmarkEnd w:id="102"/>
    </w:p>
    <w:p w14:paraId="55DE4CC1">
      <w:pPr>
        <w:spacing w:line="360" w:lineRule="auto"/>
        <w:rPr>
          <w:rFonts w:hint="eastAsia" w:ascii="仿宋" w:hAnsi="仿宋" w:eastAsia="仿宋" w:cs="仿宋"/>
          <w:color w:val="000000"/>
          <w:sz w:val="21"/>
          <w:szCs w:val="21"/>
          <w:u w:val="single"/>
          <w:lang w:eastAsia="zh-CN"/>
        </w:rPr>
      </w:pPr>
      <w:r>
        <w:rPr>
          <w:rFonts w:hint="eastAsia" w:ascii="仿宋" w:hAnsi="仿宋" w:eastAsia="仿宋" w:cs="仿宋"/>
          <w:color w:val="000000"/>
          <w:sz w:val="21"/>
          <w:szCs w:val="21"/>
        </w:rPr>
        <w:t>致：</w:t>
      </w:r>
      <w:r>
        <w:rPr>
          <w:rFonts w:hint="eastAsia" w:ascii="仿宋" w:hAnsi="仿宋" w:eastAsia="仿宋" w:cs="仿宋"/>
          <w:color w:val="000000"/>
          <w:sz w:val="21"/>
          <w:szCs w:val="21"/>
          <w:u w:val="single"/>
          <w:lang w:eastAsia="zh-CN"/>
        </w:rPr>
        <w:t>新疆恒晟华工程项目管理有限公司</w:t>
      </w:r>
    </w:p>
    <w:p w14:paraId="4865DC19">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u w:val="single"/>
        </w:rPr>
        <w:t>（</w:t>
      </w:r>
      <w:r>
        <w:rPr>
          <w:rFonts w:hint="eastAsia" w:ascii="仿宋" w:hAnsi="仿宋" w:eastAsia="仿宋" w:cs="仿宋"/>
          <w:color w:val="000000"/>
          <w:sz w:val="21"/>
          <w:szCs w:val="21"/>
          <w:u w:val="single"/>
          <w:lang w:val="en-US" w:eastAsia="zh-CN"/>
        </w:rPr>
        <w:t>供应商</w:t>
      </w:r>
      <w:r>
        <w:rPr>
          <w:rFonts w:hint="eastAsia" w:ascii="仿宋" w:hAnsi="仿宋" w:eastAsia="仿宋" w:cs="仿宋"/>
          <w:color w:val="000000"/>
          <w:sz w:val="21"/>
          <w:szCs w:val="21"/>
          <w:u w:val="single"/>
        </w:rPr>
        <w:t xml:space="preserve">全称) </w:t>
      </w:r>
      <w:r>
        <w:rPr>
          <w:rFonts w:hint="eastAsia" w:ascii="仿宋" w:hAnsi="仿宋" w:eastAsia="仿宋" w:cs="仿宋"/>
          <w:color w:val="000000"/>
          <w:sz w:val="21"/>
          <w:szCs w:val="21"/>
        </w:rPr>
        <w:t>参加贵方组织的，</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（采购项目名称）、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（项目编号)、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（标项(包)名称）</w:t>
      </w:r>
      <w:r>
        <w:rPr>
          <w:rFonts w:hint="eastAsia" w:ascii="仿宋" w:hAnsi="仿宋" w:eastAsia="仿宋" w:cs="仿宋"/>
          <w:color w:val="000000"/>
          <w:sz w:val="21"/>
          <w:szCs w:val="21"/>
        </w:rPr>
        <w:t>的</w:t>
      </w:r>
      <w:r>
        <w:rPr>
          <w:rFonts w:hint="eastAsia" w:ascii="仿宋" w:hAnsi="仿宋" w:eastAsia="仿宋" w:cs="仿宋"/>
          <w:color w:val="000000"/>
          <w:sz w:val="21"/>
          <w:szCs w:val="21"/>
          <w:lang w:val="en-US" w:eastAsia="zh-CN"/>
        </w:rPr>
        <w:t>招标</w:t>
      </w:r>
      <w:r>
        <w:rPr>
          <w:rFonts w:hint="eastAsia" w:ascii="仿宋" w:hAnsi="仿宋" w:eastAsia="仿宋" w:cs="仿宋"/>
          <w:color w:val="000000"/>
          <w:sz w:val="21"/>
          <w:szCs w:val="21"/>
        </w:rPr>
        <w:t>采购活动。按</w:t>
      </w:r>
      <w:r>
        <w:rPr>
          <w:rFonts w:hint="eastAsia" w:ascii="仿宋" w:hAnsi="仿宋" w:eastAsia="仿宋" w:cs="仿宋"/>
          <w:color w:val="000000"/>
          <w:sz w:val="21"/>
          <w:szCs w:val="21"/>
          <w:lang w:val="en-US" w:eastAsia="zh-CN"/>
        </w:rPr>
        <w:t>采购文件</w:t>
      </w:r>
      <w:r>
        <w:rPr>
          <w:rFonts w:hint="eastAsia" w:ascii="仿宋" w:hAnsi="仿宋" w:eastAsia="仿宋" w:cs="仿宋"/>
          <w:color w:val="000000"/>
          <w:sz w:val="21"/>
          <w:szCs w:val="21"/>
        </w:rPr>
        <w:t>的规定，已通过</w:t>
      </w:r>
      <w:r>
        <w:rPr>
          <w:rFonts w:hint="eastAsia" w:ascii="仿宋" w:hAnsi="仿宋" w:eastAsia="仿宋" w:cs="仿宋"/>
          <w:color w:val="000000"/>
          <w:sz w:val="21"/>
          <w:szCs w:val="21"/>
          <w:u w:val="single"/>
        </w:rPr>
        <w:t>银行转</w:t>
      </w:r>
      <w:r>
        <w:rPr>
          <w:rFonts w:hint="eastAsia" w:ascii="仿宋" w:hAnsi="仿宋" w:eastAsia="仿宋" w:cs="仿宋"/>
          <w:color w:val="000000"/>
          <w:sz w:val="21"/>
          <w:szCs w:val="21"/>
          <w:u w:val="single"/>
          <w:lang w:val="en-US" w:eastAsia="zh-CN"/>
        </w:rPr>
        <w:t>账</w:t>
      </w:r>
      <w:r>
        <w:rPr>
          <w:rFonts w:hint="eastAsia" w:ascii="仿宋" w:hAnsi="仿宋" w:eastAsia="仿宋" w:cs="仿宋"/>
          <w:color w:val="000000"/>
          <w:sz w:val="21"/>
          <w:szCs w:val="21"/>
          <w:u w:val="single"/>
        </w:rPr>
        <w:t>/银行汇款</w:t>
      </w:r>
      <w:r>
        <w:rPr>
          <w:rFonts w:hint="eastAsia" w:ascii="仿宋" w:hAnsi="仿宋" w:eastAsia="仿宋" w:cs="仿宋"/>
          <w:color w:val="000000"/>
          <w:sz w:val="21"/>
          <w:szCs w:val="21"/>
        </w:rPr>
        <w:t>形式缴纳人民币</w:t>
      </w:r>
      <w:r>
        <w:rPr>
          <w:rFonts w:hint="eastAsia" w:ascii="仿宋" w:hAnsi="仿宋" w:eastAsia="仿宋" w:cs="仿宋"/>
          <w:color w:val="000000"/>
          <w:sz w:val="21"/>
          <w:szCs w:val="21"/>
          <w:u w:val="single"/>
        </w:rPr>
        <w:t xml:space="preserve">（大写）  　　  </w:t>
      </w:r>
      <w:r>
        <w:rPr>
          <w:rFonts w:hint="eastAsia" w:ascii="仿宋" w:hAnsi="仿宋" w:eastAsia="仿宋" w:cs="仿宋"/>
          <w:color w:val="000000"/>
          <w:sz w:val="21"/>
          <w:szCs w:val="21"/>
        </w:rPr>
        <w:t>元的保证金。</w:t>
      </w:r>
    </w:p>
    <w:p w14:paraId="46D19C66">
      <w:pPr>
        <w:autoSpaceDE w:val="0"/>
        <w:autoSpaceDN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退还保证金时请按以下内容划入我方</w:t>
      </w:r>
      <w:r>
        <w:rPr>
          <w:rFonts w:hint="eastAsia" w:ascii="仿宋" w:hAnsi="仿宋" w:eastAsia="仿宋" w:cs="仿宋"/>
          <w:color w:val="000000"/>
          <w:sz w:val="21"/>
          <w:szCs w:val="21"/>
          <w:lang w:val="en-US" w:eastAsia="zh-CN"/>
        </w:rPr>
        <w:t>账</w:t>
      </w:r>
      <w:r>
        <w:rPr>
          <w:rFonts w:hint="eastAsia" w:ascii="仿宋" w:hAnsi="仿宋" w:eastAsia="仿宋" w:cs="仿宋"/>
          <w:color w:val="000000"/>
          <w:sz w:val="21"/>
          <w:szCs w:val="21"/>
        </w:rPr>
        <w:t>户。若因内容不全、错误、字迹潦草模糊导致该项目保证金未能及时退还或退还过程中发生错误，我方将承担全部责任和损失。</w:t>
      </w:r>
    </w:p>
    <w:p w14:paraId="17AE977F">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供应商</w:t>
      </w:r>
      <w:r>
        <w:rPr>
          <w:rFonts w:hint="eastAsia" w:ascii="仿宋" w:hAnsi="仿宋" w:eastAsia="仿宋" w:cs="仿宋"/>
          <w:color w:val="000000"/>
          <w:sz w:val="21"/>
          <w:szCs w:val="21"/>
        </w:rPr>
        <w:t>名称：</w:t>
      </w:r>
      <w:r>
        <w:rPr>
          <w:rFonts w:hint="eastAsia" w:ascii="仿宋" w:hAnsi="仿宋" w:eastAsia="仿宋" w:cs="仿宋"/>
          <w:i/>
          <w:iCs/>
          <w:color w:val="000000"/>
          <w:sz w:val="21"/>
          <w:szCs w:val="21"/>
          <w:u w:val="single"/>
        </w:rPr>
        <w:t xml:space="preserve">                                 </w:t>
      </w:r>
      <w:r>
        <w:rPr>
          <w:rFonts w:hint="eastAsia" w:ascii="仿宋" w:hAnsi="仿宋" w:eastAsia="仿宋" w:cs="仿宋"/>
          <w:color w:val="000000"/>
          <w:sz w:val="21"/>
          <w:szCs w:val="21"/>
        </w:rPr>
        <w:t xml:space="preserve"> </w:t>
      </w:r>
    </w:p>
    <w:p w14:paraId="40A28079">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供应商</w:t>
      </w:r>
      <w:r>
        <w:rPr>
          <w:rFonts w:hint="eastAsia" w:ascii="仿宋" w:hAnsi="仿宋" w:eastAsia="仿宋" w:cs="仿宋"/>
          <w:color w:val="000000"/>
          <w:sz w:val="21"/>
          <w:szCs w:val="21"/>
        </w:rPr>
        <w:t>开户银行：</w:t>
      </w:r>
      <w:r>
        <w:rPr>
          <w:rFonts w:hint="eastAsia" w:ascii="仿宋" w:hAnsi="仿宋" w:eastAsia="仿宋" w:cs="仿宋"/>
          <w:color w:val="000000"/>
          <w:sz w:val="21"/>
          <w:szCs w:val="21"/>
          <w:u w:val="single"/>
        </w:rPr>
        <w:t xml:space="preserve">                             </w:t>
      </w:r>
    </w:p>
    <w:p w14:paraId="2AC58534">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供应商</w:t>
      </w:r>
      <w:r>
        <w:rPr>
          <w:rFonts w:hint="eastAsia" w:ascii="仿宋" w:hAnsi="仿宋" w:eastAsia="仿宋" w:cs="仿宋"/>
          <w:color w:val="000000"/>
          <w:sz w:val="21"/>
          <w:szCs w:val="21"/>
        </w:rPr>
        <w:t>开户银行行号：</w:t>
      </w:r>
      <w:r>
        <w:rPr>
          <w:rFonts w:hint="eastAsia" w:ascii="仿宋" w:hAnsi="仿宋" w:eastAsia="仿宋" w:cs="仿宋"/>
          <w:color w:val="000000"/>
          <w:sz w:val="21"/>
          <w:szCs w:val="21"/>
          <w:u w:val="single"/>
        </w:rPr>
        <w:t xml:space="preserve">                         </w:t>
      </w:r>
    </w:p>
    <w:p w14:paraId="16D5AA73">
      <w:pPr>
        <w:spacing w:line="360" w:lineRule="auto"/>
        <w:ind w:firstLine="420" w:firstLineChars="200"/>
        <w:rPr>
          <w:rFonts w:hint="eastAsia" w:ascii="仿宋" w:hAnsi="仿宋" w:eastAsia="仿宋" w:cs="仿宋"/>
          <w:color w:val="000000"/>
          <w:sz w:val="21"/>
          <w:szCs w:val="21"/>
          <w:u w:val="single"/>
        </w:rPr>
      </w:pPr>
      <w:r>
        <w:rPr>
          <w:rFonts w:hint="eastAsia" w:ascii="仿宋" w:hAnsi="仿宋" w:eastAsia="仿宋" w:cs="仿宋"/>
          <w:color w:val="000000"/>
          <w:sz w:val="21"/>
          <w:szCs w:val="21"/>
          <w:lang w:val="en-US" w:eastAsia="zh-CN"/>
        </w:rPr>
        <w:t>供应商银行账号</w:t>
      </w:r>
      <w:r>
        <w:rPr>
          <w:rFonts w:hint="eastAsia" w:ascii="仿宋" w:hAnsi="仿宋" w:eastAsia="仿宋" w:cs="仿宋"/>
          <w:color w:val="000000"/>
          <w:sz w:val="21"/>
          <w:szCs w:val="21"/>
        </w:rPr>
        <w:t>：</w:t>
      </w:r>
      <w:r>
        <w:rPr>
          <w:rFonts w:hint="eastAsia" w:ascii="仿宋" w:hAnsi="仿宋" w:eastAsia="仿宋" w:cs="仿宋"/>
          <w:color w:val="000000"/>
          <w:sz w:val="21"/>
          <w:szCs w:val="21"/>
          <w:u w:val="single"/>
        </w:rPr>
        <w:t xml:space="preserve">                             </w:t>
      </w:r>
    </w:p>
    <w:p w14:paraId="427BC163">
      <w:pPr>
        <w:adjustRightInd w:val="0"/>
        <w:snapToGrid w:val="0"/>
        <w:spacing w:line="360" w:lineRule="auto"/>
        <w:rPr>
          <w:rFonts w:hint="eastAsia" w:ascii="仿宋" w:hAnsi="仿宋" w:eastAsia="仿宋" w:cs="仿宋"/>
          <w:color w:val="000000"/>
          <w:sz w:val="21"/>
          <w:szCs w:val="21"/>
        </w:rPr>
      </w:pPr>
    </w:p>
    <w:p w14:paraId="62AFF4DA">
      <w:pPr>
        <w:adjustRightInd w:val="0"/>
        <w:snapToGrid w:val="0"/>
        <w:spacing w:line="360" w:lineRule="auto"/>
        <w:rPr>
          <w:rFonts w:hint="eastAsia" w:ascii="仿宋" w:hAnsi="仿宋" w:eastAsia="仿宋" w:cs="仿宋"/>
          <w:color w:val="000000"/>
          <w:sz w:val="21"/>
          <w:szCs w:val="21"/>
          <w:u w:val="single"/>
        </w:rPr>
      </w:pPr>
      <w:r>
        <w:rPr>
          <w:rFonts w:hint="eastAsia" w:ascii="仿宋" w:hAnsi="仿宋" w:eastAsia="仿宋" w:cs="仿宋"/>
          <w:color w:val="000000"/>
          <w:sz w:val="21"/>
          <w:szCs w:val="21"/>
          <w:lang w:val="en-US" w:eastAsia="zh-CN"/>
        </w:rPr>
        <w:t>供应商</w:t>
      </w:r>
      <w:r>
        <w:rPr>
          <w:rFonts w:hint="eastAsia" w:ascii="仿宋" w:hAnsi="仿宋" w:eastAsia="仿宋" w:cs="仿宋"/>
          <w:color w:val="000000"/>
          <w:sz w:val="21"/>
          <w:szCs w:val="21"/>
        </w:rPr>
        <w:t>法定代表人或法定代表人授权代表</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签字</w:t>
      </w:r>
      <w:r>
        <w:rPr>
          <w:rFonts w:hint="eastAsia" w:ascii="仿宋" w:hAnsi="仿宋" w:eastAsia="仿宋" w:cs="仿宋"/>
          <w:color w:val="000000"/>
          <w:sz w:val="21"/>
          <w:szCs w:val="21"/>
          <w:lang w:val="en-US" w:eastAsia="zh-CN"/>
        </w:rPr>
        <w:t>或电子印章</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w:t>
      </w:r>
    </w:p>
    <w:p w14:paraId="6C698285">
      <w:pPr>
        <w:adjustRightInd w:val="0"/>
        <w:snapToGrid w:val="0"/>
        <w:spacing w:line="360" w:lineRule="auto"/>
        <w:rPr>
          <w:rFonts w:hint="eastAsia" w:ascii="仿宋" w:hAnsi="仿宋" w:eastAsia="仿宋" w:cs="仿宋"/>
          <w:color w:val="000000"/>
          <w:sz w:val="21"/>
          <w:szCs w:val="21"/>
          <w:u w:val="single"/>
        </w:rPr>
      </w:pPr>
      <w:r>
        <w:rPr>
          <w:rFonts w:hint="eastAsia" w:ascii="仿宋" w:hAnsi="仿宋" w:eastAsia="仿宋" w:cs="仿宋"/>
          <w:color w:val="000000"/>
          <w:sz w:val="21"/>
          <w:szCs w:val="21"/>
          <w:lang w:val="en-US" w:eastAsia="zh-CN"/>
        </w:rPr>
        <w:t>供应商</w:t>
      </w:r>
      <w:r>
        <w:rPr>
          <w:rFonts w:hint="eastAsia" w:ascii="仿宋" w:hAnsi="仿宋" w:eastAsia="仿宋" w:cs="仿宋"/>
          <w:color w:val="000000"/>
          <w:sz w:val="21"/>
          <w:szCs w:val="21"/>
        </w:rPr>
        <w:t>名称（</w:t>
      </w:r>
      <w:r>
        <w:rPr>
          <w:rFonts w:hint="eastAsia" w:ascii="仿宋" w:hAnsi="仿宋" w:eastAsia="仿宋" w:cs="仿宋"/>
          <w:color w:val="000000"/>
          <w:sz w:val="21"/>
          <w:szCs w:val="21"/>
          <w:lang w:val="en-US" w:eastAsia="zh-CN"/>
        </w:rPr>
        <w:t>电子印章</w:t>
      </w:r>
      <w:r>
        <w:rPr>
          <w:rFonts w:hint="eastAsia" w:ascii="仿宋" w:hAnsi="仿宋" w:eastAsia="仿宋" w:cs="仿宋"/>
          <w:color w:val="000000"/>
          <w:sz w:val="21"/>
          <w:szCs w:val="21"/>
        </w:rPr>
        <w:t>）：</w:t>
      </w:r>
    </w:p>
    <w:p w14:paraId="12FB48ED">
      <w:pPr>
        <w:adjustRightInd w:val="0"/>
        <w:snapToGrid w:val="0"/>
        <w:spacing w:line="360" w:lineRule="auto"/>
        <w:rPr>
          <w:rFonts w:hint="eastAsia" w:ascii="仿宋" w:hAnsi="仿宋" w:eastAsia="仿宋" w:cs="仿宋"/>
          <w:bCs/>
          <w:kern w:val="2"/>
          <w:sz w:val="21"/>
          <w:szCs w:val="21"/>
          <w:lang w:val="en-US" w:eastAsia="zh-CN" w:bidi="ar-SA"/>
        </w:rPr>
      </w:pPr>
      <w:r>
        <w:rPr>
          <w:rFonts w:hint="eastAsia" w:ascii="仿宋" w:hAnsi="仿宋" w:eastAsia="仿宋" w:cs="仿宋"/>
          <w:color w:val="000000"/>
          <w:sz w:val="21"/>
          <w:szCs w:val="21"/>
        </w:rPr>
        <w:t>日期：   年   月   日</w:t>
      </w:r>
    </w:p>
    <w:p w14:paraId="71FBF4B6">
      <w:pPr>
        <w:widowControl w:val="0"/>
        <w:snapToGrid w:val="0"/>
        <w:spacing w:line="440" w:lineRule="exact"/>
        <w:jc w:val="both"/>
        <w:rPr>
          <w:rFonts w:hint="eastAsia" w:ascii="仿宋" w:hAnsi="仿宋" w:eastAsia="仿宋" w:cs="仿宋"/>
          <w:b/>
          <w:kern w:val="2"/>
          <w:sz w:val="21"/>
          <w:szCs w:val="21"/>
          <w:lang w:val="en-US" w:eastAsia="zh-CN" w:bidi="ar-SA"/>
        </w:rPr>
      </w:pPr>
      <w:r>
        <w:rPr>
          <w:rFonts w:hint="eastAsia" w:ascii="仿宋" w:hAnsi="仿宋" w:eastAsia="仿宋" w:cs="仿宋"/>
          <w:b/>
          <w:kern w:val="2"/>
          <w:sz w:val="21"/>
          <w:szCs w:val="21"/>
          <w:lang w:val="en-US" w:eastAsia="zh-CN" w:bidi="ar-SA"/>
        </w:rPr>
        <w:t>注：为方便代理机构后续退款事宜，请供应商认真填写此函信息，并后附转账或汇款的银行凭证复印件。</w:t>
      </w:r>
    </w:p>
    <w:tbl>
      <w:tblPr>
        <w:tblStyle w:val="2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2E34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18D58678">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（粘贴转</w:t>
            </w:r>
            <w:r>
              <w:rPr>
                <w:rFonts w:hint="eastAsia" w:ascii="仿宋" w:hAnsi="仿宋" w:eastAsia="仿宋" w:cs="仿宋"/>
                <w:color w:val="000000"/>
                <w:sz w:val="21"/>
                <w:szCs w:val="21"/>
                <w:lang w:val="en-US" w:eastAsia="zh-CN"/>
              </w:rPr>
              <w:t>账</w:t>
            </w:r>
            <w:r>
              <w:rPr>
                <w:rFonts w:hint="eastAsia" w:ascii="仿宋" w:hAnsi="仿宋" w:eastAsia="仿宋" w:cs="仿宋"/>
                <w:color w:val="000000"/>
                <w:sz w:val="21"/>
                <w:szCs w:val="21"/>
              </w:rPr>
              <w:t>或汇款的银行凭证复印件）</w:t>
            </w:r>
          </w:p>
        </w:tc>
      </w:tr>
    </w:tbl>
    <w:p w14:paraId="309BDBB9">
      <w:pPr>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jc w:val="both"/>
        <w:textAlignment w:val="auto"/>
        <w:rPr>
          <w:rFonts w:hint="eastAsia" w:ascii="仿宋" w:hAnsi="仿宋" w:eastAsia="仿宋" w:cs="仿宋"/>
          <w:kern w:val="2"/>
          <w:sz w:val="21"/>
          <w:szCs w:val="21"/>
          <w:lang w:val="zh-CN" w:eastAsia="zh-CN" w:bidi="zh-CN"/>
        </w:rPr>
      </w:pPr>
    </w:p>
    <w:p w14:paraId="081738CD">
      <w:pPr>
        <w:widowControl w:val="0"/>
        <w:tabs>
          <w:tab w:val="left" w:pos="1325"/>
        </w:tabs>
        <w:spacing w:before="90"/>
        <w:jc w:val="both"/>
        <w:outlineLvl w:val="2"/>
        <w:rPr>
          <w:rFonts w:hint="eastAsia" w:ascii="仿宋" w:hAnsi="仿宋" w:eastAsia="仿宋" w:cs="仿宋"/>
          <w:b/>
          <w:bCs/>
          <w:kern w:val="2"/>
          <w:sz w:val="24"/>
          <w:szCs w:val="24"/>
          <w:lang w:val="zh-CN" w:eastAsia="zh-CN" w:bidi="zh-CN"/>
        </w:rPr>
      </w:pPr>
      <w:bookmarkStart w:id="103" w:name="_Toc19434"/>
      <w:bookmarkStart w:id="104" w:name="_Toc2994"/>
      <w:bookmarkStart w:id="105" w:name="_Toc8576"/>
      <w:bookmarkStart w:id="106" w:name="_Toc28409"/>
      <w:bookmarkStart w:id="107" w:name="_Toc1413"/>
      <w:bookmarkStart w:id="108" w:name="_Toc21100"/>
      <w:bookmarkStart w:id="109" w:name="_Toc17857"/>
      <w:r>
        <w:rPr>
          <w:rFonts w:hint="eastAsia" w:ascii="仿宋" w:hAnsi="仿宋" w:eastAsia="仿宋" w:cs="仿宋"/>
          <w:b/>
          <w:bCs/>
          <w:kern w:val="2"/>
          <w:sz w:val="24"/>
          <w:szCs w:val="24"/>
          <w:lang w:val="en-US" w:eastAsia="zh-CN" w:bidi="zh-CN"/>
        </w:rPr>
        <w:t>15、开票信息</w:t>
      </w:r>
      <w:r>
        <w:rPr>
          <w:rFonts w:hint="eastAsia" w:ascii="仿宋" w:hAnsi="仿宋" w:eastAsia="仿宋" w:cs="仿宋"/>
          <w:b/>
          <w:bCs/>
          <w:kern w:val="2"/>
          <w:sz w:val="24"/>
          <w:szCs w:val="24"/>
          <w:lang w:val="zh-CN" w:eastAsia="zh-CN" w:bidi="zh-CN"/>
        </w:rPr>
        <w:t>（统一格式）</w:t>
      </w:r>
      <w:bookmarkEnd w:id="103"/>
      <w:bookmarkEnd w:id="104"/>
      <w:bookmarkEnd w:id="105"/>
      <w:bookmarkEnd w:id="106"/>
      <w:bookmarkEnd w:id="107"/>
      <w:bookmarkEnd w:id="108"/>
      <w:bookmarkEnd w:id="109"/>
    </w:p>
    <w:p w14:paraId="4A03990E">
      <w:pPr>
        <w:widowControl w:val="0"/>
        <w:snapToGrid w:val="0"/>
        <w:spacing w:line="440" w:lineRule="exact"/>
        <w:ind w:firstLine="480" w:firstLineChars="200"/>
        <w:jc w:val="both"/>
        <w:rPr>
          <w:rFonts w:hint="eastAsia" w:ascii="仿宋" w:hAnsi="仿宋" w:eastAsia="仿宋" w:cs="仿宋"/>
          <w:bCs/>
          <w:kern w:val="2"/>
          <w:sz w:val="24"/>
          <w:szCs w:val="18"/>
          <w:lang w:val="en-US" w:eastAsia="zh-CN" w:bidi="ar-SA"/>
        </w:rPr>
      </w:pPr>
    </w:p>
    <w:p w14:paraId="56E0192B">
      <w:pPr>
        <w:widowControl w:val="0"/>
        <w:snapToGrid w:val="0"/>
        <w:spacing w:line="440" w:lineRule="exact"/>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新疆恒晟华工程项目管理有限公司：</w:t>
      </w:r>
    </w:p>
    <w:p w14:paraId="2C16D6AB">
      <w:pPr>
        <w:widowControl w:val="0"/>
        <w:snapToGrid w:val="0"/>
        <w:spacing w:line="440" w:lineRule="exact"/>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bCs/>
          <w:kern w:val="2"/>
          <w:sz w:val="21"/>
          <w:szCs w:val="21"/>
          <w:lang w:val="en-US" w:eastAsia="zh-CN" w:bidi="ar-SA"/>
        </w:rPr>
        <w:t xml:space="preserve">    </w:t>
      </w:r>
      <w:r>
        <w:rPr>
          <w:rFonts w:hint="eastAsia" w:ascii="仿宋" w:hAnsi="仿宋" w:eastAsia="仿宋" w:cs="仿宋"/>
          <w:kern w:val="2"/>
          <w:sz w:val="21"/>
          <w:szCs w:val="21"/>
          <w:lang w:val="en-US" w:eastAsia="zh-CN" w:bidi="ar-SA"/>
        </w:rPr>
        <w:t>本</w:t>
      </w:r>
      <w:r>
        <w:rPr>
          <w:rFonts w:hint="eastAsia" w:ascii="仿宋" w:hAnsi="仿宋" w:eastAsia="仿宋" w:cs="仿宋"/>
          <w:kern w:val="2"/>
          <w:sz w:val="21"/>
          <w:szCs w:val="21"/>
          <w:u w:val="single"/>
          <w:lang w:val="en-US" w:eastAsia="zh-CN" w:bidi="ar-SA"/>
        </w:rPr>
        <w:t xml:space="preserve">   （供应商名称）   </w:t>
      </w:r>
      <w:r>
        <w:rPr>
          <w:rFonts w:hint="eastAsia" w:ascii="仿宋" w:hAnsi="仿宋" w:eastAsia="仿宋" w:cs="仿宋"/>
          <w:kern w:val="2"/>
          <w:sz w:val="21"/>
          <w:szCs w:val="21"/>
          <w:lang w:val="en-US" w:eastAsia="zh-CN" w:bidi="ar-SA"/>
        </w:rPr>
        <w:t>公司在参加在贵司进行的</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（采购项目名称）、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（项目编号)、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（标项(包)名称）</w:t>
      </w:r>
      <w:r>
        <w:rPr>
          <w:rFonts w:hint="eastAsia" w:ascii="仿宋" w:hAnsi="仿宋" w:eastAsia="仿宋" w:cs="仿宋"/>
          <w:kern w:val="2"/>
          <w:sz w:val="21"/>
          <w:szCs w:val="21"/>
          <w:lang w:val="en-US" w:eastAsia="zh-CN" w:bidi="ar-SA"/>
        </w:rPr>
        <w:t xml:space="preserve">招标，我司缴纳标书费和代理服务费后开具发票的事宜，我司声明如下： </w:t>
      </w:r>
    </w:p>
    <w:p w14:paraId="1A714F26">
      <w:pPr>
        <w:widowControl w:val="0"/>
        <w:snapToGrid w:val="0"/>
        <w:spacing w:line="440" w:lineRule="exact"/>
        <w:ind w:firstLine="420" w:firstLineChars="200"/>
        <w:jc w:val="both"/>
        <w:rPr>
          <w:rFonts w:hint="eastAsia" w:ascii="仿宋" w:hAnsi="仿宋" w:eastAsia="仿宋" w:cs="仿宋"/>
          <w:kern w:val="2"/>
          <w:sz w:val="21"/>
          <w:szCs w:val="21"/>
          <w:lang w:val="en-US" w:eastAsia="zh-CN" w:bidi="ar-SA"/>
        </w:rPr>
      </w:pPr>
    </w:p>
    <w:tbl>
      <w:tblPr>
        <w:tblStyle w:val="2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12A7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3DB5AED9">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增值税发票开票信息</w:t>
            </w:r>
          </w:p>
        </w:tc>
      </w:tr>
      <w:tr w14:paraId="62BD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B5FC396">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增值税发票开票种类</w:t>
            </w:r>
          </w:p>
        </w:tc>
        <w:tc>
          <w:tcPr>
            <w:tcW w:w="7472" w:type="dxa"/>
            <w:gridSpan w:val="3"/>
            <w:vAlign w:val="center"/>
          </w:tcPr>
          <w:p w14:paraId="11900443">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（请在此处注明增值税专用发票或增值税普通发票）</w:t>
            </w:r>
          </w:p>
        </w:tc>
      </w:tr>
      <w:tr w14:paraId="27F7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5F70ABD">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单位名称</w:t>
            </w:r>
          </w:p>
        </w:tc>
        <w:tc>
          <w:tcPr>
            <w:tcW w:w="7472" w:type="dxa"/>
            <w:gridSpan w:val="3"/>
            <w:vAlign w:val="center"/>
          </w:tcPr>
          <w:p w14:paraId="71CC1B90">
            <w:pPr>
              <w:widowControl w:val="0"/>
              <w:snapToGrid w:val="0"/>
              <w:spacing w:line="440" w:lineRule="exact"/>
              <w:jc w:val="center"/>
              <w:rPr>
                <w:rFonts w:hint="eastAsia" w:ascii="仿宋" w:hAnsi="仿宋" w:eastAsia="仿宋" w:cs="仿宋"/>
                <w:bCs/>
                <w:kern w:val="2"/>
                <w:sz w:val="21"/>
                <w:szCs w:val="21"/>
                <w:lang w:val="en-US" w:eastAsia="zh-CN" w:bidi="ar-SA"/>
              </w:rPr>
            </w:pPr>
          </w:p>
        </w:tc>
      </w:tr>
      <w:tr w14:paraId="16C9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0915817">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单位地址</w:t>
            </w:r>
          </w:p>
        </w:tc>
        <w:tc>
          <w:tcPr>
            <w:tcW w:w="7472" w:type="dxa"/>
            <w:gridSpan w:val="3"/>
            <w:vAlign w:val="center"/>
          </w:tcPr>
          <w:p w14:paraId="1473C3B0">
            <w:pPr>
              <w:widowControl w:val="0"/>
              <w:snapToGrid w:val="0"/>
              <w:spacing w:line="440" w:lineRule="exact"/>
              <w:jc w:val="center"/>
              <w:rPr>
                <w:rFonts w:hint="eastAsia" w:ascii="仿宋" w:hAnsi="仿宋" w:eastAsia="仿宋" w:cs="仿宋"/>
                <w:bCs/>
                <w:kern w:val="2"/>
                <w:sz w:val="21"/>
                <w:szCs w:val="21"/>
                <w:lang w:val="en-US" w:eastAsia="zh-CN" w:bidi="ar-SA"/>
              </w:rPr>
            </w:pPr>
          </w:p>
        </w:tc>
      </w:tr>
      <w:tr w14:paraId="43DF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4E04557">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纳税人识别号</w:t>
            </w:r>
          </w:p>
        </w:tc>
        <w:tc>
          <w:tcPr>
            <w:tcW w:w="3576" w:type="dxa"/>
            <w:vAlign w:val="center"/>
          </w:tcPr>
          <w:p w14:paraId="361AF456">
            <w:pPr>
              <w:widowControl w:val="0"/>
              <w:snapToGrid w:val="0"/>
              <w:spacing w:line="440" w:lineRule="exact"/>
              <w:jc w:val="center"/>
              <w:rPr>
                <w:rFonts w:hint="eastAsia" w:ascii="仿宋" w:hAnsi="仿宋" w:eastAsia="仿宋" w:cs="仿宋"/>
                <w:bCs/>
                <w:kern w:val="2"/>
                <w:sz w:val="21"/>
                <w:szCs w:val="21"/>
                <w:lang w:val="en-US" w:eastAsia="zh-CN" w:bidi="ar-SA"/>
              </w:rPr>
            </w:pPr>
          </w:p>
        </w:tc>
        <w:tc>
          <w:tcPr>
            <w:tcW w:w="1791" w:type="dxa"/>
            <w:vAlign w:val="center"/>
          </w:tcPr>
          <w:p w14:paraId="677A7843">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固定电话</w:t>
            </w:r>
          </w:p>
        </w:tc>
        <w:tc>
          <w:tcPr>
            <w:tcW w:w="2105" w:type="dxa"/>
            <w:vAlign w:val="center"/>
          </w:tcPr>
          <w:p w14:paraId="7BC8974F">
            <w:pPr>
              <w:widowControl w:val="0"/>
              <w:snapToGrid w:val="0"/>
              <w:spacing w:line="440" w:lineRule="exact"/>
              <w:jc w:val="center"/>
              <w:rPr>
                <w:rFonts w:hint="eastAsia" w:ascii="仿宋" w:hAnsi="仿宋" w:eastAsia="仿宋" w:cs="仿宋"/>
                <w:bCs/>
                <w:kern w:val="2"/>
                <w:sz w:val="21"/>
                <w:szCs w:val="21"/>
                <w:lang w:val="en-US" w:eastAsia="zh-CN" w:bidi="ar-SA"/>
              </w:rPr>
            </w:pPr>
          </w:p>
        </w:tc>
      </w:tr>
      <w:tr w14:paraId="0721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D359C48">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开户银行名称</w:t>
            </w:r>
          </w:p>
        </w:tc>
        <w:tc>
          <w:tcPr>
            <w:tcW w:w="3576" w:type="dxa"/>
            <w:vAlign w:val="center"/>
          </w:tcPr>
          <w:p w14:paraId="5C46DAAB">
            <w:pPr>
              <w:widowControl w:val="0"/>
              <w:snapToGrid w:val="0"/>
              <w:spacing w:line="440" w:lineRule="exact"/>
              <w:jc w:val="center"/>
              <w:rPr>
                <w:rFonts w:hint="eastAsia" w:ascii="仿宋" w:hAnsi="仿宋" w:eastAsia="仿宋" w:cs="仿宋"/>
                <w:bCs/>
                <w:kern w:val="2"/>
                <w:sz w:val="21"/>
                <w:szCs w:val="21"/>
                <w:lang w:val="en-US" w:eastAsia="zh-CN" w:bidi="ar-SA"/>
              </w:rPr>
            </w:pPr>
          </w:p>
        </w:tc>
        <w:tc>
          <w:tcPr>
            <w:tcW w:w="1791" w:type="dxa"/>
            <w:vAlign w:val="center"/>
          </w:tcPr>
          <w:p w14:paraId="053E8986">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联系人姓名</w:t>
            </w:r>
          </w:p>
        </w:tc>
        <w:tc>
          <w:tcPr>
            <w:tcW w:w="2105" w:type="dxa"/>
            <w:vAlign w:val="center"/>
          </w:tcPr>
          <w:p w14:paraId="76340616">
            <w:pPr>
              <w:widowControl w:val="0"/>
              <w:snapToGrid w:val="0"/>
              <w:spacing w:line="440" w:lineRule="exact"/>
              <w:jc w:val="center"/>
              <w:rPr>
                <w:rFonts w:hint="eastAsia" w:ascii="仿宋" w:hAnsi="仿宋" w:eastAsia="仿宋" w:cs="仿宋"/>
                <w:bCs/>
                <w:kern w:val="2"/>
                <w:sz w:val="21"/>
                <w:szCs w:val="21"/>
                <w:lang w:val="en-US" w:eastAsia="zh-CN" w:bidi="ar-SA"/>
              </w:rPr>
            </w:pPr>
          </w:p>
        </w:tc>
      </w:tr>
      <w:tr w14:paraId="066B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305AB29">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开户银行账号</w:t>
            </w:r>
          </w:p>
        </w:tc>
        <w:tc>
          <w:tcPr>
            <w:tcW w:w="3576" w:type="dxa"/>
            <w:vAlign w:val="center"/>
          </w:tcPr>
          <w:p w14:paraId="2960F548">
            <w:pPr>
              <w:widowControl w:val="0"/>
              <w:snapToGrid w:val="0"/>
              <w:spacing w:line="440" w:lineRule="exact"/>
              <w:jc w:val="center"/>
              <w:rPr>
                <w:rFonts w:hint="eastAsia" w:ascii="仿宋" w:hAnsi="仿宋" w:eastAsia="仿宋" w:cs="仿宋"/>
                <w:bCs/>
                <w:kern w:val="2"/>
                <w:sz w:val="21"/>
                <w:szCs w:val="21"/>
                <w:lang w:val="en-US" w:eastAsia="zh-CN" w:bidi="ar-SA"/>
              </w:rPr>
            </w:pPr>
          </w:p>
        </w:tc>
        <w:tc>
          <w:tcPr>
            <w:tcW w:w="1791" w:type="dxa"/>
            <w:vAlign w:val="center"/>
          </w:tcPr>
          <w:p w14:paraId="4FFE310E">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联系人电话</w:t>
            </w:r>
          </w:p>
        </w:tc>
        <w:tc>
          <w:tcPr>
            <w:tcW w:w="2105" w:type="dxa"/>
            <w:vAlign w:val="center"/>
          </w:tcPr>
          <w:p w14:paraId="5AF5C34E">
            <w:pPr>
              <w:widowControl w:val="0"/>
              <w:snapToGrid w:val="0"/>
              <w:spacing w:line="440" w:lineRule="exact"/>
              <w:jc w:val="center"/>
              <w:rPr>
                <w:rFonts w:hint="eastAsia" w:ascii="仿宋" w:hAnsi="仿宋" w:eastAsia="仿宋" w:cs="仿宋"/>
                <w:bCs/>
                <w:kern w:val="2"/>
                <w:sz w:val="21"/>
                <w:szCs w:val="21"/>
                <w:lang w:val="en-US" w:eastAsia="zh-CN" w:bidi="ar-SA"/>
              </w:rPr>
            </w:pPr>
          </w:p>
        </w:tc>
      </w:tr>
      <w:tr w14:paraId="7F7E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40E939F">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电子发票收件</w:t>
            </w:r>
          </w:p>
          <w:p w14:paraId="0955BFD3">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电子邮箱</w:t>
            </w:r>
          </w:p>
        </w:tc>
        <w:tc>
          <w:tcPr>
            <w:tcW w:w="7472" w:type="dxa"/>
            <w:gridSpan w:val="3"/>
            <w:vAlign w:val="center"/>
          </w:tcPr>
          <w:p w14:paraId="430D62DF">
            <w:pPr>
              <w:widowControl w:val="0"/>
              <w:snapToGrid w:val="0"/>
              <w:spacing w:line="440" w:lineRule="exact"/>
              <w:jc w:val="lef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Email:</w:t>
            </w:r>
          </w:p>
        </w:tc>
      </w:tr>
      <w:tr w14:paraId="664B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3A234C72">
            <w:pPr>
              <w:widowControl w:val="0"/>
              <w:snapToGrid w:val="0"/>
              <w:spacing w:line="44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发票邮寄地址：</w:t>
            </w:r>
          </w:p>
        </w:tc>
        <w:tc>
          <w:tcPr>
            <w:tcW w:w="7472" w:type="dxa"/>
            <w:gridSpan w:val="3"/>
            <w:vAlign w:val="center"/>
          </w:tcPr>
          <w:p w14:paraId="195F740C">
            <w:pPr>
              <w:widowControl w:val="0"/>
              <w:snapToGrid w:val="0"/>
              <w:spacing w:line="440" w:lineRule="exact"/>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地址：</w:t>
            </w:r>
          </w:p>
          <w:p w14:paraId="0AAD35FC">
            <w:pPr>
              <w:widowControl w:val="0"/>
              <w:snapToGrid w:val="0"/>
              <w:spacing w:line="440" w:lineRule="exact"/>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收件人：                电话：</w:t>
            </w:r>
          </w:p>
        </w:tc>
      </w:tr>
    </w:tbl>
    <w:p w14:paraId="218C4D28">
      <w:pPr>
        <w:widowControl w:val="0"/>
        <w:snapToGrid w:val="0"/>
        <w:spacing w:line="440" w:lineRule="exact"/>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 xml:space="preserve">    我公司提供的上述开票信息准确无误，如果因我公司提供上述信息错误，导致发票无效的，将由我公司承担相应后果。</w:t>
      </w:r>
    </w:p>
    <w:p w14:paraId="5E644926">
      <w:pPr>
        <w:widowControl w:val="0"/>
        <w:snapToGrid w:val="0"/>
        <w:spacing w:line="440" w:lineRule="exact"/>
        <w:jc w:val="both"/>
        <w:rPr>
          <w:rFonts w:hint="eastAsia" w:ascii="仿宋" w:hAnsi="仿宋" w:eastAsia="仿宋" w:cs="仿宋"/>
          <w:bCs/>
          <w:kern w:val="2"/>
          <w:sz w:val="21"/>
          <w:szCs w:val="21"/>
          <w:lang w:val="en-US" w:eastAsia="zh-CN" w:bidi="ar-SA"/>
        </w:rPr>
      </w:pPr>
    </w:p>
    <w:p w14:paraId="09E1BC42">
      <w:pPr>
        <w:widowControl w:val="0"/>
        <w:snapToGrid w:val="0"/>
        <w:spacing w:line="440" w:lineRule="exact"/>
        <w:ind w:firstLine="420" w:firstLineChars="200"/>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注：供应商需要采购代理机构开具增值税发票的，请在上表中填写相关信息，</w:t>
      </w:r>
      <w:r>
        <w:rPr>
          <w:rFonts w:hint="eastAsia" w:ascii="仿宋" w:hAnsi="仿宋" w:eastAsia="仿宋" w:cs="仿宋"/>
          <w:b/>
          <w:kern w:val="2"/>
          <w:sz w:val="21"/>
          <w:szCs w:val="21"/>
          <w:lang w:val="en-US" w:eastAsia="zh-CN" w:bidi="ar-SA"/>
        </w:rPr>
        <w:t>如供应商需要开具增值税专用发票的须附供应商开户许可证、一般纳税人认定文件的清晰复印件加盖公章，以及开票信息（见上表）。</w:t>
      </w:r>
      <w:r>
        <w:rPr>
          <w:rFonts w:hint="eastAsia" w:ascii="仿宋" w:hAnsi="仿宋" w:eastAsia="仿宋" w:cs="仿宋"/>
          <w:bCs/>
          <w:kern w:val="2"/>
          <w:sz w:val="21"/>
          <w:szCs w:val="21"/>
          <w:lang w:val="en-US" w:eastAsia="zh-CN" w:bidi="ar-SA"/>
        </w:rPr>
        <w:t>如供应商在开票信息中未注明开具</w:t>
      </w:r>
      <w:r>
        <w:rPr>
          <w:rFonts w:hint="eastAsia" w:ascii="仿宋" w:hAnsi="仿宋" w:eastAsia="仿宋" w:cs="仿宋"/>
          <w:b/>
          <w:kern w:val="2"/>
          <w:sz w:val="21"/>
          <w:szCs w:val="21"/>
          <w:lang w:val="en-US" w:eastAsia="zh-CN" w:bidi="ar-SA"/>
        </w:rPr>
        <w:t>增值税专用发票</w:t>
      </w:r>
      <w:r>
        <w:rPr>
          <w:rFonts w:hint="eastAsia" w:ascii="仿宋" w:hAnsi="仿宋" w:eastAsia="仿宋" w:cs="仿宋"/>
          <w:bCs/>
          <w:kern w:val="2"/>
          <w:sz w:val="21"/>
          <w:szCs w:val="21"/>
          <w:lang w:val="en-US" w:eastAsia="zh-CN" w:bidi="ar-SA"/>
        </w:rPr>
        <w:t>且未提供上述材料，代理机构将默认开具增值税普通发票。</w:t>
      </w:r>
    </w:p>
    <w:p w14:paraId="72092E0F">
      <w:pPr>
        <w:widowControl w:val="0"/>
        <w:snapToGrid w:val="0"/>
        <w:spacing w:line="440" w:lineRule="exact"/>
        <w:jc w:val="both"/>
        <w:rPr>
          <w:rFonts w:hint="eastAsia" w:ascii="仿宋" w:hAnsi="仿宋" w:eastAsia="仿宋" w:cs="仿宋"/>
          <w:bCs/>
          <w:kern w:val="2"/>
          <w:sz w:val="21"/>
          <w:szCs w:val="21"/>
          <w:lang w:val="en-US" w:eastAsia="zh-CN" w:bidi="ar-SA"/>
        </w:rPr>
      </w:pPr>
    </w:p>
    <w:p w14:paraId="1C36A32C">
      <w:pPr>
        <w:adjustRightInd w:val="0"/>
        <w:snapToGrid w:val="0"/>
        <w:spacing w:line="440" w:lineRule="exact"/>
        <w:rPr>
          <w:rFonts w:hint="eastAsia" w:ascii="仿宋" w:hAnsi="仿宋" w:eastAsia="仿宋" w:cs="仿宋"/>
          <w:color w:val="000000"/>
          <w:sz w:val="21"/>
          <w:szCs w:val="21"/>
          <w:u w:val="single"/>
        </w:rPr>
      </w:pPr>
      <w:r>
        <w:rPr>
          <w:rFonts w:hint="eastAsia" w:ascii="仿宋" w:hAnsi="仿宋" w:eastAsia="仿宋" w:cs="仿宋"/>
          <w:color w:val="000000"/>
          <w:sz w:val="21"/>
          <w:szCs w:val="21"/>
          <w:lang w:val="en-US" w:eastAsia="zh-CN"/>
        </w:rPr>
        <w:t>供应商</w:t>
      </w:r>
      <w:r>
        <w:rPr>
          <w:rFonts w:hint="eastAsia" w:ascii="仿宋" w:hAnsi="仿宋" w:eastAsia="仿宋" w:cs="仿宋"/>
          <w:color w:val="000000"/>
          <w:sz w:val="21"/>
          <w:szCs w:val="21"/>
        </w:rPr>
        <w:t>法定代表人或法定代表人授权代表</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签字</w:t>
      </w:r>
      <w:r>
        <w:rPr>
          <w:rFonts w:hint="eastAsia" w:ascii="仿宋" w:hAnsi="仿宋" w:eastAsia="仿宋" w:cs="仿宋"/>
          <w:color w:val="000000"/>
          <w:sz w:val="21"/>
          <w:szCs w:val="21"/>
          <w:lang w:val="en-US" w:eastAsia="zh-CN"/>
        </w:rPr>
        <w:t>或电子印章</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w:t>
      </w:r>
    </w:p>
    <w:p w14:paraId="009714BD">
      <w:pPr>
        <w:adjustRightInd w:val="0"/>
        <w:snapToGrid w:val="0"/>
        <w:spacing w:line="440" w:lineRule="exact"/>
        <w:rPr>
          <w:rFonts w:hint="eastAsia" w:ascii="仿宋" w:hAnsi="仿宋" w:eastAsia="仿宋" w:cs="仿宋"/>
          <w:color w:val="000000"/>
          <w:sz w:val="21"/>
          <w:szCs w:val="21"/>
          <w:u w:val="single"/>
        </w:rPr>
      </w:pPr>
      <w:r>
        <w:rPr>
          <w:rFonts w:hint="eastAsia" w:ascii="仿宋" w:hAnsi="仿宋" w:eastAsia="仿宋" w:cs="仿宋"/>
          <w:color w:val="000000"/>
          <w:sz w:val="21"/>
          <w:szCs w:val="21"/>
          <w:lang w:val="en-US" w:eastAsia="zh-CN"/>
        </w:rPr>
        <w:t>供应商</w:t>
      </w:r>
      <w:r>
        <w:rPr>
          <w:rFonts w:hint="eastAsia" w:ascii="仿宋" w:hAnsi="仿宋" w:eastAsia="仿宋" w:cs="仿宋"/>
          <w:color w:val="000000"/>
          <w:sz w:val="21"/>
          <w:szCs w:val="21"/>
        </w:rPr>
        <w:t>名称（</w:t>
      </w:r>
      <w:r>
        <w:rPr>
          <w:rFonts w:hint="eastAsia" w:ascii="仿宋" w:hAnsi="仿宋" w:eastAsia="仿宋" w:cs="仿宋"/>
          <w:color w:val="000000"/>
          <w:sz w:val="21"/>
          <w:szCs w:val="21"/>
          <w:lang w:val="en-US" w:eastAsia="zh-CN"/>
        </w:rPr>
        <w:t>电子印章</w:t>
      </w:r>
      <w:r>
        <w:rPr>
          <w:rFonts w:hint="eastAsia" w:ascii="仿宋" w:hAnsi="仿宋" w:eastAsia="仿宋" w:cs="仿宋"/>
          <w:color w:val="000000"/>
          <w:sz w:val="21"/>
          <w:szCs w:val="21"/>
        </w:rPr>
        <w:t>）：</w:t>
      </w:r>
    </w:p>
    <w:p w14:paraId="4BEEE38E">
      <w:pPr>
        <w:widowControl w:val="0"/>
        <w:snapToGrid w:val="0"/>
        <w:spacing w:line="440" w:lineRule="exact"/>
        <w:jc w:val="both"/>
        <w:rPr>
          <w:rFonts w:hint="eastAsia" w:ascii="仿宋" w:hAnsi="仿宋" w:eastAsia="仿宋" w:cs="仿宋"/>
          <w:b/>
          <w:bCs/>
          <w:color w:val="000000"/>
          <w:kern w:val="2"/>
          <w:sz w:val="21"/>
          <w:szCs w:val="21"/>
          <w:lang w:val="en-US" w:eastAsia="zh-CN" w:bidi="ar"/>
        </w:rPr>
      </w:pPr>
      <w:r>
        <w:rPr>
          <w:rFonts w:hint="eastAsia" w:ascii="仿宋" w:hAnsi="仿宋" w:eastAsia="仿宋" w:cs="仿宋"/>
          <w:color w:val="000000"/>
          <w:kern w:val="2"/>
          <w:sz w:val="21"/>
          <w:szCs w:val="21"/>
          <w:lang w:val="en-US" w:eastAsia="zh-CN" w:bidi="ar-SA"/>
        </w:rPr>
        <w:t>日期：   年   月   日</w:t>
      </w:r>
    </w:p>
    <w:p w14:paraId="2208D052">
      <w:pPr>
        <w:pStyle w:val="26"/>
        <w:rPr>
          <w:rFonts w:hint="eastAsia" w:ascii="仿宋" w:hAnsi="仿宋" w:eastAsia="仿宋" w:cs="仿宋"/>
          <w:lang w:val="en-US" w:eastAsia="zh-CN"/>
        </w:rPr>
      </w:pPr>
    </w:p>
    <w:p w14:paraId="0DB56292">
      <w:pPr>
        <w:pStyle w:val="26"/>
        <w:rPr>
          <w:rFonts w:hint="eastAsia" w:ascii="仿宋" w:hAnsi="仿宋" w:eastAsia="仿宋" w:cs="仿宋"/>
          <w:lang w:val="en-US" w:eastAsia="zh-CN"/>
        </w:rPr>
      </w:pPr>
    </w:p>
    <w:sectPr>
      <w:headerReference r:id="rId6" w:type="default"/>
      <w:footerReference r:id="rId7" w:type="default"/>
      <w:pgSz w:w="11906" w:h="16838"/>
      <w:pgMar w:top="1440" w:right="1800" w:bottom="1440" w:left="1800" w:header="851" w:footer="992" w:gutter="0"/>
      <w:pgNumType w:fmt="decimal"/>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A4F64A-6294-47D0-B827-9CED70E8B98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2D67BBC-E447-48D7-B214-F275FCDF1FB1}"/>
  </w:font>
  <w:font w:name="微软雅黑">
    <w:panose1 w:val="020B0503020204020204"/>
    <w:charset w:val="86"/>
    <w:family w:val="auto"/>
    <w:pitch w:val="default"/>
    <w:sig w:usb0="80000287" w:usb1="2ACF3C50" w:usb2="00000016" w:usb3="00000000" w:csb0="0004001F" w:csb1="00000000"/>
    <w:embedRegular r:id="rId3" w:fontKey="{6A3F6B71-14FF-4ED3-8D76-F7674BC886FF}"/>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4" w:fontKey="{D84AC9E7-ADA4-403A-8D99-5F0ABAD087D0}"/>
  </w:font>
  <w:font w:name="Wingdings 2">
    <w:panose1 w:val="05020102010507070707"/>
    <w:charset w:val="00"/>
    <w:family w:val="auto"/>
    <w:pitch w:val="default"/>
    <w:sig w:usb0="00000000" w:usb1="00000000" w:usb2="00000000" w:usb3="00000000" w:csb0="80000000" w:csb1="00000000"/>
    <w:embedRegular r:id="rId5" w:fontKey="{0422656C-0514-4880-88EB-CEB8C28946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EAF3D">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9B371">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C9B371">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C1BA">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16B5A">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E4B95">
                          <w:pPr>
                            <w:pStyle w:val="18"/>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1E4B95">
                    <w:pPr>
                      <w:pStyle w:val="18"/>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7ABCB">
    <w:pP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39FED">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A90914A5"/>
    <w:multiLevelType w:val="singleLevel"/>
    <w:tmpl w:val="A90914A5"/>
    <w:lvl w:ilvl="0" w:tentative="0">
      <w:start w:val="1"/>
      <w:numFmt w:val="decimal"/>
      <w:suff w:val="space"/>
      <w:lvlText w:val="%1."/>
      <w:lvlJc w:val="left"/>
    </w:lvl>
  </w:abstractNum>
  <w:abstractNum w:abstractNumId="2">
    <w:nsid w:val="BC82F1D4"/>
    <w:multiLevelType w:val="singleLevel"/>
    <w:tmpl w:val="BC82F1D4"/>
    <w:lvl w:ilvl="0" w:tentative="0">
      <w:start w:val="1"/>
      <w:numFmt w:val="chineseCounting"/>
      <w:suff w:val="space"/>
      <w:lvlText w:val="第%1章"/>
      <w:lvlJc w:val="left"/>
      <w:rPr>
        <w:rFonts w:hint="eastAsia"/>
      </w:rPr>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F15E2F75"/>
    <w:multiLevelType w:val="singleLevel"/>
    <w:tmpl w:val="F15E2F75"/>
    <w:lvl w:ilvl="0" w:tentative="0">
      <w:start w:val="2"/>
      <w:numFmt w:val="decimal"/>
      <w:suff w:val="nothing"/>
      <w:lvlText w:val="%1、"/>
      <w:lvlJc w:val="left"/>
    </w:lvl>
  </w:abstractNum>
  <w:abstractNum w:abstractNumId="5">
    <w:nsid w:val="01D4EBA8"/>
    <w:multiLevelType w:val="multilevel"/>
    <w:tmpl w:val="01D4EBA8"/>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5AF2A39"/>
    <w:multiLevelType w:val="multilevel"/>
    <w:tmpl w:val="05AF2A39"/>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16A32F38"/>
    <w:multiLevelType w:val="multilevel"/>
    <w:tmpl w:val="16A32F38"/>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4764A6C"/>
    <w:multiLevelType w:val="multilevel"/>
    <w:tmpl w:val="34764A6C"/>
    <w:lvl w:ilvl="0" w:tentative="0">
      <w:start w:val="1"/>
      <w:numFmt w:val="japaneseCounting"/>
      <w:lvlText w:val="%1、"/>
      <w:lvlJc w:val="left"/>
      <w:pPr>
        <w:ind w:left="720" w:hanging="720"/>
      </w:pPr>
      <w:rPr>
        <w:rFonts w:hint="default" w:ascii="仿宋" w:hAnsi="仿宋" w:eastAsia="仿宋" w:cs="仿宋"/>
        <w:b w:val="0"/>
        <w:color w:val="00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B0E084"/>
    <w:multiLevelType w:val="singleLevel"/>
    <w:tmpl w:val="54B0E084"/>
    <w:lvl w:ilvl="0" w:tentative="0">
      <w:start w:val="2"/>
      <w:numFmt w:val="chineseCounting"/>
      <w:suff w:val="space"/>
      <w:lvlText w:val="第%1章"/>
      <w:lvlJc w:val="left"/>
      <w:rPr>
        <w:rFonts w:hint="eastAsia"/>
      </w:rPr>
    </w:lvl>
  </w:abstractNum>
  <w:abstractNum w:abstractNumId="11">
    <w:nsid w:val="63862E25"/>
    <w:multiLevelType w:val="singleLevel"/>
    <w:tmpl w:val="63862E25"/>
    <w:lvl w:ilvl="0" w:tentative="0">
      <w:start w:val="1"/>
      <w:numFmt w:val="decimal"/>
      <w:suff w:val="space"/>
      <w:lvlText w:val="（%1）"/>
      <w:lvlJc w:val="left"/>
    </w:lvl>
  </w:abstractNum>
  <w:abstractNum w:abstractNumId="12">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3">
    <w:nsid w:val="73E6972B"/>
    <w:multiLevelType w:val="singleLevel"/>
    <w:tmpl w:val="73E6972B"/>
    <w:lvl w:ilvl="0" w:tentative="0">
      <w:start w:val="1"/>
      <w:numFmt w:val="chineseCounting"/>
      <w:suff w:val="space"/>
      <w:lvlText w:val="%1、"/>
      <w:lvlJc w:val="left"/>
      <w:rPr>
        <w:rFonts w:hint="eastAsia"/>
      </w:rPr>
    </w:lvl>
  </w:abstractNum>
  <w:abstractNum w:abstractNumId="14">
    <w:nsid w:val="7633D9B6"/>
    <w:multiLevelType w:val="singleLevel"/>
    <w:tmpl w:val="7633D9B6"/>
    <w:lvl w:ilvl="0" w:tentative="0">
      <w:start w:val="3"/>
      <w:numFmt w:val="chineseCounting"/>
      <w:suff w:val="space"/>
      <w:lvlText w:val="第%1章"/>
      <w:lvlJc w:val="left"/>
      <w:rPr>
        <w:rFonts w:hint="eastAsia"/>
      </w:rPr>
    </w:lvl>
  </w:abstractNum>
  <w:abstractNum w:abstractNumId="15">
    <w:nsid w:val="78F60E4F"/>
    <w:multiLevelType w:val="singleLevel"/>
    <w:tmpl w:val="78F60E4F"/>
    <w:lvl w:ilvl="0" w:tentative="0">
      <w:start w:val="1"/>
      <w:numFmt w:val="chineseCounting"/>
      <w:suff w:val="nothing"/>
      <w:lvlText w:val="%1、"/>
      <w:lvlJc w:val="left"/>
      <w:rPr>
        <w:rFonts w:hint="eastAsia"/>
      </w:rPr>
    </w:lvl>
  </w:abstractNum>
  <w:num w:numId="1">
    <w:abstractNumId w:val="2"/>
  </w:num>
  <w:num w:numId="2">
    <w:abstractNumId w:val="13"/>
  </w:num>
  <w:num w:numId="3">
    <w:abstractNumId w:val="10"/>
  </w:num>
  <w:num w:numId="4">
    <w:abstractNumId w:val="4"/>
  </w:num>
  <w:num w:numId="5">
    <w:abstractNumId w:val="14"/>
  </w:num>
  <w:num w:numId="6">
    <w:abstractNumId w:val="15"/>
  </w:num>
  <w:num w:numId="7">
    <w:abstractNumId w:val="12"/>
  </w:num>
  <w:num w:numId="8">
    <w:abstractNumId w:val="7"/>
  </w:num>
  <w:num w:numId="9">
    <w:abstractNumId w:val="3"/>
  </w:num>
  <w:num w:numId="10">
    <w:abstractNumId w:val="11"/>
  </w:num>
  <w:num w:numId="11">
    <w:abstractNumId w:val="5"/>
  </w:num>
  <w:num w:numId="12">
    <w:abstractNumId w:val="8"/>
  </w:num>
  <w:num w:numId="13">
    <w:abstractNumId w:val="9"/>
  </w:num>
  <w:num w:numId="14">
    <w:abstractNumId w:val="6"/>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YjI3M2I4NjFkYmE4NmI1YmU0ZjVjMjIyMjkyYWYifQ=="/>
  </w:docVars>
  <w:rsids>
    <w:rsidRoot w:val="1AA24D9F"/>
    <w:rsid w:val="001113BD"/>
    <w:rsid w:val="00306FA2"/>
    <w:rsid w:val="0103400D"/>
    <w:rsid w:val="0130308D"/>
    <w:rsid w:val="015809AE"/>
    <w:rsid w:val="02353A89"/>
    <w:rsid w:val="02510BDC"/>
    <w:rsid w:val="02545219"/>
    <w:rsid w:val="04071455"/>
    <w:rsid w:val="046F384F"/>
    <w:rsid w:val="04701C01"/>
    <w:rsid w:val="04FE49DF"/>
    <w:rsid w:val="061B1E9A"/>
    <w:rsid w:val="061B783E"/>
    <w:rsid w:val="068F05DE"/>
    <w:rsid w:val="0697688C"/>
    <w:rsid w:val="06A43931"/>
    <w:rsid w:val="06C4362D"/>
    <w:rsid w:val="06D340D1"/>
    <w:rsid w:val="06D66EBD"/>
    <w:rsid w:val="07011CC2"/>
    <w:rsid w:val="07644792"/>
    <w:rsid w:val="07BE71A8"/>
    <w:rsid w:val="0822060B"/>
    <w:rsid w:val="08A059D4"/>
    <w:rsid w:val="08E17110"/>
    <w:rsid w:val="09284798"/>
    <w:rsid w:val="096F3463"/>
    <w:rsid w:val="099153F6"/>
    <w:rsid w:val="09A11A04"/>
    <w:rsid w:val="09B85581"/>
    <w:rsid w:val="09BC4A90"/>
    <w:rsid w:val="09DE1F54"/>
    <w:rsid w:val="0A00497C"/>
    <w:rsid w:val="0BA80E28"/>
    <w:rsid w:val="0BDE6F3F"/>
    <w:rsid w:val="0C6E02C3"/>
    <w:rsid w:val="0C965028"/>
    <w:rsid w:val="0CC57098"/>
    <w:rsid w:val="0D006A41"/>
    <w:rsid w:val="0D471AAF"/>
    <w:rsid w:val="0D6A1561"/>
    <w:rsid w:val="0D8A6C86"/>
    <w:rsid w:val="0D9F625A"/>
    <w:rsid w:val="0E0407B3"/>
    <w:rsid w:val="0EFB1BB6"/>
    <w:rsid w:val="0F1B68A2"/>
    <w:rsid w:val="0F2941FB"/>
    <w:rsid w:val="0F2B6FD9"/>
    <w:rsid w:val="0F3B1128"/>
    <w:rsid w:val="0F6459AD"/>
    <w:rsid w:val="0F9B0CA3"/>
    <w:rsid w:val="0FDC7094"/>
    <w:rsid w:val="101F18D4"/>
    <w:rsid w:val="10240C99"/>
    <w:rsid w:val="11104482"/>
    <w:rsid w:val="11286567"/>
    <w:rsid w:val="11950D59"/>
    <w:rsid w:val="128F2D41"/>
    <w:rsid w:val="1294398E"/>
    <w:rsid w:val="1324792E"/>
    <w:rsid w:val="138403CC"/>
    <w:rsid w:val="1393060F"/>
    <w:rsid w:val="13A91BE1"/>
    <w:rsid w:val="13B01D58"/>
    <w:rsid w:val="13C80F48"/>
    <w:rsid w:val="147C72F5"/>
    <w:rsid w:val="1483303E"/>
    <w:rsid w:val="153727FE"/>
    <w:rsid w:val="155344FA"/>
    <w:rsid w:val="1585667E"/>
    <w:rsid w:val="159643E7"/>
    <w:rsid w:val="15DE3C00"/>
    <w:rsid w:val="15EC2259"/>
    <w:rsid w:val="16175528"/>
    <w:rsid w:val="169821D2"/>
    <w:rsid w:val="16EF010F"/>
    <w:rsid w:val="170B3BD8"/>
    <w:rsid w:val="17103593"/>
    <w:rsid w:val="171566D8"/>
    <w:rsid w:val="17363E85"/>
    <w:rsid w:val="17780F73"/>
    <w:rsid w:val="183C240D"/>
    <w:rsid w:val="18A92683"/>
    <w:rsid w:val="18D45952"/>
    <w:rsid w:val="18EE62E8"/>
    <w:rsid w:val="193A3DD5"/>
    <w:rsid w:val="19A83DCB"/>
    <w:rsid w:val="19E82794"/>
    <w:rsid w:val="1A564613"/>
    <w:rsid w:val="1A5A447B"/>
    <w:rsid w:val="1A677554"/>
    <w:rsid w:val="1A7D3DC7"/>
    <w:rsid w:val="1A824F3A"/>
    <w:rsid w:val="1A8607B2"/>
    <w:rsid w:val="1AA24D9F"/>
    <w:rsid w:val="1AA9696A"/>
    <w:rsid w:val="1AED4AA9"/>
    <w:rsid w:val="1B4C3051"/>
    <w:rsid w:val="1B723BA2"/>
    <w:rsid w:val="1BDD2D6F"/>
    <w:rsid w:val="1BF63E31"/>
    <w:rsid w:val="1D6F3E9B"/>
    <w:rsid w:val="1D7D1F6A"/>
    <w:rsid w:val="1DC91F33"/>
    <w:rsid w:val="1DCB5CE7"/>
    <w:rsid w:val="1F972AB2"/>
    <w:rsid w:val="1FB05EDF"/>
    <w:rsid w:val="1FCF6E73"/>
    <w:rsid w:val="20BD316F"/>
    <w:rsid w:val="213351E0"/>
    <w:rsid w:val="21464F13"/>
    <w:rsid w:val="216655B5"/>
    <w:rsid w:val="21A12579"/>
    <w:rsid w:val="22491B20"/>
    <w:rsid w:val="22F015DA"/>
    <w:rsid w:val="22FD7853"/>
    <w:rsid w:val="23983A20"/>
    <w:rsid w:val="239A32F4"/>
    <w:rsid w:val="23B5644D"/>
    <w:rsid w:val="23CF5A1D"/>
    <w:rsid w:val="240E29A5"/>
    <w:rsid w:val="24302374"/>
    <w:rsid w:val="247753D8"/>
    <w:rsid w:val="24C437F9"/>
    <w:rsid w:val="24EF3DDE"/>
    <w:rsid w:val="25A5657F"/>
    <w:rsid w:val="25C66622"/>
    <w:rsid w:val="27257379"/>
    <w:rsid w:val="28DA2E89"/>
    <w:rsid w:val="28DD6C00"/>
    <w:rsid w:val="2A13386D"/>
    <w:rsid w:val="2A2F0335"/>
    <w:rsid w:val="2A4254F9"/>
    <w:rsid w:val="2AF53418"/>
    <w:rsid w:val="2B065713"/>
    <w:rsid w:val="2B57569F"/>
    <w:rsid w:val="2BAF7B59"/>
    <w:rsid w:val="2C8763E0"/>
    <w:rsid w:val="2C974875"/>
    <w:rsid w:val="2CF35EAC"/>
    <w:rsid w:val="2D1F32F4"/>
    <w:rsid w:val="2D636E4D"/>
    <w:rsid w:val="2DD73574"/>
    <w:rsid w:val="2E017DA0"/>
    <w:rsid w:val="2FAB4AE4"/>
    <w:rsid w:val="2FE43D35"/>
    <w:rsid w:val="31220FC3"/>
    <w:rsid w:val="3129778E"/>
    <w:rsid w:val="31723B02"/>
    <w:rsid w:val="32011632"/>
    <w:rsid w:val="323039DF"/>
    <w:rsid w:val="323B4D81"/>
    <w:rsid w:val="32562ADC"/>
    <w:rsid w:val="3258253E"/>
    <w:rsid w:val="326E6836"/>
    <w:rsid w:val="328C0BF4"/>
    <w:rsid w:val="32DA370D"/>
    <w:rsid w:val="334D7408"/>
    <w:rsid w:val="33890C8F"/>
    <w:rsid w:val="33BE4DDD"/>
    <w:rsid w:val="340622E0"/>
    <w:rsid w:val="346104E7"/>
    <w:rsid w:val="34992F4E"/>
    <w:rsid w:val="34A91596"/>
    <w:rsid w:val="34B222E9"/>
    <w:rsid w:val="34B70380"/>
    <w:rsid w:val="34C646DD"/>
    <w:rsid w:val="356B2D42"/>
    <w:rsid w:val="356C5435"/>
    <w:rsid w:val="35DE3514"/>
    <w:rsid w:val="35E13004"/>
    <w:rsid w:val="365C69BF"/>
    <w:rsid w:val="366D4898"/>
    <w:rsid w:val="36725CA2"/>
    <w:rsid w:val="36C31C10"/>
    <w:rsid w:val="37D270A9"/>
    <w:rsid w:val="386A11B8"/>
    <w:rsid w:val="3899537C"/>
    <w:rsid w:val="38AB3297"/>
    <w:rsid w:val="38B8629F"/>
    <w:rsid w:val="3A9F0DF8"/>
    <w:rsid w:val="3AAD0267"/>
    <w:rsid w:val="3ACA0BF2"/>
    <w:rsid w:val="3AE174A3"/>
    <w:rsid w:val="3B810614"/>
    <w:rsid w:val="3B864907"/>
    <w:rsid w:val="3BB900EC"/>
    <w:rsid w:val="3C502014"/>
    <w:rsid w:val="3C6109FB"/>
    <w:rsid w:val="3C6A3D54"/>
    <w:rsid w:val="3C826406"/>
    <w:rsid w:val="3D025130"/>
    <w:rsid w:val="3D1B32A0"/>
    <w:rsid w:val="3D803103"/>
    <w:rsid w:val="3E3D4DBF"/>
    <w:rsid w:val="3F172BE7"/>
    <w:rsid w:val="3F3314F0"/>
    <w:rsid w:val="3F7C1E27"/>
    <w:rsid w:val="402E6E03"/>
    <w:rsid w:val="40624945"/>
    <w:rsid w:val="407C674B"/>
    <w:rsid w:val="40AD06B3"/>
    <w:rsid w:val="40BE2AD0"/>
    <w:rsid w:val="40DE6A53"/>
    <w:rsid w:val="411E6EBB"/>
    <w:rsid w:val="41613975"/>
    <w:rsid w:val="421F113C"/>
    <w:rsid w:val="42630400"/>
    <w:rsid w:val="426B7C83"/>
    <w:rsid w:val="42725710"/>
    <w:rsid w:val="42AC04F6"/>
    <w:rsid w:val="42B71375"/>
    <w:rsid w:val="43446334"/>
    <w:rsid w:val="44134089"/>
    <w:rsid w:val="442C18EF"/>
    <w:rsid w:val="448C5F4F"/>
    <w:rsid w:val="4496626A"/>
    <w:rsid w:val="44A84E71"/>
    <w:rsid w:val="44C775F5"/>
    <w:rsid w:val="45CC1959"/>
    <w:rsid w:val="45EA56BE"/>
    <w:rsid w:val="45F75F2C"/>
    <w:rsid w:val="461B348E"/>
    <w:rsid w:val="46317690"/>
    <w:rsid w:val="463814A9"/>
    <w:rsid w:val="46AC6D63"/>
    <w:rsid w:val="46E16E1D"/>
    <w:rsid w:val="46ED1A00"/>
    <w:rsid w:val="46FF5840"/>
    <w:rsid w:val="477DCE1E"/>
    <w:rsid w:val="48D6451F"/>
    <w:rsid w:val="48EC789E"/>
    <w:rsid w:val="49836455"/>
    <w:rsid w:val="49E41ADE"/>
    <w:rsid w:val="4A190B67"/>
    <w:rsid w:val="4A712751"/>
    <w:rsid w:val="4B3A2B43"/>
    <w:rsid w:val="4C2061DD"/>
    <w:rsid w:val="4CD64AED"/>
    <w:rsid w:val="4D025DF7"/>
    <w:rsid w:val="4D363C19"/>
    <w:rsid w:val="4D46591D"/>
    <w:rsid w:val="4DF27705"/>
    <w:rsid w:val="4E3046D1"/>
    <w:rsid w:val="4E880069"/>
    <w:rsid w:val="4E9C3B15"/>
    <w:rsid w:val="4EC72940"/>
    <w:rsid w:val="4F1418FD"/>
    <w:rsid w:val="4F9D7B44"/>
    <w:rsid w:val="50A4106D"/>
    <w:rsid w:val="50B74C36"/>
    <w:rsid w:val="515F1555"/>
    <w:rsid w:val="517343B1"/>
    <w:rsid w:val="51A52CE0"/>
    <w:rsid w:val="5236471D"/>
    <w:rsid w:val="5253098E"/>
    <w:rsid w:val="525C3CE7"/>
    <w:rsid w:val="52650DED"/>
    <w:rsid w:val="529B5231"/>
    <w:rsid w:val="52E25273"/>
    <w:rsid w:val="52E837CD"/>
    <w:rsid w:val="534A736A"/>
    <w:rsid w:val="535A4B1B"/>
    <w:rsid w:val="536A4041"/>
    <w:rsid w:val="537C536E"/>
    <w:rsid w:val="53915C17"/>
    <w:rsid w:val="54297BF9"/>
    <w:rsid w:val="542E6690"/>
    <w:rsid w:val="544B5DC1"/>
    <w:rsid w:val="546755BB"/>
    <w:rsid w:val="548117E3"/>
    <w:rsid w:val="5523302C"/>
    <w:rsid w:val="563A0876"/>
    <w:rsid w:val="56557314"/>
    <w:rsid w:val="56E60023"/>
    <w:rsid w:val="570D1A54"/>
    <w:rsid w:val="573E1E21"/>
    <w:rsid w:val="57EE3633"/>
    <w:rsid w:val="58540736"/>
    <w:rsid w:val="58C61EBA"/>
    <w:rsid w:val="590057FE"/>
    <w:rsid w:val="59140E77"/>
    <w:rsid w:val="592A2449"/>
    <w:rsid w:val="593D0B75"/>
    <w:rsid w:val="59F465D0"/>
    <w:rsid w:val="5A3572F7"/>
    <w:rsid w:val="5A571512"/>
    <w:rsid w:val="5A9757AC"/>
    <w:rsid w:val="5B392E17"/>
    <w:rsid w:val="5B44356A"/>
    <w:rsid w:val="5B487E91"/>
    <w:rsid w:val="5B765FD1"/>
    <w:rsid w:val="5BDC3877"/>
    <w:rsid w:val="5C045C02"/>
    <w:rsid w:val="5C553C81"/>
    <w:rsid w:val="5CF9550F"/>
    <w:rsid w:val="5D6B74D4"/>
    <w:rsid w:val="5E4C10B3"/>
    <w:rsid w:val="5E781EA8"/>
    <w:rsid w:val="5E955F07"/>
    <w:rsid w:val="5EA84152"/>
    <w:rsid w:val="5EFEBDE8"/>
    <w:rsid w:val="5F6659D4"/>
    <w:rsid w:val="5F793B21"/>
    <w:rsid w:val="5F986316"/>
    <w:rsid w:val="5FC60B52"/>
    <w:rsid w:val="6085265B"/>
    <w:rsid w:val="608F5287"/>
    <w:rsid w:val="60F82C5A"/>
    <w:rsid w:val="60FD0443"/>
    <w:rsid w:val="611A7247"/>
    <w:rsid w:val="614D13CA"/>
    <w:rsid w:val="6155202D"/>
    <w:rsid w:val="61655215"/>
    <w:rsid w:val="61AD1E69"/>
    <w:rsid w:val="61FE0917"/>
    <w:rsid w:val="62442705"/>
    <w:rsid w:val="625B691D"/>
    <w:rsid w:val="626D784A"/>
    <w:rsid w:val="626F590C"/>
    <w:rsid w:val="63612F0B"/>
    <w:rsid w:val="642B176B"/>
    <w:rsid w:val="647122CF"/>
    <w:rsid w:val="64FD3107"/>
    <w:rsid w:val="65863D64"/>
    <w:rsid w:val="658E1FB1"/>
    <w:rsid w:val="65BB3BA7"/>
    <w:rsid w:val="66345E01"/>
    <w:rsid w:val="663721B8"/>
    <w:rsid w:val="664D4438"/>
    <w:rsid w:val="665A00E6"/>
    <w:rsid w:val="665C20B0"/>
    <w:rsid w:val="66AC2A10"/>
    <w:rsid w:val="66C51D4D"/>
    <w:rsid w:val="676A4AEE"/>
    <w:rsid w:val="677F6056"/>
    <w:rsid w:val="678E6299"/>
    <w:rsid w:val="67C25F42"/>
    <w:rsid w:val="67E25897"/>
    <w:rsid w:val="67E61C31"/>
    <w:rsid w:val="680E73DA"/>
    <w:rsid w:val="68610A87"/>
    <w:rsid w:val="68694610"/>
    <w:rsid w:val="68CA2609"/>
    <w:rsid w:val="68CC1AED"/>
    <w:rsid w:val="690A5DF3"/>
    <w:rsid w:val="692A0243"/>
    <w:rsid w:val="69981136"/>
    <w:rsid w:val="69BB0F42"/>
    <w:rsid w:val="6A0740E0"/>
    <w:rsid w:val="6A1038A7"/>
    <w:rsid w:val="6A5B3E5E"/>
    <w:rsid w:val="6A637494"/>
    <w:rsid w:val="6ACF1414"/>
    <w:rsid w:val="6AD23432"/>
    <w:rsid w:val="6AFC79BD"/>
    <w:rsid w:val="6B1308BC"/>
    <w:rsid w:val="6B6374FE"/>
    <w:rsid w:val="6BA62986"/>
    <w:rsid w:val="6BB81877"/>
    <w:rsid w:val="6BCF62E6"/>
    <w:rsid w:val="6BF06008"/>
    <w:rsid w:val="6C094140"/>
    <w:rsid w:val="6C8639E2"/>
    <w:rsid w:val="6CAC48FA"/>
    <w:rsid w:val="6CD3A16D"/>
    <w:rsid w:val="6D126F53"/>
    <w:rsid w:val="6D3C6797"/>
    <w:rsid w:val="6D535020"/>
    <w:rsid w:val="6D8C3B3D"/>
    <w:rsid w:val="6E5F49A6"/>
    <w:rsid w:val="6F23376B"/>
    <w:rsid w:val="6F2474E3"/>
    <w:rsid w:val="6F265349"/>
    <w:rsid w:val="6F392F8E"/>
    <w:rsid w:val="6FBE656C"/>
    <w:rsid w:val="6FE0165C"/>
    <w:rsid w:val="6FEC6252"/>
    <w:rsid w:val="6FF637CB"/>
    <w:rsid w:val="6FFF37D2"/>
    <w:rsid w:val="70127B77"/>
    <w:rsid w:val="70745D21"/>
    <w:rsid w:val="70A46B2D"/>
    <w:rsid w:val="70AD3C34"/>
    <w:rsid w:val="70DE2EF1"/>
    <w:rsid w:val="70E22CF7"/>
    <w:rsid w:val="71095BF4"/>
    <w:rsid w:val="711D41EA"/>
    <w:rsid w:val="71447BFE"/>
    <w:rsid w:val="71520337"/>
    <w:rsid w:val="71AA1F21"/>
    <w:rsid w:val="7203579B"/>
    <w:rsid w:val="7221658E"/>
    <w:rsid w:val="7230633C"/>
    <w:rsid w:val="73624468"/>
    <w:rsid w:val="73BF43B6"/>
    <w:rsid w:val="7405643E"/>
    <w:rsid w:val="74F83F53"/>
    <w:rsid w:val="750A1056"/>
    <w:rsid w:val="75203B28"/>
    <w:rsid w:val="758B3BA6"/>
    <w:rsid w:val="75A03D67"/>
    <w:rsid w:val="75D700A5"/>
    <w:rsid w:val="76057F95"/>
    <w:rsid w:val="76062CBF"/>
    <w:rsid w:val="760B6CA9"/>
    <w:rsid w:val="767B4F55"/>
    <w:rsid w:val="769413F2"/>
    <w:rsid w:val="76C95A61"/>
    <w:rsid w:val="77336515"/>
    <w:rsid w:val="77A12ED9"/>
    <w:rsid w:val="77C14005"/>
    <w:rsid w:val="780D6D66"/>
    <w:rsid w:val="788A47C2"/>
    <w:rsid w:val="78C23E44"/>
    <w:rsid w:val="78F148D9"/>
    <w:rsid w:val="790740FD"/>
    <w:rsid w:val="796B468C"/>
    <w:rsid w:val="79C43D9C"/>
    <w:rsid w:val="79D815F5"/>
    <w:rsid w:val="7B09415C"/>
    <w:rsid w:val="7B436597"/>
    <w:rsid w:val="7B8143F2"/>
    <w:rsid w:val="7BB75966"/>
    <w:rsid w:val="7C5F4108"/>
    <w:rsid w:val="7CCF6CE0"/>
    <w:rsid w:val="7D8A0E59"/>
    <w:rsid w:val="7E2F4DBD"/>
    <w:rsid w:val="7E495B2A"/>
    <w:rsid w:val="7F09075D"/>
    <w:rsid w:val="7F79C282"/>
    <w:rsid w:val="7F7B6CAE"/>
    <w:rsid w:val="7FB126CD"/>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_GB2312" w:cs="Times New Roman"/>
      <w:kern w:val="2"/>
      <w:sz w:val="24"/>
      <w:szCs w:val="24"/>
      <w:lang w:val="en-US" w:eastAsia="zh-CN" w:bidi="ar-SA"/>
    </w:rPr>
  </w:style>
  <w:style w:type="paragraph" w:styleId="2">
    <w:name w:val="heading 1"/>
    <w:basedOn w:val="1"/>
    <w:next w:val="1"/>
    <w:link w:val="43"/>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link w:val="46"/>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6"/>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7">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8">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9">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0">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1">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29">
    <w:name w:val="Default Paragraph Font"/>
    <w:qFormat/>
    <w:uiPriority w:val="0"/>
    <w:rPr>
      <w:rFonts w:eastAsia="微软雅黑" w:asciiTheme="minorAscii" w:hAnsiTheme="minorAscii"/>
    </w:rPr>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qFormat/>
    <w:uiPriority w:val="1"/>
    <w:pPr>
      <w:widowControl w:val="0"/>
      <w:autoSpaceDE w:val="0"/>
      <w:autoSpaceDN w:val="0"/>
      <w:spacing w:before="0" w:after="0" w:line="240" w:lineRule="auto"/>
      <w:ind w:left="0" w:right="0"/>
      <w:jc w:val="left"/>
    </w:pPr>
    <w:rPr>
      <w:rFonts w:ascii="楷体" w:hAnsi="楷体" w:eastAsia="楷体" w:cs="楷体"/>
      <w:sz w:val="24"/>
      <w:szCs w:val="24"/>
      <w:lang w:val="zh-CN" w:eastAsia="zh-CN" w:bidi="zh-CN"/>
    </w:rPr>
  </w:style>
  <w:style w:type="paragraph" w:styleId="14">
    <w:name w:val="Body Text Indent"/>
    <w:basedOn w:val="1"/>
    <w:next w:val="15"/>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5">
    <w:name w:val="Body Text First Indent 2"/>
    <w:basedOn w:val="14"/>
    <w:next w:val="1"/>
    <w:unhideWhenUsed/>
    <w:qFormat/>
    <w:uiPriority w:val="99"/>
    <w:pPr>
      <w:widowControl w:val="0"/>
      <w:spacing w:after="120" w:line="360" w:lineRule="auto"/>
      <w:ind w:left="420" w:leftChars="200" w:firstLine="420" w:firstLineChars="200"/>
      <w:jc w:val="both"/>
    </w:pPr>
    <w:rPr>
      <w:rFonts w:ascii="Times New Roman" w:hAnsi="Times New Roman" w:eastAsia="仿宋_GB2312" w:cstheme="minorBidi"/>
      <w:kern w:val="0"/>
      <w:sz w:val="24"/>
      <w:szCs w:val="24"/>
      <w:lang w:val="en-US" w:eastAsia="zh-CN" w:bidi="ar-SA"/>
    </w:rPr>
  </w:style>
  <w:style w:type="paragraph" w:styleId="16">
    <w:name w:val="Plain Text"/>
    <w:basedOn w:val="1"/>
    <w:qFormat/>
    <w:uiPriority w:val="0"/>
    <w:rPr>
      <w:rFonts w:ascii="宋体" w:hAnsi="Courier New"/>
      <w:szCs w:val="22"/>
    </w:rPr>
  </w:style>
  <w:style w:type="paragraph" w:styleId="17">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8">
    <w:name w:val="footer"/>
    <w:basedOn w:val="1"/>
    <w:qFormat/>
    <w:uiPriority w:val="99"/>
    <w:pPr>
      <w:widowControl w:val="0"/>
      <w:tabs>
        <w:tab w:val="center" w:pos="4153"/>
        <w:tab w:val="right" w:pos="8306"/>
      </w:tabs>
      <w:autoSpaceDE w:val="0"/>
      <w:autoSpaceDN w:val="0"/>
      <w:snapToGrid w:val="0"/>
      <w:spacing w:before="0" w:after="0" w:line="240" w:lineRule="auto"/>
      <w:ind w:left="0" w:right="0"/>
      <w:jc w:val="left"/>
    </w:pPr>
    <w:rPr>
      <w:rFonts w:ascii="楷体" w:hAnsi="楷体" w:eastAsia="楷体" w:cs="楷体"/>
      <w:sz w:val="18"/>
      <w:szCs w:val="18"/>
      <w:lang w:val="zh-CN" w:eastAsia="zh-CN" w:bidi="zh-CN"/>
    </w:rPr>
  </w:style>
  <w:style w:type="paragraph" w:styleId="19">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Arial" w:hAnsi="Arial" w:eastAsia="仿宋_GB2312"/>
      <w:sz w:val="18"/>
    </w:rPr>
  </w:style>
  <w:style w:type="paragraph" w:styleId="21">
    <w:name w:val="toc 1"/>
    <w:basedOn w:val="1"/>
    <w:next w:val="1"/>
    <w:qFormat/>
    <w:uiPriority w:val="0"/>
  </w:style>
  <w:style w:type="paragraph" w:styleId="22">
    <w:name w:val="toc 6"/>
    <w:basedOn w:val="1"/>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23">
    <w:name w:val="toc 2"/>
    <w:basedOn w:val="1"/>
    <w:next w:val="1"/>
    <w:qFormat/>
    <w:uiPriority w:val="0"/>
    <w:pPr>
      <w:ind w:left="420" w:leftChars="200"/>
    </w:pPr>
  </w:style>
  <w:style w:type="paragraph" w:styleId="24">
    <w:name w:val="Body Text 2"/>
    <w:basedOn w:val="1"/>
    <w:qFormat/>
    <w:uiPriority w:val="0"/>
    <w:pPr>
      <w:jc w:val="center"/>
    </w:pPr>
  </w:style>
  <w:style w:type="paragraph" w:styleId="25">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26">
    <w:name w:val="Body Text First Indent"/>
    <w:basedOn w:val="13"/>
    <w:next w:val="1"/>
    <w:qFormat/>
    <w:uiPriority w:val="99"/>
    <w:pPr>
      <w:widowControl w:val="0"/>
      <w:autoSpaceDE w:val="0"/>
      <w:autoSpaceDN w:val="0"/>
      <w:spacing w:before="0" w:after="0" w:line="240" w:lineRule="auto"/>
      <w:ind w:left="0" w:right="0" w:firstLine="420" w:firstLineChars="100"/>
      <w:jc w:val="left"/>
    </w:pPr>
    <w:rPr>
      <w:rFonts w:ascii="楷体" w:hAnsi="楷体" w:eastAsia="楷体" w:cs="楷体"/>
      <w:sz w:val="24"/>
      <w:szCs w:val="24"/>
      <w:lang w:val="zh-CN" w:eastAsia="zh-CN" w:bidi="zh-CN"/>
    </w:rPr>
  </w:style>
  <w:style w:type="table" w:styleId="28">
    <w:name w:val="Table Grid"/>
    <w:basedOn w:val="27"/>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rPr>
  </w:style>
  <w:style w:type="character" w:styleId="31">
    <w:name w:val="page number"/>
    <w:basedOn w:val="29"/>
    <w:qFormat/>
    <w:uiPriority w:val="0"/>
  </w:style>
  <w:style w:type="character" w:styleId="32">
    <w:name w:val="Hyperlink"/>
    <w:qFormat/>
    <w:uiPriority w:val="99"/>
    <w:rPr>
      <w:color w:val="136EC2"/>
      <w:u w:val="single"/>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5">
    <w:name w:val="Intense Quote"/>
    <w:basedOn w:val="1"/>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6">
    <w:name w:val="Char Char Char Char"/>
    <w:basedOn w:val="37"/>
    <w:qFormat/>
    <w:uiPriority w:val="0"/>
    <w:rPr>
      <w:szCs w:val="20"/>
    </w:rPr>
  </w:style>
  <w:style w:type="paragraph" w:customStyle="1" w:styleId="37">
    <w:name w:val="Normal_0"/>
    <w:next w:val="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List Paragraph"/>
    <w:basedOn w:val="1"/>
    <w:qFormat/>
    <w:uiPriority w:val="0"/>
    <w:pPr>
      <w:ind w:firstLine="420" w:firstLineChars="200"/>
    </w:pPr>
    <w:rPr>
      <w:rFonts w:ascii="Calibri" w:hAnsi="Calibri"/>
      <w:szCs w:val="22"/>
    </w:rPr>
  </w:style>
  <w:style w:type="paragraph" w:customStyle="1" w:styleId="41">
    <w:name w:val="Table Paragraph"/>
    <w:basedOn w:val="1"/>
    <w:qFormat/>
    <w:uiPriority w:val="1"/>
  </w:style>
  <w:style w:type="paragraph" w:customStyle="1" w:styleId="42">
    <w:name w:val="正文/正文"/>
    <w:basedOn w:val="1"/>
    <w:qFormat/>
    <w:uiPriority w:val="0"/>
    <w:pPr>
      <w:adjustRightInd/>
      <w:spacing w:before="120" w:beforeLines="50" w:after="120" w:afterLines="50" w:line="360" w:lineRule="auto"/>
      <w:ind w:firstLine="422" w:firstLineChars="200"/>
      <w:textAlignment w:val="auto"/>
    </w:pPr>
    <w:rPr>
      <w:rFonts w:ascii="Times New Roman" w:hAnsi="Times New Roman"/>
      <w:b/>
      <w:kern w:val="2"/>
      <w:szCs w:val="24"/>
    </w:rPr>
  </w:style>
  <w:style w:type="character" w:customStyle="1" w:styleId="43">
    <w:name w:val="标题 1 字符"/>
    <w:link w:val="2"/>
    <w:qFormat/>
    <w:uiPriority w:val="0"/>
    <w:rPr>
      <w:rFonts w:ascii="Arial" w:hAnsi="Arial"/>
      <w:b/>
      <w:kern w:val="44"/>
      <w:sz w:val="36"/>
    </w:rPr>
  </w:style>
  <w:style w:type="paragraph" w:customStyle="1" w:styleId="44">
    <w:name w:val="表格文字2"/>
    <w:basedOn w:val="45"/>
    <w:qFormat/>
    <w:uiPriority w:val="99"/>
    <w:pPr>
      <w:spacing w:before="25" w:after="25"/>
      <w:jc w:val="left"/>
    </w:pPr>
    <w:rPr>
      <w:bCs/>
      <w:spacing w:val="10"/>
      <w:kern w:val="0"/>
    </w:rPr>
  </w:style>
  <w:style w:type="paragraph" w:customStyle="1" w:styleId="45">
    <w:name w:val="Normal"/>
    <w:qFormat/>
    <w:uiPriority w:val="0"/>
    <w:rPr>
      <w:rFonts w:ascii="Times New Roman" w:hAnsi="Times New Roman" w:eastAsia="Times New Roman" w:cs="Times New Roman"/>
      <w:sz w:val="24"/>
      <w:szCs w:val="24"/>
      <w:lang w:val="en-US" w:eastAsia="zh-CN" w:bidi="ar-SA"/>
    </w:rPr>
  </w:style>
  <w:style w:type="character" w:customStyle="1" w:styleId="46">
    <w:name w:val="标题 3 Char"/>
    <w:basedOn w:val="29"/>
    <w:link w:val="4"/>
    <w:qFormat/>
    <w:uiPriority w:val="0"/>
    <w:rPr>
      <w:rFonts w:ascii="Arial" w:hAnsi="Arial"/>
      <w:b/>
      <w:sz w:val="30"/>
    </w:rPr>
  </w:style>
  <w:style w:type="character" w:customStyle="1" w:styleId="47">
    <w:name w:val="bookmark-item"/>
    <w:basedOn w:val="29"/>
    <w:qFormat/>
    <w:uiPriority w:val="0"/>
  </w:style>
  <w:style w:type="paragraph" w:customStyle="1" w:styleId="48">
    <w:name w:val="Table Text"/>
    <w:basedOn w:val="1"/>
    <w:semiHidden/>
    <w:qFormat/>
    <w:uiPriority w:val="0"/>
    <w:rPr>
      <w:rFonts w:ascii="仿宋" w:hAnsi="仿宋" w:eastAsia="仿宋" w:cs="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26262</Words>
  <Characters>27188</Characters>
  <Lines>0</Lines>
  <Paragraphs>0</Paragraphs>
  <TotalTime>20</TotalTime>
  <ScaleCrop>false</ScaleCrop>
  <LinksUpToDate>false</LinksUpToDate>
  <CharactersWithSpaces>27957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lihang</dc:creator>
  <cp:lastModifiedBy>apple</cp:lastModifiedBy>
  <dcterms:modified xsi:type="dcterms:W3CDTF">2025-07-02T09:26:29Z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BB4658243511444DBC9B2FBAD55CD3CF_13</vt:lpwstr>
  </property>
  <property fmtid="{D5CDD505-2E9C-101B-9397-08002B2CF9AE}" pid="6" name="KSOTemplateDocerSaveRecord">
    <vt:lpwstr>eyJoZGlkIjoiZDkyZjQyMGNkYjk1YmYyOGViY2ZiMTkyYjg5NWE0NjAiLCJ1c2VySWQiOiIxMTM5NzAyMzg1In0=</vt:lpwstr>
  </property>
</Properties>
</file>