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83B57">
      <w:pPr>
        <w:spacing w:before="240" w:line="360" w:lineRule="auto"/>
        <w:jc w:val="right"/>
        <w:rPr>
          <w:rFonts w:hint="eastAsia" w:ascii="仿宋" w:hAnsi="仿宋" w:eastAsia="仿宋" w:cs="仿宋"/>
          <w:color w:val="auto"/>
          <w:sz w:val="24"/>
          <w:highlight w:val="none"/>
          <w:u w:color="000000"/>
          <w:lang w:eastAsia="zh-CN"/>
        </w:rPr>
      </w:pPr>
      <w:r>
        <w:rPr>
          <w:rFonts w:hint="eastAsia" w:ascii="仿宋" w:hAnsi="仿宋" w:eastAsia="仿宋" w:cs="仿宋"/>
          <w:color w:val="auto"/>
          <w:sz w:val="24"/>
          <w:highlight w:val="none"/>
          <w:u w:color="000000"/>
          <w:lang w:eastAsia="zh-CN"/>
        </w:rPr>
        <w:t>项目编号：</w:t>
      </w:r>
      <w:r>
        <w:rPr>
          <w:rFonts w:hint="eastAsia" w:ascii="仿宋" w:hAnsi="仿宋" w:eastAsia="仿宋" w:cs="仿宋"/>
          <w:color w:val="auto"/>
          <w:sz w:val="24"/>
          <w:highlight w:val="none"/>
          <w:u w:color="000000"/>
          <w:lang w:eastAsia="zh-CN"/>
        </w:rPr>
        <w:t>XJXCT2025-ZB-097；</w:t>
      </w:r>
    </w:p>
    <w:p w14:paraId="1B0952AC">
      <w:pPr>
        <w:spacing w:line="360" w:lineRule="auto"/>
        <w:ind w:left="1699" w:leftChars="809" w:right="1132" w:rightChars="539"/>
        <w:jc w:val="center"/>
        <w:rPr>
          <w:rFonts w:hint="eastAsia" w:ascii="仿宋" w:hAnsi="仿宋" w:eastAsia="仿宋" w:cs="仿宋"/>
          <w:b/>
          <w:color w:val="auto"/>
          <w:sz w:val="44"/>
          <w:szCs w:val="44"/>
          <w:highlight w:val="none"/>
          <w:u w:color="000000"/>
          <w:lang w:eastAsia="zh-CN"/>
        </w:rPr>
      </w:pPr>
    </w:p>
    <w:p w14:paraId="4FB550B3">
      <w:pPr>
        <w:spacing w:line="360" w:lineRule="auto"/>
        <w:ind w:left="1699" w:leftChars="809" w:right="1132" w:rightChars="539"/>
        <w:jc w:val="center"/>
        <w:rPr>
          <w:rFonts w:hint="eastAsia" w:ascii="仿宋" w:hAnsi="仿宋" w:eastAsia="仿宋" w:cs="仿宋"/>
          <w:b/>
          <w:color w:val="auto"/>
          <w:sz w:val="44"/>
          <w:szCs w:val="44"/>
          <w:highlight w:val="none"/>
          <w:u w:color="000000"/>
          <w:lang w:eastAsia="zh-CN"/>
        </w:rPr>
      </w:pPr>
      <w:bookmarkStart w:id="460" w:name="_GoBack"/>
      <w:bookmarkEnd w:id="460"/>
    </w:p>
    <w:p w14:paraId="79E5B00D">
      <w:pPr>
        <w:spacing w:line="360" w:lineRule="auto"/>
        <w:jc w:val="center"/>
        <w:rPr>
          <w:rFonts w:hint="eastAsia" w:ascii="仿宋" w:hAnsi="仿宋" w:eastAsia="仿宋" w:cs="仿宋"/>
          <w:b/>
          <w:color w:val="auto"/>
          <w:sz w:val="44"/>
          <w:szCs w:val="44"/>
          <w:highlight w:val="none"/>
          <w:u w:color="000000"/>
          <w:lang w:eastAsia="zh-CN"/>
        </w:rPr>
      </w:pPr>
      <w:r>
        <w:rPr>
          <w:rFonts w:hint="eastAsia" w:ascii="仿宋" w:hAnsi="仿宋" w:eastAsia="仿宋" w:cs="仿宋"/>
          <w:b/>
          <w:color w:val="auto"/>
          <w:sz w:val="48"/>
          <w:szCs w:val="48"/>
          <w:highlight w:val="none"/>
          <w:u w:color="000000"/>
          <w:lang w:eastAsia="zh-CN"/>
        </w:rPr>
        <w:t>新疆维吾尔自治区昌吉某某某单位食材采购项目二标段（副食类）</w:t>
      </w:r>
    </w:p>
    <w:p w14:paraId="7B9FD86F">
      <w:pPr>
        <w:tabs>
          <w:tab w:val="left" w:pos="6930"/>
        </w:tabs>
        <w:spacing w:line="360" w:lineRule="auto"/>
        <w:ind w:left="1699" w:leftChars="809" w:right="1132" w:rightChars="539"/>
        <w:rPr>
          <w:rFonts w:hint="eastAsia" w:ascii="仿宋" w:hAnsi="仿宋" w:eastAsia="仿宋" w:cs="仿宋"/>
          <w:b/>
          <w:color w:val="auto"/>
          <w:sz w:val="36"/>
          <w:szCs w:val="36"/>
          <w:highlight w:val="none"/>
          <w:u w:color="000000"/>
          <w:lang w:eastAsia="zh-CN"/>
        </w:rPr>
      </w:pPr>
    </w:p>
    <w:p w14:paraId="3E3F01F3">
      <w:pPr>
        <w:ind w:left="1699" w:leftChars="809" w:right="1132" w:rightChars="539"/>
        <w:rPr>
          <w:rFonts w:hint="eastAsia" w:ascii="仿宋" w:hAnsi="仿宋" w:eastAsia="仿宋" w:cs="仿宋"/>
          <w:b/>
          <w:color w:val="auto"/>
          <w:sz w:val="36"/>
          <w:szCs w:val="36"/>
          <w:highlight w:val="none"/>
          <w:u w:color="000000"/>
          <w:lang w:eastAsia="zh-CN"/>
        </w:rPr>
      </w:pPr>
    </w:p>
    <w:p w14:paraId="123AA936">
      <w:pPr>
        <w:spacing w:line="360" w:lineRule="auto"/>
        <w:ind w:left="1699" w:leftChars="809" w:right="1132" w:rightChars="539"/>
        <w:jc w:val="center"/>
        <w:rPr>
          <w:rFonts w:hint="eastAsia" w:ascii="仿宋" w:hAnsi="仿宋" w:eastAsia="仿宋" w:cs="仿宋"/>
          <w:b/>
          <w:color w:val="auto"/>
          <w:sz w:val="84"/>
          <w:szCs w:val="84"/>
          <w:highlight w:val="none"/>
          <w:u w:color="000000"/>
          <w:lang w:eastAsia="zh-CN"/>
        </w:rPr>
      </w:pPr>
      <w:r>
        <w:rPr>
          <w:rFonts w:hint="eastAsia" w:ascii="仿宋" w:hAnsi="仿宋" w:eastAsia="仿宋" w:cs="仿宋"/>
          <w:b/>
          <w:color w:val="auto"/>
          <w:sz w:val="84"/>
          <w:szCs w:val="84"/>
          <w:highlight w:val="none"/>
          <w:u w:color="000000"/>
          <w:lang w:eastAsia="zh-CN"/>
        </w:rPr>
        <w:t xml:space="preserve"> 招 标 文 件</w:t>
      </w:r>
    </w:p>
    <w:p w14:paraId="6F7A3F9A">
      <w:pPr>
        <w:ind w:left="1699" w:leftChars="809" w:right="1132" w:rightChars="539"/>
        <w:jc w:val="center"/>
        <w:rPr>
          <w:rFonts w:hint="eastAsia" w:ascii="仿宋" w:hAnsi="仿宋" w:eastAsia="仿宋" w:cs="仿宋"/>
          <w:b/>
          <w:color w:val="auto"/>
          <w:sz w:val="84"/>
          <w:szCs w:val="84"/>
          <w:highlight w:val="none"/>
          <w:u w:color="000000"/>
          <w:lang w:eastAsia="zh-CN"/>
        </w:rPr>
      </w:pPr>
    </w:p>
    <w:p w14:paraId="3FE6DF9F">
      <w:pPr>
        <w:spacing w:line="360" w:lineRule="auto"/>
        <w:rPr>
          <w:rFonts w:hint="eastAsia" w:ascii="仿宋" w:hAnsi="仿宋" w:eastAsia="仿宋" w:cs="仿宋"/>
          <w:color w:val="auto"/>
          <w:sz w:val="32"/>
          <w:szCs w:val="32"/>
          <w:highlight w:val="none"/>
          <w:u w:val="single"/>
          <w:lang w:eastAsia="zh-CN"/>
        </w:rPr>
      </w:pPr>
      <w:r>
        <w:rPr>
          <w:rFonts w:hint="eastAsia" w:ascii="仿宋" w:hAnsi="仿宋" w:eastAsia="仿宋" w:cs="仿宋"/>
          <w:b/>
          <w:color w:val="auto"/>
          <w:spacing w:val="81"/>
          <w:sz w:val="32"/>
          <w:szCs w:val="32"/>
          <w:highlight w:val="none"/>
          <w:u w:color="000000"/>
          <w:lang w:eastAsia="zh-CN"/>
        </w:rPr>
        <w:t>采购</w:t>
      </w:r>
      <w:r>
        <w:rPr>
          <w:rFonts w:hint="eastAsia" w:ascii="仿宋" w:hAnsi="仿宋" w:eastAsia="仿宋" w:cs="仿宋"/>
          <w:b/>
          <w:color w:val="auto"/>
          <w:sz w:val="32"/>
          <w:szCs w:val="32"/>
          <w:highlight w:val="none"/>
          <w:u w:color="000000"/>
          <w:lang w:eastAsia="zh-CN"/>
        </w:rPr>
        <w:t>人（盖章）</w:t>
      </w:r>
      <w:r>
        <w:rPr>
          <w:rFonts w:hint="eastAsia" w:ascii="仿宋" w:hAnsi="仿宋" w:eastAsia="仿宋" w:cs="仿宋"/>
          <w:color w:val="auto"/>
          <w:sz w:val="32"/>
          <w:szCs w:val="32"/>
          <w:highlight w:val="none"/>
          <w:u w:color="000000"/>
          <w:lang w:eastAsia="zh-CN"/>
        </w:rPr>
        <w:t>：</w:t>
      </w:r>
      <w:r>
        <w:rPr>
          <w:rFonts w:hint="eastAsia" w:ascii="仿宋" w:hAnsi="仿宋" w:eastAsia="仿宋" w:cs="仿宋"/>
          <w:color w:val="auto"/>
          <w:sz w:val="32"/>
          <w:szCs w:val="32"/>
          <w:highlight w:val="none"/>
          <w:u w:val="single"/>
          <w:lang w:eastAsia="zh-CN"/>
        </w:rPr>
        <w:t xml:space="preserve">新疆维吾尔自治区昌吉某某某单位   </w:t>
      </w:r>
    </w:p>
    <w:p w14:paraId="171DA72A">
      <w:pPr>
        <w:spacing w:line="360" w:lineRule="auto"/>
        <w:rPr>
          <w:rFonts w:hint="eastAsia"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41"/>
          <w:sz w:val="32"/>
          <w:szCs w:val="32"/>
          <w:highlight w:val="none"/>
          <w:u w:color="000000"/>
          <w:lang w:eastAsia="zh-CN"/>
        </w:rPr>
        <w:t>项目联系</w:t>
      </w:r>
      <w:r>
        <w:rPr>
          <w:rFonts w:hint="eastAsia" w:ascii="仿宋" w:hAnsi="仿宋" w:eastAsia="仿宋" w:cs="仿宋"/>
          <w:b/>
          <w:color w:val="auto"/>
          <w:sz w:val="32"/>
          <w:szCs w:val="32"/>
          <w:highlight w:val="none"/>
          <w:u w:color="000000"/>
          <w:lang w:eastAsia="zh-CN"/>
        </w:rPr>
        <w:t>人：</w:t>
      </w:r>
      <w:r>
        <w:rPr>
          <w:rFonts w:hint="eastAsia" w:ascii="仿宋" w:hAnsi="仿宋" w:eastAsia="仿宋" w:cs="仿宋"/>
          <w:color w:val="auto"/>
          <w:sz w:val="32"/>
          <w:szCs w:val="32"/>
          <w:highlight w:val="none"/>
          <w:u w:val="single"/>
          <w:lang w:eastAsia="zh-CN"/>
        </w:rPr>
        <w:t xml:space="preserve">  董晓平                             </w:t>
      </w:r>
    </w:p>
    <w:p w14:paraId="67A2A5E9">
      <w:pPr>
        <w:spacing w:line="360" w:lineRule="auto"/>
        <w:rPr>
          <w:rFonts w:hint="eastAsia"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108"/>
          <w:sz w:val="32"/>
          <w:szCs w:val="32"/>
          <w:highlight w:val="none"/>
          <w:u w:color="000000"/>
          <w:lang w:eastAsia="zh-CN"/>
        </w:rPr>
        <w:t>联系电</w:t>
      </w:r>
      <w:r>
        <w:rPr>
          <w:rFonts w:hint="eastAsia" w:ascii="仿宋" w:hAnsi="仿宋" w:eastAsia="仿宋" w:cs="仿宋"/>
          <w:b/>
          <w:color w:val="auto"/>
          <w:sz w:val="32"/>
          <w:szCs w:val="32"/>
          <w:highlight w:val="none"/>
          <w:u w:color="000000"/>
          <w:lang w:eastAsia="zh-CN"/>
        </w:rPr>
        <w:t>话：</w:t>
      </w:r>
      <w:r>
        <w:rPr>
          <w:rFonts w:hint="eastAsia" w:ascii="仿宋" w:hAnsi="仿宋" w:eastAsia="仿宋" w:cs="仿宋"/>
          <w:color w:val="auto"/>
          <w:sz w:val="32"/>
          <w:szCs w:val="32"/>
          <w:highlight w:val="none"/>
          <w:u w:val="single"/>
          <w:lang w:eastAsia="zh-CN"/>
        </w:rPr>
        <w:t xml:space="preserve">  13669968021                      </w:t>
      </w:r>
    </w:p>
    <w:p w14:paraId="65C3C990">
      <w:pPr>
        <w:spacing w:line="360" w:lineRule="auto"/>
        <w:rPr>
          <w:rFonts w:hint="eastAsia" w:ascii="仿宋" w:hAnsi="仿宋" w:eastAsia="仿宋" w:cs="仿宋"/>
          <w:color w:val="auto"/>
          <w:sz w:val="32"/>
          <w:szCs w:val="32"/>
          <w:highlight w:val="none"/>
          <w:u w:val="thick" w:color="000000"/>
          <w:lang w:eastAsia="zh-CN"/>
        </w:rPr>
      </w:pPr>
      <w:r>
        <w:rPr>
          <w:rFonts w:hint="eastAsia" w:ascii="仿宋" w:hAnsi="仿宋" w:eastAsia="仿宋" w:cs="仿宋"/>
          <w:b/>
          <w:color w:val="auto"/>
          <w:sz w:val="32"/>
          <w:szCs w:val="32"/>
          <w:highlight w:val="none"/>
          <w:u w:color="000000"/>
          <w:lang w:eastAsia="zh-CN"/>
        </w:rPr>
        <w:t>采购代理机构（盖章）：</w:t>
      </w:r>
      <w:r>
        <w:rPr>
          <w:rFonts w:hint="eastAsia" w:ascii="仿宋" w:hAnsi="仿宋" w:eastAsia="仿宋" w:cs="仿宋"/>
          <w:color w:val="auto"/>
          <w:sz w:val="32"/>
          <w:szCs w:val="32"/>
          <w:highlight w:val="none"/>
          <w:u w:val="single"/>
          <w:lang w:eastAsia="zh-CN"/>
        </w:rPr>
        <w:t xml:space="preserve">新疆新诚泰工程咨询有限公司  </w:t>
      </w:r>
    </w:p>
    <w:p w14:paraId="23188510">
      <w:pPr>
        <w:spacing w:line="360" w:lineRule="auto"/>
        <w:rPr>
          <w:rFonts w:hint="eastAsia"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41"/>
          <w:sz w:val="32"/>
          <w:szCs w:val="32"/>
          <w:highlight w:val="none"/>
          <w:u w:color="000000"/>
          <w:lang w:eastAsia="zh-CN"/>
        </w:rPr>
        <w:t>项目联系</w:t>
      </w:r>
      <w:r>
        <w:rPr>
          <w:rFonts w:hint="eastAsia" w:ascii="仿宋" w:hAnsi="仿宋" w:eastAsia="仿宋" w:cs="仿宋"/>
          <w:b/>
          <w:color w:val="auto"/>
          <w:sz w:val="32"/>
          <w:szCs w:val="32"/>
          <w:highlight w:val="none"/>
          <w:u w:color="000000"/>
          <w:lang w:eastAsia="zh-CN"/>
        </w:rPr>
        <w:t>人：</w:t>
      </w:r>
      <w:r>
        <w:rPr>
          <w:rFonts w:hint="eastAsia" w:ascii="仿宋" w:hAnsi="仿宋" w:eastAsia="仿宋" w:cs="仿宋"/>
          <w:color w:val="auto"/>
          <w:sz w:val="32"/>
          <w:szCs w:val="32"/>
          <w:highlight w:val="none"/>
          <w:u w:val="single"/>
          <w:lang w:eastAsia="zh-CN"/>
        </w:rPr>
        <w:t xml:space="preserve">  龚静、王欢                               </w:t>
      </w:r>
    </w:p>
    <w:p w14:paraId="7EB571ED">
      <w:pPr>
        <w:spacing w:line="360" w:lineRule="auto"/>
        <w:rPr>
          <w:rFonts w:hint="eastAsia" w:ascii="仿宋" w:hAnsi="仿宋" w:eastAsia="仿宋" w:cs="仿宋"/>
          <w:color w:val="auto"/>
          <w:sz w:val="32"/>
          <w:szCs w:val="32"/>
          <w:highlight w:val="none"/>
          <w:u w:val="thick" w:color="000000"/>
          <w:lang w:eastAsia="zh-CN"/>
        </w:rPr>
      </w:pPr>
      <w:r>
        <w:rPr>
          <w:rFonts w:hint="eastAsia" w:ascii="仿宋" w:hAnsi="仿宋" w:eastAsia="仿宋" w:cs="仿宋"/>
          <w:b/>
          <w:color w:val="auto"/>
          <w:spacing w:val="108"/>
          <w:sz w:val="32"/>
          <w:szCs w:val="32"/>
          <w:highlight w:val="none"/>
          <w:u w:color="000000"/>
          <w:lang w:eastAsia="zh-CN"/>
        </w:rPr>
        <w:t>联系电</w:t>
      </w:r>
      <w:r>
        <w:rPr>
          <w:rFonts w:hint="eastAsia" w:ascii="仿宋" w:hAnsi="仿宋" w:eastAsia="仿宋" w:cs="仿宋"/>
          <w:b/>
          <w:color w:val="auto"/>
          <w:sz w:val="32"/>
          <w:szCs w:val="32"/>
          <w:highlight w:val="none"/>
          <w:u w:color="000000"/>
          <w:lang w:eastAsia="zh-CN"/>
        </w:rPr>
        <w:t>话：</w:t>
      </w:r>
      <w:r>
        <w:rPr>
          <w:rFonts w:hint="eastAsia" w:ascii="仿宋" w:hAnsi="仿宋" w:eastAsia="仿宋" w:cs="仿宋"/>
          <w:color w:val="auto"/>
          <w:sz w:val="32"/>
          <w:szCs w:val="32"/>
          <w:highlight w:val="none"/>
          <w:u w:val="single"/>
          <w:lang w:eastAsia="zh-CN"/>
        </w:rPr>
        <w:t xml:space="preserve">  13379788180、18599170885                         </w:t>
      </w:r>
    </w:p>
    <w:p w14:paraId="11E09D5E">
      <w:pPr>
        <w:rPr>
          <w:rFonts w:hint="eastAsia" w:ascii="仿宋" w:hAnsi="仿宋" w:eastAsia="仿宋" w:cs="仿宋"/>
          <w:color w:val="auto"/>
          <w:highlight w:val="none"/>
          <w:lang w:eastAsia="zh-CN"/>
        </w:rPr>
      </w:pPr>
      <w:r>
        <w:rPr>
          <w:rFonts w:hint="eastAsia" w:ascii="仿宋" w:hAnsi="仿宋" w:eastAsia="仿宋" w:cs="仿宋"/>
          <w:b/>
          <w:color w:val="auto"/>
          <w:spacing w:val="64"/>
          <w:sz w:val="32"/>
          <w:szCs w:val="32"/>
          <w:highlight w:val="none"/>
          <w:u w:color="000000"/>
          <w:lang w:eastAsia="zh-CN"/>
        </w:rPr>
        <w:t xml:space="preserve">日    </w:t>
      </w:r>
      <w:r>
        <w:rPr>
          <w:rFonts w:hint="eastAsia" w:ascii="仿宋" w:hAnsi="仿宋" w:eastAsia="仿宋" w:cs="仿宋"/>
          <w:b/>
          <w:color w:val="auto"/>
          <w:spacing w:val="4"/>
          <w:sz w:val="32"/>
          <w:szCs w:val="32"/>
          <w:highlight w:val="none"/>
          <w:u w:color="000000"/>
          <w:lang w:eastAsia="zh-CN"/>
        </w:rPr>
        <w:t>期</w:t>
      </w:r>
      <w:r>
        <w:rPr>
          <w:rFonts w:hint="eastAsia" w:ascii="仿宋" w:hAnsi="仿宋" w:eastAsia="仿宋" w:cs="仿宋"/>
          <w:b/>
          <w:color w:val="auto"/>
          <w:sz w:val="32"/>
          <w:szCs w:val="32"/>
          <w:highlight w:val="none"/>
          <w:u w:color="000000"/>
          <w:lang w:eastAsia="zh-CN"/>
        </w:rPr>
        <w:t>：</w:t>
      </w:r>
      <w:r>
        <w:rPr>
          <w:rFonts w:hint="eastAsia" w:ascii="仿宋" w:hAnsi="仿宋" w:eastAsia="仿宋" w:cs="仿宋"/>
          <w:color w:val="auto"/>
          <w:sz w:val="32"/>
          <w:szCs w:val="32"/>
          <w:highlight w:val="none"/>
          <w:u w:val="single"/>
          <w:lang w:eastAsia="zh-CN"/>
        </w:rPr>
        <w:t xml:space="preserve">  2025年06月                          </w:t>
      </w:r>
    </w:p>
    <w:p w14:paraId="7101D3D2">
      <w:pPr>
        <w:rPr>
          <w:rFonts w:hint="eastAsia" w:ascii="仿宋" w:hAnsi="仿宋" w:eastAsia="仿宋" w:cs="仿宋"/>
          <w:color w:val="auto"/>
          <w:highlight w:val="none"/>
          <w:lang w:eastAsia="zh-CN"/>
        </w:rPr>
        <w:sectPr>
          <w:headerReference r:id="rId3" w:type="default"/>
          <w:footerReference r:id="rId4" w:type="default"/>
          <w:pgSz w:w="11906" w:h="16839"/>
          <w:pgMar w:top="1560" w:right="1416" w:bottom="0" w:left="1843" w:header="1134" w:footer="0" w:gutter="0"/>
          <w:pgNumType w:fmt="numberInDash"/>
          <w:cols w:space="720" w:num="1"/>
        </w:sectPr>
      </w:pPr>
    </w:p>
    <w:p w14:paraId="6E2813BA">
      <w:pPr>
        <w:spacing w:line="273" w:lineRule="auto"/>
        <w:rPr>
          <w:rFonts w:hint="eastAsia" w:ascii="仿宋" w:hAnsi="仿宋" w:eastAsia="仿宋" w:cs="仿宋"/>
          <w:color w:val="auto"/>
          <w:highlight w:val="none"/>
          <w:lang w:eastAsia="zh-CN"/>
        </w:rPr>
      </w:pPr>
    </w:p>
    <w:sdt>
      <w:sdtPr>
        <w:rPr>
          <w:rFonts w:hint="eastAsia" w:ascii="仿宋" w:hAnsi="仿宋" w:eastAsia="仿宋" w:cs="仿宋"/>
          <w:b w:val="0"/>
          <w:bCs w:val="0"/>
          <w:snapToGrid w:val="0"/>
          <w:color w:val="auto"/>
          <w:sz w:val="21"/>
          <w:szCs w:val="21"/>
          <w:highlight w:val="none"/>
          <w:lang w:val="zh-CN" w:eastAsia="en-US"/>
        </w:rPr>
        <w:id w:val="30625065"/>
        <w:docPartObj>
          <w:docPartGallery w:val="Table of Contents"/>
          <w:docPartUnique/>
        </w:docPartObj>
      </w:sdtPr>
      <w:sdtEndPr>
        <w:rPr>
          <w:rFonts w:hint="eastAsia" w:ascii="仿宋" w:hAnsi="仿宋" w:eastAsia="仿宋" w:cs="仿宋"/>
          <w:b w:val="0"/>
          <w:bCs w:val="0"/>
          <w:snapToGrid w:val="0"/>
          <w:color w:val="auto"/>
          <w:sz w:val="24"/>
          <w:szCs w:val="24"/>
          <w:highlight w:val="none"/>
          <w:lang w:val="en-US" w:eastAsia="en-US"/>
        </w:rPr>
      </w:sdtEndPr>
      <w:sdtContent>
        <w:p w14:paraId="1289AAE7">
          <w:pPr>
            <w:pStyle w:val="35"/>
            <w:jc w:val="center"/>
            <w:rPr>
              <w:rFonts w:hint="eastAsia" w:ascii="仿宋" w:hAnsi="仿宋" w:eastAsia="仿宋" w:cs="仿宋"/>
              <w:color w:val="auto"/>
              <w:highlight w:val="none"/>
            </w:rPr>
          </w:pPr>
          <w:r>
            <w:rPr>
              <w:rFonts w:hint="eastAsia" w:ascii="仿宋" w:hAnsi="仿宋" w:eastAsia="仿宋" w:cs="仿宋"/>
              <w:color w:val="auto"/>
              <w:highlight w:val="none"/>
              <w:lang w:val="zh-CN"/>
            </w:rPr>
            <w:t>目</w:t>
          </w:r>
          <w:r>
            <w:rPr>
              <w:rFonts w:hint="eastAsia" w:ascii="仿宋" w:hAnsi="仿宋" w:eastAsia="仿宋" w:cs="仿宋"/>
              <w:color w:val="auto"/>
              <w:highlight w:val="none"/>
            </w:rPr>
            <w:t xml:space="preserve">   </w:t>
          </w:r>
          <w:r>
            <w:rPr>
              <w:rFonts w:hint="eastAsia" w:ascii="仿宋" w:hAnsi="仿宋" w:eastAsia="仿宋" w:cs="仿宋"/>
              <w:color w:val="auto"/>
              <w:highlight w:val="none"/>
              <w:lang w:val="zh-CN"/>
            </w:rPr>
            <w:t>录</w:t>
          </w:r>
        </w:p>
        <w:p w14:paraId="466E1BC9">
          <w:pPr>
            <w:pStyle w:val="17"/>
            <w:tabs>
              <w:tab w:val="right" w:leader="dot" w:pos="9355"/>
            </w:tabs>
            <w:spacing w:line="480" w:lineRule="auto"/>
            <w:rPr>
              <w:color w:val="auto"/>
              <w:highlight w:val="none"/>
            </w:rPr>
          </w:pPr>
          <w:r>
            <w:rPr>
              <w:rFonts w:hint="eastAsia" w:ascii="仿宋" w:hAnsi="仿宋" w:eastAsia="仿宋" w:cs="仿宋"/>
              <w:color w:val="auto"/>
              <w:highlight w:val="none"/>
              <w:lang w:eastAsia="zh-CN"/>
            </w:rPr>
            <w:fldChar w:fldCharType="begin"/>
          </w:r>
          <w:r>
            <w:rPr>
              <w:rFonts w:hint="eastAsia" w:ascii="仿宋" w:hAnsi="仿宋" w:eastAsia="仿宋" w:cs="仿宋"/>
              <w:color w:val="auto"/>
              <w:highlight w:val="none"/>
              <w:lang w:eastAsia="zh-CN"/>
            </w:rPr>
            <w:instrText xml:space="preserve"> TOC \o "1-3" \h \z \u </w:instrText>
          </w:r>
          <w:r>
            <w:rPr>
              <w:rFonts w:hint="eastAsia" w:ascii="仿宋" w:hAnsi="仿宋" w:eastAsia="仿宋" w:cs="仿宋"/>
              <w:color w:val="auto"/>
              <w:highlight w:val="none"/>
              <w:lang w:eastAsia="zh-CN"/>
            </w:rPr>
            <w:fldChar w:fldCharType="separate"/>
          </w:r>
          <w:r>
            <w:rPr>
              <w:highlight w:val="none"/>
            </w:rPr>
            <w:fldChar w:fldCharType="begin"/>
          </w:r>
          <w:r>
            <w:rPr>
              <w:highlight w:val="none"/>
            </w:rPr>
            <w:instrText xml:space="preserve"> HYPERLINK \l "_Toc32299" </w:instrText>
          </w:r>
          <w:r>
            <w:rPr>
              <w:highlight w:val="none"/>
            </w:rPr>
            <w:fldChar w:fldCharType="separate"/>
          </w:r>
          <w:r>
            <w:rPr>
              <w:rFonts w:hint="eastAsia" w:ascii="仿宋" w:hAnsi="仿宋" w:eastAsia="仿宋" w:cs="仿宋"/>
              <w:bCs/>
              <w:color w:val="auto"/>
              <w:spacing w:val="4"/>
              <w:szCs w:val="30"/>
              <w:highlight w:val="none"/>
              <w:lang w:eastAsia="zh-CN"/>
            </w:rPr>
            <w:t>第一章招标公告</w:t>
          </w:r>
          <w:r>
            <w:rPr>
              <w:color w:val="auto"/>
              <w:highlight w:val="none"/>
            </w:rPr>
            <w:tab/>
          </w:r>
          <w:r>
            <w:rPr>
              <w:color w:val="auto"/>
              <w:highlight w:val="none"/>
            </w:rPr>
            <w:fldChar w:fldCharType="begin"/>
          </w:r>
          <w:r>
            <w:rPr>
              <w:color w:val="auto"/>
              <w:highlight w:val="none"/>
            </w:rPr>
            <w:instrText xml:space="preserve"> PAGEREF _Toc32299 \h </w:instrText>
          </w:r>
          <w:r>
            <w:rPr>
              <w:color w:val="auto"/>
              <w:highlight w:val="none"/>
            </w:rPr>
            <w:fldChar w:fldCharType="separate"/>
          </w:r>
          <w:r>
            <w:rPr>
              <w:color w:val="auto"/>
              <w:highlight w:val="none"/>
            </w:rPr>
            <w:t>- 1 -</w:t>
          </w:r>
          <w:r>
            <w:rPr>
              <w:color w:val="auto"/>
              <w:highlight w:val="none"/>
            </w:rPr>
            <w:fldChar w:fldCharType="end"/>
          </w:r>
          <w:r>
            <w:rPr>
              <w:color w:val="auto"/>
              <w:highlight w:val="none"/>
            </w:rPr>
            <w:fldChar w:fldCharType="end"/>
          </w:r>
        </w:p>
        <w:p w14:paraId="092CCCE2">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"_Toc15713" </w:instrText>
          </w:r>
          <w:r>
            <w:rPr>
              <w:highlight w:val="none"/>
            </w:rPr>
            <w:fldChar w:fldCharType="separate"/>
          </w:r>
          <w:r>
            <w:rPr>
              <w:rFonts w:hint="eastAsia" w:ascii="仿宋" w:hAnsi="仿宋" w:eastAsia="仿宋" w:cs="仿宋"/>
              <w:bCs/>
              <w:color w:val="auto"/>
              <w:spacing w:val="4"/>
              <w:szCs w:val="30"/>
              <w:highlight w:val="none"/>
              <w:lang w:eastAsia="zh-CN"/>
            </w:rPr>
            <w:t>第二章投标人须知</w:t>
          </w:r>
          <w:r>
            <w:rPr>
              <w:color w:val="auto"/>
              <w:highlight w:val="none"/>
            </w:rPr>
            <w:tab/>
          </w:r>
          <w:r>
            <w:rPr>
              <w:color w:val="auto"/>
              <w:highlight w:val="none"/>
            </w:rPr>
            <w:fldChar w:fldCharType="begin"/>
          </w:r>
          <w:r>
            <w:rPr>
              <w:color w:val="auto"/>
              <w:highlight w:val="none"/>
            </w:rPr>
            <w:instrText xml:space="preserve"> PAGEREF _Toc15713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16BCABEF">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"_Toc23488" </w:instrText>
          </w:r>
          <w:r>
            <w:rPr>
              <w:highlight w:val="none"/>
            </w:rPr>
            <w:fldChar w:fldCharType="separate"/>
          </w:r>
          <w:r>
            <w:rPr>
              <w:rFonts w:hint="eastAsia" w:ascii="仿宋" w:hAnsi="仿宋" w:eastAsia="仿宋" w:cs="仿宋"/>
              <w:bCs/>
              <w:color w:val="auto"/>
              <w:spacing w:val="6"/>
              <w:szCs w:val="28"/>
              <w:highlight w:val="none"/>
              <w:lang w:eastAsia="zh-CN"/>
            </w:rPr>
            <w:t>一、投标人须知前附表</w:t>
          </w:r>
          <w:r>
            <w:rPr>
              <w:color w:val="auto"/>
              <w:highlight w:val="none"/>
            </w:rPr>
            <w:tab/>
          </w:r>
          <w:r>
            <w:rPr>
              <w:color w:val="auto"/>
              <w:highlight w:val="none"/>
            </w:rPr>
            <w:fldChar w:fldCharType="begin"/>
          </w:r>
          <w:r>
            <w:rPr>
              <w:color w:val="auto"/>
              <w:highlight w:val="none"/>
            </w:rPr>
            <w:instrText xml:space="preserve"> PAGEREF _Toc23488 \h </w:instrText>
          </w:r>
          <w:r>
            <w:rPr>
              <w:color w:val="auto"/>
              <w:highlight w:val="none"/>
            </w:rPr>
            <w:fldChar w:fldCharType="separate"/>
          </w:r>
          <w:r>
            <w:rPr>
              <w:color w:val="auto"/>
              <w:highlight w:val="none"/>
            </w:rPr>
            <w:t>- 4 -</w:t>
          </w:r>
          <w:r>
            <w:rPr>
              <w:color w:val="auto"/>
              <w:highlight w:val="none"/>
            </w:rPr>
            <w:fldChar w:fldCharType="end"/>
          </w:r>
          <w:r>
            <w:rPr>
              <w:color w:val="auto"/>
              <w:highlight w:val="none"/>
            </w:rPr>
            <w:fldChar w:fldCharType="end"/>
          </w:r>
        </w:p>
        <w:p w14:paraId="5F1C9B48">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"_Toc25808" </w:instrText>
          </w:r>
          <w:r>
            <w:rPr>
              <w:highlight w:val="none"/>
            </w:rPr>
            <w:fldChar w:fldCharType="separate"/>
          </w:r>
          <w:r>
            <w:rPr>
              <w:rFonts w:hint="eastAsia" w:ascii="仿宋" w:hAnsi="仿宋" w:eastAsia="仿宋" w:cs="仿宋"/>
              <w:bCs/>
              <w:color w:val="auto"/>
              <w:spacing w:val="5"/>
              <w:szCs w:val="24"/>
              <w:highlight w:val="none"/>
              <w:lang w:eastAsia="zh-CN"/>
            </w:rPr>
            <w:t>二、投标人须知</w:t>
          </w:r>
          <w:r>
            <w:rPr>
              <w:color w:val="auto"/>
              <w:highlight w:val="none"/>
            </w:rPr>
            <w:tab/>
          </w:r>
          <w:r>
            <w:rPr>
              <w:color w:val="auto"/>
              <w:highlight w:val="none"/>
            </w:rPr>
            <w:fldChar w:fldCharType="begin"/>
          </w:r>
          <w:r>
            <w:rPr>
              <w:color w:val="auto"/>
              <w:highlight w:val="none"/>
            </w:rPr>
            <w:instrText xml:space="preserve"> PAGEREF _Toc25808 \h </w:instrText>
          </w:r>
          <w:r>
            <w:rPr>
              <w:color w:val="auto"/>
              <w:highlight w:val="none"/>
            </w:rPr>
            <w:fldChar w:fldCharType="separate"/>
          </w:r>
          <w:r>
            <w:rPr>
              <w:color w:val="auto"/>
              <w:highlight w:val="none"/>
            </w:rPr>
            <w:t>- 9 -</w:t>
          </w:r>
          <w:r>
            <w:rPr>
              <w:color w:val="auto"/>
              <w:highlight w:val="none"/>
            </w:rPr>
            <w:fldChar w:fldCharType="end"/>
          </w:r>
          <w:r>
            <w:rPr>
              <w:color w:val="auto"/>
              <w:highlight w:val="none"/>
            </w:rPr>
            <w:fldChar w:fldCharType="end"/>
          </w:r>
        </w:p>
        <w:p w14:paraId="677E007B">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"_Toc3777" </w:instrText>
          </w:r>
          <w:r>
            <w:rPr>
              <w:highlight w:val="none"/>
            </w:rPr>
            <w:fldChar w:fldCharType="separate"/>
          </w:r>
          <w:r>
            <w:rPr>
              <w:rFonts w:hint="eastAsia" w:ascii="仿宋" w:hAnsi="仿宋" w:eastAsia="仿宋" w:cs="仿宋"/>
              <w:bCs/>
              <w:color w:val="auto"/>
              <w:spacing w:val="4"/>
              <w:szCs w:val="30"/>
              <w:highlight w:val="none"/>
              <w:lang w:eastAsia="zh-CN"/>
            </w:rPr>
            <w:t>第三章采购需求</w:t>
          </w:r>
          <w:r>
            <w:rPr>
              <w:color w:val="auto"/>
              <w:highlight w:val="none"/>
            </w:rPr>
            <w:tab/>
          </w:r>
          <w:r>
            <w:rPr>
              <w:color w:val="auto"/>
              <w:highlight w:val="none"/>
            </w:rPr>
            <w:fldChar w:fldCharType="begin"/>
          </w:r>
          <w:r>
            <w:rPr>
              <w:color w:val="auto"/>
              <w:highlight w:val="none"/>
            </w:rPr>
            <w:instrText xml:space="preserve"> PAGEREF _Toc3777 \h </w:instrText>
          </w:r>
          <w:r>
            <w:rPr>
              <w:color w:val="auto"/>
              <w:highlight w:val="none"/>
            </w:rPr>
            <w:fldChar w:fldCharType="separate"/>
          </w:r>
          <w:r>
            <w:rPr>
              <w:color w:val="auto"/>
              <w:highlight w:val="none"/>
            </w:rPr>
            <w:t>- 34 -</w:t>
          </w:r>
          <w:r>
            <w:rPr>
              <w:color w:val="auto"/>
              <w:highlight w:val="none"/>
            </w:rPr>
            <w:fldChar w:fldCharType="end"/>
          </w:r>
          <w:r>
            <w:rPr>
              <w:color w:val="auto"/>
              <w:highlight w:val="none"/>
            </w:rPr>
            <w:fldChar w:fldCharType="end"/>
          </w:r>
        </w:p>
        <w:p w14:paraId="67E55B07">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"_Toc28055" </w:instrText>
          </w:r>
          <w:r>
            <w:rPr>
              <w:highlight w:val="none"/>
            </w:rPr>
            <w:fldChar w:fldCharType="separate"/>
          </w:r>
          <w:r>
            <w:rPr>
              <w:rFonts w:hint="eastAsia" w:ascii="仿宋" w:hAnsi="仿宋" w:eastAsia="仿宋" w:cs="仿宋"/>
              <w:bCs/>
              <w:color w:val="auto"/>
              <w:spacing w:val="4"/>
              <w:szCs w:val="30"/>
              <w:highlight w:val="none"/>
              <w:lang w:eastAsia="zh-CN"/>
            </w:rPr>
            <w:t>第四章资格审查</w:t>
          </w:r>
          <w:r>
            <w:rPr>
              <w:color w:val="auto"/>
              <w:highlight w:val="none"/>
            </w:rPr>
            <w:tab/>
          </w:r>
          <w:r>
            <w:rPr>
              <w:color w:val="auto"/>
              <w:highlight w:val="none"/>
            </w:rPr>
            <w:fldChar w:fldCharType="begin"/>
          </w:r>
          <w:r>
            <w:rPr>
              <w:color w:val="auto"/>
              <w:highlight w:val="none"/>
            </w:rPr>
            <w:instrText xml:space="preserve"> PAGEREF _Toc28055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64E20E68">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"_Toc18738" </w:instrText>
          </w:r>
          <w:r>
            <w:rPr>
              <w:highlight w:val="none"/>
            </w:rPr>
            <w:fldChar w:fldCharType="separate"/>
          </w:r>
          <w:r>
            <w:rPr>
              <w:rFonts w:hint="eastAsia" w:ascii="仿宋" w:hAnsi="仿宋" w:eastAsia="仿宋" w:cs="仿宋"/>
              <w:bCs/>
              <w:color w:val="auto"/>
              <w:spacing w:val="5"/>
              <w:szCs w:val="24"/>
              <w:highlight w:val="none"/>
              <w:lang w:eastAsia="zh-CN"/>
            </w:rPr>
            <w:t>一、资格审查程序</w:t>
          </w:r>
          <w:r>
            <w:rPr>
              <w:color w:val="auto"/>
              <w:highlight w:val="none"/>
            </w:rPr>
            <w:tab/>
          </w:r>
          <w:r>
            <w:rPr>
              <w:color w:val="auto"/>
              <w:highlight w:val="none"/>
            </w:rPr>
            <w:fldChar w:fldCharType="begin"/>
          </w:r>
          <w:r>
            <w:rPr>
              <w:color w:val="auto"/>
              <w:highlight w:val="none"/>
            </w:rPr>
            <w:instrText xml:space="preserve"> PAGEREF _Toc18738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4F4F9714">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"_Toc13885" </w:instrText>
          </w:r>
          <w:r>
            <w:rPr>
              <w:highlight w:val="none"/>
            </w:rPr>
            <w:fldChar w:fldCharType="separate"/>
          </w:r>
          <w:r>
            <w:rPr>
              <w:rFonts w:hint="eastAsia" w:ascii="仿宋" w:hAnsi="仿宋" w:eastAsia="仿宋" w:cs="仿宋"/>
              <w:bCs/>
              <w:color w:val="auto"/>
              <w:spacing w:val="5"/>
              <w:szCs w:val="24"/>
              <w:highlight w:val="none"/>
            </w:rPr>
            <w:t>二、资格审查要求</w:t>
          </w:r>
          <w:r>
            <w:rPr>
              <w:color w:val="auto"/>
              <w:highlight w:val="none"/>
            </w:rPr>
            <w:tab/>
          </w:r>
          <w:r>
            <w:rPr>
              <w:color w:val="auto"/>
              <w:highlight w:val="none"/>
            </w:rPr>
            <w:fldChar w:fldCharType="begin"/>
          </w:r>
          <w:r>
            <w:rPr>
              <w:color w:val="auto"/>
              <w:highlight w:val="none"/>
            </w:rPr>
            <w:instrText xml:space="preserve"> PAGEREF _Toc13885 \h </w:instrText>
          </w:r>
          <w:r>
            <w:rPr>
              <w:color w:val="auto"/>
              <w:highlight w:val="none"/>
            </w:rPr>
            <w:fldChar w:fldCharType="separate"/>
          </w:r>
          <w:r>
            <w:rPr>
              <w:color w:val="auto"/>
              <w:highlight w:val="none"/>
            </w:rPr>
            <w:t>- 40 -</w:t>
          </w:r>
          <w:r>
            <w:rPr>
              <w:color w:val="auto"/>
              <w:highlight w:val="none"/>
            </w:rPr>
            <w:fldChar w:fldCharType="end"/>
          </w:r>
          <w:r>
            <w:rPr>
              <w:color w:val="auto"/>
              <w:highlight w:val="none"/>
            </w:rPr>
            <w:fldChar w:fldCharType="end"/>
          </w:r>
        </w:p>
        <w:p w14:paraId="3B63B84D">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"_Toc30458" </w:instrText>
          </w:r>
          <w:r>
            <w:rPr>
              <w:highlight w:val="none"/>
            </w:rPr>
            <w:fldChar w:fldCharType="separate"/>
          </w:r>
          <w:r>
            <w:rPr>
              <w:rFonts w:hint="eastAsia" w:ascii="仿宋" w:hAnsi="仿宋" w:eastAsia="仿宋" w:cs="仿宋"/>
              <w:bCs/>
              <w:color w:val="auto"/>
              <w:spacing w:val="5"/>
              <w:szCs w:val="30"/>
              <w:highlight w:val="none"/>
              <w:lang w:eastAsia="zh-CN"/>
            </w:rPr>
            <w:t>第五章评标方法及标准(综合评分法)</w:t>
          </w:r>
          <w:r>
            <w:rPr>
              <w:color w:val="auto"/>
              <w:highlight w:val="none"/>
            </w:rPr>
            <w:tab/>
          </w:r>
          <w:r>
            <w:rPr>
              <w:color w:val="auto"/>
              <w:highlight w:val="none"/>
            </w:rPr>
            <w:fldChar w:fldCharType="begin"/>
          </w:r>
          <w:r>
            <w:rPr>
              <w:color w:val="auto"/>
              <w:highlight w:val="none"/>
            </w:rPr>
            <w:instrText xml:space="preserve"> PAGEREF _Toc30458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7BA23A3C">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"_Toc18135" </w:instrText>
          </w:r>
          <w:r>
            <w:rPr>
              <w:highlight w:val="none"/>
            </w:rPr>
            <w:fldChar w:fldCharType="separate"/>
          </w:r>
          <w:r>
            <w:rPr>
              <w:rFonts w:hint="eastAsia" w:ascii="仿宋" w:hAnsi="仿宋" w:eastAsia="仿宋" w:cs="仿宋"/>
              <w:bCs/>
              <w:color w:val="auto"/>
              <w:spacing w:val="4"/>
              <w:szCs w:val="24"/>
              <w:highlight w:val="none"/>
              <w:lang w:eastAsia="zh-CN"/>
            </w:rPr>
            <w:t>一、评标方法</w:t>
          </w:r>
          <w:r>
            <w:rPr>
              <w:color w:val="auto"/>
              <w:highlight w:val="none"/>
            </w:rPr>
            <w:tab/>
          </w:r>
          <w:r>
            <w:rPr>
              <w:color w:val="auto"/>
              <w:highlight w:val="none"/>
            </w:rPr>
            <w:fldChar w:fldCharType="begin"/>
          </w:r>
          <w:r>
            <w:rPr>
              <w:color w:val="auto"/>
              <w:highlight w:val="none"/>
            </w:rPr>
            <w:instrText xml:space="preserve"> PAGEREF _Toc18135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19A10EF4">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"_Toc25589" </w:instrText>
          </w:r>
          <w:r>
            <w:rPr>
              <w:highlight w:val="none"/>
            </w:rPr>
            <w:fldChar w:fldCharType="separate"/>
          </w:r>
          <w:r>
            <w:rPr>
              <w:rFonts w:hint="eastAsia" w:ascii="仿宋" w:hAnsi="仿宋" w:eastAsia="仿宋" w:cs="仿宋"/>
              <w:bCs/>
              <w:color w:val="auto"/>
              <w:spacing w:val="4"/>
              <w:szCs w:val="24"/>
              <w:highlight w:val="none"/>
              <w:lang w:eastAsia="zh-CN"/>
            </w:rPr>
            <w:t>二、评标程序</w:t>
          </w:r>
          <w:r>
            <w:rPr>
              <w:color w:val="auto"/>
              <w:highlight w:val="none"/>
            </w:rPr>
            <w:tab/>
          </w:r>
          <w:r>
            <w:rPr>
              <w:color w:val="auto"/>
              <w:highlight w:val="none"/>
            </w:rPr>
            <w:fldChar w:fldCharType="begin"/>
          </w:r>
          <w:r>
            <w:rPr>
              <w:color w:val="auto"/>
              <w:highlight w:val="none"/>
            </w:rPr>
            <w:instrText xml:space="preserve"> PAGEREF _Toc25589 \h </w:instrText>
          </w:r>
          <w:r>
            <w:rPr>
              <w:color w:val="auto"/>
              <w:highlight w:val="none"/>
            </w:rPr>
            <w:fldChar w:fldCharType="separate"/>
          </w:r>
          <w:r>
            <w:rPr>
              <w:color w:val="auto"/>
              <w:highlight w:val="none"/>
            </w:rPr>
            <w:t>- 42 -</w:t>
          </w:r>
          <w:r>
            <w:rPr>
              <w:color w:val="auto"/>
              <w:highlight w:val="none"/>
            </w:rPr>
            <w:fldChar w:fldCharType="end"/>
          </w:r>
          <w:r>
            <w:rPr>
              <w:color w:val="auto"/>
              <w:highlight w:val="none"/>
            </w:rPr>
            <w:fldChar w:fldCharType="end"/>
          </w:r>
        </w:p>
        <w:p w14:paraId="52C7638E">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"_Toc6075" </w:instrText>
          </w:r>
          <w:r>
            <w:rPr>
              <w:highlight w:val="none"/>
            </w:rPr>
            <w:fldChar w:fldCharType="separate"/>
          </w:r>
          <w:r>
            <w:rPr>
              <w:rFonts w:hint="eastAsia" w:ascii="仿宋" w:hAnsi="仿宋" w:eastAsia="仿宋" w:cs="仿宋"/>
              <w:bCs/>
              <w:color w:val="auto"/>
              <w:spacing w:val="6"/>
              <w:szCs w:val="24"/>
              <w:highlight w:val="none"/>
              <w:lang w:eastAsia="zh-CN"/>
            </w:rPr>
            <w:t>三、评标其他要求：</w:t>
          </w:r>
          <w:r>
            <w:rPr>
              <w:color w:val="auto"/>
              <w:highlight w:val="none"/>
            </w:rPr>
            <w:tab/>
          </w:r>
          <w:r>
            <w:rPr>
              <w:color w:val="auto"/>
              <w:highlight w:val="none"/>
            </w:rPr>
            <w:fldChar w:fldCharType="begin"/>
          </w:r>
          <w:r>
            <w:rPr>
              <w:color w:val="auto"/>
              <w:highlight w:val="none"/>
            </w:rPr>
            <w:instrText xml:space="preserve"> PAGEREF _Toc6075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46433246">
          <w:pPr>
            <w:pStyle w:val="19"/>
            <w:tabs>
              <w:tab w:val="right" w:leader="dot" w:pos="9355"/>
            </w:tabs>
            <w:spacing w:line="480" w:lineRule="auto"/>
            <w:rPr>
              <w:color w:val="auto"/>
              <w:highlight w:val="none"/>
            </w:rPr>
          </w:pPr>
          <w:r>
            <w:rPr>
              <w:highlight w:val="none"/>
            </w:rPr>
            <w:fldChar w:fldCharType="begin"/>
          </w:r>
          <w:r>
            <w:rPr>
              <w:highlight w:val="none"/>
            </w:rPr>
            <w:instrText xml:space="preserve"> HYPERLINK \l "_Toc31859" </w:instrText>
          </w:r>
          <w:r>
            <w:rPr>
              <w:highlight w:val="none"/>
            </w:rPr>
            <w:fldChar w:fldCharType="separate"/>
          </w:r>
          <w:r>
            <w:rPr>
              <w:rFonts w:hint="eastAsia" w:ascii="仿宋" w:hAnsi="仿宋" w:eastAsia="仿宋" w:cs="仿宋"/>
              <w:bCs/>
              <w:color w:val="auto"/>
              <w:szCs w:val="24"/>
              <w:highlight w:val="none"/>
              <w:lang w:eastAsia="zh-CN"/>
            </w:rPr>
            <w:t>四、评标标准</w:t>
          </w:r>
          <w:r>
            <w:rPr>
              <w:color w:val="auto"/>
              <w:highlight w:val="none"/>
            </w:rPr>
            <w:tab/>
          </w:r>
          <w:r>
            <w:rPr>
              <w:color w:val="auto"/>
              <w:highlight w:val="none"/>
            </w:rPr>
            <w:fldChar w:fldCharType="begin"/>
          </w:r>
          <w:r>
            <w:rPr>
              <w:color w:val="auto"/>
              <w:highlight w:val="none"/>
            </w:rPr>
            <w:instrText xml:space="preserve"> PAGEREF _Toc31859 \h </w:instrText>
          </w:r>
          <w:r>
            <w:rPr>
              <w:color w:val="auto"/>
              <w:highlight w:val="none"/>
            </w:rPr>
            <w:fldChar w:fldCharType="separate"/>
          </w:r>
          <w:r>
            <w:rPr>
              <w:color w:val="auto"/>
              <w:highlight w:val="none"/>
            </w:rPr>
            <w:t>- 47 -</w:t>
          </w:r>
          <w:r>
            <w:rPr>
              <w:color w:val="auto"/>
              <w:highlight w:val="none"/>
            </w:rPr>
            <w:fldChar w:fldCharType="end"/>
          </w:r>
          <w:r>
            <w:rPr>
              <w:color w:val="auto"/>
              <w:highlight w:val="none"/>
            </w:rPr>
            <w:fldChar w:fldCharType="end"/>
          </w:r>
        </w:p>
        <w:p w14:paraId="1AEC92A8">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"_Toc13607" </w:instrText>
          </w:r>
          <w:r>
            <w:rPr>
              <w:highlight w:val="none"/>
            </w:rPr>
            <w:fldChar w:fldCharType="separate"/>
          </w:r>
          <w:r>
            <w:rPr>
              <w:rFonts w:hint="eastAsia" w:ascii="仿宋" w:hAnsi="仿宋" w:eastAsia="仿宋" w:cs="仿宋"/>
              <w:bCs/>
              <w:color w:val="auto"/>
              <w:spacing w:val="4"/>
              <w:szCs w:val="28"/>
              <w:highlight w:val="none"/>
              <w:lang w:eastAsia="zh-CN"/>
            </w:rPr>
            <w:t>第六章合同草案</w:t>
          </w:r>
          <w:r>
            <w:rPr>
              <w:color w:val="auto"/>
              <w:highlight w:val="none"/>
            </w:rPr>
            <w:tab/>
          </w:r>
          <w:r>
            <w:rPr>
              <w:color w:val="auto"/>
              <w:highlight w:val="none"/>
            </w:rPr>
            <w:fldChar w:fldCharType="begin"/>
          </w:r>
          <w:r>
            <w:rPr>
              <w:color w:val="auto"/>
              <w:highlight w:val="none"/>
            </w:rPr>
            <w:instrText xml:space="preserve"> PAGEREF _Toc13607 \h </w:instrText>
          </w:r>
          <w:r>
            <w:rPr>
              <w:color w:val="auto"/>
              <w:highlight w:val="none"/>
            </w:rPr>
            <w:fldChar w:fldCharType="separate"/>
          </w:r>
          <w:r>
            <w:rPr>
              <w:color w:val="auto"/>
              <w:highlight w:val="none"/>
            </w:rPr>
            <w:t>- 51 -</w:t>
          </w:r>
          <w:r>
            <w:rPr>
              <w:color w:val="auto"/>
              <w:highlight w:val="none"/>
            </w:rPr>
            <w:fldChar w:fldCharType="end"/>
          </w:r>
          <w:r>
            <w:rPr>
              <w:color w:val="auto"/>
              <w:highlight w:val="none"/>
            </w:rPr>
            <w:fldChar w:fldCharType="end"/>
          </w:r>
        </w:p>
        <w:p w14:paraId="00C2E7BD">
          <w:pPr>
            <w:pStyle w:val="17"/>
            <w:tabs>
              <w:tab w:val="right" w:leader="dot" w:pos="9355"/>
            </w:tabs>
            <w:spacing w:line="480" w:lineRule="auto"/>
            <w:rPr>
              <w:color w:val="auto"/>
              <w:highlight w:val="none"/>
            </w:rPr>
          </w:pPr>
          <w:r>
            <w:rPr>
              <w:highlight w:val="none"/>
            </w:rPr>
            <w:fldChar w:fldCharType="begin"/>
          </w:r>
          <w:r>
            <w:rPr>
              <w:highlight w:val="none"/>
            </w:rPr>
            <w:instrText xml:space="preserve"> HYPERLINK \l "_Toc22784" </w:instrText>
          </w:r>
          <w:r>
            <w:rPr>
              <w:highlight w:val="none"/>
            </w:rPr>
            <w:fldChar w:fldCharType="separate"/>
          </w:r>
          <w:r>
            <w:rPr>
              <w:rFonts w:hint="eastAsia" w:ascii="仿宋" w:hAnsi="仿宋" w:eastAsia="仿宋" w:cs="仿宋"/>
              <w:bCs/>
              <w:color w:val="auto"/>
              <w:spacing w:val="4"/>
              <w:szCs w:val="30"/>
              <w:highlight w:val="none"/>
              <w:lang w:eastAsia="zh-CN"/>
            </w:rPr>
            <w:t>第七章投标文件格式</w:t>
          </w:r>
          <w:r>
            <w:rPr>
              <w:color w:val="auto"/>
              <w:highlight w:val="none"/>
            </w:rPr>
            <w:tab/>
          </w:r>
          <w:r>
            <w:rPr>
              <w:color w:val="auto"/>
              <w:highlight w:val="none"/>
            </w:rPr>
            <w:fldChar w:fldCharType="begin"/>
          </w:r>
          <w:r>
            <w:rPr>
              <w:color w:val="auto"/>
              <w:highlight w:val="none"/>
            </w:rPr>
            <w:instrText xml:space="preserve"> PAGEREF _Toc22784 \h </w:instrText>
          </w:r>
          <w:r>
            <w:rPr>
              <w:color w:val="auto"/>
              <w:highlight w:val="none"/>
            </w:rPr>
            <w:fldChar w:fldCharType="separate"/>
          </w:r>
          <w:r>
            <w:rPr>
              <w:color w:val="auto"/>
              <w:highlight w:val="none"/>
            </w:rPr>
            <w:t>- 67 -</w:t>
          </w:r>
          <w:r>
            <w:rPr>
              <w:color w:val="auto"/>
              <w:highlight w:val="none"/>
            </w:rPr>
            <w:fldChar w:fldCharType="end"/>
          </w:r>
          <w:r>
            <w:rPr>
              <w:color w:val="auto"/>
              <w:highlight w:val="none"/>
            </w:rPr>
            <w:fldChar w:fldCharType="end"/>
          </w:r>
        </w:p>
        <w:p w14:paraId="5040F3AF">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lang w:eastAsia="zh-CN"/>
            </w:rPr>
            <w:fldChar w:fldCharType="end"/>
          </w:r>
        </w:p>
      </w:sdtContent>
    </w:sdt>
    <w:p w14:paraId="66D158FD">
      <w:pPr>
        <w:pStyle w:val="9"/>
        <w:pageBreakBefore/>
        <w:widowControl w:val="0"/>
        <w:spacing w:before="140" w:after="240" w:line="226" w:lineRule="auto"/>
        <w:ind w:left="2625"/>
        <w:outlineLvl w:val="0"/>
        <w:rPr>
          <w:rFonts w:hint="eastAsia" w:ascii="仿宋" w:hAnsi="仿宋" w:eastAsia="仿宋" w:cs="仿宋"/>
          <w:b/>
          <w:bCs/>
          <w:color w:val="auto"/>
          <w:spacing w:val="4"/>
          <w:sz w:val="30"/>
          <w:szCs w:val="30"/>
          <w:highlight w:val="none"/>
          <w:lang w:eastAsia="zh-CN"/>
        </w:rPr>
        <w:sectPr>
          <w:headerReference r:id="rId5" w:type="default"/>
          <w:footerReference r:id="rId6" w:type="default"/>
          <w:pgSz w:w="11906" w:h="16838"/>
          <w:pgMar w:top="1440" w:right="1133" w:bottom="1134" w:left="1418" w:header="851" w:footer="907" w:gutter="0"/>
          <w:pgNumType w:fmt="numberInDash" w:start="0"/>
          <w:cols w:space="720" w:num="1"/>
          <w:docGrid w:type="lines" w:linePitch="312" w:charSpace="0"/>
        </w:sectPr>
      </w:pPr>
      <w:bookmarkStart w:id="0" w:name="bookmark4"/>
      <w:bookmarkEnd w:id="0"/>
      <w:bookmarkStart w:id="1" w:name="bookmark2"/>
      <w:bookmarkEnd w:id="1"/>
      <w:bookmarkStart w:id="2" w:name="bookmark1"/>
      <w:bookmarkEnd w:id="2"/>
    </w:p>
    <w:p w14:paraId="084FD41B">
      <w:pPr>
        <w:pStyle w:val="9"/>
        <w:pageBreakBefore/>
        <w:widowControl w:val="0"/>
        <w:spacing w:before="140" w:after="240" w:line="226" w:lineRule="auto"/>
        <w:ind w:left="2625"/>
        <w:outlineLvl w:val="0"/>
        <w:rPr>
          <w:rFonts w:hint="eastAsia" w:ascii="仿宋" w:hAnsi="仿宋" w:eastAsia="仿宋" w:cs="仿宋"/>
          <w:color w:val="auto"/>
          <w:sz w:val="30"/>
          <w:szCs w:val="30"/>
          <w:highlight w:val="none"/>
          <w:lang w:eastAsia="zh-CN"/>
        </w:rPr>
      </w:pPr>
      <w:bookmarkStart w:id="3" w:name="_Toc32299"/>
      <w:r>
        <w:rPr>
          <w:rFonts w:hint="eastAsia" w:ascii="仿宋" w:hAnsi="仿宋" w:eastAsia="仿宋" w:cs="仿宋"/>
          <w:b/>
          <w:bCs/>
          <w:color w:val="auto"/>
          <w:spacing w:val="4"/>
          <w:sz w:val="30"/>
          <w:szCs w:val="30"/>
          <w:highlight w:val="none"/>
          <w:lang w:eastAsia="zh-CN"/>
        </w:rPr>
        <w:t>第一章招标公告</w:t>
      </w:r>
      <w:bookmarkEnd w:id="3"/>
    </w:p>
    <w:p w14:paraId="7988BC63">
      <w:pPr>
        <w:pBdr>
          <w:top w:val="single" w:color="auto" w:sz="4" w:space="0"/>
          <w:left w:val="single" w:color="auto" w:sz="4" w:space="0"/>
          <w:bottom w:val="single" w:color="auto" w:sz="4" w:space="0"/>
          <w:right w:val="single" w:color="auto" w:sz="4" w:space="0"/>
        </w:pBdr>
        <w:spacing w:after="240"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项目概况</w:t>
      </w:r>
    </w:p>
    <w:p w14:paraId="0DB02518">
      <w:pPr>
        <w:pBdr>
          <w:top w:val="single" w:color="auto" w:sz="4" w:space="0"/>
          <w:left w:val="single" w:color="auto" w:sz="4" w:space="0"/>
          <w:bottom w:val="single" w:color="auto" w:sz="4" w:space="0"/>
          <w:right w:val="single" w:color="auto" w:sz="4" w:space="0"/>
        </w:pBdr>
        <w:spacing w:line="440" w:lineRule="exact"/>
        <w:ind w:firstLine="481"/>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u w:val="single"/>
          <w:shd w:val="clear" w:color="auto" w:fill="FFFFFF"/>
          <w:lang w:eastAsia="zh-CN"/>
        </w:rPr>
        <w:t>新疆维吾尔自治区昌吉某某某单位食材采购项目二标段（副食类）</w:t>
      </w:r>
      <w:r>
        <w:rPr>
          <w:rFonts w:hint="eastAsia" w:ascii="仿宋" w:hAnsi="仿宋" w:eastAsia="仿宋" w:cs="仿宋"/>
          <w:color w:val="auto"/>
          <w:sz w:val="24"/>
          <w:highlight w:val="none"/>
          <w:shd w:val="clear" w:color="auto" w:fill="FFFFFF"/>
          <w:lang w:eastAsia="zh-CN"/>
        </w:rPr>
        <w:t>的潜在投标人应在</w:t>
      </w:r>
      <w:r>
        <w:rPr>
          <w:rFonts w:hint="eastAsia" w:ascii="仿宋" w:hAnsi="仿宋" w:eastAsia="仿宋" w:cs="仿宋"/>
          <w:color w:val="auto"/>
          <w:sz w:val="24"/>
          <w:highlight w:val="none"/>
          <w:u w:val="single"/>
          <w:shd w:val="clear" w:color="auto" w:fill="FFFFFF"/>
          <w:lang w:eastAsia="zh-CN"/>
        </w:rPr>
        <w:t>政采云平台线上获取</w:t>
      </w:r>
      <w:r>
        <w:rPr>
          <w:rFonts w:hint="eastAsia" w:ascii="仿宋" w:hAnsi="仿宋" w:eastAsia="仿宋" w:cs="仿宋"/>
          <w:color w:val="auto"/>
          <w:sz w:val="24"/>
          <w:highlight w:val="none"/>
          <w:shd w:val="clear" w:color="auto" w:fill="FFFFFF"/>
          <w:lang w:eastAsia="zh-CN"/>
        </w:rPr>
        <w:t>招标文件，并于</w:t>
      </w:r>
      <w:r>
        <w:rPr>
          <w:rFonts w:hint="eastAsia" w:ascii="仿宋" w:hAnsi="仿宋" w:eastAsia="仿宋" w:cs="仿宋"/>
          <w:color w:val="auto"/>
          <w:sz w:val="24"/>
          <w:highlight w:val="none"/>
          <w:u w:val="single"/>
          <w:shd w:val="clear" w:color="auto" w:fill="FFFFFF"/>
          <w:lang w:eastAsia="zh-CN"/>
        </w:rPr>
        <w:t>2025年7月2</w:t>
      </w:r>
      <w:r>
        <w:rPr>
          <w:rFonts w:hint="eastAsia" w:ascii="仿宋" w:hAnsi="仿宋" w:eastAsia="仿宋" w:cs="仿宋"/>
          <w:color w:val="auto"/>
          <w:sz w:val="24"/>
          <w:highlight w:val="none"/>
          <w:u w:val="single"/>
          <w:shd w:val="clear" w:color="auto" w:fill="FFFFFF"/>
          <w:lang w:val="en-US" w:eastAsia="zh-CN"/>
        </w:rPr>
        <w:t>5</w:t>
      </w:r>
      <w:r>
        <w:rPr>
          <w:rFonts w:hint="eastAsia" w:ascii="仿宋" w:hAnsi="仿宋" w:eastAsia="仿宋" w:cs="仿宋"/>
          <w:color w:val="auto"/>
          <w:sz w:val="24"/>
          <w:highlight w:val="none"/>
          <w:u w:val="single"/>
          <w:shd w:val="clear" w:color="auto" w:fill="FFFFFF"/>
          <w:lang w:eastAsia="zh-CN"/>
        </w:rPr>
        <w:t>日</w:t>
      </w:r>
      <w:r>
        <w:rPr>
          <w:rFonts w:hint="eastAsia" w:ascii="仿宋" w:hAnsi="仿宋" w:eastAsia="仿宋" w:cs="仿宋"/>
          <w:color w:val="auto"/>
          <w:sz w:val="24"/>
          <w:highlight w:val="none"/>
          <w:u w:val="single"/>
          <w:shd w:val="clear" w:color="auto" w:fill="FFFFFF"/>
          <w:lang w:eastAsia="zh-CN"/>
        </w:rPr>
        <w:t xml:space="preserve"> 11:00（北京时间）</w:t>
      </w:r>
      <w:r>
        <w:rPr>
          <w:rFonts w:hint="eastAsia" w:ascii="仿宋" w:hAnsi="仿宋" w:eastAsia="仿宋" w:cs="仿宋"/>
          <w:color w:val="auto"/>
          <w:sz w:val="24"/>
          <w:highlight w:val="none"/>
          <w:shd w:val="clear" w:color="auto" w:fill="FFFFFF"/>
          <w:lang w:eastAsia="zh-CN"/>
        </w:rPr>
        <w:t>前递交投标文件。</w:t>
      </w:r>
    </w:p>
    <w:p w14:paraId="398BB866">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一、项目基本情况</w:t>
      </w:r>
    </w:p>
    <w:p w14:paraId="402E011D">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项目编号：</w:t>
      </w:r>
      <w:r>
        <w:rPr>
          <w:rFonts w:hint="eastAsia" w:ascii="仿宋" w:hAnsi="仿宋" w:eastAsia="仿宋" w:cs="仿宋"/>
          <w:color w:val="auto"/>
          <w:sz w:val="24"/>
          <w:highlight w:val="none"/>
          <w:shd w:val="clear" w:color="auto" w:fill="FFFFFF"/>
          <w:lang w:eastAsia="zh-CN"/>
        </w:rPr>
        <w:t>XJXCT2025-ZB-097；</w:t>
      </w:r>
    </w:p>
    <w:p w14:paraId="3FED8A21">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项目名称：新疆维吾尔自治区昌吉某某某单位食材采购项目二标段（副食类）</w:t>
      </w:r>
    </w:p>
    <w:p w14:paraId="16D8F09A">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采购方式：公开招标</w:t>
      </w:r>
    </w:p>
    <w:p w14:paraId="1B930AE8">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预算金额（元）：60000</w:t>
      </w:r>
    </w:p>
    <w:p w14:paraId="73161A47">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最高限价（元）：/</w:t>
      </w:r>
    </w:p>
    <w:p w14:paraId="31FB183F">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采购需求：采</w:t>
      </w:r>
      <w:r>
        <w:rPr>
          <w:rFonts w:hint="eastAsia" w:ascii="仿宋" w:hAnsi="仿宋" w:eastAsia="仿宋" w:cs="仿宋"/>
          <w:color w:val="auto"/>
          <w:sz w:val="24"/>
          <w:highlight w:val="none"/>
          <w:shd w:val="clear" w:color="auto" w:fill="FFFFFF"/>
          <w:lang w:eastAsia="zh-CN"/>
        </w:rPr>
        <w:t>购副食</w:t>
      </w:r>
      <w:r>
        <w:rPr>
          <w:rFonts w:hint="eastAsia" w:ascii="仿宋" w:hAnsi="仿宋" w:eastAsia="仿宋" w:cs="仿宋"/>
          <w:color w:val="auto"/>
          <w:sz w:val="24"/>
          <w:highlight w:val="none"/>
          <w:shd w:val="clear" w:color="auto" w:fill="FFFFFF"/>
          <w:lang w:eastAsia="zh-CN"/>
        </w:rPr>
        <w:t>品一批，具体内容详见招标文件。</w:t>
      </w:r>
    </w:p>
    <w:p w14:paraId="08DDE582">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标项名称:新疆维吾尔自治区昌吉某某某单位食材采购项目二标段（副食类）</w:t>
      </w:r>
    </w:p>
    <w:p w14:paraId="43BA5DAE">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 xml:space="preserve">数量：1   </w:t>
      </w:r>
    </w:p>
    <w:p w14:paraId="5FA8B18D">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预算金额（元）:</w:t>
      </w:r>
      <w:r>
        <w:rPr>
          <w:rFonts w:hint="eastAsia" w:ascii="仿宋" w:hAnsi="仿宋" w:eastAsia="仿宋" w:cs="仿宋"/>
          <w:color w:val="auto"/>
          <w:sz w:val="24"/>
          <w:highlight w:val="none"/>
          <w:shd w:val="clear" w:color="auto" w:fill="FFFFFF"/>
          <w:lang w:eastAsia="zh-CN"/>
        </w:rPr>
        <w:t>60000</w:t>
      </w:r>
    </w:p>
    <w:p w14:paraId="65B06A27">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单位：批</w:t>
      </w:r>
    </w:p>
    <w:p w14:paraId="3BE544A4">
      <w:pPr>
        <w:spacing w:line="440" w:lineRule="exact"/>
        <w:ind w:firstLine="480" w:firstLineChars="200"/>
        <w:rPr>
          <w:color w:val="auto"/>
          <w:highlight w:val="none"/>
          <w:lang w:eastAsia="zh-CN"/>
        </w:rPr>
      </w:pPr>
      <w:r>
        <w:rPr>
          <w:rFonts w:hint="eastAsia" w:ascii="仿宋" w:hAnsi="仿宋" w:eastAsia="仿宋" w:cs="仿宋"/>
          <w:color w:val="auto"/>
          <w:sz w:val="24"/>
          <w:highlight w:val="none"/>
          <w:shd w:val="clear" w:color="auto" w:fill="FFFFFF"/>
          <w:lang w:eastAsia="zh-CN"/>
        </w:rPr>
        <w:t>简要规格描述或项目基本概况介绍、用途：</w:t>
      </w:r>
      <w:r>
        <w:rPr>
          <w:rFonts w:hint="eastAsia" w:ascii="仿宋" w:hAnsi="仿宋" w:eastAsia="仿宋" w:cs="仿宋"/>
          <w:color w:val="auto"/>
          <w:sz w:val="24"/>
          <w:highlight w:val="none"/>
          <w:shd w:val="clear" w:color="auto" w:fill="FFFFFF"/>
          <w:lang w:eastAsia="zh-CN"/>
        </w:rPr>
        <w:t>采购副食品一</w:t>
      </w:r>
      <w:r>
        <w:rPr>
          <w:rFonts w:hint="eastAsia" w:ascii="仿宋" w:hAnsi="仿宋" w:eastAsia="仿宋" w:cs="仿宋"/>
          <w:color w:val="auto"/>
          <w:sz w:val="24"/>
          <w:highlight w:val="none"/>
          <w:shd w:val="clear" w:color="auto" w:fill="FFFFFF"/>
          <w:lang w:eastAsia="zh-CN"/>
        </w:rPr>
        <w:t>批，具体内容详见招标文件。</w:t>
      </w:r>
    </w:p>
    <w:p w14:paraId="658725B0">
      <w:pPr>
        <w:spacing w:line="440" w:lineRule="exact"/>
        <w:ind w:firstLine="480" w:firstLineChars="200"/>
        <w:rPr>
          <w:rFonts w:hint="eastAsia" w:ascii="仿宋" w:hAnsi="仿宋" w:eastAsia="仿宋" w:cs="仿宋"/>
          <w:color w:val="auto"/>
          <w:sz w:val="24"/>
          <w:highlight w:val="none"/>
          <w:shd w:val="clear" w:color="auto" w:fill="FFFFFF"/>
          <w:lang w:eastAsia="zh-CN"/>
        </w:rPr>
      </w:pPr>
    </w:p>
    <w:p w14:paraId="0CBDB02D">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备注：</w:t>
      </w:r>
    </w:p>
    <w:p w14:paraId="641C5CA7">
      <w:pPr>
        <w:spacing w:line="440" w:lineRule="exact"/>
        <w:ind w:left="479" w:leftChars="228"/>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合同履约期限：标项 1，</w:t>
      </w:r>
      <w:r>
        <w:rPr>
          <w:rFonts w:hint="eastAsia" w:ascii="仿宋" w:hAnsi="仿宋" w:eastAsia="仿宋" w:cs="仿宋"/>
          <w:color w:val="auto"/>
          <w:sz w:val="24"/>
          <w:szCs w:val="24"/>
          <w:highlight w:val="none"/>
          <w:lang w:eastAsia="zh-CN"/>
        </w:rPr>
        <w:t>自合同签订之日起一年。</w:t>
      </w:r>
    </w:p>
    <w:p w14:paraId="2F1B5640">
      <w:pPr>
        <w:spacing w:line="440" w:lineRule="exact"/>
        <w:ind w:left="479" w:leftChars="228"/>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本项目（否）接受联合体投标。</w:t>
      </w:r>
    </w:p>
    <w:p w14:paraId="46C89816">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二、申请人的资格要求：</w:t>
      </w:r>
    </w:p>
    <w:p w14:paraId="187F5EBC">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1.满足《中华人民共和国政府采购法》第二十二条规定；</w:t>
      </w:r>
    </w:p>
    <w:p w14:paraId="6962047F">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2.落实政府采购政策需满足的资格要求:标项1：本项目专门面向中小企业采购。</w:t>
      </w:r>
    </w:p>
    <w:p w14:paraId="705370CC">
      <w:pPr>
        <w:numPr>
          <w:ilvl w:val="0"/>
          <w:numId w:val="1"/>
        </w:num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本项目的特定资格要求：</w:t>
      </w:r>
    </w:p>
    <w:p w14:paraId="4C1B3B31">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①.投标人须具备有效的</w:t>
      </w:r>
      <w:r>
        <w:rPr>
          <w:rFonts w:hint="eastAsia" w:ascii="仿宋" w:hAnsi="仿宋" w:eastAsia="仿宋" w:cs="仿宋"/>
          <w:color w:val="auto"/>
          <w:sz w:val="24"/>
          <w:highlight w:val="none"/>
          <w:shd w:val="clear" w:color="auto" w:fill="FFFFFF"/>
          <w:lang w:eastAsia="zh-CN"/>
        </w:rPr>
        <w:t>《食品经营许可证》或《食品生产许可证》；如投标人</w:t>
      </w:r>
      <w:r>
        <w:rPr>
          <w:rFonts w:hint="eastAsia" w:ascii="仿宋" w:hAnsi="仿宋" w:eastAsia="仿宋" w:cs="仿宋"/>
          <w:color w:val="auto"/>
          <w:sz w:val="24"/>
          <w:highlight w:val="none"/>
          <w:shd w:val="clear" w:color="auto" w:fill="FFFFFF"/>
          <w:lang w:eastAsia="zh-CN"/>
        </w:rPr>
        <w:t>所在地行政监督管理部门另有规定，须提供相关文件信息；</w:t>
      </w:r>
    </w:p>
    <w:p w14:paraId="4BBAB505">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②.凡拟参加本次招标项目的供应商，未在“信用中国”网站（www.creditchina.gov.cn）被列入重大税收违法失信主体、政府采购严重违法失信名单的（尚在处罚期内的）、“中国政府采购网”（www.ccgp.gov.cn）被列入政府采购严重违法失信行为记录名单（尚在处罚期内的）以及未被列入“中国执行信息公开网”（http://zxgk.court.gov.cn/）失信被执行人名单。</w:t>
      </w:r>
    </w:p>
    <w:p w14:paraId="54BF6213">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三、获取招标文件</w:t>
      </w:r>
    </w:p>
    <w:p w14:paraId="4D2243E6">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时间</w:t>
      </w:r>
      <w:r>
        <w:rPr>
          <w:rFonts w:hint="eastAsia" w:ascii="仿宋" w:hAnsi="仿宋" w:eastAsia="仿宋" w:cs="仿宋"/>
          <w:color w:val="auto"/>
          <w:sz w:val="24"/>
          <w:highlight w:val="none"/>
          <w:shd w:val="clear" w:color="auto" w:fill="FFFFFF"/>
          <w:lang w:eastAsia="zh-CN"/>
        </w:rPr>
        <w:t>：2025年7月</w:t>
      </w:r>
      <w:r>
        <w:rPr>
          <w:rFonts w:hint="eastAsia" w:ascii="仿宋" w:hAnsi="仿宋" w:eastAsia="仿宋" w:cs="仿宋"/>
          <w:color w:val="auto"/>
          <w:sz w:val="24"/>
          <w:highlight w:val="none"/>
          <w:shd w:val="clear" w:color="auto" w:fill="FFFFFF"/>
          <w:lang w:val="en-US" w:eastAsia="zh-CN"/>
        </w:rPr>
        <w:t>4</w:t>
      </w:r>
      <w:r>
        <w:rPr>
          <w:rFonts w:hint="eastAsia" w:ascii="仿宋" w:hAnsi="仿宋" w:eastAsia="仿宋" w:cs="仿宋"/>
          <w:color w:val="auto"/>
          <w:sz w:val="24"/>
          <w:highlight w:val="none"/>
          <w:shd w:val="clear" w:color="auto" w:fill="FFFFFF"/>
          <w:lang w:eastAsia="zh-CN"/>
        </w:rPr>
        <w:t>日至2025年7月1</w:t>
      </w:r>
      <w:r>
        <w:rPr>
          <w:rFonts w:hint="eastAsia" w:ascii="仿宋" w:hAnsi="仿宋" w:eastAsia="仿宋" w:cs="仿宋"/>
          <w:color w:val="auto"/>
          <w:sz w:val="24"/>
          <w:highlight w:val="none"/>
          <w:shd w:val="clear" w:color="auto" w:fill="FFFFFF"/>
          <w:lang w:val="en-US" w:eastAsia="zh-CN"/>
        </w:rPr>
        <w:t>1</w:t>
      </w:r>
      <w:r>
        <w:rPr>
          <w:rFonts w:hint="eastAsia" w:ascii="仿宋" w:hAnsi="仿宋" w:eastAsia="仿宋" w:cs="仿宋"/>
          <w:color w:val="auto"/>
          <w:sz w:val="24"/>
          <w:highlight w:val="none"/>
          <w:shd w:val="clear" w:color="auto" w:fill="FFFFFF"/>
          <w:lang w:eastAsia="zh-CN"/>
        </w:rPr>
        <w:t>日，</w:t>
      </w:r>
      <w:r>
        <w:rPr>
          <w:rFonts w:hint="eastAsia" w:ascii="仿宋" w:hAnsi="仿宋" w:eastAsia="仿宋" w:cs="仿宋"/>
          <w:color w:val="auto"/>
          <w:sz w:val="24"/>
          <w:highlight w:val="none"/>
          <w:shd w:val="clear" w:color="auto" w:fill="FFFFFF"/>
          <w:lang w:eastAsia="zh-CN"/>
        </w:rPr>
        <w:t>每天上午00:00至12:00，下午12:00至23:59（北京时间，法定节假日除外）</w:t>
      </w:r>
    </w:p>
    <w:p w14:paraId="3693B5F5">
      <w:pPr>
        <w:spacing w:line="440" w:lineRule="exact"/>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地点：政采云平台线上</w:t>
      </w:r>
    </w:p>
    <w:p w14:paraId="5BB844F4">
      <w:pPr>
        <w:spacing w:line="440" w:lineRule="exact"/>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w:t>
      </w:r>
    </w:p>
    <w:p w14:paraId="473A3362">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售价（元）：0</w:t>
      </w:r>
      <w:r>
        <w:rPr>
          <w:rFonts w:hint="eastAsia" w:ascii="仿宋" w:hAnsi="仿宋" w:eastAsia="仿宋" w:cs="仿宋"/>
          <w:color w:val="auto"/>
          <w:sz w:val="24"/>
          <w:highlight w:val="none"/>
          <w:shd w:val="clear" w:color="auto" w:fill="FFFFFF"/>
          <w:lang w:eastAsia="zh-CN"/>
        </w:rPr>
        <w:tab/>
      </w:r>
    </w:p>
    <w:p w14:paraId="1ED22247">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四、提交投标文件截止时间、开标时间和地点</w:t>
      </w:r>
    </w:p>
    <w:p w14:paraId="7E79B1F1">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提交投标文件截止时间：</w:t>
      </w:r>
      <w:r>
        <w:rPr>
          <w:rFonts w:hint="eastAsia" w:ascii="仿宋" w:hAnsi="仿宋" w:eastAsia="仿宋" w:cs="仿宋"/>
          <w:color w:val="auto"/>
          <w:sz w:val="24"/>
          <w:highlight w:val="none"/>
          <w:shd w:val="clear" w:color="auto" w:fill="FFFFFF"/>
          <w:lang w:eastAsia="zh-CN"/>
        </w:rPr>
        <w:t>2025年7月2</w:t>
      </w:r>
      <w:r>
        <w:rPr>
          <w:rFonts w:hint="eastAsia" w:ascii="仿宋" w:hAnsi="仿宋" w:eastAsia="仿宋" w:cs="仿宋"/>
          <w:color w:val="auto"/>
          <w:sz w:val="24"/>
          <w:highlight w:val="none"/>
          <w:shd w:val="clear" w:color="auto" w:fill="FFFFFF"/>
          <w:lang w:val="en-US" w:eastAsia="zh-CN"/>
        </w:rPr>
        <w:t>5</w:t>
      </w:r>
      <w:r>
        <w:rPr>
          <w:rFonts w:hint="eastAsia" w:ascii="仿宋" w:hAnsi="仿宋" w:eastAsia="仿宋" w:cs="仿宋"/>
          <w:color w:val="auto"/>
          <w:sz w:val="24"/>
          <w:highlight w:val="none"/>
          <w:shd w:val="clear" w:color="auto" w:fill="FFFFFF"/>
          <w:lang w:eastAsia="zh-CN"/>
        </w:rPr>
        <w:t>日 11:00（北京时间）</w:t>
      </w:r>
    </w:p>
    <w:p w14:paraId="1DAC5494">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投标地点：请登录政采云投标客户端投标</w:t>
      </w:r>
    </w:p>
    <w:p w14:paraId="77356623">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开标时间：</w:t>
      </w:r>
      <w:r>
        <w:rPr>
          <w:rFonts w:hint="eastAsia" w:ascii="仿宋" w:hAnsi="仿宋" w:eastAsia="仿宋" w:cs="仿宋"/>
          <w:color w:val="auto"/>
          <w:sz w:val="24"/>
          <w:highlight w:val="none"/>
          <w:shd w:val="clear" w:color="auto" w:fill="FFFFFF"/>
          <w:lang w:eastAsia="zh-CN"/>
        </w:rPr>
        <w:t>2025年7月2</w:t>
      </w:r>
      <w:r>
        <w:rPr>
          <w:rFonts w:hint="eastAsia" w:ascii="仿宋" w:hAnsi="仿宋" w:eastAsia="仿宋" w:cs="仿宋"/>
          <w:color w:val="auto"/>
          <w:sz w:val="24"/>
          <w:highlight w:val="none"/>
          <w:shd w:val="clear" w:color="auto" w:fill="FFFFFF"/>
          <w:lang w:val="en-US" w:eastAsia="zh-CN"/>
        </w:rPr>
        <w:t>5</w:t>
      </w:r>
      <w:r>
        <w:rPr>
          <w:rFonts w:hint="eastAsia" w:ascii="仿宋" w:hAnsi="仿宋" w:eastAsia="仿宋" w:cs="仿宋"/>
          <w:color w:val="auto"/>
          <w:sz w:val="24"/>
          <w:highlight w:val="none"/>
          <w:shd w:val="clear" w:color="auto" w:fill="FFFFFF"/>
          <w:lang w:eastAsia="zh-CN"/>
        </w:rPr>
        <w:t>日 11:00（北京时间）</w:t>
      </w:r>
    </w:p>
    <w:p w14:paraId="569C4BA4">
      <w:pPr>
        <w:spacing w:line="440" w:lineRule="exact"/>
        <w:ind w:firstLine="480" w:firstLineChars="200"/>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开标地点：投标人登录政采云平台https://www.zcygov.cn/，进入“项目采购-开标评标-右边选择对应项目点击“进入项目”进入开标大厅。</w:t>
      </w:r>
    </w:p>
    <w:p w14:paraId="450EC764">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五、公告期限</w:t>
      </w:r>
    </w:p>
    <w:p w14:paraId="630427FC">
      <w:pPr>
        <w:spacing w:line="44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自本公告发布之日起5个工作日。</w:t>
      </w:r>
    </w:p>
    <w:p w14:paraId="317ED487">
      <w:pPr>
        <w:spacing w:line="44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六、其他补充事宜</w:t>
      </w:r>
    </w:p>
    <w:p w14:paraId="69ABFAAF">
      <w:pPr>
        <w:spacing w:line="440" w:lineRule="exact"/>
        <w:ind w:left="479" w:leftChars="228"/>
        <w:jc w:val="both"/>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1、本项目实行网上投标，采用电子投标文件。</w:t>
      </w:r>
      <w:r>
        <w:rPr>
          <w:rFonts w:hint="eastAsia" w:ascii="仿宋" w:hAnsi="仿宋" w:eastAsia="仿宋" w:cs="仿宋"/>
          <w:color w:val="auto"/>
          <w:sz w:val="24"/>
          <w:highlight w:val="none"/>
          <w:shd w:val="clear" w:color="auto" w:fill="FFFFFF"/>
          <w:lang w:eastAsia="zh-CN"/>
        </w:rPr>
        <w:br w:type="textWrapping"/>
      </w:r>
      <w:r>
        <w:rPr>
          <w:rFonts w:hint="eastAsia" w:ascii="仿宋" w:hAnsi="仿宋" w:eastAsia="仿宋" w:cs="仿宋"/>
          <w:color w:val="auto"/>
          <w:sz w:val="24"/>
          <w:highlight w:val="none"/>
          <w:shd w:val="clear" w:color="auto" w:fill="FFFFFF"/>
          <w:lang w:eastAsia="zh-CN"/>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r>
        <w:rPr>
          <w:rFonts w:hint="eastAsia" w:ascii="仿宋" w:hAnsi="仿宋" w:eastAsia="仿宋" w:cs="仿宋"/>
          <w:color w:val="auto"/>
          <w:sz w:val="24"/>
          <w:highlight w:val="none"/>
          <w:shd w:val="clear" w:color="auto" w:fill="FFFFFF"/>
          <w:lang w:eastAsia="zh-CN"/>
        </w:rPr>
        <w:br w:type="textWrapping"/>
      </w:r>
      <w:r>
        <w:rPr>
          <w:rFonts w:hint="eastAsia" w:ascii="仿宋" w:hAnsi="仿宋" w:eastAsia="仿宋" w:cs="仿宋"/>
          <w:color w:val="auto"/>
          <w:sz w:val="24"/>
          <w:highlight w:val="none"/>
          <w:shd w:val="clear" w:color="auto" w:fill="FFFFFF"/>
          <w:lang w:eastAsia="zh-CN"/>
        </w:rPr>
        <w:t>3、供应商将政采云电子交易客户端下载、安装完成后，可通过账号密码或CA登录客户端进行投标文件的制作。在使用政采云投标客户端时，建议使用WIN7及以上操作系统。</w:t>
      </w:r>
    </w:p>
    <w:p w14:paraId="05BCFBE5">
      <w:pPr>
        <w:spacing w:line="400" w:lineRule="exact"/>
        <w:rPr>
          <w:rFonts w:hint="eastAsia" w:ascii="仿宋" w:hAnsi="仿宋" w:eastAsia="仿宋" w:cs="仿宋"/>
          <w:b/>
          <w:bCs/>
          <w:color w:val="auto"/>
          <w:sz w:val="24"/>
          <w:highlight w:val="none"/>
          <w:shd w:val="clear" w:color="auto" w:fill="FFFFFF"/>
          <w:lang w:eastAsia="zh-CN"/>
        </w:rPr>
      </w:pPr>
      <w:r>
        <w:rPr>
          <w:rFonts w:hint="eastAsia" w:ascii="仿宋" w:hAnsi="仿宋" w:eastAsia="仿宋" w:cs="仿宋"/>
          <w:b/>
          <w:bCs/>
          <w:color w:val="auto"/>
          <w:sz w:val="24"/>
          <w:highlight w:val="none"/>
          <w:shd w:val="clear" w:color="auto" w:fill="FFFFFF"/>
          <w:lang w:eastAsia="zh-CN"/>
        </w:rPr>
        <w:t>特别提示：</w:t>
      </w:r>
    </w:p>
    <w:p w14:paraId="3E183E62">
      <w:pPr>
        <w:spacing w:line="40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1、采购限额标准以上，200万元以下的货物和服务采购项目、400万元以下的工程采购项目，适宜由中小企业提供的，采购人应当专门面向中小企业采购。</w:t>
      </w:r>
    </w:p>
    <w:p w14:paraId="431E064D">
      <w:pPr>
        <w:spacing w:line="40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2、超过200万元的货物和服务采购项目，预留该部分采购项目预算总额的30%以上专门面向中小企业采购，其中预留给小微企业的比例不低于60%。</w:t>
      </w:r>
    </w:p>
    <w:p w14:paraId="71E4837F">
      <w:pPr>
        <w:spacing w:line="40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3、超过400万元的工程采购项目中适宜由中小企业提供的，预留该部分采购项目预算总额的40%以上专门面向中小企业采购，其中预留给小微企业的比例不低于60%。</w:t>
      </w:r>
    </w:p>
    <w:p w14:paraId="6695A2EF">
      <w:pPr>
        <w:spacing w:line="40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15989826">
      <w:pPr>
        <w:spacing w:line="40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119DCF">
      <w:pPr>
        <w:spacing w:line="420" w:lineRule="exact"/>
        <w:rPr>
          <w:rFonts w:hint="eastAsia" w:ascii="仿宋" w:hAnsi="仿宋" w:eastAsia="仿宋" w:cs="仿宋"/>
          <w:b/>
          <w:color w:val="auto"/>
          <w:sz w:val="24"/>
          <w:highlight w:val="none"/>
          <w:shd w:val="clear" w:color="auto" w:fill="FFFFFF"/>
          <w:lang w:eastAsia="zh-CN"/>
        </w:rPr>
      </w:pPr>
      <w:r>
        <w:rPr>
          <w:rFonts w:hint="eastAsia" w:ascii="仿宋" w:hAnsi="仿宋" w:eastAsia="仿宋" w:cs="仿宋"/>
          <w:b/>
          <w:color w:val="auto"/>
          <w:sz w:val="24"/>
          <w:highlight w:val="none"/>
          <w:shd w:val="clear" w:color="auto" w:fill="FFFFFF"/>
          <w:lang w:eastAsia="zh-CN"/>
        </w:rPr>
        <w:t>七、对本次采购提出询问，请按以下方式联系</w:t>
      </w:r>
    </w:p>
    <w:p w14:paraId="30DFC3ED">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1.采购人信息</w:t>
      </w:r>
    </w:p>
    <w:p w14:paraId="136C17A5">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名 称：新疆维吾尔自治区昌吉某某某单位</w:t>
      </w:r>
    </w:p>
    <w:p w14:paraId="34D3BF6D">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地 址：新疆昌吉</w:t>
      </w:r>
    </w:p>
    <w:p w14:paraId="3A639210">
      <w:pPr>
        <w:tabs>
          <w:tab w:val="left" w:pos="6208"/>
        </w:tabs>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联系方式：13669968021</w:t>
      </w:r>
    </w:p>
    <w:p w14:paraId="18E74502">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2.采购代理机构信息</w:t>
      </w:r>
    </w:p>
    <w:p w14:paraId="7B4F255B">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名 称：新疆新诚泰工程咨询有限公司</w:t>
      </w:r>
    </w:p>
    <w:p w14:paraId="265906C7">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地 址：乌鲁木齐市水磨沟区鸿泰路66号万科大都会8号综合楼1003室</w:t>
      </w:r>
    </w:p>
    <w:p w14:paraId="4065B75E">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联系方式：13379788180、18599170885</w:t>
      </w:r>
    </w:p>
    <w:p w14:paraId="19385809">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3.项目联系方式</w:t>
      </w:r>
    </w:p>
    <w:p w14:paraId="2195FE4E">
      <w:pPr>
        <w:spacing w:line="420" w:lineRule="exact"/>
        <w:ind w:firstLine="480" w:firstLineChars="200"/>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项目联系人：龚静、王欢</w:t>
      </w:r>
    </w:p>
    <w:p w14:paraId="1249B02F">
      <w:pPr>
        <w:spacing w:line="420" w:lineRule="exact"/>
        <w:ind w:firstLine="480" w:firstLineChars="200"/>
        <w:rPr>
          <w:rFonts w:hint="eastAsia" w:ascii="仿宋" w:hAnsi="仿宋" w:eastAsia="仿宋" w:cs="仿宋"/>
          <w:b/>
          <w:color w:val="auto"/>
          <w:highlight w:val="none"/>
          <w:lang w:eastAsia="zh-CN"/>
        </w:rPr>
      </w:pPr>
      <w:r>
        <w:rPr>
          <w:rFonts w:hint="eastAsia" w:ascii="仿宋" w:hAnsi="仿宋" w:eastAsia="仿宋" w:cs="仿宋"/>
          <w:color w:val="auto"/>
          <w:sz w:val="24"/>
          <w:highlight w:val="none"/>
          <w:shd w:val="clear" w:color="auto" w:fill="FFFFFF"/>
          <w:lang w:eastAsia="zh-CN"/>
        </w:rPr>
        <w:t>电 话：13379788180、18599170885</w:t>
      </w:r>
    </w:p>
    <w:p w14:paraId="33934796">
      <w:pPr>
        <w:pStyle w:val="9"/>
        <w:pageBreakBefore/>
        <w:spacing w:before="140" w:after="240" w:line="226" w:lineRule="auto"/>
        <w:jc w:val="center"/>
        <w:outlineLvl w:val="0"/>
        <w:rPr>
          <w:rFonts w:hint="eastAsia" w:ascii="仿宋" w:hAnsi="仿宋" w:eastAsia="仿宋" w:cs="仿宋"/>
          <w:color w:val="auto"/>
          <w:sz w:val="30"/>
          <w:szCs w:val="30"/>
          <w:highlight w:val="none"/>
          <w:lang w:eastAsia="zh-CN"/>
        </w:rPr>
      </w:pPr>
      <w:bookmarkStart w:id="4" w:name="bookmark3"/>
      <w:bookmarkEnd w:id="4"/>
      <w:bookmarkStart w:id="5" w:name="bookmark20"/>
      <w:bookmarkEnd w:id="5"/>
      <w:bookmarkStart w:id="6" w:name="bookmark18"/>
      <w:bookmarkEnd w:id="6"/>
      <w:bookmarkStart w:id="7" w:name="bookmark17"/>
      <w:bookmarkEnd w:id="7"/>
      <w:bookmarkStart w:id="8" w:name="_Toc3777"/>
      <w:bookmarkStart w:id="9" w:name="_Toc15713"/>
      <w:bookmarkStart w:id="10" w:name="_Toc13885"/>
      <w:r>
        <w:rPr>
          <w:rFonts w:hint="eastAsia" w:ascii="仿宋" w:hAnsi="仿宋" w:eastAsia="仿宋" w:cs="仿宋"/>
          <w:b/>
          <w:bCs/>
          <w:color w:val="auto"/>
          <w:spacing w:val="4"/>
          <w:sz w:val="30"/>
          <w:szCs w:val="30"/>
          <w:highlight w:val="none"/>
          <w:lang w:eastAsia="zh-CN"/>
        </w:rPr>
        <w:t>第二章投标人须知</w:t>
      </w:r>
    </w:p>
    <w:p w14:paraId="37DA90A1">
      <w:pPr>
        <w:spacing w:before="101" w:after="240" w:line="224" w:lineRule="auto"/>
        <w:ind w:left="482"/>
        <w:jc w:val="center"/>
        <w:outlineLvl w:val="1"/>
        <w:rPr>
          <w:rFonts w:hint="eastAsia" w:ascii="仿宋" w:hAnsi="仿宋" w:eastAsia="仿宋" w:cs="仿宋"/>
          <w:color w:val="auto"/>
          <w:sz w:val="28"/>
          <w:szCs w:val="28"/>
          <w:highlight w:val="none"/>
          <w:lang w:eastAsia="zh-CN"/>
        </w:rPr>
      </w:pPr>
      <w:bookmarkStart w:id="11" w:name="bookmark21"/>
      <w:bookmarkEnd w:id="11"/>
      <w:bookmarkStart w:id="12" w:name="bookmark22"/>
      <w:bookmarkEnd w:id="12"/>
      <w:bookmarkStart w:id="13" w:name="bookmark19"/>
      <w:bookmarkEnd w:id="13"/>
      <w:bookmarkStart w:id="14" w:name="_Toc23488"/>
      <w:bookmarkStart w:id="15" w:name="_Toc25808"/>
      <w:r>
        <w:rPr>
          <w:rFonts w:hint="eastAsia" w:ascii="仿宋" w:hAnsi="仿宋" w:eastAsia="仿宋" w:cs="仿宋"/>
          <w:bCs/>
          <w:color w:val="auto"/>
          <w:spacing w:val="6"/>
          <w:sz w:val="28"/>
          <w:szCs w:val="28"/>
          <w:highlight w:val="none"/>
          <w:lang w:eastAsia="zh-CN"/>
        </w:rPr>
        <w:t>一、投标人须知前附表</w:t>
      </w:r>
      <w:bookmarkEnd w:id="14"/>
    </w:p>
    <w:tbl>
      <w:tblPr>
        <w:tblStyle w:val="22"/>
        <w:tblW w:w="9640" w:type="dxa"/>
        <w:tblInd w:w="-1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51"/>
        <w:gridCol w:w="1701"/>
        <w:gridCol w:w="7088"/>
      </w:tblGrid>
      <w:tr w14:paraId="30F1D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shd w:val="clear" w:color="auto" w:fill="D8D8D8"/>
            <w:vAlign w:val="center"/>
          </w:tcPr>
          <w:p w14:paraId="0819E4CE">
            <w:pPr>
              <w:pStyle w:val="31"/>
              <w:spacing w:line="360" w:lineRule="auto"/>
              <w:ind w:left="-2" w:right="-90" w:rightChars="-43"/>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6"/>
                <w:sz w:val="21"/>
                <w:szCs w:val="21"/>
                <w:highlight w:val="none"/>
              </w:rPr>
              <w:t>条款号</w:t>
            </w:r>
          </w:p>
        </w:tc>
        <w:tc>
          <w:tcPr>
            <w:tcW w:w="1701" w:type="dxa"/>
            <w:shd w:val="clear" w:color="auto" w:fill="D8D8D8"/>
            <w:vAlign w:val="center"/>
          </w:tcPr>
          <w:p w14:paraId="50E2B081">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条款名称</w:t>
            </w:r>
          </w:p>
        </w:tc>
        <w:tc>
          <w:tcPr>
            <w:tcW w:w="7088" w:type="dxa"/>
            <w:shd w:val="clear" w:color="auto" w:fill="D8D8D8"/>
            <w:vAlign w:val="center"/>
          </w:tcPr>
          <w:p w14:paraId="49B7289C">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22"/>
                <w:sz w:val="21"/>
                <w:szCs w:val="21"/>
                <w:highlight w:val="none"/>
              </w:rPr>
              <w:t>内容</w:t>
            </w:r>
          </w:p>
        </w:tc>
      </w:tr>
      <w:tr w14:paraId="6E77FC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4847F4F">
            <w:pPr>
              <w:pStyle w:val="31"/>
              <w:spacing w:line="360" w:lineRule="auto"/>
              <w:jc w:val="center"/>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2.2</w:t>
            </w:r>
          </w:p>
        </w:tc>
        <w:tc>
          <w:tcPr>
            <w:tcW w:w="1701" w:type="dxa"/>
            <w:vAlign w:val="center"/>
          </w:tcPr>
          <w:p w14:paraId="3CE14DF6">
            <w:pPr>
              <w:pStyle w:val="31"/>
              <w:spacing w:line="360" w:lineRule="auto"/>
              <w:jc w:val="center"/>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采购人</w:t>
            </w:r>
          </w:p>
        </w:tc>
        <w:tc>
          <w:tcPr>
            <w:tcW w:w="7088" w:type="dxa"/>
            <w:vAlign w:val="center"/>
          </w:tcPr>
          <w:p w14:paraId="21F53F72">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采购人：新疆维吾尔自治区昌吉某某某单位　</w:t>
            </w:r>
          </w:p>
          <w:p w14:paraId="0C39BA9C">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联系人：董晓平    联系电话：13669968021</w:t>
            </w:r>
          </w:p>
        </w:tc>
      </w:tr>
      <w:tr w14:paraId="4435D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529CCC9">
            <w:pPr>
              <w:pStyle w:val="31"/>
              <w:spacing w:line="360" w:lineRule="auto"/>
              <w:jc w:val="center"/>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2.3</w:t>
            </w:r>
          </w:p>
        </w:tc>
        <w:tc>
          <w:tcPr>
            <w:tcW w:w="1701" w:type="dxa"/>
            <w:vAlign w:val="center"/>
          </w:tcPr>
          <w:p w14:paraId="48BDC8C8">
            <w:pPr>
              <w:pStyle w:val="31"/>
              <w:spacing w:line="360" w:lineRule="auto"/>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z w:val="21"/>
                <w:szCs w:val="21"/>
                <w:highlight w:val="none"/>
                <w:lang w:eastAsia="zh-CN"/>
              </w:rPr>
              <w:t>采购代理机构</w:t>
            </w:r>
          </w:p>
        </w:tc>
        <w:tc>
          <w:tcPr>
            <w:tcW w:w="7088" w:type="dxa"/>
            <w:vAlign w:val="center"/>
          </w:tcPr>
          <w:p w14:paraId="4FDD3C00">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采购代理机构：新疆新诚泰工程咨询有限公司</w:t>
            </w:r>
          </w:p>
          <w:p w14:paraId="79538499">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联系人：龚静、王欢      联系电话：13379788180、18599170885</w:t>
            </w:r>
          </w:p>
        </w:tc>
      </w:tr>
      <w:tr w14:paraId="409DE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A38ED8E">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2.5</w:t>
            </w:r>
          </w:p>
        </w:tc>
        <w:tc>
          <w:tcPr>
            <w:tcW w:w="1701" w:type="dxa"/>
            <w:vAlign w:val="center"/>
          </w:tcPr>
          <w:p w14:paraId="06061740">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核心产品</w:t>
            </w:r>
          </w:p>
        </w:tc>
        <w:tc>
          <w:tcPr>
            <w:tcW w:w="7088" w:type="dxa"/>
            <w:vAlign w:val="center"/>
          </w:tcPr>
          <w:p w14:paraId="28709742">
            <w:pPr>
              <w:pStyle w:val="31"/>
              <w:spacing w:line="360" w:lineRule="auto"/>
              <w:ind w:right="-15" w:rightChars="-7"/>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
                <w:sz w:val="21"/>
                <w:szCs w:val="21"/>
                <w:highlight w:val="none"/>
                <w:lang w:eastAsia="zh-CN"/>
              </w:rPr>
              <w:t>□本项目为非单一产品采购项目，</w:t>
            </w:r>
            <w:r>
              <w:rPr>
                <w:rFonts w:hint="eastAsia" w:ascii="仿宋" w:hAnsi="仿宋" w:eastAsia="仿宋" w:cs="仿宋"/>
                <w:color w:val="auto"/>
                <w:spacing w:val="-2"/>
                <w:sz w:val="21"/>
                <w:szCs w:val="21"/>
                <w:highlight w:val="none"/>
                <w:lang w:eastAsia="zh-CN"/>
              </w:rPr>
              <w:t>其中核心产品为</w:t>
            </w:r>
            <w:r>
              <w:rPr>
                <w:rFonts w:hint="eastAsia" w:ascii="仿宋" w:hAnsi="仿宋" w:eastAsia="仿宋" w:cs="仿宋"/>
                <w:color w:val="auto"/>
                <w:spacing w:val="-2"/>
                <w:sz w:val="21"/>
                <w:szCs w:val="21"/>
                <w:highlight w:val="none"/>
                <w:lang w:eastAsia="zh-CN"/>
              </w:rPr>
              <w:t>：</w:t>
            </w:r>
            <w:r>
              <w:rPr>
                <w:rFonts w:hint="eastAsia" w:ascii="仿宋" w:hAnsi="仿宋" w:eastAsia="仿宋" w:cs="仿宋"/>
                <w:color w:val="auto"/>
                <w:spacing w:val="-2"/>
                <w:sz w:val="21"/>
                <w:szCs w:val="21"/>
                <w:highlight w:val="none"/>
                <w:u w:val="single"/>
                <w:lang w:eastAsia="zh-CN"/>
              </w:rPr>
              <w:t>酱油</w:t>
            </w:r>
            <w:r>
              <w:rPr>
                <w:rFonts w:hint="eastAsia" w:ascii="仿宋" w:hAnsi="仿宋" w:eastAsia="仿宋" w:cs="仿宋"/>
                <w:color w:val="auto"/>
                <w:sz w:val="21"/>
                <w:szCs w:val="21"/>
                <w:highlight w:val="none"/>
                <w:lang w:eastAsia="zh-CN"/>
              </w:rPr>
              <w:t>。</w:t>
            </w:r>
          </w:p>
        </w:tc>
      </w:tr>
      <w:tr w14:paraId="5249E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2AD2564">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2.6</w:t>
            </w:r>
          </w:p>
        </w:tc>
        <w:tc>
          <w:tcPr>
            <w:tcW w:w="1701" w:type="dxa"/>
            <w:vAlign w:val="center"/>
          </w:tcPr>
          <w:p w14:paraId="24D48874">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科研仪器设备</w:t>
            </w:r>
          </w:p>
        </w:tc>
        <w:tc>
          <w:tcPr>
            <w:tcW w:w="7088" w:type="dxa"/>
            <w:vAlign w:val="center"/>
          </w:tcPr>
          <w:p w14:paraId="3F899D9B">
            <w:pPr>
              <w:pStyle w:val="31"/>
              <w:spacing w:line="360" w:lineRule="auto"/>
              <w:jc w:val="both"/>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5"/>
                <w:sz w:val="21"/>
                <w:szCs w:val="21"/>
                <w:highlight w:val="none"/>
                <w:lang w:eastAsia="zh-CN"/>
              </w:rPr>
              <w:t>是否属于科研仪器设备采购项目：</w:t>
            </w:r>
            <w:r>
              <w:rPr>
                <w:rFonts w:hint="eastAsia" w:ascii="仿宋" w:hAnsi="仿宋" w:eastAsia="仿宋" w:cs="仿宋"/>
                <w:color w:val="auto"/>
                <w:spacing w:val="-17"/>
                <w:sz w:val="21"/>
                <w:szCs w:val="21"/>
                <w:highlight w:val="none"/>
                <w:lang w:eastAsia="zh-CN"/>
              </w:rPr>
              <w:t>否</w:t>
            </w:r>
          </w:p>
        </w:tc>
      </w:tr>
      <w:tr w14:paraId="0111D1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9ACD2F3">
            <w:pPr>
              <w:pStyle w:val="31"/>
              <w:spacing w:line="360" w:lineRule="auto"/>
              <w:jc w:val="center"/>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w:t>
            </w:r>
          </w:p>
        </w:tc>
        <w:tc>
          <w:tcPr>
            <w:tcW w:w="1701" w:type="dxa"/>
            <w:vAlign w:val="center"/>
          </w:tcPr>
          <w:p w14:paraId="6DCE0DF7">
            <w:pPr>
              <w:pStyle w:val="31"/>
              <w:spacing w:line="360" w:lineRule="auto"/>
              <w:jc w:val="center"/>
              <w:rPr>
                <w:rFonts w:hint="eastAsia" w:ascii="仿宋" w:hAnsi="仿宋" w:eastAsia="仿宋" w:cs="仿宋"/>
                <w:color w:val="auto"/>
                <w:spacing w:val="-2"/>
                <w:sz w:val="21"/>
                <w:szCs w:val="21"/>
                <w:highlight w:val="none"/>
              </w:rPr>
            </w:pPr>
            <w:r>
              <w:rPr>
                <w:rFonts w:hint="eastAsia" w:ascii="仿宋" w:hAnsi="仿宋" w:eastAsia="仿宋" w:cs="仿宋"/>
                <w:color w:val="auto"/>
                <w:spacing w:val="-2"/>
                <w:sz w:val="21"/>
                <w:szCs w:val="21"/>
                <w:highlight w:val="none"/>
              </w:rPr>
              <w:t>投标人资格要求</w:t>
            </w:r>
          </w:p>
        </w:tc>
        <w:tc>
          <w:tcPr>
            <w:tcW w:w="7088" w:type="dxa"/>
            <w:vAlign w:val="center"/>
          </w:tcPr>
          <w:p w14:paraId="439EBC3A">
            <w:pPr>
              <w:pStyle w:val="31"/>
              <w:spacing w:line="360" w:lineRule="auto"/>
              <w:jc w:val="both"/>
              <w:rPr>
                <w:rFonts w:hint="eastAsia" w:ascii="仿宋" w:hAnsi="仿宋" w:eastAsia="仿宋" w:cs="仿宋"/>
                <w:color w:val="auto"/>
                <w:spacing w:val="-5"/>
                <w:sz w:val="21"/>
                <w:szCs w:val="21"/>
                <w:highlight w:val="none"/>
                <w:lang w:eastAsia="zh-CN"/>
              </w:rPr>
            </w:pPr>
            <w:r>
              <w:rPr>
                <w:rFonts w:ascii="仿宋" w:hAnsi="仿宋" w:eastAsia="仿宋" w:cs="仿宋"/>
                <w:color w:val="auto"/>
                <w:spacing w:val="-5"/>
                <w:sz w:val="21"/>
                <w:szCs w:val="21"/>
                <w:highlight w:val="none"/>
                <w:lang w:eastAsia="zh-CN"/>
              </w:rPr>
              <w:t>1.满足《中华人民共和国政府采购法》第二十二条规定；</w:t>
            </w:r>
          </w:p>
          <w:p w14:paraId="139CAEAA">
            <w:pPr>
              <w:pStyle w:val="31"/>
              <w:spacing w:line="360" w:lineRule="auto"/>
              <w:jc w:val="both"/>
              <w:rPr>
                <w:rFonts w:hint="eastAsia" w:ascii="仿宋" w:hAnsi="仿宋" w:eastAsia="仿宋" w:cs="仿宋"/>
                <w:color w:val="auto"/>
                <w:spacing w:val="-5"/>
                <w:sz w:val="21"/>
                <w:szCs w:val="21"/>
                <w:highlight w:val="none"/>
                <w:lang w:eastAsia="zh-CN"/>
              </w:rPr>
            </w:pPr>
            <w:r>
              <w:rPr>
                <w:rFonts w:ascii="仿宋" w:hAnsi="仿宋" w:eastAsia="仿宋" w:cs="仿宋"/>
                <w:color w:val="auto"/>
                <w:spacing w:val="-5"/>
                <w:sz w:val="21"/>
                <w:szCs w:val="21"/>
                <w:highlight w:val="none"/>
                <w:lang w:eastAsia="zh-CN"/>
              </w:rPr>
              <w:t>2.落实政府采购政策需满足的资格要求:标项1：</w:t>
            </w:r>
            <w:r>
              <w:rPr>
                <w:rFonts w:hint="eastAsia" w:ascii="仿宋" w:hAnsi="仿宋" w:eastAsia="仿宋" w:cs="仿宋"/>
                <w:color w:val="auto"/>
                <w:spacing w:val="-5"/>
                <w:sz w:val="21"/>
                <w:szCs w:val="21"/>
                <w:highlight w:val="none"/>
                <w:lang w:eastAsia="zh-CN"/>
              </w:rPr>
              <w:t>本项目专门面向中小企业采购。</w:t>
            </w:r>
          </w:p>
          <w:p w14:paraId="1AB0A95C">
            <w:pPr>
              <w:pStyle w:val="31"/>
              <w:spacing w:line="360" w:lineRule="auto"/>
              <w:jc w:val="both"/>
              <w:rPr>
                <w:rFonts w:hint="eastAsia" w:ascii="仿宋" w:hAnsi="仿宋" w:eastAsia="仿宋" w:cs="仿宋"/>
                <w:color w:val="auto"/>
                <w:spacing w:val="-5"/>
                <w:sz w:val="21"/>
                <w:szCs w:val="21"/>
                <w:highlight w:val="none"/>
                <w:lang w:eastAsia="zh-CN"/>
              </w:rPr>
            </w:pPr>
            <w:r>
              <w:rPr>
                <w:rFonts w:ascii="仿宋" w:hAnsi="仿宋" w:eastAsia="仿宋" w:cs="仿宋"/>
                <w:color w:val="auto"/>
                <w:spacing w:val="-5"/>
                <w:sz w:val="21"/>
                <w:szCs w:val="21"/>
                <w:highlight w:val="none"/>
                <w:lang w:eastAsia="zh-CN"/>
              </w:rPr>
              <w:t>本项目的特定资格要求：</w:t>
            </w:r>
          </w:p>
          <w:p w14:paraId="6C1E6ECF">
            <w:pPr>
              <w:pStyle w:val="31"/>
              <w:spacing w:line="360" w:lineRule="auto"/>
              <w:jc w:val="both"/>
              <w:rPr>
                <w:rFonts w:hint="eastAsia" w:ascii="仿宋" w:hAnsi="仿宋" w:eastAsia="仿宋" w:cs="仿宋"/>
                <w:color w:val="auto"/>
                <w:spacing w:val="-5"/>
                <w:sz w:val="21"/>
                <w:szCs w:val="21"/>
                <w:highlight w:val="none"/>
                <w:lang w:eastAsia="zh-CN"/>
              </w:rPr>
            </w:pPr>
            <w:r>
              <w:rPr>
                <w:rFonts w:ascii="仿宋" w:hAnsi="仿宋" w:eastAsia="仿宋" w:cs="仿宋"/>
                <w:color w:val="auto"/>
                <w:spacing w:val="-5"/>
                <w:sz w:val="21"/>
                <w:szCs w:val="21"/>
                <w:highlight w:val="none"/>
                <w:lang w:eastAsia="zh-CN"/>
              </w:rPr>
              <w:t>①.投标人须具备有效的《食品经营许可证》或《食品生产许可证》；如投标人所在地行政监督管理部门另有规定，须提供相关文件信息；</w:t>
            </w:r>
          </w:p>
          <w:p w14:paraId="559C4D61">
            <w:pPr>
              <w:pStyle w:val="31"/>
              <w:spacing w:line="360" w:lineRule="auto"/>
              <w:jc w:val="both"/>
              <w:rPr>
                <w:rFonts w:hint="eastAsia" w:ascii="仿宋" w:hAnsi="仿宋" w:eastAsia="仿宋" w:cs="仿宋"/>
                <w:color w:val="auto"/>
                <w:spacing w:val="-5"/>
                <w:sz w:val="21"/>
                <w:szCs w:val="21"/>
                <w:highlight w:val="none"/>
                <w:lang w:eastAsia="zh-CN"/>
              </w:rPr>
            </w:pPr>
            <w:r>
              <w:rPr>
                <w:rFonts w:ascii="仿宋" w:hAnsi="仿宋" w:eastAsia="仿宋" w:cs="仿宋"/>
                <w:color w:val="auto"/>
                <w:spacing w:val="-5"/>
                <w:sz w:val="21"/>
                <w:szCs w:val="21"/>
                <w:highlight w:val="none"/>
                <w:lang w:eastAsia="zh-CN"/>
              </w:rPr>
              <w:t>②.凡拟参加本次招标项目的供应商，未在“信用中国”网站（www.creditchina.gov.cn）被列入重大税收违法失信主体、政府采购严重违法失信名单的（尚在处罚期内的）、“中国政府采购网”（www.ccgp.gov.cn）被列入政府采购严重违法失信行为记录名单（尚在处罚期内的）以及未被列入“中国执行信息公开网”（http://zxgk.court.gov.cn/）失信被执行人名单。</w:t>
            </w:r>
          </w:p>
        </w:tc>
      </w:tr>
      <w:tr w14:paraId="273778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B8D3BDE">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9.1</w:t>
            </w:r>
          </w:p>
        </w:tc>
        <w:tc>
          <w:tcPr>
            <w:tcW w:w="1701" w:type="dxa"/>
            <w:vAlign w:val="center"/>
          </w:tcPr>
          <w:p w14:paraId="2E1C6A14">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现场考察</w:t>
            </w:r>
          </w:p>
        </w:tc>
        <w:tc>
          <w:tcPr>
            <w:tcW w:w="7088" w:type="dxa"/>
            <w:vAlign w:val="center"/>
          </w:tcPr>
          <w:p w14:paraId="60236A55">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不组织</w:t>
            </w:r>
          </w:p>
        </w:tc>
      </w:tr>
      <w:tr w14:paraId="621661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3AD46B3">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9.5</w:t>
            </w:r>
          </w:p>
        </w:tc>
        <w:tc>
          <w:tcPr>
            <w:tcW w:w="1701" w:type="dxa"/>
            <w:vAlign w:val="center"/>
          </w:tcPr>
          <w:p w14:paraId="60CF3C1D">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答疑会</w:t>
            </w:r>
          </w:p>
        </w:tc>
        <w:tc>
          <w:tcPr>
            <w:tcW w:w="7088" w:type="dxa"/>
            <w:vAlign w:val="center"/>
          </w:tcPr>
          <w:p w14:paraId="5AC521BA">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不组织</w:t>
            </w:r>
          </w:p>
        </w:tc>
      </w:tr>
      <w:tr w14:paraId="65707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CC34802">
            <w:pPr>
              <w:pStyle w:val="31"/>
              <w:spacing w:line="360" w:lineRule="auto"/>
              <w:jc w:val="center"/>
              <w:rPr>
                <w:rFonts w:hint="eastAsia"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12.1</w:t>
            </w:r>
          </w:p>
        </w:tc>
        <w:tc>
          <w:tcPr>
            <w:tcW w:w="1701" w:type="dxa"/>
            <w:vAlign w:val="center"/>
          </w:tcPr>
          <w:p w14:paraId="1DBD4F46">
            <w:pPr>
              <w:pStyle w:val="31"/>
              <w:spacing w:line="360" w:lineRule="auto"/>
              <w:ind w:left="114"/>
              <w:jc w:val="center"/>
              <w:rPr>
                <w:rFonts w:hint="eastAsia" w:ascii="仿宋" w:hAnsi="仿宋" w:eastAsia="仿宋" w:cs="仿宋"/>
                <w:color w:val="auto"/>
                <w:spacing w:val="-3"/>
                <w:sz w:val="21"/>
                <w:szCs w:val="21"/>
                <w:highlight w:val="none"/>
              </w:rPr>
            </w:pPr>
            <w:r>
              <w:rPr>
                <w:rFonts w:hint="eastAsia" w:ascii="仿宋" w:hAnsi="仿宋" w:eastAsia="仿宋" w:cs="仿宋"/>
                <w:color w:val="auto"/>
                <w:spacing w:val="-3"/>
                <w:sz w:val="21"/>
                <w:szCs w:val="21"/>
                <w:highlight w:val="none"/>
                <w:lang w:eastAsia="zh-CN"/>
              </w:rPr>
              <w:t>询问</w:t>
            </w:r>
          </w:p>
        </w:tc>
        <w:tc>
          <w:tcPr>
            <w:tcW w:w="7088" w:type="dxa"/>
            <w:vAlign w:val="center"/>
          </w:tcPr>
          <w:p w14:paraId="765C5077">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1.方式：在供应商客户端中按照格式填写询问函，并在生成询问函后加盖电子印章提交。</w:t>
            </w:r>
          </w:p>
          <w:p w14:paraId="1084D0A8">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2.时间要求：自投标人获取招标文件之日起7个工作日内。</w:t>
            </w:r>
          </w:p>
        </w:tc>
      </w:tr>
      <w:tr w14:paraId="747A53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3" w:hRule="atLeast"/>
        </w:trPr>
        <w:tc>
          <w:tcPr>
            <w:tcW w:w="851" w:type="dxa"/>
            <w:vAlign w:val="center"/>
          </w:tcPr>
          <w:p w14:paraId="63B1D1F7">
            <w:pPr>
              <w:pStyle w:val="31"/>
              <w:spacing w:line="360" w:lineRule="auto"/>
              <w:jc w:val="center"/>
              <w:rPr>
                <w:rFonts w:hint="eastAsia" w:ascii="仿宋" w:hAnsi="仿宋" w:eastAsia="仿宋" w:cs="仿宋"/>
                <w:color w:val="auto"/>
                <w:spacing w:val="-7"/>
                <w:sz w:val="21"/>
                <w:szCs w:val="21"/>
                <w:highlight w:val="none"/>
                <w:lang w:eastAsia="zh-CN"/>
              </w:rPr>
            </w:pPr>
          </w:p>
        </w:tc>
        <w:tc>
          <w:tcPr>
            <w:tcW w:w="1701" w:type="dxa"/>
            <w:vAlign w:val="center"/>
          </w:tcPr>
          <w:p w14:paraId="20C94092">
            <w:pPr>
              <w:pStyle w:val="31"/>
              <w:spacing w:line="360" w:lineRule="auto"/>
              <w:ind w:left="114"/>
              <w:jc w:val="center"/>
              <w:rPr>
                <w:rFonts w:hint="eastAsia" w:ascii="仿宋" w:hAnsi="仿宋" w:eastAsia="仿宋" w:cs="仿宋"/>
                <w:color w:val="auto"/>
                <w:spacing w:val="-3"/>
                <w:sz w:val="21"/>
                <w:szCs w:val="21"/>
                <w:highlight w:val="none"/>
                <w:lang w:eastAsia="zh-CN"/>
              </w:rPr>
            </w:pPr>
            <w:r>
              <w:rPr>
                <w:rFonts w:hint="eastAsia" w:ascii="仿宋" w:hAnsi="仿宋" w:eastAsia="仿宋" w:cs="仿宋"/>
                <w:color w:val="auto"/>
                <w:spacing w:val="-3"/>
                <w:sz w:val="21"/>
                <w:szCs w:val="21"/>
                <w:highlight w:val="none"/>
                <w:lang w:eastAsia="zh-CN"/>
              </w:rPr>
              <w:t>投标报价要求</w:t>
            </w:r>
          </w:p>
        </w:tc>
        <w:tc>
          <w:tcPr>
            <w:tcW w:w="7088" w:type="dxa"/>
            <w:vAlign w:val="center"/>
          </w:tcPr>
          <w:p w14:paraId="24861CDC">
            <w:pPr>
              <w:pStyle w:val="31"/>
              <w:spacing w:line="360" w:lineRule="auto"/>
              <w:jc w:val="both"/>
              <w:rPr>
                <w:rFonts w:hint="eastAsia"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1.本项目投标报价采用下浮率方式,下浮率不得高于15%（例如14%高于15%，16%低于15%，下浮率填写整数，不保留小数）。每一品目预算控制价统一按照“乌鲁木齐北园春集团有限公司-价格行情”http://www.beiyuanchun.com/)’或“九鼎农商网-市场价格”(www.xj9d.com)当日公示价中的“中间价”投标人在此基础上报下浮率。</w:t>
            </w:r>
          </w:p>
          <w:p w14:paraId="35739C59">
            <w:pPr>
              <w:pStyle w:val="31"/>
              <w:spacing w:line="360" w:lineRule="auto"/>
              <w:jc w:val="both"/>
              <w:rPr>
                <w:rFonts w:hint="eastAsia"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2.如在实际供货中有增加品种，增加品种有北园春或九鼎信息价的，按照以上第1条的信息价*（1-中标下浮率）进行结算；增加品种没有北园春或九鼎信息价的，基准价采用询价方式(由招标人经三家及以上询价确定配送价格)，结算单价按所询价的最低价计算。</w:t>
            </w:r>
          </w:p>
          <w:p w14:paraId="572229BC">
            <w:pPr>
              <w:pStyle w:val="31"/>
              <w:spacing w:line="360" w:lineRule="auto"/>
              <w:jc w:val="both"/>
              <w:rPr>
                <w:rFonts w:hint="eastAsia" w:ascii="仿宋" w:hAnsi="仿宋" w:eastAsia="仿宋" w:cs="仿宋"/>
                <w:color w:val="auto"/>
                <w:spacing w:val="-5"/>
                <w:sz w:val="21"/>
                <w:szCs w:val="21"/>
                <w:highlight w:val="none"/>
                <w:lang w:val="en-US" w:eastAsia="zh-CN"/>
              </w:rPr>
            </w:pPr>
            <w:r>
              <w:rPr>
                <w:rFonts w:hint="eastAsia" w:ascii="仿宋" w:hAnsi="仿宋" w:eastAsia="仿宋" w:cs="仿宋"/>
                <w:color w:val="auto"/>
                <w:spacing w:val="-5"/>
                <w:sz w:val="21"/>
                <w:szCs w:val="21"/>
                <w:highlight w:val="none"/>
                <w:lang w:val="en-US" w:eastAsia="zh-CN"/>
              </w:rPr>
              <w:t>3.本项目投标报价包括货物到达招标人指定地点的全部费用，包括但不限于项目实施所需的货物费、包装运输费、配送费、人工费、装卸费管理费、利润、税费等一切费用。</w:t>
            </w:r>
          </w:p>
          <w:p w14:paraId="44B50EED">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val="en-US" w:eastAsia="zh-CN"/>
              </w:rPr>
              <w:t>4.严格开具税务发票，投标报价为含税价格，供应商应按含税金额开具增值税普通发票。</w:t>
            </w:r>
          </w:p>
        </w:tc>
      </w:tr>
      <w:tr w14:paraId="2A8EE1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4F58FBA">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15.1</w:t>
            </w:r>
          </w:p>
        </w:tc>
        <w:tc>
          <w:tcPr>
            <w:tcW w:w="1701" w:type="dxa"/>
            <w:vAlign w:val="center"/>
          </w:tcPr>
          <w:p w14:paraId="5C9D5764">
            <w:pPr>
              <w:pStyle w:val="31"/>
              <w:spacing w:line="360" w:lineRule="auto"/>
              <w:ind w:left="114"/>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投标有效期</w:t>
            </w:r>
          </w:p>
        </w:tc>
        <w:tc>
          <w:tcPr>
            <w:tcW w:w="7088" w:type="dxa"/>
            <w:vAlign w:val="center"/>
          </w:tcPr>
          <w:p w14:paraId="22141E4E">
            <w:pPr>
              <w:pStyle w:val="31"/>
              <w:spacing w:line="360" w:lineRule="auto"/>
              <w:ind w:left="-3" w:leftChars="-7" w:hanging="12" w:hangingChars="6"/>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xml:space="preserve">投标截止时间后 </w:t>
            </w:r>
            <w:r>
              <w:rPr>
                <w:rFonts w:hint="eastAsia" w:ascii="仿宋" w:hAnsi="仿宋" w:eastAsia="仿宋" w:cs="仿宋"/>
                <w:color w:val="auto"/>
                <w:spacing w:val="-5"/>
                <w:sz w:val="21"/>
                <w:szCs w:val="21"/>
                <w:highlight w:val="none"/>
                <w:u w:val="single"/>
                <w:lang w:eastAsia="zh-CN"/>
              </w:rPr>
              <w:t xml:space="preserve">90 </w:t>
            </w:r>
            <w:r>
              <w:rPr>
                <w:rFonts w:hint="eastAsia" w:ascii="仿宋" w:hAnsi="仿宋" w:eastAsia="仿宋" w:cs="仿宋"/>
                <w:color w:val="auto"/>
                <w:spacing w:val="-5"/>
                <w:sz w:val="21"/>
                <w:szCs w:val="21"/>
                <w:highlight w:val="none"/>
                <w:lang w:eastAsia="zh-CN"/>
              </w:rPr>
              <w:t>日历日。</w:t>
            </w:r>
          </w:p>
        </w:tc>
      </w:tr>
      <w:tr w14:paraId="7456A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7503E23">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17.1</w:t>
            </w:r>
          </w:p>
        </w:tc>
        <w:tc>
          <w:tcPr>
            <w:tcW w:w="1701" w:type="dxa"/>
            <w:vAlign w:val="center"/>
          </w:tcPr>
          <w:p w14:paraId="2D2B5F09">
            <w:pPr>
              <w:pStyle w:val="31"/>
              <w:spacing w:line="36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投标保证金</w:t>
            </w:r>
          </w:p>
        </w:tc>
        <w:tc>
          <w:tcPr>
            <w:tcW w:w="7088" w:type="dxa"/>
            <w:vAlign w:val="center"/>
          </w:tcPr>
          <w:p w14:paraId="0BAB043D">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投标保证金/电子保函：☑需要缴纳     □不需要缴纳</w:t>
            </w:r>
          </w:p>
          <w:p w14:paraId="0C427726">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投标保证金缴纳形式：银行转账、支票、汇票、本票或者金融机构、担保机构出具的保函等非现金形式交纳。</w:t>
            </w:r>
          </w:p>
          <w:p w14:paraId="4ADFA0BE">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缴纳维度：□按项目    ☑ 按标项</w:t>
            </w:r>
          </w:p>
          <w:p w14:paraId="6E1375F6">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缴纳响应截止时间：</w:t>
            </w:r>
            <w:r>
              <w:rPr>
                <w:rFonts w:hint="eastAsia" w:ascii="仿宋" w:hAnsi="仿宋" w:eastAsia="仿宋" w:cs="仿宋"/>
                <w:color w:val="auto"/>
                <w:spacing w:val="-5"/>
                <w:sz w:val="21"/>
                <w:szCs w:val="21"/>
                <w:highlight w:val="none"/>
                <w:lang w:eastAsia="zh-CN"/>
              </w:rPr>
              <w:t>2025年7月2</w:t>
            </w:r>
            <w:r>
              <w:rPr>
                <w:rFonts w:hint="eastAsia" w:ascii="仿宋" w:hAnsi="仿宋" w:eastAsia="仿宋" w:cs="仿宋"/>
                <w:color w:val="auto"/>
                <w:spacing w:val="-5"/>
                <w:sz w:val="21"/>
                <w:szCs w:val="21"/>
                <w:highlight w:val="none"/>
                <w:lang w:val="en-US" w:eastAsia="zh-CN"/>
              </w:rPr>
              <w:t>5</w:t>
            </w:r>
            <w:r>
              <w:rPr>
                <w:rFonts w:hint="eastAsia" w:ascii="仿宋" w:hAnsi="仿宋" w:eastAsia="仿宋" w:cs="仿宋"/>
                <w:color w:val="auto"/>
                <w:spacing w:val="-5"/>
                <w:sz w:val="21"/>
                <w:szCs w:val="21"/>
                <w:highlight w:val="none"/>
                <w:lang w:eastAsia="zh-CN"/>
              </w:rPr>
              <w:t>日 11:00（北京时间）</w:t>
            </w:r>
          </w:p>
          <w:p w14:paraId="02796481">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投标保证金金额：</w:t>
            </w:r>
            <w:r>
              <w:rPr>
                <w:rFonts w:hint="eastAsia" w:ascii="仿宋" w:hAnsi="仿宋" w:eastAsia="仿宋" w:cs="仿宋"/>
                <w:color w:val="auto"/>
                <w:spacing w:val="-5"/>
                <w:sz w:val="21"/>
                <w:szCs w:val="21"/>
                <w:highlight w:val="none"/>
                <w:lang w:val="en-US" w:eastAsia="zh-CN"/>
              </w:rPr>
              <w:t>陆佰</w:t>
            </w:r>
            <w:r>
              <w:rPr>
                <w:rFonts w:hint="eastAsia" w:ascii="仿宋" w:hAnsi="仿宋" w:eastAsia="仿宋" w:cs="仿宋"/>
                <w:color w:val="auto"/>
                <w:spacing w:val="-5"/>
                <w:sz w:val="21"/>
                <w:szCs w:val="21"/>
                <w:highlight w:val="none"/>
                <w:lang w:eastAsia="zh-CN"/>
              </w:rPr>
              <w:t>元整（</w:t>
            </w:r>
            <w:r>
              <w:rPr>
                <w:rFonts w:hint="eastAsia" w:ascii="仿宋" w:hAnsi="仿宋" w:eastAsia="仿宋" w:cs="仿宋"/>
                <w:color w:val="auto"/>
                <w:spacing w:val="-5"/>
                <w:sz w:val="21"/>
                <w:szCs w:val="21"/>
                <w:highlight w:val="none"/>
                <w:lang w:val="en-US" w:eastAsia="zh-CN"/>
              </w:rPr>
              <w:t>600</w:t>
            </w:r>
            <w:r>
              <w:rPr>
                <w:rFonts w:hint="eastAsia" w:ascii="仿宋" w:hAnsi="仿宋" w:eastAsia="仿宋" w:cs="仿宋"/>
                <w:color w:val="auto"/>
                <w:spacing w:val="-5"/>
                <w:sz w:val="21"/>
                <w:szCs w:val="21"/>
                <w:highlight w:val="none"/>
                <w:lang w:eastAsia="zh-CN"/>
              </w:rPr>
              <w:t>.00元）</w:t>
            </w:r>
          </w:p>
          <w:p w14:paraId="298814E2">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xml:space="preserve">1）保证金账号信息： </w:t>
            </w:r>
          </w:p>
          <w:p w14:paraId="70474FEF">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账户名：新疆新诚泰工程咨询有限公司</w:t>
            </w:r>
          </w:p>
          <w:p w14:paraId="11321357">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开户行：中国银行股份有限公司乌鲁木齐市龙盛街支行</w:t>
            </w:r>
          </w:p>
          <w:p w14:paraId="22D1433E">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行号：104881004170</w:t>
            </w:r>
          </w:p>
          <w:p w14:paraId="66495960">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帐号：107675053625</w:t>
            </w:r>
          </w:p>
          <w:p w14:paraId="031AB0B2">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招标代理服务费缴纳账号：（同上）</w:t>
            </w:r>
          </w:p>
          <w:p w14:paraId="56207B5D">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2）保函信息</w:t>
            </w:r>
          </w:p>
          <w:p w14:paraId="53B2D567">
            <w:pPr>
              <w:pStyle w:val="31"/>
              <w:spacing w:line="360" w:lineRule="auto"/>
              <w:ind w:left="-3" w:leftChars="-7" w:hanging="12" w:hangingChars="6"/>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保函承保期限：</w:t>
            </w:r>
            <w:r>
              <w:rPr>
                <w:rFonts w:hint="eastAsia" w:ascii="仿宋" w:hAnsi="仿宋" w:eastAsia="仿宋" w:cs="仿宋"/>
                <w:color w:val="auto"/>
                <w:spacing w:val="-5"/>
                <w:sz w:val="21"/>
                <w:szCs w:val="21"/>
                <w:highlight w:val="none"/>
                <w:lang w:eastAsia="zh-CN"/>
              </w:rPr>
              <w:t>2025-7-2</w:t>
            </w:r>
            <w:r>
              <w:rPr>
                <w:rFonts w:hint="eastAsia" w:ascii="仿宋" w:hAnsi="仿宋" w:eastAsia="仿宋" w:cs="仿宋"/>
                <w:color w:val="auto"/>
                <w:spacing w:val="-5"/>
                <w:sz w:val="21"/>
                <w:szCs w:val="21"/>
                <w:highlight w:val="none"/>
                <w:lang w:val="en-US" w:eastAsia="zh-CN"/>
              </w:rPr>
              <w:t>5</w:t>
            </w:r>
            <w:r>
              <w:rPr>
                <w:rFonts w:hint="eastAsia" w:ascii="仿宋" w:hAnsi="仿宋" w:eastAsia="仿宋" w:cs="仿宋"/>
                <w:color w:val="auto"/>
                <w:spacing w:val="-5"/>
                <w:sz w:val="21"/>
                <w:szCs w:val="21"/>
                <w:highlight w:val="none"/>
                <w:lang w:eastAsia="zh-CN"/>
              </w:rPr>
              <w:t>-11:00～2025-10-2</w:t>
            </w:r>
            <w:r>
              <w:rPr>
                <w:rFonts w:hint="eastAsia" w:ascii="仿宋" w:hAnsi="仿宋" w:eastAsia="仿宋" w:cs="仿宋"/>
                <w:color w:val="auto"/>
                <w:spacing w:val="-5"/>
                <w:sz w:val="21"/>
                <w:szCs w:val="21"/>
                <w:highlight w:val="none"/>
                <w:lang w:val="en-US" w:eastAsia="zh-CN"/>
              </w:rPr>
              <w:t>3</w:t>
            </w:r>
            <w:r>
              <w:rPr>
                <w:rFonts w:hint="eastAsia" w:ascii="仿宋" w:hAnsi="仿宋" w:eastAsia="仿宋" w:cs="仿宋"/>
                <w:color w:val="auto"/>
                <w:spacing w:val="-5"/>
                <w:sz w:val="21"/>
                <w:szCs w:val="21"/>
                <w:highlight w:val="none"/>
                <w:lang w:eastAsia="zh-CN"/>
              </w:rPr>
              <w:t>-11:00</w:t>
            </w:r>
          </w:p>
          <w:p w14:paraId="2A02913F">
            <w:pPr>
              <w:pStyle w:val="31"/>
              <w:spacing w:before="39" w:line="360" w:lineRule="auto"/>
              <w:ind w:right="116"/>
              <w:rPr>
                <w:rFonts w:hint="eastAsia" w:ascii="仿宋" w:hAnsi="仿宋" w:eastAsia="仿宋" w:cs="仿宋"/>
                <w:b/>
                <w:bCs/>
                <w:color w:val="auto"/>
                <w:spacing w:val="9"/>
                <w:sz w:val="21"/>
                <w:szCs w:val="21"/>
                <w:highlight w:val="none"/>
                <w:lang w:eastAsia="zh-CN"/>
              </w:rPr>
            </w:pPr>
            <w:r>
              <w:rPr>
                <w:rFonts w:hint="eastAsia" w:ascii="仿宋" w:hAnsi="仿宋" w:eastAsia="仿宋" w:cs="仿宋"/>
                <w:b/>
                <w:bCs/>
                <w:color w:val="auto"/>
                <w:spacing w:val="9"/>
                <w:sz w:val="21"/>
                <w:szCs w:val="21"/>
                <w:highlight w:val="none"/>
                <w:lang w:eastAsia="zh-CN"/>
              </w:rPr>
              <w:t>说明：</w:t>
            </w:r>
          </w:p>
          <w:p w14:paraId="12DB8273">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投标保证金以银行转账、支票、汇票、本票方式缴纳的，必须在提交响应文件截止时间（开标时间）前缴纳至采购代理机构银行账户。供应商需自行评估因异地、跨行、公休日等因素造成的磋商保证金到账延迟风险，并承担相应责任。投标保证金以到账信息为准，供应商未按照招标文件要求提交投标保证金的，投标无效。（以银行记录确认到账为准，备注项目名称及项目编号）。</w:t>
            </w:r>
          </w:p>
          <w:p w14:paraId="7EA55838">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（2）投标保证金以保函方式递交的，投标文件提交截止时间前将保函制作到电子投标文件即可。</w:t>
            </w:r>
          </w:p>
          <w:p w14:paraId="24608DA4">
            <w:pPr>
              <w:pStyle w:val="31"/>
              <w:spacing w:before="90" w:line="360" w:lineRule="auto"/>
              <w:ind w:left="112" w:right="116" w:firstLine="12"/>
              <w:rPr>
                <w:rFonts w:hint="eastAsia" w:ascii="仿宋" w:hAnsi="仿宋" w:eastAsia="仿宋" w:cs="仿宋"/>
                <w:b/>
                <w:bCs/>
                <w:color w:val="auto"/>
                <w:spacing w:val="9"/>
                <w:sz w:val="21"/>
                <w:szCs w:val="21"/>
                <w:highlight w:val="none"/>
                <w:lang w:eastAsia="zh-CN"/>
              </w:rPr>
            </w:pPr>
            <w:r>
              <w:rPr>
                <w:rFonts w:hint="eastAsia" w:ascii="仿宋" w:hAnsi="仿宋" w:eastAsia="仿宋" w:cs="仿宋"/>
                <w:b/>
                <w:bCs/>
                <w:color w:val="auto"/>
                <w:spacing w:val="9"/>
                <w:sz w:val="21"/>
                <w:szCs w:val="21"/>
                <w:highlight w:val="none"/>
                <w:lang w:eastAsia="zh-CN"/>
              </w:rPr>
              <w:t>政采云电子保函须知：</w:t>
            </w:r>
          </w:p>
          <w:p w14:paraId="6DF1B7A8">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为支持和促进中小企业发展，进一步发挥政府采购政策功能，本采购项目适用于政府采购融资优惠、政采贷、电子保函相关政策，鼓励投标人使用电子保函代替现金缴纳各类保证金，在线完成保函的申请、审核、开票、出函等环节，投标人注意区分办理保函类型，并确认投标有效期。</w:t>
            </w:r>
          </w:p>
          <w:p w14:paraId="58397771">
            <w:pPr>
              <w:pStyle w:val="31"/>
              <w:spacing w:line="360" w:lineRule="auto"/>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5"/>
                <w:sz w:val="21"/>
                <w:szCs w:val="21"/>
                <w:highlight w:val="none"/>
                <w:lang w:eastAsia="zh-CN"/>
              </w:rPr>
              <w:t>（2）如采用政采云电子保函形式，可按照以下形式进行在线申请，电子保函申请链接（https://jinrong.zcygov.cn/luban/finance/letter/xinjiang?pageModelFlag=650000&amp;utm=site.site-PC-42055.1718-block_comp_1709189989843012.6.33f19dd0635411ef9be3cb6599db755d），如遇问题可拨打客服电话：95763。</w:t>
            </w:r>
          </w:p>
        </w:tc>
      </w:tr>
      <w:tr w14:paraId="69977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409A54A">
            <w:pPr>
              <w:pStyle w:val="31"/>
              <w:spacing w:before="78" w:line="183"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22</w:t>
            </w:r>
          </w:p>
        </w:tc>
        <w:tc>
          <w:tcPr>
            <w:tcW w:w="1701" w:type="dxa"/>
            <w:vAlign w:val="center"/>
          </w:tcPr>
          <w:p w14:paraId="050EBE21">
            <w:pPr>
              <w:pStyle w:val="31"/>
              <w:spacing w:before="78" w:line="219"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实物样品</w:t>
            </w:r>
          </w:p>
        </w:tc>
        <w:tc>
          <w:tcPr>
            <w:tcW w:w="7088" w:type="dxa"/>
          </w:tcPr>
          <w:p w14:paraId="124ED09C">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投标样品递交：☑不需要  □需要，具体要求如下：</w:t>
            </w:r>
          </w:p>
          <w:p w14:paraId="2ADD5DDC">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1.样品制作的标准和要求：；</w:t>
            </w:r>
          </w:p>
          <w:p w14:paraId="0A2FB7D5">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2.是否需要随样品提交相关检测报告：□不需要□需要</w:t>
            </w:r>
          </w:p>
          <w:p w14:paraId="609C37B6">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3.样品递交要求：递交时间：，</w:t>
            </w:r>
          </w:p>
          <w:p w14:paraId="479AD5CF">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递交地点：，</w:t>
            </w:r>
          </w:p>
          <w:p w14:paraId="62E8B70D">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逾期提供的样品将不予接受。</w:t>
            </w:r>
          </w:p>
          <w:p w14:paraId="62C446B8">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4.未中标人样品退还：；</w:t>
            </w:r>
          </w:p>
          <w:p w14:paraId="06B3C663">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5.中标人样品保管、封存及退还：；</w:t>
            </w:r>
          </w:p>
          <w:p w14:paraId="1DC6ADBF">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6.其他要求（如有）：。</w:t>
            </w:r>
          </w:p>
        </w:tc>
      </w:tr>
      <w:tr w14:paraId="7AFF6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79E5B43">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23.1</w:t>
            </w:r>
          </w:p>
        </w:tc>
        <w:tc>
          <w:tcPr>
            <w:tcW w:w="1701" w:type="dxa"/>
            <w:vAlign w:val="center"/>
          </w:tcPr>
          <w:p w14:paraId="2FB9D63A">
            <w:pPr>
              <w:pStyle w:val="31"/>
              <w:spacing w:before="78" w:line="221"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演示</w:t>
            </w:r>
          </w:p>
        </w:tc>
        <w:tc>
          <w:tcPr>
            <w:tcW w:w="7088" w:type="dxa"/>
          </w:tcPr>
          <w:p w14:paraId="263D66F1">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☑不进行 □进行，远程线上演示/现场演示</w:t>
            </w:r>
          </w:p>
          <w:p w14:paraId="01201607">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1.演示时间不得超过</w:t>
            </w:r>
            <w:r>
              <w:rPr>
                <w:rFonts w:hint="eastAsia" w:ascii="仿宋" w:hAnsi="仿宋" w:eastAsia="仿宋" w:cs="仿宋"/>
                <w:color w:val="auto"/>
                <w:spacing w:val="-5"/>
                <w:sz w:val="21"/>
                <w:szCs w:val="21"/>
                <w:highlight w:val="none"/>
                <w:u w:val="single"/>
                <w:lang w:eastAsia="zh-CN"/>
              </w:rPr>
              <w:t xml:space="preserve">  /  </w:t>
            </w:r>
            <w:r>
              <w:rPr>
                <w:rFonts w:hint="eastAsia" w:ascii="仿宋" w:hAnsi="仿宋" w:eastAsia="仿宋" w:cs="仿宋"/>
                <w:color w:val="auto"/>
                <w:spacing w:val="-5"/>
                <w:sz w:val="21"/>
                <w:szCs w:val="21"/>
                <w:highlight w:val="none"/>
                <w:lang w:eastAsia="zh-CN"/>
              </w:rPr>
              <w:t>分钟；</w:t>
            </w:r>
          </w:p>
          <w:p w14:paraId="5333FA71">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2.进行远程线上演示的，投标人应提前自行准备好演示的软硬配置环境和网络环境，做好演示的各项准备工作。因投标人自身原因无法演示或者演示效果不理想的，导致的后果由投标人自行承担；</w:t>
            </w:r>
          </w:p>
        </w:tc>
      </w:tr>
      <w:tr w14:paraId="54D45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6E09CF8">
            <w:pPr>
              <w:pStyle w:val="31"/>
              <w:spacing w:line="183" w:lineRule="auto"/>
              <w:jc w:val="center"/>
              <w:rPr>
                <w:rFonts w:hint="eastAsia" w:ascii="仿宋" w:hAnsi="仿宋" w:eastAsia="仿宋" w:cs="仿宋"/>
                <w:color w:val="auto"/>
                <w:spacing w:val="-4"/>
                <w:sz w:val="21"/>
                <w:szCs w:val="21"/>
                <w:highlight w:val="none"/>
              </w:rPr>
            </w:pPr>
            <w:r>
              <w:rPr>
                <w:rFonts w:hint="eastAsia" w:ascii="仿宋" w:hAnsi="仿宋" w:eastAsia="仿宋" w:cs="仿宋"/>
                <w:color w:val="auto"/>
                <w:spacing w:val="-4"/>
                <w:sz w:val="21"/>
                <w:szCs w:val="21"/>
                <w:highlight w:val="none"/>
              </w:rPr>
              <w:t>25.3</w:t>
            </w:r>
          </w:p>
          <w:p w14:paraId="0F3D7177">
            <w:pPr>
              <w:pStyle w:val="31"/>
              <w:spacing w:line="183" w:lineRule="auto"/>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lang w:eastAsia="zh-CN"/>
              </w:rPr>
              <w:t>（3）</w:t>
            </w:r>
          </w:p>
        </w:tc>
        <w:tc>
          <w:tcPr>
            <w:tcW w:w="1701" w:type="dxa"/>
            <w:vAlign w:val="center"/>
          </w:tcPr>
          <w:p w14:paraId="1D4503FC">
            <w:pPr>
              <w:pStyle w:val="31"/>
              <w:spacing w:line="230" w:lineRule="auto"/>
              <w:ind w:right="87"/>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解密投标文件</w:t>
            </w:r>
            <w:r>
              <w:rPr>
                <w:rFonts w:hint="eastAsia" w:ascii="仿宋" w:hAnsi="仿宋" w:eastAsia="仿宋" w:cs="仿宋"/>
                <w:color w:val="auto"/>
                <w:spacing w:val="-10"/>
                <w:sz w:val="21"/>
                <w:szCs w:val="21"/>
                <w:highlight w:val="none"/>
              </w:rPr>
              <w:t>的时限</w:t>
            </w:r>
          </w:p>
        </w:tc>
        <w:tc>
          <w:tcPr>
            <w:tcW w:w="7088" w:type="dxa"/>
          </w:tcPr>
          <w:p w14:paraId="6A3D4EBB">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不见面开标默认解密时长：</w:t>
            </w:r>
            <w:r>
              <w:rPr>
                <w:rFonts w:hint="eastAsia" w:ascii="仿宋" w:hAnsi="仿宋" w:eastAsia="仿宋" w:cs="仿宋"/>
                <w:color w:val="auto"/>
                <w:spacing w:val="-5"/>
                <w:sz w:val="21"/>
                <w:szCs w:val="21"/>
                <w:highlight w:val="none"/>
                <w:u w:val="single"/>
                <w:lang w:eastAsia="zh-CN"/>
              </w:rPr>
              <w:t xml:space="preserve">   30  </w:t>
            </w:r>
            <w:r>
              <w:rPr>
                <w:rFonts w:hint="eastAsia" w:ascii="仿宋" w:hAnsi="仿宋" w:eastAsia="仿宋" w:cs="仿宋"/>
                <w:color w:val="auto"/>
                <w:spacing w:val="-5"/>
                <w:sz w:val="21"/>
                <w:szCs w:val="21"/>
                <w:highlight w:val="none"/>
                <w:lang w:eastAsia="zh-CN"/>
              </w:rPr>
              <w:t>分钟。</w:t>
            </w:r>
          </w:p>
          <w:p w14:paraId="6A95C876">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除因交易平台发生故障导致投标文件无法按时解密外，投标文件未按时解密的，视为未按规定提交投标文件。</w:t>
            </w:r>
          </w:p>
        </w:tc>
      </w:tr>
      <w:tr w14:paraId="1B45F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ACAEB11">
            <w:pPr>
              <w:pStyle w:val="31"/>
              <w:spacing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29.1</w:t>
            </w:r>
          </w:p>
        </w:tc>
        <w:tc>
          <w:tcPr>
            <w:tcW w:w="1701" w:type="dxa"/>
            <w:vAlign w:val="center"/>
          </w:tcPr>
          <w:p w14:paraId="5200B9D2">
            <w:pPr>
              <w:pStyle w:val="31"/>
              <w:spacing w:line="22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评标方法</w:t>
            </w:r>
          </w:p>
        </w:tc>
        <w:tc>
          <w:tcPr>
            <w:tcW w:w="7088" w:type="dxa"/>
            <w:vAlign w:val="center"/>
          </w:tcPr>
          <w:p w14:paraId="669132FC">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☑综合评分法</w:t>
            </w:r>
          </w:p>
          <w:p w14:paraId="375FD96A">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最低评标价法</w:t>
            </w:r>
          </w:p>
        </w:tc>
      </w:tr>
      <w:tr w14:paraId="345787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52FA1139">
            <w:pPr>
              <w:pStyle w:val="31"/>
              <w:spacing w:line="183"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29.3</w:t>
            </w:r>
          </w:p>
        </w:tc>
        <w:tc>
          <w:tcPr>
            <w:tcW w:w="1701" w:type="dxa"/>
            <w:vAlign w:val="center"/>
          </w:tcPr>
          <w:p w14:paraId="2C8CAB39">
            <w:pPr>
              <w:pStyle w:val="31"/>
              <w:spacing w:line="231" w:lineRule="auto"/>
              <w:ind w:left="112" w:right="189" w:hanging="1"/>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推荐中标候选</w:t>
            </w:r>
            <w:r>
              <w:rPr>
                <w:rFonts w:hint="eastAsia" w:ascii="仿宋" w:hAnsi="仿宋" w:eastAsia="仿宋" w:cs="仿宋"/>
                <w:color w:val="auto"/>
                <w:sz w:val="21"/>
                <w:szCs w:val="21"/>
                <w:highlight w:val="none"/>
              </w:rPr>
              <w:t>人</w:t>
            </w:r>
          </w:p>
        </w:tc>
        <w:tc>
          <w:tcPr>
            <w:tcW w:w="7088" w:type="dxa"/>
            <w:vAlign w:val="center"/>
          </w:tcPr>
          <w:p w14:paraId="5D09FDAD">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中标候选人数量</w:t>
            </w:r>
            <w:r>
              <w:rPr>
                <w:rFonts w:hint="eastAsia" w:ascii="仿宋" w:hAnsi="仿宋" w:eastAsia="仿宋" w:cs="仿宋"/>
                <w:color w:val="auto"/>
                <w:spacing w:val="-5"/>
                <w:sz w:val="21"/>
                <w:szCs w:val="21"/>
                <w:highlight w:val="none"/>
                <w:u w:val="single"/>
                <w:lang w:eastAsia="zh-CN"/>
              </w:rPr>
              <w:t xml:space="preserve">   3   </w:t>
            </w:r>
            <w:r>
              <w:rPr>
                <w:rFonts w:hint="eastAsia" w:ascii="仿宋" w:hAnsi="仿宋" w:eastAsia="仿宋" w:cs="仿宋"/>
                <w:color w:val="auto"/>
                <w:spacing w:val="-5"/>
                <w:sz w:val="21"/>
                <w:szCs w:val="21"/>
                <w:highlight w:val="none"/>
                <w:lang w:eastAsia="zh-CN"/>
              </w:rPr>
              <w:t>家</w:t>
            </w:r>
          </w:p>
        </w:tc>
      </w:tr>
      <w:tr w14:paraId="28289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E8883E5">
            <w:pPr>
              <w:pStyle w:val="31"/>
              <w:spacing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30.1</w:t>
            </w:r>
          </w:p>
        </w:tc>
        <w:tc>
          <w:tcPr>
            <w:tcW w:w="1701" w:type="dxa"/>
            <w:vAlign w:val="center"/>
          </w:tcPr>
          <w:p w14:paraId="00D28170">
            <w:pPr>
              <w:pStyle w:val="31"/>
              <w:spacing w:line="22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确定中标人</w:t>
            </w:r>
          </w:p>
        </w:tc>
        <w:tc>
          <w:tcPr>
            <w:tcW w:w="7088" w:type="dxa"/>
            <w:vAlign w:val="center"/>
          </w:tcPr>
          <w:p w14:paraId="5079541E">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采购人按评审报告中推荐的中标候选人排序确定中标人。</w:t>
            </w:r>
          </w:p>
          <w:p w14:paraId="4BD6E6A9">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采购人委托评标委员会直接确定中标人。</w:t>
            </w:r>
          </w:p>
        </w:tc>
      </w:tr>
      <w:tr w14:paraId="4AA2A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BEAA13A">
            <w:pPr>
              <w:pStyle w:val="31"/>
              <w:spacing w:line="246" w:lineRule="auto"/>
              <w:ind w:right="-108"/>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rPr>
              <w:t>30.2</w:t>
            </w:r>
          </w:p>
          <w:p w14:paraId="04F314D5">
            <w:pPr>
              <w:pStyle w:val="31"/>
              <w:spacing w:before="78" w:line="246" w:lineRule="auto"/>
              <w:ind w:right="-108"/>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30.3</w:t>
            </w:r>
          </w:p>
        </w:tc>
        <w:tc>
          <w:tcPr>
            <w:tcW w:w="1701" w:type="dxa"/>
            <w:vAlign w:val="center"/>
          </w:tcPr>
          <w:p w14:paraId="2772761C">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提供相同品牌产品的不同投标人确定中标候选人的规定</w:t>
            </w:r>
          </w:p>
        </w:tc>
        <w:tc>
          <w:tcPr>
            <w:tcW w:w="7088" w:type="dxa"/>
            <w:vAlign w:val="center"/>
          </w:tcPr>
          <w:p w14:paraId="0E60233E">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综合评分法的采购项目，提供相同品牌产品且通过资格审查、符合性审查的不同投标人参加同一合同项下投标的，按一家投标人计算，评审后得分相同的，按照方式确定一个投标人获得中标人推荐资格，其他同品牌投标人不作为中标候选人。</w:t>
            </w:r>
          </w:p>
          <w:p w14:paraId="00A913DA">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 最低评标价法的采购项目，提供相同品牌产品的不同投标人参加同一合同项下投标的，以其中通过资格审查、符合性审查且报价最低的参加评标；报价相同的，按照方式确定一个参加评标的投标人，其他投标无效。</w:t>
            </w:r>
          </w:p>
        </w:tc>
      </w:tr>
      <w:tr w14:paraId="235DC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730968BB">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33.1</w:t>
            </w:r>
          </w:p>
        </w:tc>
        <w:tc>
          <w:tcPr>
            <w:tcW w:w="1701" w:type="dxa"/>
            <w:vAlign w:val="center"/>
          </w:tcPr>
          <w:p w14:paraId="58D53318">
            <w:pPr>
              <w:pStyle w:val="31"/>
              <w:spacing w:before="78" w:line="22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履约保证金</w:t>
            </w:r>
          </w:p>
        </w:tc>
        <w:tc>
          <w:tcPr>
            <w:tcW w:w="7088" w:type="dxa"/>
          </w:tcPr>
          <w:p w14:paraId="628D8AFF">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履约保证金： ☑需要缴纳    □不需要缴纳</w:t>
            </w:r>
          </w:p>
          <w:p w14:paraId="11572D0C">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w:t>
            </w:r>
            <w:r>
              <w:rPr>
                <w:rFonts w:hint="eastAsia" w:ascii="仿宋" w:hAnsi="仿宋" w:eastAsia="仿宋" w:cs="仿宋"/>
                <w:color w:val="auto"/>
                <w:spacing w:val="-5"/>
                <w:sz w:val="21"/>
                <w:szCs w:val="21"/>
                <w:highlight w:val="none"/>
                <w:lang w:eastAsia="zh-CN"/>
              </w:rPr>
              <w:t>金额：合同总金额10%</w:t>
            </w:r>
          </w:p>
          <w:p w14:paraId="6273FA0F">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2.支付方式：</w:t>
            </w:r>
          </w:p>
          <w:p w14:paraId="61378478">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投标人可自主选择以支票、汇票、本票、电汇、转账、网银、保函等非现金形式缴纳或提交保证金。</w:t>
            </w:r>
          </w:p>
          <w:p w14:paraId="4C787C40">
            <w:pPr>
              <w:pStyle w:val="31"/>
              <w:spacing w:line="360" w:lineRule="auto"/>
              <w:jc w:val="both"/>
              <w:rPr>
                <w:rFonts w:hint="eastAsia" w:ascii="仿宋" w:hAnsi="仿宋" w:eastAsia="仿宋" w:cs="仿宋"/>
                <w:b/>
                <w:color w:val="auto"/>
                <w:spacing w:val="-5"/>
                <w:sz w:val="21"/>
                <w:szCs w:val="21"/>
                <w:highlight w:val="none"/>
                <w:lang w:eastAsia="zh-CN"/>
              </w:rPr>
            </w:pPr>
            <w:r>
              <w:rPr>
                <w:rFonts w:hint="eastAsia" w:ascii="仿宋" w:hAnsi="仿宋" w:eastAsia="仿宋" w:cs="仿宋"/>
                <w:b/>
                <w:color w:val="auto"/>
                <w:spacing w:val="-5"/>
                <w:sz w:val="21"/>
                <w:szCs w:val="21"/>
                <w:highlight w:val="none"/>
                <w:lang w:eastAsia="zh-CN"/>
              </w:rPr>
              <w:t>注意事项：</w:t>
            </w:r>
          </w:p>
          <w:p w14:paraId="4242D1B3">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1.以上各类机构出具的以担保函、保证保险承担责任的方式均须满足无条件见索即付条件。</w:t>
            </w:r>
          </w:p>
          <w:p w14:paraId="3B3DCAD2">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5"/>
                <w:sz w:val="21"/>
                <w:szCs w:val="21"/>
                <w:highlight w:val="none"/>
                <w:lang w:eastAsia="zh-CN"/>
              </w:rPr>
              <w:t>2.以担保函、保证保险形式缴纳履约保证金的，受益人和收取单位须为采购人。</w:t>
            </w:r>
          </w:p>
        </w:tc>
      </w:tr>
      <w:tr w14:paraId="6161D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2F3376A">
            <w:pPr>
              <w:pStyle w:val="31"/>
              <w:spacing w:before="78" w:line="183"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34.5</w:t>
            </w:r>
          </w:p>
        </w:tc>
        <w:tc>
          <w:tcPr>
            <w:tcW w:w="1701" w:type="dxa"/>
            <w:vAlign w:val="center"/>
          </w:tcPr>
          <w:p w14:paraId="76750A52">
            <w:pPr>
              <w:pStyle w:val="31"/>
              <w:spacing w:before="78" w:line="22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中标后分包</w:t>
            </w:r>
          </w:p>
        </w:tc>
        <w:tc>
          <w:tcPr>
            <w:tcW w:w="7088" w:type="dxa"/>
          </w:tcPr>
          <w:p w14:paraId="6C17A7AB">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本项目的非主体、非关键性工作是否允许分包：</w:t>
            </w:r>
          </w:p>
          <w:p w14:paraId="2D92F319">
            <w:pPr>
              <w:pStyle w:val="31"/>
              <w:spacing w:line="360" w:lineRule="auto"/>
              <w:jc w:val="both"/>
              <w:rPr>
                <w:rFonts w:hint="eastAsia" w:ascii="仿宋" w:hAnsi="仿宋" w:eastAsia="仿宋" w:cs="仿宋"/>
                <w:color w:val="auto"/>
                <w:spacing w:val="-5"/>
                <w:sz w:val="21"/>
                <w:szCs w:val="21"/>
                <w:highlight w:val="none"/>
                <w:lang w:eastAsia="zh-CN"/>
              </w:rPr>
            </w:pPr>
            <w:r>
              <w:rPr>
                <w:rFonts w:hint="eastAsia" w:ascii="仿宋" w:hAnsi="仿宋" w:eastAsia="仿宋" w:cs="仿宋"/>
                <w:color w:val="auto"/>
                <w:spacing w:val="-5"/>
                <w:sz w:val="21"/>
                <w:szCs w:val="21"/>
                <w:highlight w:val="none"/>
                <w:lang w:eastAsia="zh-CN"/>
              </w:rPr>
              <w:t>☑不允许； □允许</w:t>
            </w:r>
          </w:p>
          <w:p w14:paraId="72A4791D">
            <w:pPr>
              <w:pStyle w:val="31"/>
              <w:spacing w:line="360" w:lineRule="auto"/>
              <w:jc w:val="both"/>
              <w:rPr>
                <w:rFonts w:hint="eastAsia" w:ascii="仿宋" w:hAnsi="仿宋" w:eastAsia="仿宋" w:cs="仿宋"/>
                <w:b/>
                <w:color w:val="auto"/>
                <w:spacing w:val="-1"/>
                <w:sz w:val="21"/>
                <w:szCs w:val="21"/>
                <w:highlight w:val="none"/>
                <w:lang w:eastAsia="zh-CN"/>
              </w:rPr>
            </w:pPr>
            <w:r>
              <w:rPr>
                <w:rFonts w:hint="eastAsia" w:ascii="仿宋" w:hAnsi="仿宋" w:eastAsia="仿宋" w:cs="仿宋"/>
                <w:color w:val="auto"/>
                <w:spacing w:val="-5"/>
                <w:sz w:val="21"/>
                <w:szCs w:val="21"/>
                <w:highlight w:val="none"/>
                <w:lang w:eastAsia="zh-CN"/>
              </w:rPr>
              <w:t>具体要求：/</w:t>
            </w:r>
          </w:p>
        </w:tc>
      </w:tr>
      <w:tr w14:paraId="7C7CD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C29E52E">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35.1</w:t>
            </w:r>
          </w:p>
        </w:tc>
        <w:tc>
          <w:tcPr>
            <w:tcW w:w="1701" w:type="dxa"/>
            <w:vAlign w:val="center"/>
          </w:tcPr>
          <w:p w14:paraId="47A4A023">
            <w:pPr>
              <w:pStyle w:val="31"/>
              <w:spacing w:before="78" w:line="220"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6"/>
                <w:sz w:val="21"/>
                <w:szCs w:val="21"/>
                <w:highlight w:val="none"/>
              </w:rPr>
              <w:t>质疑</w:t>
            </w:r>
          </w:p>
        </w:tc>
        <w:tc>
          <w:tcPr>
            <w:tcW w:w="7088" w:type="dxa"/>
          </w:tcPr>
          <w:p w14:paraId="310BA5C5">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递交方式：</w:t>
            </w:r>
            <w:r>
              <w:rPr>
                <w:rFonts w:hint="eastAsia" w:ascii="仿宋" w:hAnsi="仿宋" w:eastAsia="仿宋" w:cs="仿宋"/>
                <w:color w:val="auto"/>
                <w:spacing w:val="-1"/>
                <w:sz w:val="21"/>
                <w:szCs w:val="21"/>
                <w:highlight w:val="none"/>
                <w:u w:val="single"/>
                <w:lang w:eastAsia="zh-CN"/>
              </w:rPr>
              <w:t>书面方式</w:t>
            </w:r>
          </w:p>
          <w:p w14:paraId="7815D954">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接收部门：</w:t>
            </w:r>
            <w:r>
              <w:rPr>
                <w:rFonts w:hint="eastAsia" w:ascii="仿宋" w:hAnsi="仿宋" w:eastAsia="仿宋" w:cs="仿宋"/>
                <w:color w:val="auto"/>
                <w:spacing w:val="-1"/>
                <w:sz w:val="21"/>
                <w:szCs w:val="21"/>
                <w:highlight w:val="none"/>
                <w:u w:val="single"/>
                <w:lang w:eastAsia="zh-CN"/>
              </w:rPr>
              <w:t>采购人及采购代理机构</w:t>
            </w:r>
            <w:r>
              <w:rPr>
                <w:rFonts w:hint="eastAsia" w:ascii="仿宋" w:hAnsi="仿宋" w:eastAsia="仿宋" w:cs="仿宋"/>
                <w:color w:val="auto"/>
                <w:spacing w:val="-1"/>
                <w:sz w:val="21"/>
                <w:szCs w:val="21"/>
                <w:highlight w:val="none"/>
                <w:lang w:eastAsia="zh-CN"/>
              </w:rPr>
              <w:tab/>
            </w:r>
          </w:p>
          <w:p w14:paraId="62BF9AF0">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针对同一采购程序环节的质疑次数：</w:t>
            </w:r>
            <w:r>
              <w:rPr>
                <w:rFonts w:hint="eastAsia" w:ascii="仿宋" w:hAnsi="仿宋" w:eastAsia="仿宋" w:cs="仿宋"/>
                <w:color w:val="auto"/>
                <w:spacing w:val="-1"/>
                <w:sz w:val="21"/>
                <w:szCs w:val="21"/>
                <w:highlight w:val="none"/>
                <w:u w:val="single"/>
                <w:lang w:eastAsia="zh-CN"/>
              </w:rPr>
              <w:t>一次性提出</w:t>
            </w:r>
          </w:p>
        </w:tc>
      </w:tr>
      <w:tr w14:paraId="34E919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0D1F3A70">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38.1</w:t>
            </w:r>
          </w:p>
        </w:tc>
        <w:tc>
          <w:tcPr>
            <w:tcW w:w="1701" w:type="dxa"/>
            <w:vAlign w:val="center"/>
          </w:tcPr>
          <w:p w14:paraId="70788001">
            <w:pPr>
              <w:pStyle w:val="31"/>
              <w:spacing w:before="78" w:line="230" w:lineRule="auto"/>
              <w:ind w:right="189"/>
              <w:jc w:val="center"/>
              <w:rPr>
                <w:rFonts w:hint="eastAsia" w:ascii="仿宋" w:hAnsi="仿宋" w:eastAsia="仿宋" w:cs="仿宋"/>
                <w:color w:val="auto"/>
                <w:sz w:val="21"/>
                <w:szCs w:val="21"/>
                <w:highlight w:val="none"/>
              </w:rPr>
            </w:pPr>
            <w:r>
              <w:rPr>
                <w:rFonts w:hint="eastAsia" w:ascii="仿宋" w:hAnsi="仿宋" w:eastAsia="仿宋" w:cs="仿宋"/>
                <w:color w:val="auto"/>
                <w:spacing w:val="-2"/>
                <w:sz w:val="21"/>
                <w:szCs w:val="21"/>
                <w:highlight w:val="none"/>
              </w:rPr>
              <w:t>采购代理服务</w:t>
            </w:r>
            <w:r>
              <w:rPr>
                <w:rFonts w:hint="eastAsia" w:ascii="仿宋" w:hAnsi="仿宋" w:eastAsia="仿宋" w:cs="仿宋"/>
                <w:color w:val="auto"/>
                <w:sz w:val="21"/>
                <w:szCs w:val="21"/>
                <w:highlight w:val="none"/>
              </w:rPr>
              <w:t>费</w:t>
            </w:r>
          </w:p>
        </w:tc>
        <w:tc>
          <w:tcPr>
            <w:tcW w:w="7088" w:type="dxa"/>
          </w:tcPr>
          <w:p w14:paraId="0C5B60DB">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1.收费对象：</w:t>
            </w:r>
            <w:r>
              <w:rPr>
                <w:rFonts w:hint="eastAsia" w:ascii="仿宋" w:hAnsi="仿宋" w:eastAsia="仿宋" w:cs="仿宋"/>
                <w:color w:val="auto"/>
                <w:spacing w:val="-1"/>
                <w:sz w:val="21"/>
                <w:szCs w:val="21"/>
                <w:highlight w:val="none"/>
                <w:u w:val="single"/>
                <w:lang w:eastAsia="zh-CN"/>
              </w:rPr>
              <w:t>中标人支付</w:t>
            </w:r>
          </w:p>
          <w:p w14:paraId="6C87C56A">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2.收费标准：</w:t>
            </w:r>
            <w:r>
              <w:rPr>
                <w:rFonts w:hint="eastAsia" w:ascii="仿宋" w:hAnsi="仿宋" w:eastAsia="仿宋" w:cs="仿宋"/>
                <w:color w:val="auto"/>
                <w:spacing w:val="-1"/>
                <w:sz w:val="21"/>
                <w:szCs w:val="21"/>
                <w:highlight w:val="none"/>
                <w:u w:val="single"/>
                <w:lang w:eastAsia="zh-CN"/>
              </w:rPr>
              <w:t>参照计价格[2002]1980号及发改价格[2011]534号文件的计算标准</w:t>
            </w:r>
          </w:p>
        </w:tc>
      </w:tr>
      <w:tr w14:paraId="639A3C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3FC0201">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41.1</w:t>
            </w:r>
          </w:p>
        </w:tc>
        <w:tc>
          <w:tcPr>
            <w:tcW w:w="1701" w:type="dxa"/>
            <w:vAlign w:val="center"/>
          </w:tcPr>
          <w:p w14:paraId="703715D0">
            <w:pPr>
              <w:pStyle w:val="31"/>
              <w:spacing w:before="146" w:line="230" w:lineRule="auto"/>
              <w:ind w:right="189"/>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是否接受进口</w:t>
            </w:r>
            <w:r>
              <w:rPr>
                <w:rFonts w:hint="eastAsia" w:ascii="仿宋" w:hAnsi="仿宋" w:eastAsia="仿宋" w:cs="仿宋"/>
                <w:color w:val="auto"/>
                <w:spacing w:val="-5"/>
                <w:sz w:val="21"/>
                <w:szCs w:val="21"/>
                <w:highlight w:val="none"/>
              </w:rPr>
              <w:t>产品</w:t>
            </w:r>
          </w:p>
        </w:tc>
        <w:tc>
          <w:tcPr>
            <w:tcW w:w="7088" w:type="dxa"/>
            <w:vAlign w:val="center"/>
          </w:tcPr>
          <w:p w14:paraId="34CF26D5">
            <w:pPr>
              <w:pStyle w:val="31"/>
              <w:spacing w:before="28" w:line="218"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不接受</w:t>
            </w:r>
          </w:p>
        </w:tc>
      </w:tr>
      <w:tr w14:paraId="57A5C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8252EFF">
            <w:pPr>
              <w:pStyle w:val="31"/>
              <w:spacing w:line="183"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42</w:t>
            </w:r>
          </w:p>
        </w:tc>
        <w:tc>
          <w:tcPr>
            <w:tcW w:w="1701" w:type="dxa"/>
            <w:vAlign w:val="center"/>
          </w:tcPr>
          <w:p w14:paraId="6BB055FD">
            <w:pPr>
              <w:pStyle w:val="31"/>
              <w:spacing w:line="235" w:lineRule="auto"/>
              <w:ind w:left="-107" w:leftChars="-51" w:right="-5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支持中小企业政策</w:t>
            </w:r>
            <w:r>
              <w:rPr>
                <w:rFonts w:hint="eastAsia" w:ascii="仿宋" w:hAnsi="仿宋" w:eastAsia="仿宋" w:cs="仿宋"/>
                <w:b/>
                <w:bCs/>
                <w:color w:val="auto"/>
                <w:spacing w:val="-2"/>
                <w:sz w:val="21"/>
                <w:szCs w:val="21"/>
                <w:highlight w:val="none"/>
                <w:lang w:eastAsia="zh-CN"/>
              </w:rPr>
              <w:t>（非专门面向中小企业采购项目适</w:t>
            </w:r>
            <w:r>
              <w:rPr>
                <w:rFonts w:hint="eastAsia" w:ascii="仿宋" w:hAnsi="仿宋" w:eastAsia="仿宋" w:cs="仿宋"/>
                <w:b/>
                <w:bCs/>
                <w:color w:val="auto"/>
                <w:spacing w:val="-6"/>
                <w:sz w:val="21"/>
                <w:szCs w:val="21"/>
                <w:highlight w:val="none"/>
                <w:lang w:eastAsia="zh-CN"/>
              </w:rPr>
              <w:t>用）</w:t>
            </w:r>
          </w:p>
        </w:tc>
        <w:tc>
          <w:tcPr>
            <w:tcW w:w="7088" w:type="dxa"/>
            <w:vAlign w:val="center"/>
          </w:tcPr>
          <w:p w14:paraId="70E31E05">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1.小型和微型企业价格扣除：10%。</w:t>
            </w:r>
          </w:p>
          <w:p w14:paraId="43640C73">
            <w:pPr>
              <w:pStyle w:val="31"/>
              <w:spacing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2.监狱企业价格扣除：同小型和微型企业。</w:t>
            </w:r>
          </w:p>
          <w:p w14:paraId="088062DF">
            <w:pPr>
              <w:pStyle w:val="31"/>
              <w:spacing w:line="360" w:lineRule="auto"/>
              <w:ind w:right="-16" w:firstLine="5"/>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3.残疾人福利性单位价格扣除：同小型和微型企业。</w:t>
            </w:r>
          </w:p>
        </w:tc>
      </w:tr>
      <w:tr w14:paraId="4E528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4374C839">
            <w:pPr>
              <w:pStyle w:val="31"/>
              <w:spacing w:line="183" w:lineRule="auto"/>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rPr>
              <w:t>42.</w:t>
            </w:r>
            <w:r>
              <w:rPr>
                <w:rFonts w:hint="eastAsia" w:ascii="仿宋" w:hAnsi="仿宋" w:eastAsia="仿宋" w:cs="仿宋"/>
                <w:color w:val="auto"/>
                <w:spacing w:val="-3"/>
                <w:sz w:val="21"/>
                <w:szCs w:val="21"/>
                <w:highlight w:val="none"/>
                <w:lang w:eastAsia="zh-CN"/>
              </w:rPr>
              <w:t>9</w:t>
            </w:r>
          </w:p>
        </w:tc>
        <w:tc>
          <w:tcPr>
            <w:tcW w:w="1701" w:type="dxa"/>
            <w:vAlign w:val="center"/>
          </w:tcPr>
          <w:p w14:paraId="79C15D87">
            <w:pPr>
              <w:pStyle w:val="31"/>
              <w:spacing w:line="233" w:lineRule="auto"/>
              <w:ind w:left="-107" w:leftChars="-51" w:right="-55"/>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标的所属行业参照后附《工信部联企业</w:t>
            </w:r>
            <w:r>
              <w:rPr>
                <w:rFonts w:hint="eastAsia" w:ascii="仿宋" w:hAnsi="仿宋" w:eastAsia="仿宋" w:cs="仿宋"/>
                <w:color w:val="auto"/>
                <w:spacing w:val="-5"/>
                <w:sz w:val="21"/>
                <w:szCs w:val="21"/>
                <w:highlight w:val="none"/>
                <w:lang w:eastAsia="zh-CN"/>
              </w:rPr>
              <w:t>〔2011〕300</w:t>
            </w:r>
            <w:r>
              <w:rPr>
                <w:rFonts w:hint="eastAsia" w:ascii="仿宋" w:hAnsi="仿宋" w:eastAsia="仿宋" w:cs="仿宋"/>
                <w:color w:val="auto"/>
                <w:spacing w:val="-8"/>
                <w:sz w:val="21"/>
                <w:szCs w:val="21"/>
                <w:highlight w:val="none"/>
                <w:lang w:eastAsia="zh-CN"/>
              </w:rPr>
              <w:t>号》</w:t>
            </w:r>
          </w:p>
        </w:tc>
        <w:tc>
          <w:tcPr>
            <w:tcW w:w="7088" w:type="dxa"/>
            <w:vAlign w:val="center"/>
          </w:tcPr>
          <w:p w14:paraId="2646C8C6">
            <w:pPr>
              <w:pStyle w:val="31"/>
              <w:spacing w:line="360" w:lineRule="auto"/>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本项目采购标的对应的中小企业划分标准所属行业：</w:t>
            </w:r>
            <w:r>
              <w:rPr>
                <w:rFonts w:hint="eastAsia" w:ascii="仿宋" w:hAnsi="仿宋" w:eastAsia="仿宋" w:cs="仿宋"/>
                <w:color w:val="auto"/>
                <w:spacing w:val="-1"/>
                <w:sz w:val="21"/>
                <w:szCs w:val="21"/>
                <w:highlight w:val="none"/>
                <w:u w:val="single"/>
                <w:lang w:val="en-US" w:eastAsia="zh-CN"/>
              </w:rPr>
              <w:t>农、林、牧、渔或</w:t>
            </w:r>
            <w:r>
              <w:rPr>
                <w:rFonts w:hint="eastAsia" w:ascii="仿宋" w:hAnsi="仿宋" w:eastAsia="仿宋" w:cs="仿宋"/>
                <w:color w:val="auto"/>
                <w:spacing w:val="-1"/>
                <w:sz w:val="21"/>
                <w:szCs w:val="21"/>
                <w:highlight w:val="none"/>
                <w:u w:val="single"/>
                <w:lang w:eastAsia="zh-CN"/>
              </w:rPr>
              <w:t>工业，</w:t>
            </w:r>
            <w:r>
              <w:rPr>
                <w:rFonts w:hint="eastAsia" w:ascii="仿宋" w:hAnsi="仿宋" w:eastAsia="仿宋" w:cs="仿宋"/>
                <w:color w:val="auto"/>
                <w:spacing w:val="-1"/>
                <w:sz w:val="21"/>
                <w:szCs w:val="21"/>
                <w:highlight w:val="none"/>
                <w:u w:val="single"/>
                <w:lang w:val="en-US" w:eastAsia="zh-CN"/>
              </w:rPr>
              <w:t>详见“第三章采购需求”中的需求清单</w:t>
            </w:r>
            <w:r>
              <w:rPr>
                <w:rFonts w:hint="eastAsia" w:ascii="仿宋" w:hAnsi="仿宋" w:eastAsia="仿宋" w:cs="仿宋"/>
                <w:color w:val="auto"/>
                <w:spacing w:val="-1"/>
                <w:sz w:val="21"/>
                <w:szCs w:val="21"/>
                <w:highlight w:val="none"/>
                <w:lang w:eastAsia="zh-CN"/>
              </w:rPr>
              <w:t xml:space="preserve"> </w:t>
            </w:r>
          </w:p>
        </w:tc>
      </w:tr>
      <w:tr w14:paraId="093C3A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16C276A5">
            <w:pPr>
              <w:pStyle w:val="31"/>
              <w:spacing w:line="183"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43.5</w:t>
            </w:r>
          </w:p>
        </w:tc>
        <w:tc>
          <w:tcPr>
            <w:tcW w:w="1701" w:type="dxa"/>
            <w:vAlign w:val="center"/>
          </w:tcPr>
          <w:p w14:paraId="75B72E6A">
            <w:pPr>
              <w:pStyle w:val="31"/>
              <w:spacing w:line="360" w:lineRule="auto"/>
              <w:ind w:left="-108" w:right="-108"/>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2"/>
                <w:sz w:val="21"/>
                <w:szCs w:val="21"/>
                <w:highlight w:val="none"/>
                <w:lang w:eastAsia="zh-CN"/>
              </w:rPr>
              <w:t>优先采购节能环保产品</w:t>
            </w:r>
          </w:p>
        </w:tc>
        <w:tc>
          <w:tcPr>
            <w:tcW w:w="7088" w:type="dxa"/>
            <w:vAlign w:val="center"/>
          </w:tcPr>
          <w:p w14:paraId="1C1CD604">
            <w:pPr>
              <w:pStyle w:val="31"/>
              <w:spacing w:before="28" w:line="360" w:lineRule="auto"/>
              <w:jc w:val="both"/>
              <w:rPr>
                <w:rFonts w:hint="default" w:ascii="仿宋" w:hAnsi="仿宋" w:eastAsia="仿宋" w:cs="仿宋"/>
                <w:color w:val="auto"/>
                <w:spacing w:val="-1"/>
                <w:sz w:val="21"/>
                <w:szCs w:val="21"/>
                <w:highlight w:val="none"/>
                <w:lang w:val="en-US" w:eastAsia="zh-CN"/>
              </w:rPr>
            </w:pPr>
            <w:r>
              <w:rPr>
                <w:rFonts w:hint="eastAsia" w:ascii="仿宋" w:hAnsi="仿宋" w:eastAsia="仿宋" w:cs="仿宋"/>
                <w:color w:val="auto"/>
                <w:spacing w:val="-1"/>
                <w:sz w:val="21"/>
                <w:szCs w:val="21"/>
                <w:highlight w:val="none"/>
                <w:lang w:val="en-US" w:eastAsia="zh-CN"/>
              </w:rPr>
              <w:t>/</w:t>
            </w:r>
          </w:p>
        </w:tc>
      </w:tr>
      <w:tr w14:paraId="356B2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C3FD3FB">
            <w:pPr>
              <w:pStyle w:val="31"/>
              <w:spacing w:before="78" w:line="184"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47.1</w:t>
            </w:r>
          </w:p>
        </w:tc>
        <w:tc>
          <w:tcPr>
            <w:tcW w:w="1701" w:type="dxa"/>
            <w:vAlign w:val="center"/>
          </w:tcPr>
          <w:p w14:paraId="3E84651C">
            <w:pPr>
              <w:pStyle w:val="31"/>
              <w:spacing w:before="78" w:line="360" w:lineRule="auto"/>
              <w:ind w:left="-107" w:leftChars="-51" w:right="-107" w:rightChars="-51"/>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3"/>
                <w:sz w:val="21"/>
                <w:szCs w:val="21"/>
                <w:highlight w:val="none"/>
                <w:lang w:eastAsia="zh-CN"/>
              </w:rPr>
              <w:t>政府采购</w:t>
            </w:r>
            <w:r>
              <w:rPr>
                <w:rFonts w:hint="eastAsia" w:ascii="仿宋" w:hAnsi="仿宋" w:eastAsia="仿宋" w:cs="仿宋"/>
                <w:color w:val="auto"/>
                <w:spacing w:val="-2"/>
                <w:sz w:val="21"/>
                <w:szCs w:val="21"/>
                <w:highlight w:val="none"/>
                <w:lang w:eastAsia="zh-CN"/>
              </w:rPr>
              <w:t>合同融资政策</w:t>
            </w:r>
          </w:p>
        </w:tc>
        <w:tc>
          <w:tcPr>
            <w:tcW w:w="7088" w:type="dxa"/>
            <w:vAlign w:val="center"/>
          </w:tcPr>
          <w:p w14:paraId="0464536B">
            <w:pPr>
              <w:pStyle w:val="31"/>
              <w:spacing w:before="28" w:line="360" w:lineRule="auto"/>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pacing w:val="-1"/>
                <w:sz w:val="21"/>
                <w:szCs w:val="21"/>
                <w:highlight w:val="none"/>
                <w:lang w:eastAsia="zh-CN"/>
              </w:rPr>
              <w:t>/</w:t>
            </w:r>
          </w:p>
        </w:tc>
      </w:tr>
      <w:tr w14:paraId="538B06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78E1A1B">
            <w:pPr>
              <w:pStyle w:val="31"/>
              <w:spacing w:before="78" w:line="36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pacing w:val="-3"/>
                <w:sz w:val="21"/>
                <w:szCs w:val="21"/>
                <w:highlight w:val="none"/>
              </w:rPr>
              <w:t>48.1</w:t>
            </w:r>
          </w:p>
        </w:tc>
        <w:tc>
          <w:tcPr>
            <w:tcW w:w="1701" w:type="dxa"/>
            <w:vAlign w:val="center"/>
          </w:tcPr>
          <w:p w14:paraId="3349D625">
            <w:pPr>
              <w:pStyle w:val="31"/>
              <w:spacing w:before="282" w:line="360" w:lineRule="exact"/>
              <w:ind w:left="-107" w:leftChars="-51" w:right="-108"/>
              <w:jc w:val="center"/>
              <w:rPr>
                <w:rFonts w:hint="eastAsia" w:ascii="仿宋" w:hAnsi="仿宋" w:eastAsia="仿宋" w:cs="仿宋"/>
                <w:color w:val="auto"/>
                <w:sz w:val="21"/>
                <w:szCs w:val="21"/>
                <w:highlight w:val="none"/>
              </w:rPr>
            </w:pPr>
            <w:r>
              <w:rPr>
                <w:rFonts w:hint="eastAsia" w:ascii="仿宋" w:hAnsi="仿宋" w:eastAsia="仿宋" w:cs="仿宋"/>
                <w:color w:val="auto"/>
                <w:spacing w:val="-4"/>
                <w:sz w:val="21"/>
                <w:szCs w:val="21"/>
                <w:highlight w:val="none"/>
              </w:rPr>
              <w:t>需要补充的其他内容</w:t>
            </w:r>
          </w:p>
        </w:tc>
        <w:tc>
          <w:tcPr>
            <w:tcW w:w="7088" w:type="dxa"/>
            <w:vAlign w:val="center"/>
          </w:tcPr>
          <w:p w14:paraId="4822A7A8">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需自行准备电脑笔记本并调试好解密,在政采云远程不见面开标大厅进行投标文件解密，如因投标人自身原因导致在规定时间内无法正常解密的（如：浏览器故障、未安装相关驱动、网络故障、加密CA与解密 CA 不一致等），代理机构不予异常处理，视为投标人自动弃标。</w:t>
            </w:r>
          </w:p>
          <w:p w14:paraId="4AB5CCB1">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2、当出现下列情形之一，投标文件将予以退回：</w:t>
            </w:r>
          </w:p>
          <w:p w14:paraId="4F8171B5">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1）投标人在提交投标文件截止时间前未成功上传加密电子投标文件（ .bttf）；</w:t>
            </w:r>
          </w:p>
          <w:p w14:paraId="182414FD">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2）投标人开标现场携带CA数字证书与上传加密投标文件使用的 CA 数字证书不一致；</w:t>
            </w:r>
          </w:p>
          <w:p w14:paraId="5F15ECE8">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3）投标人解密时 CA 数字证书已过期，导致无法正常解密；</w:t>
            </w:r>
          </w:p>
          <w:p w14:paraId="7B0F4512">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4）加密投标文件时，CA 数字证书未过期，开标解密时，显示CA数字证书已过期，导致无法正常解密；</w:t>
            </w:r>
          </w:p>
          <w:p w14:paraId="46DDB8CC">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5）投标人个人原因导致无法解密的其他情形。</w:t>
            </w:r>
          </w:p>
          <w:p w14:paraId="0637EEB9">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3、请各潜在投标人及时在政采云平台 https://www.zcygov.cn 上领取最新的采购文件制作投标文件。</w:t>
            </w:r>
          </w:p>
          <w:p w14:paraId="5AE1FDA8">
            <w:pPr>
              <w:pStyle w:val="31"/>
              <w:spacing w:before="28" w:line="360" w:lineRule="exact"/>
              <w:jc w:val="both"/>
              <w:rPr>
                <w:rFonts w:hint="eastAsia" w:ascii="仿宋" w:hAnsi="仿宋" w:eastAsia="仿宋" w:cs="仿宋"/>
                <w:color w:val="auto"/>
                <w:spacing w:val="-1"/>
                <w:sz w:val="21"/>
                <w:szCs w:val="21"/>
                <w:highlight w:val="none"/>
                <w:lang w:eastAsia="zh-CN"/>
              </w:rPr>
            </w:pPr>
            <w:r>
              <w:rPr>
                <w:rFonts w:hint="eastAsia" w:ascii="仿宋" w:hAnsi="仿宋" w:eastAsia="仿宋" w:cs="仿宋"/>
                <w:color w:val="auto"/>
                <w:sz w:val="21"/>
                <w:szCs w:val="21"/>
                <w:highlight w:val="none"/>
                <w:lang w:eastAsia="zh-CN"/>
              </w:rPr>
              <w:t>4、本项目的招标投标活动以及相关当事人须接受财政监督部门依法实施的监督。</w:t>
            </w:r>
          </w:p>
        </w:tc>
      </w:tr>
      <w:tr w14:paraId="26791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2947D61F">
            <w:pPr>
              <w:pStyle w:val="31"/>
              <w:spacing w:before="78" w:line="400" w:lineRule="exact"/>
              <w:jc w:val="center"/>
              <w:rPr>
                <w:rFonts w:hint="eastAsia" w:ascii="仿宋" w:hAnsi="仿宋" w:eastAsia="仿宋" w:cs="仿宋"/>
                <w:color w:val="auto"/>
                <w:spacing w:val="-3"/>
                <w:sz w:val="21"/>
                <w:szCs w:val="21"/>
                <w:highlight w:val="none"/>
                <w:lang w:eastAsia="zh-CN"/>
              </w:rPr>
            </w:pPr>
          </w:p>
        </w:tc>
        <w:tc>
          <w:tcPr>
            <w:tcW w:w="1701" w:type="dxa"/>
            <w:vAlign w:val="center"/>
          </w:tcPr>
          <w:p w14:paraId="67617197">
            <w:pPr>
              <w:pStyle w:val="31"/>
              <w:spacing w:before="282" w:line="400" w:lineRule="exact"/>
              <w:ind w:left="-107" w:leftChars="-51" w:right="-108"/>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rPr>
              <w:t>增加的</w:t>
            </w:r>
            <w:r>
              <w:rPr>
                <w:rFonts w:hint="eastAsia" w:ascii="仿宋" w:hAnsi="仿宋" w:eastAsia="仿宋" w:cs="仿宋"/>
                <w:color w:val="auto"/>
                <w:spacing w:val="-4"/>
                <w:sz w:val="21"/>
                <w:szCs w:val="21"/>
                <w:highlight w:val="none"/>
                <w:lang w:eastAsia="zh-CN"/>
              </w:rPr>
              <w:t>内容</w:t>
            </w:r>
          </w:p>
        </w:tc>
        <w:tc>
          <w:tcPr>
            <w:tcW w:w="7088" w:type="dxa"/>
            <w:vAlign w:val="center"/>
          </w:tcPr>
          <w:p w14:paraId="07658062">
            <w:pPr>
              <w:pStyle w:val="31"/>
              <w:spacing w:before="28" w:line="400" w:lineRule="exact"/>
              <w:jc w:val="both"/>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1、合同履约期限：自合同签订之日起一年。</w:t>
            </w:r>
          </w:p>
          <w:p w14:paraId="3161A6D7">
            <w:pPr>
              <w:pStyle w:val="31"/>
              <w:spacing w:before="28" w:line="400" w:lineRule="exact"/>
              <w:jc w:val="both"/>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2、供货地点：按采购人要求分批送达指定地点。</w:t>
            </w:r>
          </w:p>
          <w:p w14:paraId="7DD92337">
            <w:pPr>
              <w:pStyle w:val="31"/>
              <w:spacing w:before="28" w:line="400" w:lineRule="exact"/>
              <w:jc w:val="both"/>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eastAsia="zh-CN"/>
              </w:rPr>
              <w:t>3、保质期（有效期）：质保期不得低于总质保期的3分之2</w:t>
            </w:r>
            <w:r>
              <w:rPr>
                <w:rFonts w:hint="eastAsia" w:ascii="仿宋" w:hAnsi="仿宋" w:eastAsia="仿宋" w:cs="仿宋"/>
                <w:b/>
                <w:bCs/>
                <w:color w:val="auto"/>
                <w:sz w:val="21"/>
                <w:szCs w:val="21"/>
                <w:highlight w:val="none"/>
                <w:lang w:eastAsia="zh-CN"/>
              </w:rPr>
              <w:t>。</w:t>
            </w:r>
          </w:p>
        </w:tc>
      </w:tr>
      <w:tr w14:paraId="0B2497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851" w:type="dxa"/>
            <w:vAlign w:val="center"/>
          </w:tcPr>
          <w:p w14:paraId="3C983560">
            <w:pPr>
              <w:pStyle w:val="31"/>
              <w:spacing w:before="78" w:line="184" w:lineRule="auto"/>
              <w:jc w:val="center"/>
              <w:rPr>
                <w:rFonts w:hint="eastAsia" w:ascii="仿宋" w:hAnsi="仿宋" w:eastAsia="仿宋" w:cs="仿宋"/>
                <w:color w:val="auto"/>
                <w:spacing w:val="-3"/>
                <w:sz w:val="21"/>
                <w:szCs w:val="21"/>
                <w:highlight w:val="none"/>
                <w:lang w:eastAsia="zh-CN"/>
              </w:rPr>
            </w:pPr>
          </w:p>
        </w:tc>
        <w:tc>
          <w:tcPr>
            <w:tcW w:w="1701" w:type="dxa"/>
            <w:vAlign w:val="center"/>
          </w:tcPr>
          <w:p w14:paraId="1C69C945">
            <w:pPr>
              <w:pStyle w:val="31"/>
              <w:spacing w:before="282" w:line="230" w:lineRule="auto"/>
              <w:ind w:left="-107" w:leftChars="-51" w:right="-108"/>
              <w:jc w:val="center"/>
              <w:rPr>
                <w:rFonts w:hint="eastAsia" w:ascii="仿宋" w:hAnsi="仿宋" w:eastAsia="仿宋" w:cs="仿宋"/>
                <w:color w:val="auto"/>
                <w:spacing w:val="-4"/>
                <w:sz w:val="21"/>
                <w:szCs w:val="21"/>
                <w:highlight w:val="none"/>
                <w:lang w:eastAsia="zh-CN"/>
              </w:rPr>
            </w:pPr>
            <w:r>
              <w:rPr>
                <w:rFonts w:hint="eastAsia" w:ascii="仿宋" w:hAnsi="仿宋" w:eastAsia="仿宋" w:cs="仿宋"/>
                <w:color w:val="auto"/>
                <w:spacing w:val="-4"/>
                <w:sz w:val="21"/>
                <w:szCs w:val="21"/>
                <w:highlight w:val="none"/>
                <w:lang w:eastAsia="zh-CN"/>
              </w:rPr>
              <w:t>说明</w:t>
            </w:r>
          </w:p>
        </w:tc>
        <w:tc>
          <w:tcPr>
            <w:tcW w:w="7088" w:type="dxa"/>
            <w:vAlign w:val="center"/>
          </w:tcPr>
          <w:p w14:paraId="188660D4">
            <w:pPr>
              <w:pStyle w:val="37"/>
              <w:shd w:val="clear" w:color="auto" w:fill="FFFFFF"/>
              <w:spacing w:line="360" w:lineRule="exact"/>
              <w:ind w:firstLine="0" w:firstLineChars="0"/>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开标及评标顺序：</w:t>
            </w:r>
          </w:p>
          <w:p w14:paraId="647DE979">
            <w:pPr>
              <w:pStyle w:val="37"/>
              <w:numPr>
                <w:ilvl w:val="0"/>
                <w:numId w:val="2"/>
              </w:numPr>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标项名称：</w:t>
            </w:r>
            <w:bookmarkStart w:id="16" w:name="OLE_LINK1"/>
            <w:r>
              <w:rPr>
                <w:rFonts w:hint="eastAsia" w:ascii="仿宋" w:hAnsi="仿宋" w:eastAsia="仿宋" w:cs="仿宋"/>
                <w:color w:val="auto"/>
                <w:sz w:val="21"/>
                <w:szCs w:val="21"/>
                <w:highlight w:val="none"/>
                <w:lang w:eastAsia="zh-CN"/>
              </w:rPr>
              <w:t>新疆维吾尔自治区昌吉某某某单位食材采购项目一标段（粮油类）</w:t>
            </w:r>
            <w:bookmarkEnd w:id="16"/>
            <w:r>
              <w:rPr>
                <w:rFonts w:hint="eastAsia" w:ascii="仿宋" w:hAnsi="仿宋" w:eastAsia="仿宋" w:cs="仿宋"/>
                <w:color w:val="auto"/>
                <w:sz w:val="21"/>
                <w:szCs w:val="21"/>
                <w:highlight w:val="none"/>
                <w:lang w:eastAsia="zh-CN"/>
              </w:rPr>
              <w:t>，标项编号：</w:t>
            </w:r>
            <w:r>
              <w:rPr>
                <w:rFonts w:hint="eastAsia" w:ascii="仿宋" w:hAnsi="仿宋" w:eastAsia="仿宋" w:cs="仿宋"/>
                <w:color w:val="auto"/>
                <w:sz w:val="21"/>
                <w:szCs w:val="21"/>
                <w:highlight w:val="none"/>
                <w:lang w:eastAsia="zh-CN"/>
              </w:rPr>
              <w:t>XJXCT2025-ZB-096</w:t>
            </w:r>
            <w:r>
              <w:rPr>
                <w:rFonts w:hint="eastAsia" w:ascii="仿宋" w:hAnsi="仿宋" w:eastAsia="仿宋" w:cs="仿宋"/>
                <w:color w:val="auto"/>
                <w:sz w:val="21"/>
                <w:szCs w:val="21"/>
                <w:highlight w:val="none"/>
                <w:lang w:eastAsia="zh-CN"/>
              </w:rPr>
              <w:t>；</w:t>
            </w:r>
          </w:p>
          <w:p w14:paraId="4324D382">
            <w:pPr>
              <w:pStyle w:val="37"/>
              <w:numPr>
                <w:ilvl w:val="0"/>
                <w:numId w:val="2"/>
              </w:numPr>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标项名称：新疆维吾尔自治区昌吉某某某单位食材采购项目二标段（副食类），标项编号：</w:t>
            </w:r>
            <w:r>
              <w:rPr>
                <w:rFonts w:hint="eastAsia" w:ascii="仿宋" w:hAnsi="仿宋" w:eastAsia="仿宋" w:cs="仿宋"/>
                <w:color w:val="auto"/>
                <w:sz w:val="21"/>
                <w:szCs w:val="21"/>
                <w:highlight w:val="none"/>
                <w:lang w:eastAsia="zh-CN"/>
              </w:rPr>
              <w:t>XJXCT2025-ZB-097</w:t>
            </w:r>
            <w:r>
              <w:rPr>
                <w:rFonts w:hint="eastAsia" w:ascii="仿宋" w:hAnsi="仿宋" w:eastAsia="仿宋" w:cs="仿宋"/>
                <w:color w:val="auto"/>
                <w:sz w:val="21"/>
                <w:szCs w:val="21"/>
                <w:highlight w:val="none"/>
                <w:lang w:eastAsia="zh-CN"/>
              </w:rPr>
              <w:t>；</w:t>
            </w:r>
          </w:p>
          <w:p w14:paraId="65048F8A">
            <w:pPr>
              <w:pStyle w:val="37"/>
              <w:shd w:val="clear" w:color="auto" w:fill="FFFFFF"/>
              <w:spacing w:line="360" w:lineRule="exact"/>
              <w:ind w:firstLine="0" w:firstLineChars="0"/>
              <w:rPr>
                <w:rFonts w:hint="eastAsia" w:ascii="仿宋" w:hAnsi="仿宋" w:eastAsia="仿宋" w:cs="仿宋"/>
                <w:color w:val="auto"/>
                <w:sz w:val="21"/>
                <w:szCs w:val="21"/>
                <w:highlight w:val="none"/>
                <w:lang w:eastAsia="zh-CN"/>
              </w:rPr>
            </w:pPr>
            <w:r>
              <w:rPr>
                <w:rFonts w:hint="eastAsia" w:ascii="仿宋" w:hAnsi="仿宋" w:eastAsia="仿宋" w:cs="仿宋"/>
                <w:b/>
                <w:bCs/>
                <w:color w:val="auto"/>
                <w:sz w:val="21"/>
                <w:szCs w:val="21"/>
                <w:highlight w:val="none"/>
                <w:lang w:eastAsia="zh-CN"/>
              </w:rPr>
              <w:t>本项目可兼投不可兼中。</w:t>
            </w:r>
          </w:p>
        </w:tc>
      </w:tr>
      <w:tr w14:paraId="08B4DF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4" w:hRule="atLeast"/>
        </w:trPr>
        <w:tc>
          <w:tcPr>
            <w:tcW w:w="9640" w:type="dxa"/>
            <w:gridSpan w:val="3"/>
            <w:vAlign w:val="center"/>
          </w:tcPr>
          <w:p w14:paraId="60B9BC0F">
            <w:pPr>
              <w:pStyle w:val="31"/>
              <w:spacing w:line="40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pacing w:val="10"/>
                <w:sz w:val="21"/>
                <w:szCs w:val="21"/>
                <w:highlight w:val="none"/>
                <w:lang w:eastAsia="zh-CN"/>
              </w:rPr>
              <w:t>备注:</w:t>
            </w:r>
          </w:p>
          <w:p w14:paraId="16052776">
            <w:pPr>
              <w:pStyle w:val="31"/>
              <w:spacing w:line="400" w:lineRule="exact"/>
              <w:ind w:right="-15" w:rightChars="-7"/>
              <w:rPr>
                <w:rFonts w:hint="eastAsia"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1.除本招标文件另有规定外，招标文件中出现的类似于“近三年”或“前三年”、“近五年”或“前五年”均指提交投标文件截止时间之前三年或前五年，以此类推。</w:t>
            </w:r>
          </w:p>
          <w:p w14:paraId="1A1EEF98">
            <w:pPr>
              <w:pStyle w:val="31"/>
              <w:spacing w:line="400" w:lineRule="exact"/>
              <w:ind w:right="-15" w:rightChars="-7"/>
              <w:rPr>
                <w:rFonts w:hint="eastAsia"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如：提交投标文件截止时间为2025年0</w:t>
            </w:r>
            <w:r>
              <w:rPr>
                <w:rFonts w:hint="eastAsia" w:ascii="仿宋" w:hAnsi="仿宋" w:eastAsia="仿宋" w:cs="仿宋"/>
                <w:color w:val="auto"/>
                <w:spacing w:val="10"/>
                <w:sz w:val="21"/>
                <w:szCs w:val="21"/>
                <w:highlight w:val="none"/>
                <w:lang w:val="en-US" w:eastAsia="zh-CN"/>
              </w:rPr>
              <w:t>7</w:t>
            </w:r>
            <w:r>
              <w:rPr>
                <w:rFonts w:hint="eastAsia" w:ascii="仿宋" w:hAnsi="仿宋" w:eastAsia="仿宋" w:cs="仿宋"/>
                <w:color w:val="auto"/>
                <w:spacing w:val="10"/>
                <w:sz w:val="21"/>
                <w:szCs w:val="21"/>
                <w:highlight w:val="none"/>
                <w:lang w:eastAsia="zh-CN"/>
              </w:rPr>
              <w:t>月</w:t>
            </w:r>
            <w:r>
              <w:rPr>
                <w:rFonts w:hint="eastAsia" w:ascii="仿宋" w:hAnsi="仿宋" w:eastAsia="仿宋" w:cs="仿宋"/>
                <w:color w:val="auto"/>
                <w:spacing w:val="10"/>
                <w:sz w:val="21"/>
                <w:szCs w:val="21"/>
                <w:highlight w:val="none"/>
                <w:lang w:val="en-US" w:eastAsia="zh-CN"/>
              </w:rPr>
              <w:t>25</w:t>
            </w:r>
            <w:r>
              <w:rPr>
                <w:rFonts w:hint="eastAsia" w:ascii="仿宋" w:hAnsi="仿宋" w:eastAsia="仿宋" w:cs="仿宋"/>
                <w:color w:val="auto"/>
                <w:spacing w:val="10"/>
                <w:sz w:val="21"/>
                <w:szCs w:val="21"/>
                <w:highlight w:val="none"/>
                <w:lang w:eastAsia="zh-CN"/>
              </w:rPr>
              <w:t>日，则“近三年”是指2022年0</w:t>
            </w:r>
            <w:r>
              <w:rPr>
                <w:rFonts w:hint="eastAsia" w:ascii="仿宋" w:hAnsi="仿宋" w:eastAsia="仿宋" w:cs="仿宋"/>
                <w:color w:val="auto"/>
                <w:spacing w:val="10"/>
                <w:sz w:val="21"/>
                <w:szCs w:val="21"/>
                <w:highlight w:val="none"/>
                <w:lang w:val="en-US" w:eastAsia="zh-CN"/>
              </w:rPr>
              <w:t>7</w:t>
            </w:r>
            <w:r>
              <w:rPr>
                <w:rFonts w:hint="eastAsia" w:ascii="仿宋" w:hAnsi="仿宋" w:eastAsia="仿宋" w:cs="仿宋"/>
                <w:color w:val="auto"/>
                <w:spacing w:val="10"/>
                <w:sz w:val="21"/>
                <w:szCs w:val="21"/>
                <w:highlight w:val="none"/>
                <w:lang w:eastAsia="zh-CN"/>
              </w:rPr>
              <w:t>月</w:t>
            </w:r>
            <w:r>
              <w:rPr>
                <w:rFonts w:hint="eastAsia" w:ascii="仿宋" w:hAnsi="仿宋" w:eastAsia="仿宋" w:cs="仿宋"/>
                <w:color w:val="auto"/>
                <w:spacing w:val="10"/>
                <w:sz w:val="21"/>
                <w:szCs w:val="21"/>
                <w:highlight w:val="none"/>
                <w:lang w:val="en-US" w:eastAsia="zh-CN"/>
              </w:rPr>
              <w:t>25</w:t>
            </w:r>
            <w:r>
              <w:rPr>
                <w:rFonts w:hint="eastAsia" w:ascii="仿宋" w:hAnsi="仿宋" w:eastAsia="仿宋" w:cs="仿宋"/>
                <w:color w:val="auto"/>
                <w:spacing w:val="10"/>
                <w:sz w:val="21"/>
                <w:szCs w:val="21"/>
                <w:highlight w:val="none"/>
                <w:lang w:eastAsia="zh-CN"/>
              </w:rPr>
              <w:t>日至2025年0</w:t>
            </w:r>
            <w:r>
              <w:rPr>
                <w:rFonts w:hint="eastAsia" w:ascii="仿宋" w:hAnsi="仿宋" w:eastAsia="仿宋" w:cs="仿宋"/>
                <w:color w:val="auto"/>
                <w:spacing w:val="10"/>
                <w:sz w:val="21"/>
                <w:szCs w:val="21"/>
                <w:highlight w:val="none"/>
                <w:lang w:val="en-US" w:eastAsia="zh-CN"/>
              </w:rPr>
              <w:t>7</w:t>
            </w:r>
            <w:r>
              <w:rPr>
                <w:rFonts w:hint="eastAsia" w:ascii="仿宋" w:hAnsi="仿宋" w:eastAsia="仿宋" w:cs="仿宋"/>
                <w:color w:val="auto"/>
                <w:spacing w:val="10"/>
                <w:sz w:val="21"/>
                <w:szCs w:val="21"/>
                <w:highlight w:val="none"/>
                <w:lang w:eastAsia="zh-CN"/>
              </w:rPr>
              <w:t>月</w:t>
            </w:r>
            <w:r>
              <w:rPr>
                <w:rFonts w:hint="eastAsia" w:ascii="仿宋" w:hAnsi="仿宋" w:eastAsia="仿宋" w:cs="仿宋"/>
                <w:color w:val="auto"/>
                <w:spacing w:val="10"/>
                <w:sz w:val="21"/>
                <w:szCs w:val="21"/>
                <w:highlight w:val="none"/>
                <w:lang w:val="en-US" w:eastAsia="zh-CN"/>
              </w:rPr>
              <w:t>24</w:t>
            </w:r>
            <w:r>
              <w:rPr>
                <w:rFonts w:hint="eastAsia" w:ascii="仿宋" w:hAnsi="仿宋" w:eastAsia="仿宋" w:cs="仿宋"/>
                <w:color w:val="auto"/>
                <w:spacing w:val="10"/>
                <w:sz w:val="21"/>
                <w:szCs w:val="21"/>
                <w:highlight w:val="none"/>
                <w:lang w:eastAsia="zh-CN"/>
              </w:rPr>
              <w:t>日。</w:t>
            </w:r>
          </w:p>
          <w:p w14:paraId="44B10A25">
            <w:pPr>
              <w:pStyle w:val="31"/>
              <w:numPr>
                <w:ilvl w:val="0"/>
                <w:numId w:val="3"/>
              </w:numPr>
              <w:spacing w:line="400" w:lineRule="exact"/>
              <w:ind w:right="-15" w:rightChars="-7"/>
              <w:rPr>
                <w:rFonts w:hint="eastAsia" w:ascii="仿宋" w:hAnsi="仿宋" w:eastAsia="仿宋" w:cs="仿宋"/>
                <w:color w:val="auto"/>
                <w:spacing w:val="10"/>
                <w:sz w:val="21"/>
                <w:szCs w:val="21"/>
                <w:highlight w:val="none"/>
                <w:lang w:eastAsia="zh-CN"/>
              </w:rPr>
            </w:pPr>
            <w:r>
              <w:rPr>
                <w:rFonts w:hint="eastAsia" w:ascii="仿宋" w:hAnsi="仿宋" w:eastAsia="仿宋" w:cs="仿宋"/>
                <w:color w:val="auto"/>
                <w:spacing w:val="10"/>
                <w:sz w:val="21"/>
                <w:szCs w:val="21"/>
                <w:highlight w:val="none"/>
                <w:lang w:eastAsia="zh-CN"/>
              </w:rPr>
              <w:t>本招标文件所称的“以上”、“以下”、“内”、“以内”，包括本数；所称的“不足”，不包括本数。</w:t>
            </w:r>
          </w:p>
          <w:p w14:paraId="2AEB5061">
            <w:pPr>
              <w:pStyle w:val="31"/>
              <w:numPr>
                <w:ilvl w:val="0"/>
                <w:numId w:val="3"/>
              </w:numPr>
              <w:spacing w:line="400" w:lineRule="exact"/>
              <w:ind w:right="-15" w:rightChars="-7"/>
              <w:rPr>
                <w:rFonts w:hint="eastAsia" w:ascii="仿宋" w:hAnsi="仿宋" w:eastAsia="仿宋" w:cs="仿宋"/>
                <w:color w:val="auto"/>
                <w:spacing w:val="10"/>
                <w:sz w:val="21"/>
                <w:szCs w:val="21"/>
                <w:highlight w:val="none"/>
                <w:lang w:eastAsia="zh-CN"/>
              </w:rPr>
            </w:pPr>
            <w:r>
              <w:rPr>
                <w:rFonts w:hint="eastAsia" w:ascii="仿宋" w:hAnsi="仿宋" w:eastAsia="仿宋" w:cs="仿宋"/>
                <w:b/>
                <w:bCs/>
                <w:color w:val="auto"/>
                <w:spacing w:val="10"/>
                <w:sz w:val="21"/>
                <w:szCs w:val="21"/>
                <w:highlight w:val="none"/>
                <w:lang w:eastAsia="zh-CN"/>
              </w:rPr>
              <w:t>投标须知正文内容与投标人须知前附表内容不一致时，以投标人须知前附表内容为准。</w:t>
            </w:r>
          </w:p>
        </w:tc>
      </w:tr>
    </w:tbl>
    <w:p w14:paraId="7C9F1C2A">
      <w:pPr>
        <w:rPr>
          <w:rFonts w:hint="eastAsia" w:ascii="仿宋" w:hAnsi="仿宋" w:eastAsia="仿宋" w:cs="仿宋"/>
          <w:color w:val="auto"/>
          <w:highlight w:val="none"/>
          <w:lang w:eastAsia="zh-CN"/>
        </w:rPr>
      </w:pPr>
    </w:p>
    <w:p w14:paraId="1D44C3D5">
      <w:pPr>
        <w:pageBreakBefore/>
        <w:spacing w:line="360" w:lineRule="auto"/>
        <w:ind w:left="28" w:right="-27" w:rightChars="-13"/>
        <w:jc w:val="center"/>
        <w:outlineLvl w:val="1"/>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5"/>
          <w:sz w:val="24"/>
          <w:szCs w:val="24"/>
          <w:highlight w:val="none"/>
          <w:lang w:eastAsia="zh-CN"/>
        </w:rPr>
        <w:t>二、投标人须知</w:t>
      </w:r>
      <w:bookmarkEnd w:id="15"/>
    </w:p>
    <w:p w14:paraId="4D62E703">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7" w:name="bookmark23"/>
      <w:bookmarkEnd w:id="17"/>
      <w:bookmarkStart w:id="18" w:name="bookmark24"/>
      <w:bookmarkEnd w:id="18"/>
      <w:bookmarkStart w:id="19" w:name="_Toc29827"/>
      <w:bookmarkStart w:id="20" w:name="_Toc186477687"/>
      <w:r>
        <w:rPr>
          <w:rFonts w:hint="eastAsia" w:ascii="仿宋" w:hAnsi="仿宋" w:eastAsia="仿宋" w:cs="仿宋"/>
          <w:b/>
          <w:bCs/>
          <w:color w:val="auto"/>
          <w:spacing w:val="-8"/>
          <w:sz w:val="24"/>
          <w:szCs w:val="24"/>
          <w:highlight w:val="none"/>
          <w:lang w:eastAsia="zh-CN"/>
        </w:rPr>
        <w:t>（一）总则</w:t>
      </w:r>
      <w:bookmarkEnd w:id="19"/>
      <w:bookmarkEnd w:id="20"/>
    </w:p>
    <w:p w14:paraId="6491E4F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1" w:name="bookmark25"/>
      <w:bookmarkEnd w:id="21"/>
      <w:bookmarkStart w:id="22" w:name="bookmark26"/>
      <w:bookmarkEnd w:id="22"/>
      <w:bookmarkStart w:id="23" w:name="_Toc186477688"/>
      <w:bookmarkStart w:id="24" w:name="_Toc32372"/>
      <w:r>
        <w:rPr>
          <w:rFonts w:hint="eastAsia" w:ascii="仿宋" w:hAnsi="仿宋" w:eastAsia="仿宋" w:cs="仿宋"/>
          <w:b/>
          <w:bCs/>
          <w:color w:val="auto"/>
          <w:spacing w:val="-8"/>
          <w:sz w:val="24"/>
          <w:szCs w:val="24"/>
          <w:highlight w:val="none"/>
          <w:lang w:eastAsia="zh-CN"/>
        </w:rPr>
        <w:t>1.适用范围</w:t>
      </w:r>
      <w:bookmarkEnd w:id="23"/>
      <w:bookmarkEnd w:id="24"/>
    </w:p>
    <w:p w14:paraId="68C623A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1.1本招标文件仅适用于本项目的采购活动。</w:t>
      </w:r>
    </w:p>
    <w:p w14:paraId="66200E5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5" w:name="bookmark27"/>
      <w:bookmarkEnd w:id="25"/>
      <w:bookmarkStart w:id="26" w:name="bookmark28"/>
      <w:bookmarkEnd w:id="26"/>
      <w:bookmarkStart w:id="27" w:name="_Toc186477689"/>
      <w:bookmarkStart w:id="28" w:name="_Toc18552"/>
      <w:r>
        <w:rPr>
          <w:rFonts w:hint="eastAsia" w:ascii="仿宋" w:hAnsi="仿宋" w:eastAsia="仿宋" w:cs="仿宋"/>
          <w:b/>
          <w:bCs/>
          <w:color w:val="auto"/>
          <w:spacing w:val="-5"/>
          <w:sz w:val="24"/>
          <w:szCs w:val="24"/>
          <w:highlight w:val="none"/>
          <w:lang w:eastAsia="zh-CN"/>
        </w:rPr>
        <w:t>2.基本定义</w:t>
      </w:r>
      <w:bookmarkEnd w:id="27"/>
      <w:bookmarkEnd w:id="28"/>
    </w:p>
    <w:p w14:paraId="1B15E3C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2.1根据《中华人民共和国政府采购法》及其实施条例等有关法律、法规和</w:t>
      </w:r>
      <w:r>
        <w:rPr>
          <w:rFonts w:hint="eastAsia" w:ascii="仿宋" w:hAnsi="仿宋" w:eastAsia="仿宋" w:cs="仿宋"/>
          <w:color w:val="auto"/>
          <w:spacing w:val="-1"/>
          <w:sz w:val="24"/>
          <w:szCs w:val="24"/>
          <w:highlight w:val="none"/>
          <w:lang w:eastAsia="zh-CN"/>
        </w:rPr>
        <w:t>规章的规定，制定本招标文件。</w:t>
      </w:r>
    </w:p>
    <w:p w14:paraId="506A1C3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2.2采购人：指依法进行政府采购的国家机关、事业单位、团体组织。</w:t>
      </w:r>
    </w:p>
    <w:p w14:paraId="07723A9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2.3采购代理机构：指依法进行政府采购的国家机关、事业单位、团体组织</w:t>
      </w:r>
      <w:r>
        <w:rPr>
          <w:rFonts w:hint="eastAsia" w:ascii="仿宋" w:hAnsi="仿宋" w:eastAsia="仿宋" w:cs="仿宋"/>
          <w:color w:val="auto"/>
          <w:spacing w:val="-1"/>
          <w:sz w:val="24"/>
          <w:szCs w:val="24"/>
          <w:highlight w:val="none"/>
          <w:lang w:eastAsia="zh-CN"/>
        </w:rPr>
        <w:t>委托的采购代理机构。</w:t>
      </w:r>
    </w:p>
    <w:p w14:paraId="01845AC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2.4政府采购监督管理部门：各级人民政府财政部门是负责政府采购监督管</w:t>
      </w:r>
      <w:r>
        <w:rPr>
          <w:rFonts w:hint="eastAsia" w:ascii="仿宋" w:hAnsi="仿宋" w:eastAsia="仿宋" w:cs="仿宋"/>
          <w:color w:val="auto"/>
          <w:spacing w:val="-3"/>
          <w:sz w:val="24"/>
          <w:szCs w:val="24"/>
          <w:highlight w:val="none"/>
          <w:lang w:eastAsia="zh-CN"/>
        </w:rPr>
        <w:t>理的部门，依法履行对政府采购活动的监督管理职责。各级人民政府其他有</w:t>
      </w:r>
      <w:r>
        <w:rPr>
          <w:rFonts w:hint="eastAsia" w:ascii="仿宋" w:hAnsi="仿宋" w:eastAsia="仿宋" w:cs="仿宋"/>
          <w:color w:val="auto"/>
          <w:spacing w:val="-4"/>
          <w:sz w:val="24"/>
          <w:szCs w:val="24"/>
          <w:highlight w:val="none"/>
          <w:lang w:eastAsia="zh-CN"/>
        </w:rPr>
        <w:t>关部</w:t>
      </w:r>
      <w:r>
        <w:rPr>
          <w:rFonts w:hint="eastAsia" w:ascii="仿宋" w:hAnsi="仿宋" w:eastAsia="仿宋" w:cs="仿宋"/>
          <w:color w:val="auto"/>
          <w:spacing w:val="-1"/>
          <w:sz w:val="24"/>
          <w:szCs w:val="24"/>
          <w:highlight w:val="none"/>
          <w:lang w:eastAsia="zh-CN"/>
        </w:rPr>
        <w:t>门依法履行与政府采购活动有关的监督管理职责。</w:t>
      </w:r>
    </w:p>
    <w:p w14:paraId="0FF76AF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 核心产品见“投标人须知前附表”。</w:t>
      </w:r>
    </w:p>
    <w:p w14:paraId="086D428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2.6是否属于科研仪器设备采购见“投标人须知前附表”。</w:t>
      </w:r>
    </w:p>
    <w:p w14:paraId="2447EF4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2.7投标人（也称“供应商”、“申请人”</w:t>
      </w:r>
      <w:r>
        <w:rPr>
          <w:rFonts w:hint="eastAsia" w:ascii="仿宋" w:hAnsi="仿宋" w:eastAsia="仿宋" w:cs="仿宋"/>
          <w:color w:val="auto"/>
          <w:spacing w:val="-15"/>
          <w:sz w:val="24"/>
          <w:szCs w:val="24"/>
          <w:highlight w:val="none"/>
          <w:lang w:eastAsia="zh-CN"/>
        </w:rPr>
        <w:t>）：</w:t>
      </w:r>
      <w:r>
        <w:rPr>
          <w:rFonts w:hint="eastAsia" w:ascii="仿宋" w:hAnsi="仿宋" w:eastAsia="仿宋" w:cs="仿宋"/>
          <w:color w:val="auto"/>
          <w:spacing w:val="-4"/>
          <w:sz w:val="24"/>
          <w:szCs w:val="24"/>
          <w:highlight w:val="none"/>
          <w:lang w:eastAsia="zh-CN"/>
        </w:rPr>
        <w:t>指向采购人提</w:t>
      </w:r>
      <w:r>
        <w:rPr>
          <w:rFonts w:hint="eastAsia" w:ascii="仿宋" w:hAnsi="仿宋" w:eastAsia="仿宋" w:cs="仿宋"/>
          <w:color w:val="auto"/>
          <w:spacing w:val="-5"/>
          <w:sz w:val="24"/>
          <w:szCs w:val="24"/>
          <w:highlight w:val="none"/>
          <w:lang w:eastAsia="zh-CN"/>
        </w:rPr>
        <w:t>供货物、工程</w:t>
      </w:r>
      <w:r>
        <w:rPr>
          <w:rFonts w:hint="eastAsia" w:ascii="仿宋" w:hAnsi="仿宋" w:eastAsia="仿宋" w:cs="仿宋"/>
          <w:color w:val="auto"/>
          <w:spacing w:val="-3"/>
          <w:sz w:val="24"/>
          <w:szCs w:val="24"/>
          <w:highlight w:val="none"/>
          <w:lang w:eastAsia="zh-CN"/>
        </w:rPr>
        <w:t>或者服务的法人、其他组织或者自然人。分支机构不得参加政府采购活动，但银行、保险、石油石化、电力、电信等有行业特殊情况的除外。本项目的投标人须</w:t>
      </w:r>
      <w:r>
        <w:rPr>
          <w:rFonts w:hint="eastAsia" w:ascii="仿宋" w:hAnsi="仿宋" w:eastAsia="仿宋" w:cs="仿宋"/>
          <w:color w:val="auto"/>
          <w:spacing w:val="-2"/>
          <w:sz w:val="24"/>
          <w:szCs w:val="24"/>
          <w:highlight w:val="none"/>
          <w:lang w:eastAsia="zh-CN"/>
        </w:rPr>
        <w:t>满足以下条件：</w:t>
      </w:r>
    </w:p>
    <w:p w14:paraId="2B1F83D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2.7.1具备《中华人民共和国政府采购法》第二十二条规定的条件，遵守本</w:t>
      </w:r>
      <w:r>
        <w:rPr>
          <w:rFonts w:hint="eastAsia" w:ascii="仿宋" w:hAnsi="仿宋" w:eastAsia="仿宋" w:cs="仿宋"/>
          <w:color w:val="auto"/>
          <w:spacing w:val="-1"/>
          <w:sz w:val="24"/>
          <w:szCs w:val="24"/>
          <w:highlight w:val="none"/>
          <w:lang w:eastAsia="zh-CN"/>
        </w:rPr>
        <w:t>项目采购人本级和上级财政部门政府采购的有关规定。</w:t>
      </w:r>
    </w:p>
    <w:p w14:paraId="11BE3CD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2.7.2以招标公告中发布的方式依法获得了本项目的招标文件。</w:t>
      </w:r>
    </w:p>
    <w:p w14:paraId="56DC449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2.7.3符合本招标文件规定并参加投标的供应商。</w:t>
      </w:r>
    </w:p>
    <w:p w14:paraId="32D3191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2.8潜在投标人、潜在供应商：指符合本招标文件规定的供应商。</w:t>
      </w:r>
    </w:p>
    <w:p w14:paraId="02B8C7FC">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9" w:name="bookmark30"/>
      <w:bookmarkEnd w:id="29"/>
      <w:bookmarkStart w:id="30" w:name="bookmark29"/>
      <w:bookmarkEnd w:id="30"/>
      <w:bookmarkStart w:id="31" w:name="_Toc14866"/>
      <w:bookmarkStart w:id="32" w:name="_Toc186477690"/>
      <w:r>
        <w:rPr>
          <w:rFonts w:hint="eastAsia" w:ascii="仿宋" w:hAnsi="仿宋" w:eastAsia="仿宋" w:cs="仿宋"/>
          <w:b/>
          <w:bCs/>
          <w:color w:val="auto"/>
          <w:spacing w:val="-6"/>
          <w:sz w:val="24"/>
          <w:szCs w:val="24"/>
          <w:highlight w:val="none"/>
          <w:lang w:eastAsia="zh-CN"/>
        </w:rPr>
        <w:t>3.资金来源</w:t>
      </w:r>
      <w:bookmarkEnd w:id="31"/>
      <w:bookmarkEnd w:id="32"/>
    </w:p>
    <w:p w14:paraId="0CE81856">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3.1资金来源：为财政性资金即纳入预算管理的资金。以财政性资金作为还款来源的借贷资金，视同财政性资金。财政性资金与非财政性资金无法分割采购的，统一适用《中华人民共和国政府采购法》及其实施条例。</w:t>
      </w:r>
    </w:p>
    <w:p w14:paraId="534D529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33" w:name="bookmark32"/>
      <w:bookmarkEnd w:id="33"/>
      <w:bookmarkStart w:id="34" w:name="bookmark31"/>
      <w:bookmarkEnd w:id="34"/>
      <w:bookmarkStart w:id="35" w:name="_Toc186477691"/>
      <w:bookmarkStart w:id="36" w:name="_Toc8381"/>
      <w:r>
        <w:rPr>
          <w:rFonts w:hint="eastAsia" w:ascii="仿宋" w:hAnsi="仿宋" w:eastAsia="仿宋" w:cs="仿宋"/>
          <w:b/>
          <w:bCs/>
          <w:color w:val="auto"/>
          <w:spacing w:val="-4"/>
          <w:sz w:val="24"/>
          <w:szCs w:val="24"/>
          <w:highlight w:val="none"/>
          <w:lang w:eastAsia="zh-CN"/>
        </w:rPr>
        <w:t>4.投标人资格要求</w:t>
      </w:r>
      <w:bookmarkEnd w:id="35"/>
      <w:bookmarkEnd w:id="36"/>
    </w:p>
    <w:p w14:paraId="2D28BE6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4.1投标人资格要求：见“第一章 招标公告”；</w:t>
      </w:r>
    </w:p>
    <w:p w14:paraId="5074FC5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4.2“第一章 招标公告”规定接受联合体投标的，</w:t>
      </w:r>
      <w:r>
        <w:rPr>
          <w:rFonts w:hint="eastAsia" w:ascii="仿宋" w:hAnsi="仿宋" w:eastAsia="仿宋" w:cs="仿宋"/>
          <w:color w:val="auto"/>
          <w:spacing w:val="-2"/>
          <w:sz w:val="24"/>
          <w:szCs w:val="24"/>
          <w:highlight w:val="none"/>
          <w:lang w:eastAsia="zh-CN"/>
        </w:rPr>
        <w:t>还应遵守以下规定：</w:t>
      </w:r>
    </w:p>
    <w:p w14:paraId="6C16E6F0">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4.2.1两个以上的自然人、法人或者其他组织可以组成一个联合体，以一个</w:t>
      </w:r>
      <w:r>
        <w:rPr>
          <w:rFonts w:hint="eastAsia" w:ascii="仿宋" w:hAnsi="仿宋" w:eastAsia="仿宋" w:cs="仿宋"/>
          <w:color w:val="auto"/>
          <w:spacing w:val="-3"/>
          <w:sz w:val="24"/>
          <w:szCs w:val="24"/>
          <w:highlight w:val="none"/>
          <w:lang w:eastAsia="zh-CN"/>
        </w:rPr>
        <w:t>投标人的身份共同参加政府采购。以联合体形式进行政府采购的，参加联合体的</w:t>
      </w:r>
      <w:r>
        <w:rPr>
          <w:rFonts w:hint="eastAsia" w:ascii="仿宋" w:hAnsi="仿宋" w:eastAsia="仿宋" w:cs="仿宋"/>
          <w:color w:val="auto"/>
          <w:sz w:val="24"/>
          <w:szCs w:val="24"/>
          <w:highlight w:val="none"/>
          <w:lang w:eastAsia="zh-CN"/>
        </w:rPr>
        <w:t>供应商均应当具备《中华人民共和国政府采购法》</w:t>
      </w:r>
      <w:r>
        <w:rPr>
          <w:rFonts w:hint="eastAsia" w:ascii="仿宋" w:hAnsi="仿宋" w:eastAsia="仿宋" w:cs="仿宋"/>
          <w:color w:val="auto"/>
          <w:spacing w:val="-1"/>
          <w:sz w:val="24"/>
          <w:szCs w:val="24"/>
          <w:highlight w:val="none"/>
          <w:lang w:eastAsia="zh-CN"/>
        </w:rPr>
        <w:t>第二十二条规定的条件。</w:t>
      </w:r>
    </w:p>
    <w:p w14:paraId="396FE92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4.2.2联合体各方应按招标文件提供的格式签订联合体协议书，明确约定联</w:t>
      </w:r>
      <w:r>
        <w:rPr>
          <w:rFonts w:hint="eastAsia" w:ascii="仿宋" w:hAnsi="仿宋" w:eastAsia="仿宋" w:cs="仿宋"/>
          <w:color w:val="auto"/>
          <w:spacing w:val="-3"/>
          <w:sz w:val="24"/>
          <w:szCs w:val="24"/>
          <w:highlight w:val="none"/>
          <w:lang w:eastAsia="zh-CN"/>
        </w:rPr>
        <w:t>合体各方承担的工作和相应的责任，并将联合体协议书作为投标文件的一部分提</w:t>
      </w:r>
      <w:r>
        <w:rPr>
          <w:rFonts w:hint="eastAsia" w:ascii="仿宋" w:hAnsi="仿宋" w:eastAsia="仿宋" w:cs="仿宋"/>
          <w:color w:val="auto"/>
          <w:spacing w:val="-1"/>
          <w:sz w:val="24"/>
          <w:szCs w:val="24"/>
          <w:highlight w:val="none"/>
          <w:lang w:eastAsia="zh-CN"/>
        </w:rPr>
        <w:t>交，该协议书对联合体所有成员均具有法律约束力。</w:t>
      </w:r>
    </w:p>
    <w:p w14:paraId="5EFE04C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4.2.3联合体中有同类资质的供应商按照联合体分工承担相同工作的，应当</w:t>
      </w:r>
      <w:r>
        <w:rPr>
          <w:rFonts w:hint="eastAsia" w:ascii="仿宋" w:hAnsi="仿宋" w:eastAsia="仿宋" w:cs="仿宋"/>
          <w:color w:val="auto"/>
          <w:spacing w:val="-1"/>
          <w:sz w:val="24"/>
          <w:szCs w:val="24"/>
          <w:highlight w:val="none"/>
          <w:lang w:eastAsia="zh-CN"/>
        </w:rPr>
        <w:t>按照资质等级较低的供应商确定资质等级。</w:t>
      </w:r>
    </w:p>
    <w:p w14:paraId="0ED72C7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4.2.4以联合体形式参加政府采购活动的，联合体各</w:t>
      </w:r>
      <w:r>
        <w:rPr>
          <w:rFonts w:hint="eastAsia" w:ascii="仿宋" w:hAnsi="仿宋" w:eastAsia="仿宋" w:cs="仿宋"/>
          <w:color w:val="auto"/>
          <w:spacing w:val="-3"/>
          <w:sz w:val="24"/>
          <w:szCs w:val="24"/>
          <w:highlight w:val="none"/>
          <w:lang w:eastAsia="zh-CN"/>
        </w:rPr>
        <w:t>方不得再单独参加或者与其他供应商另外组成联合体参加同一合同项下的投标，否则相关投标将被</w:t>
      </w:r>
      <w:r>
        <w:rPr>
          <w:rFonts w:hint="eastAsia" w:ascii="仿宋" w:hAnsi="仿宋" w:eastAsia="仿宋" w:cs="仿宋"/>
          <w:color w:val="auto"/>
          <w:spacing w:val="-4"/>
          <w:sz w:val="24"/>
          <w:szCs w:val="24"/>
          <w:highlight w:val="none"/>
          <w:lang w:eastAsia="zh-CN"/>
        </w:rPr>
        <w:t>认定为</w:t>
      </w:r>
      <w:r>
        <w:rPr>
          <w:rFonts w:hint="eastAsia" w:ascii="仿宋" w:hAnsi="仿宋" w:eastAsia="仿宋" w:cs="仿宋"/>
          <w:b/>
          <w:bCs/>
          <w:color w:val="auto"/>
          <w:spacing w:val="-4"/>
          <w:sz w:val="24"/>
          <w:szCs w:val="24"/>
          <w:highlight w:val="none"/>
          <w:lang w:eastAsia="zh-CN"/>
        </w:rPr>
        <w:t>投标无效</w:t>
      </w:r>
      <w:r>
        <w:rPr>
          <w:rFonts w:hint="eastAsia" w:ascii="仿宋" w:hAnsi="仿宋" w:eastAsia="仿宋" w:cs="仿宋"/>
          <w:color w:val="auto"/>
          <w:spacing w:val="-4"/>
          <w:sz w:val="24"/>
          <w:szCs w:val="24"/>
          <w:highlight w:val="none"/>
          <w:lang w:eastAsia="zh-CN"/>
        </w:rPr>
        <w:t>。</w:t>
      </w:r>
    </w:p>
    <w:p w14:paraId="79391B6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4.2.5大中型企业、其他自然人、法人或者非法人组织与小型、微型企业组</w:t>
      </w:r>
      <w:r>
        <w:rPr>
          <w:rFonts w:hint="eastAsia" w:ascii="仿宋" w:hAnsi="仿宋" w:eastAsia="仿宋" w:cs="仿宋"/>
          <w:color w:val="auto"/>
          <w:spacing w:val="-3"/>
          <w:sz w:val="24"/>
          <w:szCs w:val="24"/>
          <w:highlight w:val="none"/>
          <w:lang w:eastAsia="zh-CN"/>
        </w:rPr>
        <w:t>成联合体共同参加投标的，联合体协议书中应写明小型、微型企业的合同金额占</w:t>
      </w:r>
      <w:r>
        <w:rPr>
          <w:rFonts w:hint="eastAsia" w:ascii="仿宋" w:hAnsi="仿宋" w:eastAsia="仿宋" w:cs="仿宋"/>
          <w:color w:val="auto"/>
          <w:spacing w:val="-1"/>
          <w:sz w:val="24"/>
          <w:szCs w:val="24"/>
          <w:highlight w:val="none"/>
          <w:lang w:eastAsia="zh-CN"/>
        </w:rPr>
        <w:t>到联合体投标合同总金额的比例。</w:t>
      </w:r>
    </w:p>
    <w:p w14:paraId="2D35305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4.2.6 联合体中标的，采购合同应由联合体各成员的合法授权代表签字及加</w:t>
      </w:r>
      <w:r>
        <w:rPr>
          <w:rFonts w:hint="eastAsia" w:ascii="仿宋" w:hAnsi="仿宋" w:eastAsia="仿宋" w:cs="仿宋"/>
          <w:color w:val="auto"/>
          <w:spacing w:val="-3"/>
          <w:sz w:val="24"/>
          <w:szCs w:val="24"/>
          <w:highlight w:val="none"/>
          <w:lang w:eastAsia="zh-CN"/>
        </w:rPr>
        <w:t>盖联合体各成员公章，并对联合体成员作为整体和他们各自作为独立体均具有法律约束力，但若该签字或公章不齐全或缺乏，该联合体的牵头人的签署或类似的意思表示人具有代表该联合体的签署或意思表示的法律效力，并且据此各成员为</w:t>
      </w:r>
      <w:r>
        <w:rPr>
          <w:rFonts w:hint="eastAsia" w:ascii="仿宋" w:hAnsi="仿宋" w:eastAsia="仿宋" w:cs="仿宋"/>
          <w:color w:val="auto"/>
          <w:spacing w:val="-1"/>
          <w:sz w:val="24"/>
          <w:szCs w:val="24"/>
          <w:highlight w:val="none"/>
          <w:lang w:eastAsia="zh-CN"/>
        </w:rPr>
        <w:t>履行合同应向采购人与采购代理机构承担连带责任。</w:t>
      </w:r>
    </w:p>
    <w:p w14:paraId="60F4309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4.2.7 联合体或其成员不得将其在合同项下的权利或义务全部或部分转让</w:t>
      </w:r>
      <w:r>
        <w:rPr>
          <w:rFonts w:hint="eastAsia" w:ascii="仿宋" w:hAnsi="仿宋" w:eastAsia="仿宋" w:cs="仿宋"/>
          <w:color w:val="auto"/>
          <w:spacing w:val="-7"/>
          <w:sz w:val="24"/>
          <w:szCs w:val="24"/>
          <w:highlight w:val="none"/>
          <w:lang w:eastAsia="zh-CN"/>
        </w:rPr>
        <w:t>给第三人，有关分包事项须事先取得采购人书面同意</w:t>
      </w:r>
      <w:r>
        <w:rPr>
          <w:rFonts w:hint="eastAsia" w:ascii="仿宋" w:hAnsi="仿宋" w:eastAsia="仿宋" w:cs="仿宋"/>
          <w:color w:val="auto"/>
          <w:spacing w:val="-8"/>
          <w:sz w:val="24"/>
          <w:szCs w:val="24"/>
          <w:highlight w:val="none"/>
          <w:lang w:eastAsia="zh-CN"/>
        </w:rPr>
        <w:t>并且须遵守相关法律、法规、</w:t>
      </w:r>
      <w:r>
        <w:rPr>
          <w:rFonts w:hint="eastAsia" w:ascii="仿宋" w:hAnsi="仿宋" w:eastAsia="仿宋" w:cs="仿宋"/>
          <w:color w:val="auto"/>
          <w:spacing w:val="-1"/>
          <w:sz w:val="24"/>
          <w:szCs w:val="24"/>
          <w:highlight w:val="none"/>
          <w:lang w:eastAsia="zh-CN"/>
        </w:rPr>
        <w:t>本次招标的全部相关规定。</w:t>
      </w:r>
    </w:p>
    <w:p w14:paraId="12E1501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4.2.8 对联合体投标的其他资格要求见“</w:t>
      </w:r>
      <w:r>
        <w:rPr>
          <w:rFonts w:hint="eastAsia" w:ascii="仿宋" w:hAnsi="仿宋" w:eastAsia="仿宋" w:cs="仿宋"/>
          <w:color w:val="auto"/>
          <w:spacing w:val="-2"/>
          <w:sz w:val="24"/>
          <w:szCs w:val="24"/>
          <w:highlight w:val="none"/>
          <w:lang w:eastAsia="zh-CN"/>
        </w:rPr>
        <w:t>第一章 招标公告”中的“二、申</w:t>
      </w:r>
      <w:r>
        <w:rPr>
          <w:rFonts w:hint="eastAsia" w:ascii="仿宋" w:hAnsi="仿宋" w:eastAsia="仿宋" w:cs="仿宋"/>
          <w:color w:val="auto"/>
          <w:spacing w:val="-1"/>
          <w:sz w:val="24"/>
          <w:szCs w:val="24"/>
          <w:highlight w:val="none"/>
          <w:lang w:eastAsia="zh-CN"/>
        </w:rPr>
        <w:t>请人的资格要求”。</w:t>
      </w:r>
    </w:p>
    <w:p w14:paraId="629DCAED">
      <w:pPr>
        <w:spacing w:line="360" w:lineRule="auto"/>
        <w:ind w:left="31" w:right="-27" w:rightChars="-13"/>
        <w:outlineLvl w:val="2"/>
        <w:rPr>
          <w:rFonts w:hint="eastAsia" w:ascii="仿宋" w:hAnsi="仿宋" w:eastAsia="仿宋" w:cs="仿宋"/>
          <w:color w:val="auto"/>
          <w:sz w:val="24"/>
          <w:szCs w:val="24"/>
          <w:highlight w:val="none"/>
          <w:lang w:eastAsia="zh-CN"/>
        </w:rPr>
      </w:pPr>
      <w:bookmarkStart w:id="37" w:name="bookmark33"/>
      <w:bookmarkEnd w:id="37"/>
      <w:bookmarkStart w:id="38" w:name="bookmark34"/>
      <w:bookmarkEnd w:id="38"/>
      <w:bookmarkStart w:id="39" w:name="_Toc31491"/>
      <w:bookmarkStart w:id="40" w:name="_Toc186477692"/>
      <w:r>
        <w:rPr>
          <w:rFonts w:hint="eastAsia" w:ascii="仿宋" w:hAnsi="仿宋" w:eastAsia="仿宋" w:cs="仿宋"/>
          <w:b/>
          <w:bCs/>
          <w:color w:val="auto"/>
          <w:spacing w:val="-6"/>
          <w:sz w:val="24"/>
          <w:szCs w:val="24"/>
          <w:highlight w:val="none"/>
          <w:lang w:eastAsia="zh-CN"/>
        </w:rPr>
        <w:t>5.费用承担</w:t>
      </w:r>
      <w:bookmarkEnd w:id="39"/>
      <w:bookmarkEnd w:id="40"/>
    </w:p>
    <w:p w14:paraId="196F3A73">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5.1不论投标的结果如何，投标人应承担所有与准备和参加投标有关的费用。</w:t>
      </w:r>
    </w:p>
    <w:p w14:paraId="09E02C6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41" w:name="bookmark36"/>
      <w:bookmarkEnd w:id="41"/>
      <w:bookmarkStart w:id="42" w:name="bookmark35"/>
      <w:bookmarkEnd w:id="42"/>
      <w:bookmarkStart w:id="43" w:name="_Toc16206"/>
      <w:bookmarkStart w:id="44" w:name="_Toc186477693"/>
      <w:r>
        <w:rPr>
          <w:rFonts w:hint="eastAsia" w:ascii="仿宋" w:hAnsi="仿宋" w:eastAsia="仿宋" w:cs="仿宋"/>
          <w:b/>
          <w:bCs/>
          <w:color w:val="auto"/>
          <w:spacing w:val="-6"/>
          <w:sz w:val="24"/>
          <w:szCs w:val="24"/>
          <w:highlight w:val="none"/>
          <w:lang w:eastAsia="zh-CN"/>
        </w:rPr>
        <w:t>6.保密</w:t>
      </w:r>
      <w:bookmarkEnd w:id="43"/>
      <w:bookmarkEnd w:id="44"/>
    </w:p>
    <w:p w14:paraId="7D9BCAF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 参与招标投标活动的各方应对招标文件</w:t>
      </w:r>
      <w:r>
        <w:rPr>
          <w:rFonts w:hint="eastAsia" w:ascii="仿宋" w:hAnsi="仿宋" w:eastAsia="仿宋" w:cs="仿宋"/>
          <w:color w:val="auto"/>
          <w:spacing w:val="-1"/>
          <w:sz w:val="24"/>
          <w:szCs w:val="24"/>
          <w:highlight w:val="none"/>
          <w:lang w:eastAsia="zh-CN"/>
        </w:rPr>
        <w:t>和投标文件中的商业和技术等秘密保密，否则应承担相应的法律责任。</w:t>
      </w:r>
    </w:p>
    <w:p w14:paraId="4FD7ED9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6.2 投标人自领取招标文件之日起，须承担本招标项目保密义务，不得将因</w:t>
      </w:r>
      <w:r>
        <w:rPr>
          <w:rFonts w:hint="eastAsia" w:ascii="仿宋" w:hAnsi="仿宋" w:eastAsia="仿宋" w:cs="仿宋"/>
          <w:color w:val="auto"/>
          <w:spacing w:val="-1"/>
          <w:sz w:val="24"/>
          <w:szCs w:val="24"/>
          <w:highlight w:val="none"/>
          <w:lang w:eastAsia="zh-CN"/>
        </w:rPr>
        <w:t>本次招标获得的信息向第三人外传。由采购人向投标人提供的图纸、详细资料、</w:t>
      </w:r>
      <w:r>
        <w:rPr>
          <w:rFonts w:hint="eastAsia" w:ascii="仿宋" w:hAnsi="仿宋" w:eastAsia="仿宋" w:cs="仿宋"/>
          <w:color w:val="auto"/>
          <w:spacing w:val="-7"/>
          <w:sz w:val="24"/>
          <w:szCs w:val="24"/>
          <w:highlight w:val="none"/>
          <w:lang w:eastAsia="zh-CN"/>
        </w:rPr>
        <w:t>样品、模型、模件和所有其它资料，被视为保密资料，仅</w:t>
      </w:r>
      <w:r>
        <w:rPr>
          <w:rFonts w:hint="eastAsia" w:ascii="仿宋" w:hAnsi="仿宋" w:eastAsia="仿宋" w:cs="仿宋"/>
          <w:color w:val="auto"/>
          <w:spacing w:val="-8"/>
          <w:sz w:val="24"/>
          <w:szCs w:val="24"/>
          <w:highlight w:val="none"/>
          <w:lang w:eastAsia="zh-CN"/>
        </w:rPr>
        <w:t>被用于它所规定的用途。</w:t>
      </w:r>
      <w:r>
        <w:rPr>
          <w:rFonts w:hint="eastAsia" w:ascii="仿宋" w:hAnsi="仿宋" w:eastAsia="仿宋" w:cs="仿宋"/>
          <w:color w:val="auto"/>
          <w:spacing w:val="-1"/>
          <w:sz w:val="24"/>
          <w:szCs w:val="24"/>
          <w:highlight w:val="none"/>
          <w:lang w:eastAsia="zh-CN"/>
        </w:rPr>
        <w:t>除非得到采购人的同意，不能向任何第三方透露。开标结束后，应采购人要求，投标人应归还所有从采购人处获得的保密资料。</w:t>
      </w:r>
    </w:p>
    <w:p w14:paraId="086D511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6.3 采购代理机构有权将投标人提供的所有资料向有关政府部</w:t>
      </w:r>
      <w:r>
        <w:rPr>
          <w:rFonts w:hint="eastAsia" w:ascii="仿宋" w:hAnsi="仿宋" w:eastAsia="仿宋" w:cs="仿宋"/>
          <w:color w:val="auto"/>
          <w:spacing w:val="3"/>
          <w:sz w:val="24"/>
          <w:szCs w:val="24"/>
          <w:highlight w:val="none"/>
          <w:lang w:eastAsia="zh-CN"/>
        </w:rPr>
        <w:t>门或评审投</w:t>
      </w:r>
      <w:r>
        <w:rPr>
          <w:rFonts w:hint="eastAsia" w:ascii="仿宋" w:hAnsi="仿宋" w:eastAsia="仿宋" w:cs="仿宋"/>
          <w:color w:val="auto"/>
          <w:spacing w:val="-1"/>
          <w:sz w:val="24"/>
          <w:szCs w:val="24"/>
          <w:highlight w:val="none"/>
          <w:lang w:eastAsia="zh-CN"/>
        </w:rPr>
        <w:t>标文件的有关人员披露。</w:t>
      </w:r>
    </w:p>
    <w:p w14:paraId="7EA7E00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6.4 各级人民政府财政部门对政府采购活动进行监督检查，有权查阅、复制</w:t>
      </w:r>
      <w:r>
        <w:rPr>
          <w:rFonts w:hint="eastAsia" w:ascii="仿宋" w:hAnsi="仿宋" w:eastAsia="仿宋" w:cs="仿宋"/>
          <w:color w:val="auto"/>
          <w:spacing w:val="-1"/>
          <w:sz w:val="24"/>
          <w:szCs w:val="24"/>
          <w:highlight w:val="none"/>
          <w:lang w:eastAsia="zh-CN"/>
        </w:rPr>
        <w:t>有关文件、资料，相关单位和人员应当予以配合。</w:t>
      </w:r>
    </w:p>
    <w:p w14:paraId="558D7D13">
      <w:pPr>
        <w:spacing w:line="360" w:lineRule="auto"/>
        <w:ind w:left="31" w:right="-27" w:rightChars="-13"/>
        <w:outlineLvl w:val="2"/>
        <w:rPr>
          <w:rFonts w:hint="eastAsia" w:ascii="仿宋" w:hAnsi="仿宋" w:eastAsia="仿宋" w:cs="仿宋"/>
          <w:color w:val="auto"/>
          <w:sz w:val="24"/>
          <w:szCs w:val="24"/>
          <w:highlight w:val="none"/>
          <w:lang w:eastAsia="zh-CN"/>
        </w:rPr>
      </w:pPr>
      <w:bookmarkStart w:id="45" w:name="bookmark38"/>
      <w:bookmarkEnd w:id="45"/>
      <w:bookmarkStart w:id="46" w:name="bookmark37"/>
      <w:bookmarkEnd w:id="46"/>
      <w:bookmarkStart w:id="47" w:name="_Toc16202"/>
      <w:bookmarkStart w:id="48" w:name="_Toc186477694"/>
      <w:r>
        <w:rPr>
          <w:rFonts w:hint="eastAsia" w:ascii="仿宋" w:hAnsi="仿宋" w:eastAsia="仿宋" w:cs="仿宋"/>
          <w:b/>
          <w:bCs/>
          <w:color w:val="auto"/>
          <w:spacing w:val="-6"/>
          <w:sz w:val="24"/>
          <w:szCs w:val="24"/>
          <w:highlight w:val="none"/>
          <w:lang w:eastAsia="zh-CN"/>
        </w:rPr>
        <w:t>7.语言文字</w:t>
      </w:r>
      <w:bookmarkEnd w:id="47"/>
      <w:bookmarkEnd w:id="48"/>
    </w:p>
    <w:p w14:paraId="524D55B0">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7.1招标投标过程文件使用的语言文字为中文。专用术语使用外文的，应附</w:t>
      </w:r>
      <w:r>
        <w:rPr>
          <w:rFonts w:hint="eastAsia" w:ascii="仿宋" w:hAnsi="仿宋" w:eastAsia="仿宋" w:cs="仿宋"/>
          <w:color w:val="auto"/>
          <w:spacing w:val="-3"/>
          <w:sz w:val="24"/>
          <w:szCs w:val="24"/>
          <w:highlight w:val="none"/>
          <w:lang w:eastAsia="zh-CN"/>
        </w:rPr>
        <w:t>有中文注释。投标人提交的支持资料和已印制的文献可以用外文，但相应内容应附有中文翻译本，在解释投标文件时以中文翻译本为准。未附中文翻译本或翻译</w:t>
      </w:r>
      <w:r>
        <w:rPr>
          <w:rFonts w:hint="eastAsia" w:ascii="仿宋" w:hAnsi="仿宋" w:eastAsia="仿宋" w:cs="仿宋"/>
          <w:color w:val="auto"/>
          <w:sz w:val="24"/>
          <w:szCs w:val="24"/>
          <w:highlight w:val="none"/>
          <w:lang w:eastAsia="zh-CN"/>
        </w:rPr>
        <w:t>本中文内容明显与外文内容不一致的，其不</w:t>
      </w:r>
      <w:r>
        <w:rPr>
          <w:rFonts w:hint="eastAsia" w:ascii="仿宋" w:hAnsi="仿宋" w:eastAsia="仿宋" w:cs="仿宋"/>
          <w:color w:val="auto"/>
          <w:spacing w:val="-1"/>
          <w:sz w:val="24"/>
          <w:szCs w:val="24"/>
          <w:highlight w:val="none"/>
          <w:lang w:eastAsia="zh-CN"/>
        </w:rPr>
        <w:t>利后果由投标人自行承担。</w:t>
      </w:r>
    </w:p>
    <w:p w14:paraId="41B747EA">
      <w:pPr>
        <w:spacing w:line="360" w:lineRule="auto"/>
        <w:ind w:left="31" w:right="-27" w:rightChars="-13"/>
        <w:outlineLvl w:val="2"/>
        <w:rPr>
          <w:rFonts w:hint="eastAsia" w:ascii="仿宋" w:hAnsi="仿宋" w:eastAsia="仿宋" w:cs="仿宋"/>
          <w:color w:val="auto"/>
          <w:sz w:val="24"/>
          <w:szCs w:val="24"/>
          <w:highlight w:val="none"/>
          <w:lang w:eastAsia="zh-CN"/>
        </w:rPr>
      </w:pPr>
      <w:bookmarkStart w:id="49" w:name="bookmark40"/>
      <w:bookmarkEnd w:id="49"/>
      <w:bookmarkStart w:id="50" w:name="bookmark39"/>
      <w:bookmarkEnd w:id="50"/>
      <w:bookmarkStart w:id="51" w:name="_Toc186477695"/>
      <w:bookmarkStart w:id="52" w:name="_Toc17969"/>
      <w:r>
        <w:rPr>
          <w:rFonts w:hint="eastAsia" w:ascii="仿宋" w:hAnsi="仿宋" w:eastAsia="仿宋" w:cs="仿宋"/>
          <w:b/>
          <w:bCs/>
          <w:color w:val="auto"/>
          <w:spacing w:val="-5"/>
          <w:sz w:val="24"/>
          <w:szCs w:val="24"/>
          <w:highlight w:val="none"/>
          <w:lang w:eastAsia="zh-CN"/>
        </w:rPr>
        <w:t>8.计量单位</w:t>
      </w:r>
      <w:bookmarkEnd w:id="51"/>
      <w:bookmarkEnd w:id="52"/>
    </w:p>
    <w:p w14:paraId="157529A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8.1所有计量均采用中华人民共和国法定计量单位。</w:t>
      </w:r>
    </w:p>
    <w:p w14:paraId="73F75499">
      <w:pPr>
        <w:spacing w:line="360" w:lineRule="auto"/>
        <w:ind w:left="31" w:right="-27" w:rightChars="-13"/>
        <w:outlineLvl w:val="2"/>
        <w:rPr>
          <w:rFonts w:hint="eastAsia" w:ascii="仿宋" w:hAnsi="仿宋" w:eastAsia="仿宋" w:cs="仿宋"/>
          <w:color w:val="auto"/>
          <w:sz w:val="24"/>
          <w:szCs w:val="24"/>
          <w:highlight w:val="none"/>
          <w:lang w:eastAsia="zh-CN"/>
        </w:rPr>
      </w:pPr>
      <w:bookmarkStart w:id="53" w:name="bookmark42"/>
      <w:bookmarkEnd w:id="53"/>
      <w:bookmarkStart w:id="54" w:name="bookmark41"/>
      <w:bookmarkEnd w:id="54"/>
      <w:bookmarkStart w:id="55" w:name="_Toc186477696"/>
      <w:bookmarkStart w:id="56" w:name="_Toc5277"/>
      <w:r>
        <w:rPr>
          <w:rFonts w:hint="eastAsia" w:ascii="仿宋" w:hAnsi="仿宋" w:eastAsia="仿宋" w:cs="仿宋"/>
          <w:b/>
          <w:bCs/>
          <w:color w:val="auto"/>
          <w:spacing w:val="-4"/>
          <w:sz w:val="24"/>
          <w:szCs w:val="24"/>
          <w:highlight w:val="none"/>
          <w:lang w:eastAsia="zh-CN"/>
        </w:rPr>
        <w:t>9.现场考察和答疑会</w:t>
      </w:r>
      <w:bookmarkEnd w:id="55"/>
      <w:bookmarkEnd w:id="56"/>
    </w:p>
    <w:p w14:paraId="10B38D2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9.1“投标人须知前附表”规定组织现场考察的，</w:t>
      </w:r>
      <w:r>
        <w:rPr>
          <w:rFonts w:hint="eastAsia" w:ascii="仿宋" w:hAnsi="仿宋" w:eastAsia="仿宋" w:cs="仿宋"/>
          <w:color w:val="auto"/>
          <w:spacing w:val="-4"/>
          <w:sz w:val="24"/>
          <w:szCs w:val="24"/>
          <w:highlight w:val="none"/>
          <w:lang w:eastAsia="zh-CN"/>
        </w:rPr>
        <w:t>采购代理机构按“投标人</w:t>
      </w:r>
      <w:r>
        <w:rPr>
          <w:rFonts w:hint="eastAsia" w:ascii="仿宋" w:hAnsi="仿宋" w:eastAsia="仿宋" w:cs="仿宋"/>
          <w:color w:val="auto"/>
          <w:spacing w:val="-2"/>
          <w:sz w:val="24"/>
          <w:szCs w:val="24"/>
          <w:highlight w:val="none"/>
          <w:lang w:eastAsia="zh-CN"/>
        </w:rPr>
        <w:t>须知前附表”规定的时间、地点组织投标人项目现场考察。</w:t>
      </w:r>
    </w:p>
    <w:p w14:paraId="12DDCC7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9.2 投标人现场考察发生的费用自理。</w:t>
      </w:r>
    </w:p>
    <w:p w14:paraId="7A48B6D9">
      <w:pPr>
        <w:spacing w:line="360" w:lineRule="auto"/>
        <w:ind w:left="31" w:right="-27" w:rightChars="-1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9.3 在现场考察中，因投标人自身原因发生的人员伤亡和财产损失，由投标人自行负责。</w:t>
      </w:r>
    </w:p>
    <w:p w14:paraId="7653199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9.4 采购人在现场考察中介绍的项目场地和相关的周边环境情况，仅供投标人在编制投标文件时参考，采购人和采购代理机构不对投标人据此作出的判断和决策负责。</w:t>
      </w:r>
    </w:p>
    <w:p w14:paraId="50FD6AB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9.5“投标人须知前附表”规定召开答疑会的，采</w:t>
      </w:r>
      <w:r>
        <w:rPr>
          <w:rFonts w:hint="eastAsia" w:ascii="仿宋" w:hAnsi="仿宋" w:eastAsia="仿宋" w:cs="仿宋"/>
          <w:color w:val="auto"/>
          <w:spacing w:val="-4"/>
          <w:sz w:val="24"/>
          <w:szCs w:val="24"/>
          <w:highlight w:val="none"/>
          <w:lang w:eastAsia="zh-CN"/>
        </w:rPr>
        <w:t>购代理机构按“投标人须</w:t>
      </w:r>
      <w:r>
        <w:rPr>
          <w:rFonts w:hint="eastAsia" w:ascii="仿宋" w:hAnsi="仿宋" w:eastAsia="仿宋" w:cs="仿宋"/>
          <w:color w:val="auto"/>
          <w:spacing w:val="-2"/>
          <w:sz w:val="24"/>
          <w:szCs w:val="24"/>
          <w:highlight w:val="none"/>
          <w:lang w:eastAsia="zh-CN"/>
        </w:rPr>
        <w:t>知前附表”规定的时间和地点召开答疑会，澄清投标人提出的问题。</w:t>
      </w:r>
    </w:p>
    <w:p w14:paraId="5605B99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9.6由于未参加现场考察或未参加标前答疑会而导致对项目实际情况不了</w:t>
      </w:r>
      <w:r>
        <w:rPr>
          <w:rFonts w:hint="eastAsia" w:ascii="仿宋" w:hAnsi="仿宋" w:eastAsia="仿宋" w:cs="仿宋"/>
          <w:color w:val="auto"/>
          <w:spacing w:val="-3"/>
          <w:sz w:val="24"/>
          <w:szCs w:val="24"/>
          <w:highlight w:val="none"/>
          <w:lang w:eastAsia="zh-CN"/>
        </w:rPr>
        <w:t>解，影响投标文件编制、投标报价准确性、综合因素响应不全面等问题的，由投</w:t>
      </w:r>
      <w:r>
        <w:rPr>
          <w:rFonts w:hint="eastAsia" w:ascii="仿宋" w:hAnsi="仿宋" w:eastAsia="仿宋" w:cs="仿宋"/>
          <w:color w:val="auto"/>
          <w:spacing w:val="-1"/>
          <w:sz w:val="24"/>
          <w:szCs w:val="24"/>
          <w:highlight w:val="none"/>
          <w:lang w:eastAsia="zh-CN"/>
        </w:rPr>
        <w:t>标人自行承担不利评审后果。</w:t>
      </w:r>
    </w:p>
    <w:p w14:paraId="0312A8D5">
      <w:pPr>
        <w:spacing w:line="360" w:lineRule="auto"/>
        <w:ind w:left="31" w:right="-27" w:rightChars="-13"/>
        <w:outlineLvl w:val="2"/>
        <w:rPr>
          <w:rFonts w:hint="eastAsia" w:ascii="仿宋" w:hAnsi="仿宋" w:eastAsia="仿宋" w:cs="仿宋"/>
          <w:color w:val="auto"/>
          <w:sz w:val="24"/>
          <w:szCs w:val="24"/>
          <w:highlight w:val="none"/>
          <w:lang w:eastAsia="zh-CN"/>
        </w:rPr>
      </w:pPr>
      <w:bookmarkStart w:id="57" w:name="bookmark44"/>
      <w:bookmarkEnd w:id="57"/>
      <w:bookmarkStart w:id="58" w:name="bookmark43"/>
      <w:bookmarkEnd w:id="58"/>
      <w:bookmarkStart w:id="59" w:name="_Toc22755"/>
      <w:bookmarkStart w:id="60" w:name="_Toc186477697"/>
      <w:r>
        <w:rPr>
          <w:rFonts w:hint="eastAsia" w:ascii="仿宋" w:hAnsi="仿宋" w:eastAsia="仿宋" w:cs="仿宋"/>
          <w:b/>
          <w:bCs/>
          <w:color w:val="auto"/>
          <w:spacing w:val="-6"/>
          <w:sz w:val="24"/>
          <w:szCs w:val="24"/>
          <w:highlight w:val="none"/>
          <w:lang w:eastAsia="zh-CN"/>
        </w:rPr>
        <w:t>10.电子投标说明</w:t>
      </w:r>
      <w:bookmarkEnd w:id="59"/>
      <w:bookmarkEnd w:id="60"/>
    </w:p>
    <w:p w14:paraId="6EEE8F66">
      <w:pPr>
        <w:spacing w:line="440" w:lineRule="exact"/>
        <w:rPr>
          <w:rFonts w:hint="eastAsia" w:ascii="仿宋" w:hAnsi="仿宋" w:eastAsia="仿宋" w:cs="仿宋"/>
          <w:color w:val="auto"/>
          <w:sz w:val="24"/>
          <w:highlight w:val="none"/>
          <w:shd w:val="clear" w:color="auto" w:fill="FFFFFF"/>
          <w:lang w:eastAsia="zh-CN"/>
        </w:rPr>
      </w:pPr>
      <w:bookmarkStart w:id="61" w:name="bookmark46"/>
      <w:bookmarkEnd w:id="61"/>
      <w:bookmarkStart w:id="62" w:name="bookmark45"/>
      <w:bookmarkEnd w:id="62"/>
      <w:bookmarkStart w:id="63" w:name="_Toc186477698"/>
      <w:r>
        <w:rPr>
          <w:rFonts w:hint="eastAsia" w:ascii="仿宋" w:hAnsi="仿宋" w:eastAsia="仿宋" w:cs="仿宋"/>
          <w:color w:val="auto"/>
          <w:sz w:val="24"/>
          <w:highlight w:val="none"/>
          <w:shd w:val="clear" w:color="auto" w:fill="FFFFFF"/>
          <w:lang w:eastAsia="zh-CN"/>
        </w:rPr>
        <w:t>10.1、本项目采用全流程不见面电子开评标。</w:t>
      </w:r>
    </w:p>
    <w:p w14:paraId="4AA2C9D7">
      <w:pPr>
        <w:spacing w:line="440" w:lineRule="exact"/>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10.2、本项目实行网上投标，采用加密电子投标响应文件(投标人须使用CA加密设备通过政采云电子投标客户端制作投标响应文件)。若投标人参与投标，自行承担投标一切费用。</w:t>
      </w:r>
    </w:p>
    <w:p w14:paraId="7ACA6A72">
      <w:pPr>
        <w:spacing w:line="440" w:lineRule="exact"/>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10.3、各投标人在开标前应确保成为新疆政府采购网正式注册入库供应商，并完成CA数字证书（符合国密标准）申领。因未注册入库、未办理CA数字证书等原因造成无法投标或投标失败等后果由投标人自行承担。有意向参与电子开评标的投标人，可访问新疆数字证书认证中心官方网站（https://www.xjca.com.cn/）或下载“新疆政务通”APP自行申领。如需咨询，请联系新疆CA服务热线0991-2819290；</w:t>
      </w:r>
    </w:p>
    <w:p w14:paraId="5A798480">
      <w:pPr>
        <w:spacing w:line="440" w:lineRule="exact"/>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10.4、投标人在完成政采云电子交易客户端下载、安装后，可通过账号密码或CA登录客户端进行投标文件的制作。在使用政采云投标客户端时，建议使用WIN7及以上操作系统。客户端请至新疆政府采购网（http://www.ccgp-xinjiang.gov.cn/）下载专区查看，如遇问题可拨打政采云客户服务热线95763进行咨询。如因投标人自身原因导致在规定时间内无法正常解密的（如：浏览器故障、未安装相关驱动、网络故障、加密CA与解密CA不一致等），采购中心/代理机构不予异常处理，视为投标人自动弃标；</w:t>
      </w:r>
    </w:p>
    <w:p w14:paraId="668EC816">
      <w:pPr>
        <w:spacing w:line="440" w:lineRule="exact"/>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10.5、本项目采用不见面开标，投标人应当在投标截止时间前,将生成的“电子加密投标文件”上传递交至“政府采购云平台”,投标截止时间以后上传递交的投标文件将被“政府采购云平台”拒收。投标人对不见面开评标系统的技术操作咨询，可通过 https://edu.zcygov.cn/luban/xinjiang-e-biding 自助查询，也可在政采云帮助中心常见问题解答和操作流程讲解视频中自助查询，网址为：https://service.zcygov.cn/#/help，“项目采购”—“操作流程-电子招投标”— “政府采购项目电子交易管理操作指南-供应商”版面获取操作指南，同时对自助查询无法解决的问题可通过钉钉群及政采云在线客服获取服务支持。</w:t>
      </w:r>
    </w:p>
    <w:p w14:paraId="40073DB2">
      <w:pPr>
        <w:spacing w:line="440" w:lineRule="exact"/>
        <w:rPr>
          <w:rFonts w:hint="eastAsia" w:ascii="仿宋" w:hAnsi="仿宋" w:eastAsia="仿宋" w:cs="仿宋"/>
          <w:color w:val="auto"/>
          <w:sz w:val="24"/>
          <w:highlight w:val="none"/>
          <w:shd w:val="clear" w:color="auto" w:fill="FFFFFF"/>
          <w:lang w:eastAsia="zh-CN"/>
        </w:rPr>
      </w:pPr>
      <w:r>
        <w:rPr>
          <w:rFonts w:hint="eastAsia" w:ascii="仿宋" w:hAnsi="仿宋" w:eastAsia="仿宋" w:cs="仿宋"/>
          <w:color w:val="auto"/>
          <w:sz w:val="24"/>
          <w:highlight w:val="none"/>
          <w:shd w:val="clear" w:color="auto" w:fill="FFFFFF"/>
          <w:lang w:eastAsia="zh-CN"/>
        </w:rPr>
        <w:t>10.6、投标人在开标前须提前配置好电脑浏览器（建议使用360浏览器或谷歌浏览器）,开标时登录政采云平台，在“项目采购-开标评标”功能中，使用制作加密投标文件电子标书的CA锁进行解密及报价确认。本项目投标文件的解密时间定为30分钟内,若投标人在规定时间内因自身原因导致无法正常解密,后果由投标人自行承担。</w:t>
      </w:r>
    </w:p>
    <w:p w14:paraId="24F034AB">
      <w:pPr>
        <w:spacing w:before="240" w:line="360" w:lineRule="auto"/>
        <w:ind w:left="31" w:right="-27" w:rightChars="-13"/>
        <w:outlineLvl w:val="2"/>
        <w:rPr>
          <w:rFonts w:hint="eastAsia" w:ascii="仿宋" w:hAnsi="仿宋" w:eastAsia="仿宋" w:cs="仿宋"/>
          <w:b/>
          <w:bCs/>
          <w:color w:val="auto"/>
          <w:spacing w:val="-6"/>
          <w:sz w:val="24"/>
          <w:szCs w:val="24"/>
          <w:highlight w:val="none"/>
          <w:lang w:eastAsia="zh-CN"/>
        </w:rPr>
      </w:pPr>
      <w:bookmarkStart w:id="64" w:name="_Toc12958"/>
      <w:r>
        <w:rPr>
          <w:rFonts w:hint="eastAsia" w:ascii="仿宋" w:hAnsi="仿宋" w:eastAsia="仿宋" w:cs="仿宋"/>
          <w:b/>
          <w:bCs/>
          <w:color w:val="auto"/>
          <w:spacing w:val="-6"/>
          <w:sz w:val="24"/>
          <w:szCs w:val="24"/>
          <w:highlight w:val="none"/>
          <w:lang w:eastAsia="zh-CN"/>
        </w:rPr>
        <w:t>（二）招标文件</w:t>
      </w:r>
      <w:bookmarkEnd w:id="63"/>
      <w:bookmarkEnd w:id="64"/>
    </w:p>
    <w:p w14:paraId="129145A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65" w:name="bookmark48"/>
      <w:bookmarkEnd w:id="65"/>
      <w:bookmarkStart w:id="66" w:name="bookmark47"/>
      <w:bookmarkEnd w:id="66"/>
      <w:bookmarkStart w:id="67" w:name="_Toc21045"/>
      <w:bookmarkStart w:id="68" w:name="_Toc186477699"/>
      <w:r>
        <w:rPr>
          <w:rFonts w:hint="eastAsia" w:ascii="仿宋" w:hAnsi="仿宋" w:eastAsia="仿宋" w:cs="仿宋"/>
          <w:b/>
          <w:bCs/>
          <w:color w:val="auto"/>
          <w:spacing w:val="-6"/>
          <w:sz w:val="24"/>
          <w:szCs w:val="24"/>
          <w:highlight w:val="none"/>
          <w:lang w:eastAsia="zh-CN"/>
        </w:rPr>
        <w:t>11.招标文件的组成</w:t>
      </w:r>
      <w:bookmarkEnd w:id="67"/>
      <w:bookmarkEnd w:id="68"/>
    </w:p>
    <w:p w14:paraId="3228BD5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11.1本招标文件包括下列文件及根据本章第9款、第12款对招标文件所作的澄清或者修改。</w:t>
      </w:r>
    </w:p>
    <w:p w14:paraId="3EA53EC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第一章 招标公告</w:t>
      </w:r>
    </w:p>
    <w:p w14:paraId="7B098439">
      <w:pPr>
        <w:spacing w:line="360" w:lineRule="auto"/>
        <w:ind w:left="31" w:right="-27" w:rightChars="-13"/>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第二章 投标人须知</w:t>
      </w:r>
    </w:p>
    <w:p w14:paraId="4B95588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第三章 采购需求</w:t>
      </w:r>
    </w:p>
    <w:p w14:paraId="3D8ECF3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第四章资格审查</w:t>
      </w:r>
    </w:p>
    <w:p w14:paraId="43AD5BD4">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第五章 评标方法及标准</w:t>
      </w:r>
    </w:p>
    <w:p w14:paraId="225422A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第六章 合同草案</w:t>
      </w:r>
    </w:p>
    <w:p w14:paraId="49E850C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第七章 投标文件的格式</w:t>
      </w:r>
    </w:p>
    <w:p w14:paraId="334BEC3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69" w:name="bookmark49"/>
      <w:bookmarkEnd w:id="69"/>
      <w:bookmarkStart w:id="70" w:name="bookmark50"/>
      <w:bookmarkEnd w:id="70"/>
      <w:bookmarkStart w:id="71" w:name="_Toc19400"/>
      <w:bookmarkStart w:id="72" w:name="_Toc186477700"/>
      <w:r>
        <w:rPr>
          <w:rFonts w:hint="eastAsia" w:ascii="仿宋" w:hAnsi="仿宋" w:eastAsia="仿宋" w:cs="仿宋"/>
          <w:b/>
          <w:bCs/>
          <w:color w:val="auto"/>
          <w:spacing w:val="-4"/>
          <w:sz w:val="24"/>
          <w:szCs w:val="24"/>
          <w:highlight w:val="none"/>
          <w:lang w:eastAsia="zh-CN"/>
        </w:rPr>
        <w:t>12.招标文件的询问、澄清或者修改</w:t>
      </w:r>
      <w:bookmarkEnd w:id="71"/>
      <w:bookmarkEnd w:id="72"/>
    </w:p>
    <w:p w14:paraId="05732B74">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12.1 投标人对采购项目有疑问的，可以按照“投标人须知前附表”中的规</w:t>
      </w:r>
      <w:r>
        <w:rPr>
          <w:rFonts w:hint="eastAsia" w:ascii="仿宋" w:hAnsi="仿宋" w:eastAsia="仿宋" w:cs="仿宋"/>
          <w:color w:val="auto"/>
          <w:spacing w:val="-4"/>
          <w:sz w:val="24"/>
          <w:szCs w:val="24"/>
          <w:highlight w:val="none"/>
          <w:lang w:eastAsia="zh-CN"/>
        </w:rPr>
        <w:t>定提出询问。提出后，请投标人及时通过交易平台“答疑文件下载”栏目查看答</w:t>
      </w:r>
      <w:r>
        <w:rPr>
          <w:rFonts w:hint="eastAsia" w:ascii="仿宋" w:hAnsi="仿宋" w:eastAsia="仿宋" w:cs="仿宋"/>
          <w:color w:val="auto"/>
          <w:spacing w:val="-8"/>
          <w:sz w:val="24"/>
          <w:szCs w:val="24"/>
          <w:highlight w:val="none"/>
          <w:lang w:eastAsia="zh-CN"/>
        </w:rPr>
        <w:t>疑文件或澄清文件。必要时，采购代理机构将组织相关专家召开答疑会，如召开，</w:t>
      </w:r>
      <w:r>
        <w:rPr>
          <w:rFonts w:hint="eastAsia" w:ascii="仿宋" w:hAnsi="仿宋" w:eastAsia="仿宋" w:cs="仿宋"/>
          <w:color w:val="auto"/>
          <w:spacing w:val="-3"/>
          <w:sz w:val="24"/>
          <w:szCs w:val="24"/>
          <w:highlight w:val="none"/>
          <w:lang w:eastAsia="zh-CN"/>
        </w:rPr>
        <w:t>答疑会安排另行通知。采购人或采购代理机构将在收到询问后依法予以答复。对招标文件询问的答复，在必要时将以澄清形式推送给每个获取招标文件的潜在投</w:t>
      </w:r>
      <w:r>
        <w:rPr>
          <w:rFonts w:hint="eastAsia" w:ascii="仿宋" w:hAnsi="仿宋" w:eastAsia="仿宋" w:cs="仿宋"/>
          <w:color w:val="auto"/>
          <w:spacing w:val="-1"/>
          <w:sz w:val="24"/>
          <w:szCs w:val="24"/>
          <w:highlight w:val="none"/>
          <w:lang w:eastAsia="zh-CN"/>
        </w:rPr>
        <w:t>标人(答复中不包括问题的来源)。</w:t>
      </w:r>
    </w:p>
    <w:p w14:paraId="7D343508">
      <w:pPr>
        <w:spacing w:line="360" w:lineRule="auto"/>
        <w:ind w:left="31" w:leftChars="15" w:right="-27" w:rightChars="-13" w:firstLine="458" w:firstLineChars="1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投标人在规定的时间内未对招标文件提出疑问或要求澄清</w:t>
      </w:r>
      <w:r>
        <w:rPr>
          <w:rFonts w:hint="eastAsia" w:ascii="仿宋" w:hAnsi="仿宋" w:eastAsia="仿宋" w:cs="仿宋"/>
          <w:color w:val="auto"/>
          <w:spacing w:val="-4"/>
          <w:sz w:val="24"/>
          <w:szCs w:val="24"/>
          <w:highlight w:val="none"/>
          <w:lang w:eastAsia="zh-CN"/>
        </w:rPr>
        <w:t>的，采购代理机构</w:t>
      </w:r>
      <w:r>
        <w:rPr>
          <w:rFonts w:hint="eastAsia" w:ascii="仿宋" w:hAnsi="仿宋" w:eastAsia="仿宋" w:cs="仿宋"/>
          <w:color w:val="auto"/>
          <w:spacing w:val="-5"/>
          <w:sz w:val="24"/>
          <w:szCs w:val="24"/>
          <w:highlight w:val="none"/>
          <w:lang w:eastAsia="zh-CN"/>
        </w:rPr>
        <w:t>将视其为同意，对在“投标人须知前附表”中“提出询问的时间要求”之后就招</w:t>
      </w:r>
      <w:r>
        <w:rPr>
          <w:rFonts w:hint="eastAsia" w:ascii="仿宋" w:hAnsi="仿宋" w:eastAsia="仿宋" w:cs="仿宋"/>
          <w:color w:val="auto"/>
          <w:spacing w:val="-1"/>
          <w:sz w:val="24"/>
          <w:szCs w:val="24"/>
          <w:highlight w:val="none"/>
          <w:lang w:eastAsia="zh-CN"/>
        </w:rPr>
        <w:t>标文件内容提出的疑问及澄清要求将不予受理。</w:t>
      </w:r>
    </w:p>
    <w:p w14:paraId="7905D4F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12.2 采购人或者采购代理机构可以对已发出的招标文件进行必要的澄清或</w:t>
      </w:r>
      <w:r>
        <w:rPr>
          <w:rFonts w:hint="eastAsia" w:ascii="仿宋" w:hAnsi="仿宋" w:eastAsia="仿宋" w:cs="仿宋"/>
          <w:color w:val="auto"/>
          <w:spacing w:val="-3"/>
          <w:sz w:val="24"/>
          <w:szCs w:val="24"/>
          <w:highlight w:val="none"/>
          <w:lang w:eastAsia="zh-CN"/>
        </w:rPr>
        <w:t>者修改。澄清或修改的内容为招标文件的组成部分，并对所有获取招标文件的潜</w:t>
      </w:r>
      <w:r>
        <w:rPr>
          <w:rFonts w:hint="eastAsia" w:ascii="仿宋" w:hAnsi="仿宋" w:eastAsia="仿宋" w:cs="仿宋"/>
          <w:color w:val="auto"/>
          <w:spacing w:val="-1"/>
          <w:sz w:val="24"/>
          <w:szCs w:val="24"/>
          <w:highlight w:val="none"/>
          <w:lang w:eastAsia="zh-CN"/>
        </w:rPr>
        <w:t>在投标人具有约束力。</w:t>
      </w:r>
    </w:p>
    <w:p w14:paraId="2AF69CA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12.3 招标文件的澄清或者修改以当面交接、邮寄、传真或电子邮件、网站</w:t>
      </w:r>
      <w:r>
        <w:rPr>
          <w:rFonts w:hint="eastAsia" w:ascii="仿宋" w:hAnsi="仿宋" w:eastAsia="仿宋" w:cs="仿宋"/>
          <w:color w:val="auto"/>
          <w:spacing w:val="-3"/>
          <w:sz w:val="24"/>
          <w:szCs w:val="24"/>
          <w:highlight w:val="none"/>
          <w:lang w:eastAsia="zh-CN"/>
        </w:rPr>
        <w:t>披露等其中至少一种方式，发给所有领取招标文件的潜在投标人，但不包括问题的来源。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w:t>
      </w:r>
      <w:r>
        <w:rPr>
          <w:rFonts w:hint="eastAsia" w:ascii="仿宋" w:hAnsi="仿宋" w:eastAsia="仿宋" w:cs="仿宋"/>
          <w:color w:val="auto"/>
          <w:spacing w:val="-4"/>
          <w:sz w:val="24"/>
          <w:szCs w:val="24"/>
          <w:highlight w:val="none"/>
          <w:lang w:eastAsia="zh-CN"/>
        </w:rPr>
        <w:t>时间。</w:t>
      </w:r>
    </w:p>
    <w:p w14:paraId="6989B64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12.4 “投标人须知”所称“书面形式”包括系统消息、政府采购云平台发</w:t>
      </w:r>
      <w:r>
        <w:rPr>
          <w:rFonts w:hint="eastAsia" w:ascii="仿宋" w:hAnsi="仿宋" w:eastAsia="仿宋" w:cs="仿宋"/>
          <w:color w:val="auto"/>
          <w:spacing w:val="-2"/>
          <w:sz w:val="24"/>
          <w:szCs w:val="24"/>
          <w:highlight w:val="none"/>
          <w:lang w:eastAsia="zh-CN"/>
        </w:rPr>
        <w:t>布的公告。</w:t>
      </w:r>
    </w:p>
    <w:p w14:paraId="06A8D15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12.5采购代理机构一旦对招标文件作出了澄清、修改，即刻发生效力，采</w:t>
      </w:r>
      <w:r>
        <w:rPr>
          <w:rFonts w:hint="eastAsia" w:ascii="仿宋" w:hAnsi="仿宋" w:eastAsia="仿宋" w:cs="仿宋"/>
          <w:color w:val="auto"/>
          <w:spacing w:val="-3"/>
          <w:sz w:val="24"/>
          <w:szCs w:val="24"/>
          <w:highlight w:val="none"/>
          <w:lang w:eastAsia="zh-CN"/>
        </w:rPr>
        <w:t>购代理机构有关的澄清、修改文件，将作为招标文件的组成部分，对所有现实的或潜在的投标人均具有约束力，而无论是否已经实际收到上述文件。同时，采购</w:t>
      </w:r>
      <w:r>
        <w:rPr>
          <w:rFonts w:hint="eastAsia" w:ascii="仿宋" w:hAnsi="仿宋" w:eastAsia="仿宋" w:cs="仿宋"/>
          <w:color w:val="auto"/>
          <w:spacing w:val="-1"/>
          <w:sz w:val="24"/>
          <w:szCs w:val="24"/>
          <w:highlight w:val="none"/>
          <w:lang w:eastAsia="zh-CN"/>
        </w:rPr>
        <w:t>代理机构和投标人的权利及义务将受到新的截止期的约束。</w:t>
      </w:r>
    </w:p>
    <w:p w14:paraId="2BF80E3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12.6采购代理机构对招标文件作出的澄清、修改在平台内进行披露，请投</w:t>
      </w:r>
      <w:r>
        <w:rPr>
          <w:rFonts w:hint="eastAsia" w:ascii="仿宋" w:hAnsi="仿宋" w:eastAsia="仿宋" w:cs="仿宋"/>
          <w:color w:val="auto"/>
          <w:spacing w:val="-3"/>
          <w:sz w:val="24"/>
          <w:szCs w:val="24"/>
          <w:highlight w:val="none"/>
          <w:lang w:eastAsia="zh-CN"/>
        </w:rPr>
        <w:t>标人及时关注并获取相关资料。因登记有误、线路故障或其它任何意外情形，导致投标人未及时获取的，采购代理机构不因此承担任何责任，且有关的招标活动继续有效地进行。当招标文件的澄清、修改及进行其他答复等就同一内容的表述</w:t>
      </w:r>
      <w:r>
        <w:rPr>
          <w:rFonts w:hint="eastAsia" w:ascii="仿宋" w:hAnsi="仿宋" w:eastAsia="仿宋" w:cs="仿宋"/>
          <w:color w:val="auto"/>
          <w:spacing w:val="-1"/>
          <w:sz w:val="24"/>
          <w:szCs w:val="24"/>
          <w:highlight w:val="none"/>
          <w:lang w:eastAsia="zh-CN"/>
        </w:rPr>
        <w:t>不一致时，以最后发布的内容为准。</w:t>
      </w:r>
    </w:p>
    <w:p w14:paraId="410D06BD">
      <w:pPr>
        <w:spacing w:line="360" w:lineRule="auto"/>
        <w:ind w:left="31" w:right="-27" w:rightChars="-13"/>
        <w:outlineLvl w:val="2"/>
        <w:rPr>
          <w:rFonts w:hint="eastAsia" w:ascii="仿宋" w:hAnsi="仿宋" w:eastAsia="仿宋" w:cs="仿宋"/>
          <w:color w:val="auto"/>
          <w:sz w:val="24"/>
          <w:szCs w:val="24"/>
          <w:highlight w:val="none"/>
          <w:lang w:eastAsia="zh-CN"/>
        </w:rPr>
      </w:pPr>
      <w:bookmarkStart w:id="73" w:name="bookmark52"/>
      <w:bookmarkEnd w:id="73"/>
      <w:bookmarkStart w:id="74" w:name="bookmark51"/>
      <w:bookmarkEnd w:id="74"/>
      <w:bookmarkStart w:id="75" w:name="_Toc31225"/>
      <w:bookmarkStart w:id="76" w:name="_Toc186477701"/>
      <w:r>
        <w:rPr>
          <w:rFonts w:hint="eastAsia" w:ascii="仿宋" w:hAnsi="仿宋" w:eastAsia="仿宋" w:cs="仿宋"/>
          <w:b/>
          <w:bCs/>
          <w:color w:val="auto"/>
          <w:spacing w:val="-6"/>
          <w:sz w:val="24"/>
          <w:szCs w:val="24"/>
          <w:highlight w:val="none"/>
          <w:lang w:eastAsia="zh-CN"/>
        </w:rPr>
        <w:t>（三）投标文件</w:t>
      </w:r>
      <w:bookmarkEnd w:id="75"/>
      <w:bookmarkEnd w:id="76"/>
    </w:p>
    <w:p w14:paraId="2FBB0E1A">
      <w:pPr>
        <w:spacing w:line="360" w:lineRule="auto"/>
        <w:ind w:left="31" w:right="-27" w:rightChars="-13"/>
        <w:outlineLvl w:val="2"/>
        <w:rPr>
          <w:rFonts w:hint="eastAsia" w:ascii="仿宋" w:hAnsi="仿宋" w:eastAsia="仿宋" w:cs="仿宋"/>
          <w:color w:val="auto"/>
          <w:sz w:val="24"/>
          <w:szCs w:val="24"/>
          <w:highlight w:val="none"/>
          <w:lang w:eastAsia="zh-CN"/>
        </w:rPr>
      </w:pPr>
      <w:bookmarkStart w:id="77" w:name="bookmark56"/>
      <w:bookmarkEnd w:id="77"/>
      <w:bookmarkStart w:id="78" w:name="bookmark53"/>
      <w:bookmarkEnd w:id="78"/>
      <w:bookmarkStart w:id="79" w:name="bookmark54"/>
      <w:bookmarkEnd w:id="79"/>
      <w:bookmarkStart w:id="80" w:name="_Toc186477702"/>
      <w:bookmarkStart w:id="81" w:name="_Toc29408"/>
      <w:r>
        <w:rPr>
          <w:rFonts w:hint="eastAsia" w:ascii="仿宋" w:hAnsi="仿宋" w:eastAsia="仿宋" w:cs="仿宋"/>
          <w:b/>
          <w:bCs/>
          <w:color w:val="auto"/>
          <w:spacing w:val="-6"/>
          <w:sz w:val="24"/>
          <w:szCs w:val="24"/>
          <w:highlight w:val="none"/>
          <w:lang w:eastAsia="zh-CN"/>
        </w:rPr>
        <w:t>13.投标文件的组成</w:t>
      </w:r>
      <w:bookmarkEnd w:id="80"/>
      <w:bookmarkEnd w:id="81"/>
    </w:p>
    <w:p w14:paraId="250DF537">
      <w:pPr>
        <w:widowControl w:val="0"/>
        <w:spacing w:line="360" w:lineRule="auto"/>
        <w:ind w:left="28"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13.1投标人应完整地按招标文件提供的投标文件格式及要求编写投标文件，具体内容详见“第七章 投标文件格式”的相关内容。</w:t>
      </w:r>
    </w:p>
    <w:p w14:paraId="6FC7A00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13.2投标人应提交招标文件要求的证明文件，证明其投标内容符合招标文</w:t>
      </w:r>
      <w:r>
        <w:rPr>
          <w:rFonts w:hint="eastAsia" w:ascii="仿宋" w:hAnsi="仿宋" w:eastAsia="仿宋" w:cs="仿宋"/>
          <w:color w:val="auto"/>
          <w:spacing w:val="-3"/>
          <w:sz w:val="24"/>
          <w:szCs w:val="24"/>
          <w:highlight w:val="none"/>
          <w:lang w:eastAsia="zh-CN"/>
        </w:rPr>
        <w:t>件规定，该证明文件是投标文件的一部分。证明文件形式可以是文字资料、图纸</w:t>
      </w:r>
      <w:r>
        <w:rPr>
          <w:rFonts w:hint="eastAsia" w:ascii="仿宋" w:hAnsi="仿宋" w:eastAsia="仿宋" w:cs="仿宋"/>
          <w:color w:val="auto"/>
          <w:spacing w:val="-2"/>
          <w:sz w:val="24"/>
          <w:szCs w:val="24"/>
          <w:highlight w:val="none"/>
          <w:lang w:eastAsia="zh-CN"/>
        </w:rPr>
        <w:t>和数据等。</w:t>
      </w:r>
    </w:p>
    <w:p w14:paraId="39D25A3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13.3为保证公平公正，除非本招标文件另有规定或说明，投标人对同一项</w:t>
      </w:r>
      <w:r>
        <w:rPr>
          <w:rFonts w:hint="eastAsia" w:ascii="仿宋" w:hAnsi="仿宋" w:eastAsia="仿宋" w:cs="仿宋"/>
          <w:color w:val="auto"/>
          <w:spacing w:val="-4"/>
          <w:sz w:val="24"/>
          <w:szCs w:val="24"/>
          <w:highlight w:val="none"/>
          <w:lang w:eastAsia="zh-CN"/>
        </w:rPr>
        <w:t>目投标时，不得同时提供备选投标方案。</w:t>
      </w:r>
    </w:p>
    <w:p w14:paraId="2F656D0D">
      <w:pPr>
        <w:spacing w:line="360" w:lineRule="auto"/>
        <w:ind w:left="31" w:right="-27" w:rightChars="-13"/>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14.投标报价</w:t>
      </w:r>
    </w:p>
    <w:p w14:paraId="41B2A49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14.1 投标人的报价均应以人民币进行报价。</w:t>
      </w:r>
    </w:p>
    <w:p w14:paraId="072647E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 投标人应按照本招标文件规定的报价方式进行报价，投标报价中不得</w:t>
      </w:r>
      <w:r>
        <w:rPr>
          <w:rFonts w:hint="eastAsia" w:ascii="仿宋" w:hAnsi="仿宋" w:eastAsia="仿宋" w:cs="仿宋"/>
          <w:color w:val="auto"/>
          <w:spacing w:val="-3"/>
          <w:sz w:val="24"/>
          <w:szCs w:val="24"/>
          <w:highlight w:val="none"/>
          <w:lang w:eastAsia="zh-CN"/>
        </w:rPr>
        <w:t>包含招标文件要求以外的内容，否则，在评标时不予核减。投标报价中也不得缺</w:t>
      </w:r>
      <w:r>
        <w:rPr>
          <w:rFonts w:hint="eastAsia" w:ascii="仿宋" w:hAnsi="仿宋" w:eastAsia="仿宋" w:cs="仿宋"/>
          <w:color w:val="auto"/>
          <w:spacing w:val="-1"/>
          <w:sz w:val="24"/>
          <w:szCs w:val="24"/>
          <w:highlight w:val="none"/>
          <w:lang w:eastAsia="zh-CN"/>
        </w:rPr>
        <w:t>漏招标文件所要求的内容，否则，其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5C58E5A1">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投标人的报价应包括为完成本项目所发生的一切费用和税</w:t>
      </w:r>
      <w:r>
        <w:rPr>
          <w:rFonts w:hint="eastAsia" w:ascii="仿宋" w:hAnsi="仿宋" w:eastAsia="仿宋" w:cs="仿宋"/>
          <w:color w:val="auto"/>
          <w:spacing w:val="-4"/>
          <w:sz w:val="24"/>
          <w:szCs w:val="24"/>
          <w:highlight w:val="none"/>
          <w:lang w:eastAsia="zh-CN"/>
        </w:rPr>
        <w:t>费，采购人将不再</w:t>
      </w:r>
      <w:r>
        <w:rPr>
          <w:rFonts w:hint="eastAsia" w:ascii="仿宋" w:hAnsi="仿宋" w:eastAsia="仿宋" w:cs="仿宋"/>
          <w:color w:val="auto"/>
          <w:spacing w:val="-3"/>
          <w:sz w:val="24"/>
          <w:szCs w:val="24"/>
          <w:highlight w:val="none"/>
          <w:lang w:eastAsia="zh-CN"/>
        </w:rPr>
        <w:t>支付报价以外的任何费用。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他情况下，由于分项报价填报不完整、不清楚或存在其他</w:t>
      </w:r>
      <w:r>
        <w:rPr>
          <w:rFonts w:hint="eastAsia" w:ascii="仿宋" w:hAnsi="仿宋" w:eastAsia="仿宋" w:cs="仿宋"/>
          <w:color w:val="auto"/>
          <w:spacing w:val="-1"/>
          <w:sz w:val="24"/>
          <w:szCs w:val="24"/>
          <w:highlight w:val="none"/>
          <w:lang w:eastAsia="zh-CN"/>
        </w:rPr>
        <w:t>任何失误，所导致的任何不利后果均应当由投标人自行承担。</w:t>
      </w:r>
    </w:p>
    <w:p w14:paraId="3AC23D3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投标人的报价应包括但不限于下列内容：</w:t>
      </w:r>
    </w:p>
    <w:p w14:paraId="724D552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14.2.1 投标货物及标准附件、备品备件、专用工具等的出厂价（包括已在</w:t>
      </w:r>
      <w:r>
        <w:rPr>
          <w:rFonts w:hint="eastAsia" w:ascii="仿宋" w:hAnsi="仿宋" w:eastAsia="仿宋" w:cs="仿宋"/>
          <w:color w:val="auto"/>
          <w:spacing w:val="-3"/>
          <w:sz w:val="24"/>
          <w:szCs w:val="24"/>
          <w:highlight w:val="none"/>
          <w:lang w:eastAsia="zh-CN"/>
        </w:rPr>
        <w:t>中国国内的进口货物完税后的仓库交货价、展室交货价或货架交货价）和运至最终目的地的运输费和保险费，安装调试、检验、技术服务、培训、质量保证、售</w:t>
      </w:r>
      <w:r>
        <w:rPr>
          <w:rFonts w:hint="eastAsia" w:ascii="仿宋" w:hAnsi="仿宋" w:eastAsia="仿宋" w:cs="仿宋"/>
          <w:color w:val="auto"/>
          <w:spacing w:val="-2"/>
          <w:sz w:val="24"/>
          <w:szCs w:val="24"/>
          <w:highlight w:val="none"/>
          <w:lang w:eastAsia="zh-CN"/>
        </w:rPr>
        <w:t>后服务、税费等；</w:t>
      </w:r>
    </w:p>
    <w:p w14:paraId="2581838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14.2.2 按照招标文件要求完成本项目的全部相关费用。</w:t>
      </w:r>
    </w:p>
    <w:p w14:paraId="06676EE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 投标人须严格按照分项报价表规定的内容填写货物单价以及其他事项。</w:t>
      </w:r>
      <w:r>
        <w:rPr>
          <w:rFonts w:hint="eastAsia" w:ascii="仿宋" w:hAnsi="仿宋" w:eastAsia="仿宋" w:cs="仿宋"/>
          <w:color w:val="auto"/>
          <w:spacing w:val="-3"/>
          <w:sz w:val="24"/>
          <w:szCs w:val="24"/>
          <w:highlight w:val="none"/>
          <w:lang w:eastAsia="zh-CN"/>
        </w:rPr>
        <w:t>投标人应根据本招标文件的规定和要求、市场价格水平及其走势、投标人的管理水平、投标人的方案和由这些因素决定的投标人之于本项目的成本水平等提出自</w:t>
      </w:r>
      <w:r>
        <w:rPr>
          <w:rFonts w:hint="eastAsia" w:ascii="仿宋" w:hAnsi="仿宋" w:eastAsia="仿宋" w:cs="仿宋"/>
          <w:color w:val="auto"/>
          <w:sz w:val="24"/>
          <w:szCs w:val="24"/>
          <w:highlight w:val="none"/>
          <w:lang w:eastAsia="zh-CN"/>
        </w:rPr>
        <w:t>己的报价。报价应合理，并包含完成本招标文件采购需求全部内容的所有费用，所有根据本招标文件或其它原因应由投标人支付的税</w:t>
      </w:r>
      <w:r>
        <w:rPr>
          <w:rFonts w:hint="eastAsia" w:ascii="仿宋" w:hAnsi="仿宋" w:eastAsia="仿宋" w:cs="仿宋"/>
          <w:color w:val="auto"/>
          <w:spacing w:val="-1"/>
          <w:sz w:val="24"/>
          <w:szCs w:val="24"/>
          <w:highlight w:val="none"/>
          <w:lang w:eastAsia="zh-CN"/>
        </w:rPr>
        <w:t>款和其他应缴纳的费用都应包括在投标人提交的投标报价中。</w:t>
      </w:r>
    </w:p>
    <w:p w14:paraId="4B413FDE">
      <w:pPr>
        <w:spacing w:line="360" w:lineRule="auto"/>
        <w:ind w:left="31" w:right="-27" w:rightChars="-13"/>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14.4 投标人在投标文件中注明免费的项目将视为包含在投标报价中。</w:t>
      </w:r>
    </w:p>
    <w:p w14:paraId="6B3FD3E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14.5 每一种采购内容只允许有一个报价，否则其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。除非招标文件</w:t>
      </w:r>
      <w:r>
        <w:rPr>
          <w:rFonts w:hint="eastAsia" w:ascii="仿宋" w:hAnsi="仿宋" w:eastAsia="仿宋" w:cs="仿宋"/>
          <w:color w:val="auto"/>
          <w:spacing w:val="-3"/>
          <w:sz w:val="24"/>
          <w:szCs w:val="24"/>
          <w:highlight w:val="none"/>
          <w:lang w:eastAsia="zh-CN"/>
        </w:rPr>
        <w:t>另有规定，不接受可选择或可调整的投标方案和报价，任何有选择的或可调</w:t>
      </w:r>
      <w:r>
        <w:rPr>
          <w:rFonts w:hint="eastAsia" w:ascii="仿宋" w:hAnsi="仿宋" w:eastAsia="仿宋" w:cs="仿宋"/>
          <w:color w:val="auto"/>
          <w:spacing w:val="-4"/>
          <w:sz w:val="24"/>
          <w:szCs w:val="24"/>
          <w:highlight w:val="none"/>
          <w:lang w:eastAsia="zh-CN"/>
        </w:rPr>
        <w:t>整的</w:t>
      </w:r>
      <w:r>
        <w:rPr>
          <w:rFonts w:hint="eastAsia" w:ascii="仿宋" w:hAnsi="仿宋" w:eastAsia="仿宋" w:cs="仿宋"/>
          <w:color w:val="auto"/>
          <w:spacing w:val="-1"/>
          <w:sz w:val="24"/>
          <w:szCs w:val="24"/>
          <w:highlight w:val="none"/>
          <w:lang w:eastAsia="zh-CN"/>
        </w:rPr>
        <w:t>投标方案和报价将被视为非实质性响应招标文件,其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5DA61C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14.6 投标报价不得超过“第一章 招标公告”中规定</w:t>
      </w:r>
      <w:r>
        <w:rPr>
          <w:rFonts w:hint="eastAsia" w:ascii="仿宋" w:hAnsi="仿宋" w:eastAsia="仿宋" w:cs="仿宋"/>
          <w:color w:val="auto"/>
          <w:spacing w:val="-5"/>
          <w:sz w:val="24"/>
          <w:szCs w:val="24"/>
          <w:highlight w:val="none"/>
          <w:lang w:eastAsia="zh-CN"/>
        </w:rPr>
        <w:t>的最高投标限价或者预</w:t>
      </w:r>
      <w:r>
        <w:rPr>
          <w:rFonts w:hint="eastAsia" w:ascii="仿宋" w:hAnsi="仿宋" w:eastAsia="仿宋" w:cs="仿宋"/>
          <w:color w:val="auto"/>
          <w:spacing w:val="-1"/>
          <w:sz w:val="24"/>
          <w:szCs w:val="24"/>
          <w:highlight w:val="none"/>
          <w:lang w:eastAsia="zh-CN"/>
        </w:rPr>
        <w:t>算金额，否则评标委员会将对其作</w:t>
      </w:r>
      <w:r>
        <w:rPr>
          <w:rFonts w:hint="eastAsia" w:ascii="仿宋" w:hAnsi="仿宋" w:eastAsia="仿宋" w:cs="仿宋"/>
          <w:b/>
          <w:bCs/>
          <w:color w:val="auto"/>
          <w:spacing w:val="-1"/>
          <w:sz w:val="24"/>
          <w:szCs w:val="24"/>
          <w:highlight w:val="none"/>
          <w:lang w:eastAsia="zh-CN"/>
        </w:rPr>
        <w:t>无效投</w:t>
      </w:r>
      <w:r>
        <w:rPr>
          <w:rFonts w:hint="eastAsia" w:ascii="仿宋" w:hAnsi="仿宋" w:eastAsia="仿宋" w:cs="仿宋"/>
          <w:b/>
          <w:bCs/>
          <w:color w:val="auto"/>
          <w:spacing w:val="-2"/>
          <w:sz w:val="24"/>
          <w:szCs w:val="24"/>
          <w:highlight w:val="none"/>
          <w:lang w:eastAsia="zh-CN"/>
        </w:rPr>
        <w:t>标处理</w:t>
      </w:r>
      <w:r>
        <w:rPr>
          <w:rFonts w:hint="eastAsia" w:ascii="仿宋" w:hAnsi="仿宋" w:eastAsia="仿宋" w:cs="仿宋"/>
          <w:color w:val="auto"/>
          <w:spacing w:val="-2"/>
          <w:sz w:val="24"/>
          <w:szCs w:val="24"/>
          <w:highlight w:val="none"/>
          <w:lang w:eastAsia="zh-CN"/>
        </w:rPr>
        <w:t>。</w:t>
      </w:r>
    </w:p>
    <w:p w14:paraId="3CC4475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14.7 投标人对投标报价若有说明应在投标文件中显著处注明。</w:t>
      </w:r>
    </w:p>
    <w:p w14:paraId="3F7E55A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除政策性文件规定以外，投标人所报价格在合同实施期间不因市场变化因素</w:t>
      </w:r>
      <w:r>
        <w:rPr>
          <w:rFonts w:hint="eastAsia" w:ascii="仿宋" w:hAnsi="仿宋" w:eastAsia="仿宋" w:cs="仿宋"/>
          <w:color w:val="auto"/>
          <w:spacing w:val="-3"/>
          <w:sz w:val="24"/>
          <w:szCs w:val="24"/>
          <w:highlight w:val="none"/>
          <w:lang w:eastAsia="zh-CN"/>
        </w:rPr>
        <w:t>而变动。</w:t>
      </w:r>
    </w:p>
    <w:p w14:paraId="257783C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14.8 对于有配件、耗材、选件、备件和特殊工具的货物，还应</w:t>
      </w:r>
      <w:r>
        <w:rPr>
          <w:rFonts w:hint="eastAsia" w:ascii="仿宋" w:hAnsi="仿宋" w:eastAsia="仿宋" w:cs="仿宋"/>
          <w:color w:val="auto"/>
          <w:spacing w:val="-1"/>
          <w:sz w:val="24"/>
          <w:szCs w:val="24"/>
          <w:highlight w:val="none"/>
          <w:lang w:eastAsia="zh-CN"/>
        </w:rPr>
        <w:t>填报投标货物配件、耗材、选件表和备件及特殊工具清</w:t>
      </w:r>
      <w:r>
        <w:rPr>
          <w:rFonts w:hint="eastAsia" w:ascii="仿宋" w:hAnsi="仿宋" w:eastAsia="仿宋" w:cs="仿宋"/>
          <w:color w:val="auto"/>
          <w:spacing w:val="-2"/>
          <w:sz w:val="24"/>
          <w:szCs w:val="24"/>
          <w:highlight w:val="none"/>
          <w:lang w:eastAsia="zh-CN"/>
        </w:rPr>
        <w:t>单，注明品牌、型号、产地、功能、</w:t>
      </w:r>
      <w:r>
        <w:rPr>
          <w:rFonts w:hint="eastAsia" w:ascii="仿宋" w:hAnsi="仿宋" w:eastAsia="仿宋" w:cs="仿宋"/>
          <w:color w:val="auto"/>
          <w:spacing w:val="-3"/>
          <w:sz w:val="24"/>
          <w:szCs w:val="24"/>
          <w:highlight w:val="none"/>
          <w:lang w:eastAsia="zh-CN"/>
        </w:rPr>
        <w:t>单价、批量折扣等内容，该表格格式由投标人自行设计。投标人按照上述要求分类报价，其目的是便于评标，但在任何情况下并不限制采购人以其他条款签订合</w:t>
      </w:r>
      <w:r>
        <w:rPr>
          <w:rFonts w:hint="eastAsia" w:ascii="仿宋" w:hAnsi="仿宋" w:eastAsia="仿宋" w:cs="仿宋"/>
          <w:color w:val="auto"/>
          <w:spacing w:val="-2"/>
          <w:sz w:val="24"/>
          <w:szCs w:val="24"/>
          <w:highlight w:val="none"/>
          <w:lang w:eastAsia="zh-CN"/>
        </w:rPr>
        <w:t>同的权利。</w:t>
      </w:r>
    </w:p>
    <w:p w14:paraId="338D06B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14.9 最低报价不能作为中标的保证。</w:t>
      </w:r>
    </w:p>
    <w:p w14:paraId="542C7C3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14.10采购人不得向投标人索要或者接受其给予的赠品、回扣或者与采购无关的其他商品、服务。</w:t>
      </w:r>
    </w:p>
    <w:p w14:paraId="4316DA11">
      <w:pPr>
        <w:spacing w:line="360" w:lineRule="auto"/>
        <w:ind w:left="31" w:right="-27" w:rightChars="-13"/>
        <w:outlineLvl w:val="2"/>
        <w:rPr>
          <w:rFonts w:hint="eastAsia" w:ascii="仿宋" w:hAnsi="仿宋" w:eastAsia="仿宋" w:cs="仿宋"/>
          <w:color w:val="auto"/>
          <w:sz w:val="24"/>
          <w:szCs w:val="24"/>
          <w:highlight w:val="none"/>
          <w:lang w:eastAsia="zh-CN"/>
        </w:rPr>
      </w:pPr>
      <w:bookmarkStart w:id="82" w:name="bookmark57"/>
      <w:bookmarkEnd w:id="82"/>
      <w:bookmarkStart w:id="83" w:name="bookmark58"/>
      <w:bookmarkEnd w:id="83"/>
      <w:bookmarkStart w:id="84" w:name="_Toc16684"/>
      <w:bookmarkStart w:id="85" w:name="_Toc186477703"/>
      <w:r>
        <w:rPr>
          <w:rFonts w:hint="eastAsia" w:ascii="仿宋" w:hAnsi="仿宋" w:eastAsia="仿宋" w:cs="仿宋"/>
          <w:b/>
          <w:bCs/>
          <w:color w:val="auto"/>
          <w:spacing w:val="-7"/>
          <w:sz w:val="24"/>
          <w:szCs w:val="24"/>
          <w:highlight w:val="none"/>
          <w:lang w:eastAsia="zh-CN"/>
        </w:rPr>
        <w:t>15.投标有效期</w:t>
      </w:r>
      <w:bookmarkEnd w:id="84"/>
      <w:bookmarkEnd w:id="85"/>
    </w:p>
    <w:p w14:paraId="20AB31A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15.1 投标有效期见“第二章 投标人须知前附</w:t>
      </w:r>
      <w:r>
        <w:rPr>
          <w:rFonts w:hint="eastAsia" w:ascii="仿宋" w:hAnsi="仿宋" w:eastAsia="仿宋" w:cs="仿宋"/>
          <w:color w:val="auto"/>
          <w:spacing w:val="-5"/>
          <w:sz w:val="24"/>
          <w:szCs w:val="24"/>
          <w:highlight w:val="none"/>
          <w:lang w:eastAsia="zh-CN"/>
        </w:rPr>
        <w:t>表”，投标人承诺的投标有效</w:t>
      </w:r>
      <w:r>
        <w:rPr>
          <w:rFonts w:hint="eastAsia" w:ascii="仿宋" w:hAnsi="仿宋" w:eastAsia="仿宋" w:cs="仿宋"/>
          <w:color w:val="auto"/>
          <w:spacing w:val="-2"/>
          <w:sz w:val="24"/>
          <w:szCs w:val="24"/>
          <w:highlight w:val="none"/>
          <w:lang w:eastAsia="zh-CN"/>
        </w:rPr>
        <w:t>期少于招标文件规定期限的，其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618BE46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15.2 投标有效期从提交投标文件的截止之日起算。投标文件中承诺的投标</w:t>
      </w:r>
      <w:r>
        <w:rPr>
          <w:rFonts w:hint="eastAsia" w:ascii="仿宋" w:hAnsi="仿宋" w:eastAsia="仿宋" w:cs="仿宋"/>
          <w:color w:val="auto"/>
          <w:spacing w:val="-3"/>
          <w:sz w:val="24"/>
          <w:szCs w:val="24"/>
          <w:highlight w:val="none"/>
          <w:lang w:eastAsia="zh-CN"/>
        </w:rPr>
        <w:t>有效期应当不少于招标文件中载明的投标有效期。投标有效期内投标人撤销投标</w:t>
      </w:r>
      <w:r>
        <w:rPr>
          <w:rFonts w:hint="eastAsia" w:ascii="仿宋" w:hAnsi="仿宋" w:eastAsia="仿宋" w:cs="仿宋"/>
          <w:color w:val="auto"/>
          <w:spacing w:val="-1"/>
          <w:sz w:val="24"/>
          <w:szCs w:val="24"/>
          <w:highlight w:val="none"/>
          <w:lang w:eastAsia="zh-CN"/>
        </w:rPr>
        <w:t>文件的，采购人或者采购代理机构可以不退还投标保证金。</w:t>
      </w:r>
    </w:p>
    <w:p w14:paraId="119CD00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15.3特殊情况下，在原投标文件有效期截止之前，采购代理机构</w:t>
      </w:r>
      <w:r>
        <w:rPr>
          <w:rFonts w:hint="eastAsia" w:ascii="仿宋" w:hAnsi="仿宋" w:eastAsia="仿宋" w:cs="仿宋"/>
          <w:color w:val="auto"/>
          <w:spacing w:val="-2"/>
          <w:sz w:val="24"/>
          <w:szCs w:val="24"/>
          <w:highlight w:val="none"/>
          <w:lang w:eastAsia="zh-CN"/>
        </w:rPr>
        <w:t>或采购人</w:t>
      </w:r>
      <w:r>
        <w:rPr>
          <w:rFonts w:hint="eastAsia" w:ascii="仿宋" w:hAnsi="仿宋" w:eastAsia="仿宋" w:cs="仿宋"/>
          <w:color w:val="auto"/>
          <w:spacing w:val="-3"/>
          <w:sz w:val="24"/>
          <w:szCs w:val="24"/>
          <w:highlight w:val="none"/>
          <w:lang w:eastAsia="zh-CN"/>
        </w:rPr>
        <w:t>可要求投标人延长投标有效期。需要延长投标有效期时，采购代理机构或采购人将以书面形式通知所有投标人，投标人应以书面形式答复是否同意延长投标有效</w:t>
      </w:r>
      <w:r>
        <w:rPr>
          <w:rFonts w:hint="eastAsia" w:ascii="仿宋" w:hAnsi="仿宋" w:eastAsia="仿宋" w:cs="仿宋"/>
          <w:color w:val="auto"/>
          <w:spacing w:val="-4"/>
          <w:sz w:val="24"/>
          <w:szCs w:val="24"/>
          <w:highlight w:val="none"/>
          <w:lang w:eastAsia="zh-CN"/>
        </w:rPr>
        <w:t>期。</w:t>
      </w:r>
    </w:p>
    <w:p w14:paraId="1FAD9ED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15.4投标人同意延长的，其投标保证金的有效期也相应延</w:t>
      </w:r>
      <w:r>
        <w:rPr>
          <w:rFonts w:hint="eastAsia" w:ascii="仿宋" w:hAnsi="仿宋" w:eastAsia="仿宋" w:cs="仿宋"/>
          <w:color w:val="auto"/>
          <w:spacing w:val="-2"/>
          <w:sz w:val="24"/>
          <w:szCs w:val="24"/>
          <w:highlight w:val="none"/>
          <w:lang w:eastAsia="zh-CN"/>
        </w:rPr>
        <w:t>长，但不得要求</w:t>
      </w:r>
      <w:r>
        <w:rPr>
          <w:rFonts w:hint="eastAsia" w:ascii="仿宋" w:hAnsi="仿宋" w:eastAsia="仿宋" w:cs="仿宋"/>
          <w:color w:val="auto"/>
          <w:spacing w:val="-3"/>
          <w:sz w:val="24"/>
          <w:szCs w:val="24"/>
          <w:highlight w:val="none"/>
          <w:lang w:eastAsia="zh-CN"/>
        </w:rPr>
        <w:t>或被允许修改或撤销其投标文件；投标人拒绝延长的，其投标文件在原投标</w:t>
      </w:r>
      <w:r>
        <w:rPr>
          <w:rFonts w:hint="eastAsia" w:ascii="仿宋" w:hAnsi="仿宋" w:eastAsia="仿宋" w:cs="仿宋"/>
          <w:color w:val="auto"/>
          <w:spacing w:val="-4"/>
          <w:sz w:val="24"/>
          <w:szCs w:val="24"/>
          <w:highlight w:val="none"/>
          <w:lang w:eastAsia="zh-CN"/>
        </w:rPr>
        <w:t>有效</w:t>
      </w:r>
      <w:r>
        <w:rPr>
          <w:rFonts w:hint="eastAsia" w:ascii="仿宋" w:hAnsi="仿宋" w:eastAsia="仿宋" w:cs="仿宋"/>
          <w:color w:val="auto"/>
          <w:spacing w:val="-1"/>
          <w:sz w:val="24"/>
          <w:szCs w:val="24"/>
          <w:highlight w:val="none"/>
          <w:lang w:eastAsia="zh-CN"/>
        </w:rPr>
        <w:t>期满后将不再有效，但其提交的投标保证金可予以退还。</w:t>
      </w:r>
    </w:p>
    <w:p w14:paraId="2E183B62">
      <w:pPr>
        <w:spacing w:line="360" w:lineRule="auto"/>
        <w:ind w:left="31" w:right="-27" w:rightChars="-13"/>
        <w:outlineLvl w:val="2"/>
        <w:rPr>
          <w:rFonts w:hint="eastAsia" w:ascii="仿宋" w:hAnsi="仿宋" w:eastAsia="仿宋" w:cs="仿宋"/>
          <w:color w:val="auto"/>
          <w:sz w:val="24"/>
          <w:szCs w:val="24"/>
          <w:highlight w:val="none"/>
          <w:lang w:eastAsia="zh-CN"/>
        </w:rPr>
      </w:pPr>
      <w:bookmarkStart w:id="86" w:name="bookmark59"/>
      <w:bookmarkEnd w:id="86"/>
      <w:bookmarkStart w:id="87" w:name="bookmark60"/>
      <w:bookmarkEnd w:id="87"/>
      <w:bookmarkStart w:id="88" w:name="_Toc186477704"/>
      <w:bookmarkStart w:id="89" w:name="_Toc8434"/>
      <w:r>
        <w:rPr>
          <w:rFonts w:hint="eastAsia" w:ascii="仿宋" w:hAnsi="仿宋" w:eastAsia="仿宋" w:cs="仿宋"/>
          <w:b/>
          <w:bCs/>
          <w:color w:val="auto"/>
          <w:spacing w:val="-6"/>
          <w:sz w:val="24"/>
          <w:szCs w:val="24"/>
          <w:highlight w:val="none"/>
          <w:lang w:eastAsia="zh-CN"/>
        </w:rPr>
        <w:t>16.投标文件的编制</w:t>
      </w:r>
      <w:bookmarkEnd w:id="88"/>
      <w:bookmarkEnd w:id="89"/>
    </w:p>
    <w:p w14:paraId="671FC9B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16.1投标文件应在供应商客户端中进行编制，在投标文件</w:t>
      </w:r>
      <w:r>
        <w:rPr>
          <w:rFonts w:hint="eastAsia" w:ascii="仿宋" w:hAnsi="仿宋" w:eastAsia="仿宋" w:cs="仿宋"/>
          <w:color w:val="auto"/>
          <w:spacing w:val="-2"/>
          <w:sz w:val="24"/>
          <w:szCs w:val="24"/>
          <w:highlight w:val="none"/>
          <w:lang w:eastAsia="zh-CN"/>
        </w:rPr>
        <w:t>中要求加盖印章的，除有特殊说明之外，可使用电子签章签署。</w:t>
      </w:r>
    </w:p>
    <w:p w14:paraId="6AB9A16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16.2投标人在供应商客户端中按照供应商客户端中的格式</w:t>
      </w:r>
      <w:r>
        <w:rPr>
          <w:rFonts w:hint="eastAsia" w:ascii="仿宋" w:hAnsi="仿宋" w:eastAsia="仿宋" w:cs="仿宋"/>
          <w:color w:val="auto"/>
          <w:spacing w:val="-2"/>
          <w:sz w:val="24"/>
          <w:szCs w:val="24"/>
          <w:highlight w:val="none"/>
          <w:lang w:eastAsia="zh-CN"/>
        </w:rPr>
        <w:t>要求填写响应内</w:t>
      </w:r>
      <w:r>
        <w:rPr>
          <w:rFonts w:hint="eastAsia" w:ascii="仿宋" w:hAnsi="仿宋" w:eastAsia="仿宋" w:cs="仿宋"/>
          <w:color w:val="auto"/>
          <w:spacing w:val="-3"/>
          <w:sz w:val="24"/>
          <w:szCs w:val="24"/>
          <w:highlight w:val="none"/>
          <w:lang w:eastAsia="zh-CN"/>
        </w:rPr>
        <w:t>容后，生成投标文件。投标人须按照招标文件的要求使用电子签章对要求加</w:t>
      </w:r>
      <w:r>
        <w:rPr>
          <w:rFonts w:hint="eastAsia" w:ascii="仿宋" w:hAnsi="仿宋" w:eastAsia="仿宋" w:cs="仿宋"/>
          <w:color w:val="auto"/>
          <w:spacing w:val="-4"/>
          <w:sz w:val="24"/>
          <w:szCs w:val="24"/>
          <w:highlight w:val="none"/>
          <w:lang w:eastAsia="zh-CN"/>
        </w:rPr>
        <w:t>盖印</w:t>
      </w:r>
      <w:r>
        <w:rPr>
          <w:rFonts w:hint="eastAsia" w:ascii="仿宋" w:hAnsi="仿宋" w:eastAsia="仿宋" w:cs="仿宋"/>
          <w:color w:val="auto"/>
          <w:spacing w:val="-2"/>
          <w:sz w:val="24"/>
          <w:szCs w:val="24"/>
          <w:highlight w:val="none"/>
          <w:lang w:eastAsia="zh-CN"/>
        </w:rPr>
        <w:t>章的部分逐一进行签章。</w:t>
      </w:r>
    </w:p>
    <w:p w14:paraId="28C12C18">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16.3投标人应详细阅读招标文件的全部内容。投标文件须</w:t>
      </w:r>
      <w:r>
        <w:rPr>
          <w:rFonts w:hint="eastAsia" w:ascii="仿宋" w:hAnsi="仿宋" w:eastAsia="仿宋" w:cs="仿宋"/>
          <w:color w:val="auto"/>
          <w:spacing w:val="-2"/>
          <w:sz w:val="24"/>
          <w:szCs w:val="24"/>
          <w:highlight w:val="none"/>
          <w:lang w:eastAsia="zh-CN"/>
        </w:rPr>
        <w:t>对招标文件中的</w:t>
      </w:r>
      <w:r>
        <w:rPr>
          <w:rFonts w:hint="eastAsia" w:ascii="仿宋" w:hAnsi="仿宋" w:eastAsia="仿宋" w:cs="仿宋"/>
          <w:color w:val="auto"/>
          <w:spacing w:val="-3"/>
          <w:sz w:val="24"/>
          <w:szCs w:val="24"/>
          <w:highlight w:val="none"/>
          <w:lang w:eastAsia="zh-CN"/>
        </w:rPr>
        <w:t>内容作出实质性和完整的响应，如果投标文件填报的内容不详，或没有提供招标</w:t>
      </w:r>
      <w:r>
        <w:rPr>
          <w:rFonts w:hint="eastAsia" w:ascii="仿宋" w:hAnsi="仿宋" w:eastAsia="仿宋" w:cs="仿宋"/>
          <w:color w:val="auto"/>
          <w:spacing w:val="-1"/>
          <w:sz w:val="24"/>
          <w:szCs w:val="24"/>
          <w:highlight w:val="none"/>
          <w:lang w:eastAsia="zh-CN"/>
        </w:rPr>
        <w:t>文件中所要求的全部资料及数据，将可能导致其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012C3DA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16.4投标文件须严格按照本招标文件第七章规定的格式提</w:t>
      </w:r>
      <w:r>
        <w:rPr>
          <w:rFonts w:hint="eastAsia" w:ascii="仿宋" w:hAnsi="仿宋" w:eastAsia="仿宋" w:cs="仿宋"/>
          <w:color w:val="auto"/>
          <w:spacing w:val="-2"/>
          <w:sz w:val="24"/>
          <w:szCs w:val="24"/>
          <w:highlight w:val="none"/>
          <w:lang w:eastAsia="zh-CN"/>
        </w:rPr>
        <w:t>交，并按规定的</w:t>
      </w:r>
      <w:r>
        <w:rPr>
          <w:rFonts w:hint="eastAsia" w:ascii="仿宋" w:hAnsi="仿宋" w:eastAsia="仿宋" w:cs="仿宋"/>
          <w:color w:val="auto"/>
          <w:spacing w:val="-4"/>
          <w:sz w:val="24"/>
          <w:szCs w:val="24"/>
          <w:highlight w:val="none"/>
          <w:lang w:eastAsia="zh-CN"/>
        </w:rPr>
        <w:t>统一格式逐项填写，不准有空项；无相应内容可填的项，应填写“无”、“未测</w:t>
      </w:r>
      <w:r>
        <w:rPr>
          <w:rFonts w:hint="eastAsia" w:ascii="仿宋" w:hAnsi="仿宋" w:eastAsia="仿宋" w:cs="仿宋"/>
          <w:color w:val="auto"/>
          <w:spacing w:val="-5"/>
          <w:sz w:val="24"/>
          <w:szCs w:val="24"/>
          <w:highlight w:val="none"/>
          <w:lang w:eastAsia="zh-CN"/>
        </w:rPr>
        <w:t>试”、“没有相应指标”等明确的回答文字。由于编排混乱导致投标文件被误读</w:t>
      </w:r>
      <w:r>
        <w:rPr>
          <w:rFonts w:hint="eastAsia" w:ascii="仿宋" w:hAnsi="仿宋" w:eastAsia="仿宋" w:cs="仿宋"/>
          <w:color w:val="auto"/>
          <w:spacing w:val="-1"/>
          <w:sz w:val="24"/>
          <w:szCs w:val="24"/>
          <w:highlight w:val="none"/>
          <w:lang w:eastAsia="zh-CN"/>
        </w:rPr>
        <w:t>或查找不到，其责任由投标人承担。</w:t>
      </w:r>
    </w:p>
    <w:p w14:paraId="217C9BD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16.5货物的技术参数有具体数值要求的，且招标文</w:t>
      </w:r>
      <w:r>
        <w:rPr>
          <w:rFonts w:hint="eastAsia" w:ascii="仿宋" w:hAnsi="仿宋" w:eastAsia="仿宋" w:cs="仿宋"/>
          <w:color w:val="auto"/>
          <w:spacing w:val="-2"/>
          <w:sz w:val="24"/>
          <w:szCs w:val="24"/>
          <w:highlight w:val="none"/>
          <w:lang w:eastAsia="zh-CN"/>
        </w:rPr>
        <w:t>件要求投标人提供响应</w:t>
      </w:r>
      <w:r>
        <w:rPr>
          <w:rFonts w:hint="eastAsia" w:ascii="仿宋" w:hAnsi="仿宋" w:eastAsia="仿宋" w:cs="仿宋"/>
          <w:color w:val="auto"/>
          <w:spacing w:val="-3"/>
          <w:sz w:val="24"/>
          <w:szCs w:val="24"/>
          <w:highlight w:val="none"/>
          <w:lang w:eastAsia="zh-CN"/>
        </w:rPr>
        <w:t>产</w:t>
      </w:r>
      <w:r>
        <w:rPr>
          <w:rFonts w:hint="eastAsia" w:ascii="仿宋" w:hAnsi="仿宋" w:eastAsia="仿宋" w:cs="仿宋"/>
          <w:color w:val="auto"/>
          <w:spacing w:val="-1"/>
          <w:sz w:val="24"/>
          <w:szCs w:val="24"/>
          <w:highlight w:val="none"/>
          <w:lang w:eastAsia="zh-CN"/>
        </w:rPr>
        <w:t>品彩页、检验检测报告、厂家使用说明书等证明材料（具体要求以评标方法及标准的内容为准），则投标人在技术参数响应表中须标注</w:t>
      </w:r>
      <w:r>
        <w:rPr>
          <w:rFonts w:hint="eastAsia" w:ascii="仿宋" w:hAnsi="仿宋" w:eastAsia="仿宋" w:cs="仿宋"/>
          <w:color w:val="auto"/>
          <w:spacing w:val="-3"/>
          <w:sz w:val="24"/>
          <w:szCs w:val="24"/>
          <w:highlight w:val="none"/>
          <w:lang w:eastAsia="zh-CN"/>
        </w:rPr>
        <w:t>产品实际参数数值，照搬照抄招标文件参数、不注明实际</w:t>
      </w:r>
      <w:r>
        <w:rPr>
          <w:rFonts w:hint="eastAsia" w:ascii="仿宋" w:hAnsi="仿宋" w:eastAsia="仿宋" w:cs="仿宋"/>
          <w:color w:val="auto"/>
          <w:spacing w:val="-4"/>
          <w:sz w:val="24"/>
          <w:szCs w:val="24"/>
          <w:highlight w:val="none"/>
          <w:lang w:eastAsia="zh-CN"/>
        </w:rPr>
        <w:t>数值者</w:t>
      </w:r>
      <w:r>
        <w:rPr>
          <w:rFonts w:hint="eastAsia" w:ascii="仿宋" w:hAnsi="仿宋" w:eastAsia="仿宋" w:cs="仿宋"/>
          <w:b/>
          <w:bCs/>
          <w:color w:val="auto"/>
          <w:spacing w:val="-4"/>
          <w:sz w:val="24"/>
          <w:szCs w:val="24"/>
          <w:highlight w:val="none"/>
          <w:lang w:eastAsia="zh-CN"/>
        </w:rPr>
        <w:t>视为未响应</w:t>
      </w:r>
      <w:r>
        <w:rPr>
          <w:rFonts w:hint="eastAsia" w:ascii="仿宋" w:hAnsi="仿宋" w:eastAsia="仿宋" w:cs="仿宋"/>
          <w:color w:val="auto"/>
          <w:spacing w:val="-4"/>
          <w:sz w:val="24"/>
          <w:szCs w:val="24"/>
          <w:highlight w:val="none"/>
          <w:lang w:eastAsia="zh-CN"/>
        </w:rPr>
        <w:t>。</w:t>
      </w:r>
    </w:p>
    <w:p w14:paraId="3A15387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16.6开标一览表为在开标时唱标的内容，要求按格式统一填写</w:t>
      </w:r>
      <w:r>
        <w:rPr>
          <w:rFonts w:hint="eastAsia" w:ascii="仿宋" w:hAnsi="仿宋" w:eastAsia="仿宋" w:cs="仿宋"/>
          <w:color w:val="auto"/>
          <w:spacing w:val="-2"/>
          <w:sz w:val="24"/>
          <w:szCs w:val="24"/>
          <w:highlight w:val="none"/>
          <w:lang w:eastAsia="zh-CN"/>
        </w:rPr>
        <w:t>，不得自行</w:t>
      </w:r>
      <w:r>
        <w:rPr>
          <w:rFonts w:hint="eastAsia" w:ascii="仿宋" w:hAnsi="仿宋" w:eastAsia="仿宋" w:cs="仿宋"/>
          <w:color w:val="auto"/>
          <w:spacing w:val="-3"/>
          <w:sz w:val="24"/>
          <w:szCs w:val="24"/>
          <w:highlight w:val="none"/>
          <w:lang w:eastAsia="zh-CN"/>
        </w:rPr>
        <w:t>增减内容。</w:t>
      </w:r>
    </w:p>
    <w:p w14:paraId="226C016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16.7投标人须注意：为合理节约政府采购评审成本，提倡</w:t>
      </w:r>
      <w:r>
        <w:rPr>
          <w:rFonts w:hint="eastAsia" w:ascii="仿宋" w:hAnsi="仿宋" w:eastAsia="仿宋" w:cs="仿宋"/>
          <w:color w:val="auto"/>
          <w:spacing w:val="-2"/>
          <w:sz w:val="24"/>
          <w:szCs w:val="24"/>
          <w:highlight w:val="none"/>
          <w:lang w:eastAsia="zh-CN"/>
        </w:rPr>
        <w:t>诚实信用的投标</w:t>
      </w:r>
      <w:r>
        <w:rPr>
          <w:rFonts w:hint="eastAsia" w:ascii="仿宋" w:hAnsi="仿宋" w:eastAsia="仿宋" w:cs="仿宋"/>
          <w:color w:val="auto"/>
          <w:spacing w:val="-3"/>
          <w:sz w:val="24"/>
          <w:szCs w:val="24"/>
          <w:highlight w:val="none"/>
          <w:lang w:eastAsia="zh-CN"/>
        </w:rPr>
        <w:t>行为，特别要求投标人应本着诚信精神，在本次投标文件的偏离表中，均以审慎的态度明确、清楚地披露各项偏离。若投标人对某一事项是否存在或是否属于偏离不能确定，亦必须在偏离表中清楚地表明该偏离事项，并可以注明不能确定的字样。任何情况下，对于投标人没有在偏离表中明确、清楚地披露的事项，包括可能属于被投标人在偏离表中遗漏披露的事项，一旦在评审中被发现存在偏离或</w:t>
      </w:r>
      <w:r>
        <w:rPr>
          <w:rFonts w:hint="eastAsia" w:ascii="仿宋" w:hAnsi="仿宋" w:eastAsia="仿宋" w:cs="仿宋"/>
          <w:color w:val="auto"/>
          <w:spacing w:val="-1"/>
          <w:sz w:val="24"/>
          <w:szCs w:val="24"/>
          <w:highlight w:val="none"/>
          <w:lang w:eastAsia="zh-CN"/>
        </w:rPr>
        <w:t>被认定为属于偏离，则评标委员会有权视具体情形评审时按</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w:t>
      </w:r>
    </w:p>
    <w:p w14:paraId="74C14B6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16.8投标人必须保证投标文件所提供的全部资料真实可</w:t>
      </w:r>
      <w:r>
        <w:rPr>
          <w:rFonts w:hint="eastAsia" w:ascii="仿宋" w:hAnsi="仿宋" w:eastAsia="仿宋" w:cs="仿宋"/>
          <w:color w:val="auto"/>
          <w:spacing w:val="-4"/>
          <w:sz w:val="24"/>
          <w:szCs w:val="24"/>
          <w:highlight w:val="none"/>
          <w:lang w:eastAsia="zh-CN"/>
        </w:rPr>
        <w:t>靠，并接受采购人、</w:t>
      </w:r>
      <w:r>
        <w:rPr>
          <w:rFonts w:hint="eastAsia" w:ascii="仿宋" w:hAnsi="仿宋" w:eastAsia="仿宋" w:cs="仿宋"/>
          <w:color w:val="auto"/>
          <w:spacing w:val="-1"/>
          <w:sz w:val="24"/>
          <w:szCs w:val="24"/>
          <w:highlight w:val="none"/>
          <w:lang w:eastAsia="zh-CN"/>
        </w:rPr>
        <w:t>采购代理机构或评标委员会对其中任何资料进一步审查的要求。</w:t>
      </w:r>
    </w:p>
    <w:p w14:paraId="6271AD9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16.9投标人在投标文件及相关文件的签订、履行、通知等</w:t>
      </w:r>
      <w:r>
        <w:rPr>
          <w:rFonts w:hint="eastAsia" w:ascii="仿宋" w:hAnsi="仿宋" w:eastAsia="仿宋" w:cs="仿宋"/>
          <w:color w:val="auto"/>
          <w:spacing w:val="-2"/>
          <w:sz w:val="24"/>
          <w:szCs w:val="24"/>
          <w:highlight w:val="none"/>
          <w:lang w:eastAsia="zh-CN"/>
        </w:rPr>
        <w:t>事项的文件中的</w:t>
      </w:r>
      <w:r>
        <w:rPr>
          <w:rFonts w:hint="eastAsia" w:ascii="仿宋" w:hAnsi="仿宋" w:eastAsia="仿宋" w:cs="仿宋"/>
          <w:color w:val="auto"/>
          <w:spacing w:val="-3"/>
          <w:sz w:val="24"/>
          <w:szCs w:val="24"/>
          <w:highlight w:val="none"/>
          <w:lang w:eastAsia="zh-CN"/>
        </w:rPr>
        <w:t>单位盖章、印章、公章等处均指与当事人全称相一致的标准公章，不得使用其他形式（如带有“专用章”等字样的印章）。不符合本条规定的按</w:t>
      </w:r>
      <w:r>
        <w:rPr>
          <w:rFonts w:hint="eastAsia" w:ascii="仿宋" w:hAnsi="仿宋" w:eastAsia="仿宋" w:cs="仿宋"/>
          <w:b/>
          <w:bCs/>
          <w:color w:val="auto"/>
          <w:spacing w:val="-3"/>
          <w:sz w:val="24"/>
          <w:szCs w:val="24"/>
          <w:highlight w:val="none"/>
          <w:lang w:eastAsia="zh-CN"/>
        </w:rPr>
        <w:t>无效投标</w:t>
      </w:r>
      <w:r>
        <w:rPr>
          <w:rFonts w:hint="eastAsia" w:ascii="仿宋" w:hAnsi="仿宋" w:eastAsia="仿宋" w:cs="仿宋"/>
          <w:color w:val="auto"/>
          <w:spacing w:val="-3"/>
          <w:sz w:val="24"/>
          <w:szCs w:val="24"/>
          <w:highlight w:val="none"/>
          <w:lang w:eastAsia="zh-CN"/>
        </w:rPr>
        <w:t>处理。</w:t>
      </w:r>
    </w:p>
    <w:p w14:paraId="13A6122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16.10 电子投标文件的编制</w:t>
      </w:r>
    </w:p>
    <w:p w14:paraId="41D91DC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16.10.1电子投标文件需按招标文件要求进行制作编制。投标文件制作时，不同内容按标签提示制作导入，按照招标文件中明确的投标文件目录和格式进行</w:t>
      </w:r>
      <w:r>
        <w:rPr>
          <w:rFonts w:hint="eastAsia" w:ascii="仿宋" w:hAnsi="仿宋" w:eastAsia="仿宋" w:cs="仿宋"/>
          <w:color w:val="auto"/>
          <w:spacing w:val="-1"/>
          <w:sz w:val="24"/>
          <w:szCs w:val="24"/>
          <w:highlight w:val="none"/>
          <w:lang w:eastAsia="zh-CN"/>
        </w:rPr>
        <w:t>编制，保证目录清晰、内容完整；</w:t>
      </w:r>
    </w:p>
    <w:p w14:paraId="2974112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16.10.2电子招投标文件具有法律效力，与其他形式的招投标文件在内容和格式上等同，若投标文件与招标文件要求不一致，其内容影响中标结果时，责任由投标人自行承担。投标人递交的电子投标文件因投标人自身原因而导致无法导</w:t>
      </w:r>
      <w:r>
        <w:rPr>
          <w:rFonts w:hint="eastAsia" w:ascii="仿宋" w:hAnsi="仿宋" w:eastAsia="仿宋" w:cs="仿宋"/>
          <w:color w:val="auto"/>
          <w:spacing w:val="-1"/>
          <w:sz w:val="24"/>
          <w:szCs w:val="24"/>
          <w:highlight w:val="none"/>
          <w:lang w:eastAsia="zh-CN"/>
        </w:rPr>
        <w:t>入电子辅助评标系统，该投标文件视为无效投标文件，</w:t>
      </w:r>
      <w:r>
        <w:rPr>
          <w:rFonts w:hint="eastAsia" w:ascii="仿宋" w:hAnsi="仿宋" w:eastAsia="仿宋" w:cs="仿宋"/>
          <w:b/>
          <w:bCs/>
          <w:color w:val="auto"/>
          <w:spacing w:val="-1"/>
          <w:sz w:val="24"/>
          <w:szCs w:val="24"/>
          <w:highlight w:val="none"/>
          <w:lang w:eastAsia="zh-CN"/>
        </w:rPr>
        <w:t>其投标无效</w:t>
      </w:r>
      <w:r>
        <w:rPr>
          <w:rFonts w:hint="eastAsia" w:ascii="仿宋" w:hAnsi="仿宋" w:eastAsia="仿宋" w:cs="仿宋"/>
          <w:color w:val="auto"/>
          <w:spacing w:val="-1"/>
          <w:sz w:val="24"/>
          <w:szCs w:val="24"/>
          <w:highlight w:val="none"/>
          <w:lang w:eastAsia="zh-CN"/>
        </w:rPr>
        <w:t>。</w:t>
      </w:r>
    </w:p>
    <w:p w14:paraId="1B48C625">
      <w:pPr>
        <w:spacing w:line="360" w:lineRule="auto"/>
        <w:ind w:left="31" w:right="-27" w:rightChars="-13"/>
        <w:outlineLvl w:val="2"/>
        <w:rPr>
          <w:rFonts w:hint="eastAsia" w:ascii="仿宋" w:hAnsi="仿宋" w:eastAsia="仿宋" w:cs="仿宋"/>
          <w:color w:val="auto"/>
          <w:sz w:val="24"/>
          <w:szCs w:val="24"/>
          <w:highlight w:val="none"/>
          <w:lang w:eastAsia="zh-CN"/>
        </w:rPr>
      </w:pPr>
      <w:bookmarkStart w:id="90" w:name="bookmark62"/>
      <w:bookmarkEnd w:id="90"/>
      <w:bookmarkStart w:id="91" w:name="bookmark61"/>
      <w:bookmarkEnd w:id="91"/>
      <w:bookmarkStart w:id="92" w:name="_Toc143"/>
      <w:bookmarkStart w:id="93" w:name="_Toc186477705"/>
      <w:r>
        <w:rPr>
          <w:rFonts w:hint="eastAsia" w:ascii="仿宋" w:hAnsi="仿宋" w:eastAsia="仿宋" w:cs="仿宋"/>
          <w:b/>
          <w:bCs/>
          <w:color w:val="auto"/>
          <w:spacing w:val="-8"/>
          <w:sz w:val="24"/>
          <w:szCs w:val="24"/>
          <w:highlight w:val="none"/>
          <w:lang w:eastAsia="zh-CN"/>
        </w:rPr>
        <w:t>（四）投标</w:t>
      </w:r>
      <w:bookmarkEnd w:id="92"/>
      <w:bookmarkEnd w:id="93"/>
    </w:p>
    <w:p w14:paraId="27AF167C">
      <w:pPr>
        <w:widowControl w:val="0"/>
        <w:spacing w:line="360" w:lineRule="auto"/>
        <w:ind w:left="28" w:right="-27" w:rightChars="-13"/>
        <w:outlineLvl w:val="2"/>
        <w:rPr>
          <w:rFonts w:hint="eastAsia" w:ascii="仿宋" w:hAnsi="仿宋" w:eastAsia="仿宋" w:cs="仿宋"/>
          <w:color w:val="auto"/>
          <w:sz w:val="24"/>
          <w:szCs w:val="24"/>
          <w:highlight w:val="none"/>
          <w:lang w:eastAsia="zh-CN"/>
        </w:rPr>
      </w:pPr>
      <w:bookmarkStart w:id="94" w:name="bookmark64"/>
      <w:bookmarkEnd w:id="94"/>
      <w:bookmarkStart w:id="95" w:name="bookmark66"/>
      <w:bookmarkEnd w:id="95"/>
      <w:bookmarkStart w:id="96" w:name="bookmark63"/>
      <w:bookmarkEnd w:id="96"/>
      <w:bookmarkStart w:id="97" w:name="_Toc2075"/>
      <w:bookmarkStart w:id="98" w:name="_Toc186477706"/>
      <w:r>
        <w:rPr>
          <w:rFonts w:hint="eastAsia" w:ascii="仿宋" w:hAnsi="仿宋" w:eastAsia="仿宋" w:cs="仿宋"/>
          <w:b/>
          <w:bCs/>
          <w:color w:val="auto"/>
          <w:spacing w:val="-7"/>
          <w:sz w:val="24"/>
          <w:szCs w:val="24"/>
          <w:highlight w:val="none"/>
          <w:lang w:eastAsia="zh-CN"/>
        </w:rPr>
        <w:t>17.投标保证金</w:t>
      </w:r>
      <w:bookmarkEnd w:id="97"/>
      <w:bookmarkEnd w:id="98"/>
    </w:p>
    <w:p w14:paraId="3E0DD79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17.1投标人应按照招标文件“第二章 投标人须知前附表”规定的金额及要</w:t>
      </w:r>
      <w:r>
        <w:rPr>
          <w:rFonts w:hint="eastAsia" w:ascii="仿宋" w:hAnsi="仿宋" w:eastAsia="仿宋" w:cs="仿宋"/>
          <w:color w:val="auto"/>
          <w:spacing w:val="-7"/>
          <w:sz w:val="24"/>
          <w:szCs w:val="24"/>
          <w:highlight w:val="none"/>
          <w:lang w:eastAsia="zh-CN"/>
        </w:rPr>
        <w:t>求提交投标保证金。投标人自愿超额缴纳投标保证</w:t>
      </w:r>
      <w:r>
        <w:rPr>
          <w:rFonts w:hint="eastAsia" w:ascii="仿宋" w:hAnsi="仿宋" w:eastAsia="仿宋" w:cs="仿宋"/>
          <w:color w:val="auto"/>
          <w:spacing w:val="-8"/>
          <w:sz w:val="24"/>
          <w:szCs w:val="24"/>
          <w:highlight w:val="none"/>
          <w:lang w:eastAsia="zh-CN"/>
        </w:rPr>
        <w:t>金的，投标文件不做无效处理。</w:t>
      </w:r>
    </w:p>
    <w:p w14:paraId="1780E80B">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17.2提交投标保证金可采用的形式：政府采购法律法规接受</w:t>
      </w:r>
      <w:r>
        <w:rPr>
          <w:rFonts w:hint="eastAsia" w:ascii="仿宋" w:hAnsi="仿宋" w:eastAsia="仿宋" w:cs="仿宋"/>
          <w:color w:val="auto"/>
          <w:spacing w:val="-4"/>
          <w:sz w:val="24"/>
          <w:szCs w:val="24"/>
          <w:highlight w:val="none"/>
          <w:lang w:eastAsia="zh-CN"/>
        </w:rPr>
        <w:t>的支票、汇票、</w:t>
      </w:r>
      <w:r>
        <w:rPr>
          <w:rFonts w:hint="eastAsia" w:ascii="仿宋" w:hAnsi="仿宋" w:eastAsia="仿宋" w:cs="仿宋"/>
          <w:color w:val="auto"/>
          <w:spacing w:val="-3"/>
          <w:sz w:val="24"/>
          <w:szCs w:val="24"/>
          <w:highlight w:val="none"/>
          <w:lang w:eastAsia="zh-CN"/>
        </w:rPr>
        <w:t>本票、网上银行支付或者金融机构、担保机构出具的保函等非现金形式。投标人未按照招标文件要求提交投标保证金的，其</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4"/>
          <w:sz w:val="24"/>
          <w:szCs w:val="24"/>
          <w:highlight w:val="none"/>
          <w:lang w:eastAsia="zh-CN"/>
        </w:rPr>
        <w:t>投标保证金有效期同投标</w:t>
      </w:r>
      <w:r>
        <w:rPr>
          <w:rFonts w:hint="eastAsia" w:ascii="仿宋" w:hAnsi="仿宋" w:eastAsia="仿宋" w:cs="仿宋"/>
          <w:color w:val="auto"/>
          <w:spacing w:val="-3"/>
          <w:sz w:val="24"/>
          <w:szCs w:val="24"/>
          <w:highlight w:val="none"/>
          <w:lang w:eastAsia="zh-CN"/>
        </w:rPr>
        <w:t>有效期。</w:t>
      </w:r>
    </w:p>
    <w:p w14:paraId="0023B15C">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17.3投标保证金到账（保函提交）截止时间同投标截止时</w:t>
      </w:r>
      <w:r>
        <w:rPr>
          <w:rFonts w:hint="eastAsia" w:ascii="仿宋" w:hAnsi="仿宋" w:eastAsia="仿宋" w:cs="仿宋"/>
          <w:color w:val="auto"/>
          <w:spacing w:val="-2"/>
          <w:sz w:val="24"/>
          <w:szCs w:val="24"/>
          <w:highlight w:val="none"/>
          <w:lang w:eastAsia="zh-CN"/>
        </w:rPr>
        <w:t>间。以支票、汇票、本票、网上银行支付等形式提交投标保证金的，应在投标截止时间前到账；</w:t>
      </w:r>
      <w:r>
        <w:rPr>
          <w:rFonts w:hint="eastAsia" w:ascii="仿宋" w:hAnsi="仿宋" w:eastAsia="仿宋" w:cs="仿宋"/>
          <w:color w:val="auto"/>
          <w:spacing w:val="-3"/>
          <w:sz w:val="24"/>
          <w:szCs w:val="24"/>
          <w:highlight w:val="none"/>
          <w:lang w:eastAsia="zh-CN"/>
        </w:rPr>
        <w:t>以金融机构、担保机构出具的保函等形式提交投标保证金的，应在投标截止时间</w:t>
      </w:r>
      <w:r>
        <w:rPr>
          <w:rFonts w:hint="eastAsia" w:ascii="仿宋" w:hAnsi="仿宋" w:eastAsia="仿宋" w:cs="仿宋"/>
          <w:color w:val="auto"/>
          <w:spacing w:val="-2"/>
          <w:sz w:val="24"/>
          <w:szCs w:val="24"/>
          <w:highlight w:val="none"/>
          <w:lang w:eastAsia="zh-CN"/>
        </w:rPr>
        <w:t>前将投标保证金支付原件扫描后作为投标文件的组成部分与投标文件一起上传。</w:t>
      </w:r>
      <w:r>
        <w:rPr>
          <w:rFonts w:hint="eastAsia" w:ascii="仿宋" w:hAnsi="仿宋" w:eastAsia="仿宋" w:cs="仿宋"/>
          <w:color w:val="auto"/>
          <w:spacing w:val="-3"/>
          <w:sz w:val="24"/>
          <w:szCs w:val="24"/>
          <w:highlight w:val="none"/>
          <w:lang w:eastAsia="zh-CN"/>
        </w:rPr>
        <w:t>由于到账时间晚于投标截止时间，或者票据错误、印鉴不清等原因导致不能到账的，其</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14F3AB3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17.4 投标人为联合体的，可以由联合体中的一方或者多方共同提交投</w:t>
      </w:r>
      <w:r>
        <w:rPr>
          <w:rFonts w:hint="eastAsia" w:ascii="仿宋" w:hAnsi="仿宋" w:eastAsia="仿宋" w:cs="仿宋"/>
          <w:color w:val="auto"/>
          <w:spacing w:val="-1"/>
          <w:sz w:val="24"/>
          <w:szCs w:val="24"/>
          <w:highlight w:val="none"/>
          <w:lang w:eastAsia="zh-CN"/>
        </w:rPr>
        <w:t>标保证金，其提交的投标保证金对联合体各方均具有约束力。</w:t>
      </w:r>
    </w:p>
    <w:p w14:paraId="72679D5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17.5采购人或者采购代理机构应当在采购活动结束后及时退还投标人的投标保证金，采用银行保函、担保机构担保函等形式递交的投标保证金，经投标人同意后采购人、采购代理机构可以不再退还，但因投标人自身原因导致无法及时退还的除外。未中标投标人的投标保证金应当自中标通知书发出之日起 5 个工作日内退还，中标投标人的投标保证金应当自采购合同签订之日起 5 个工作日内退还。</w:t>
      </w:r>
    </w:p>
    <w:p w14:paraId="2FF5F29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17.6 投标人在投标截止时间前撤回已提交的投标文件的，自收到投标人书</w:t>
      </w:r>
      <w:r>
        <w:rPr>
          <w:rFonts w:hint="eastAsia" w:ascii="仿宋" w:hAnsi="仿宋" w:eastAsia="仿宋" w:cs="仿宋"/>
          <w:color w:val="auto"/>
          <w:sz w:val="24"/>
          <w:szCs w:val="24"/>
          <w:highlight w:val="none"/>
          <w:lang w:eastAsia="zh-CN"/>
        </w:rPr>
        <w:t>面撤回通知之日起 5 个工作日内，退还已收取的投标保证金，但因投标人自身</w:t>
      </w:r>
      <w:r>
        <w:rPr>
          <w:rFonts w:hint="eastAsia" w:ascii="仿宋" w:hAnsi="仿宋" w:eastAsia="仿宋" w:cs="仿宋"/>
          <w:color w:val="auto"/>
          <w:spacing w:val="-1"/>
          <w:sz w:val="24"/>
          <w:szCs w:val="24"/>
          <w:highlight w:val="none"/>
          <w:lang w:eastAsia="zh-CN"/>
        </w:rPr>
        <w:t>原因导致无法及时退还的除外。</w:t>
      </w:r>
    </w:p>
    <w:p w14:paraId="543BBFD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17.7 终止招标项目已经收取投标保证金的，自终止采</w:t>
      </w:r>
      <w:r>
        <w:rPr>
          <w:rFonts w:hint="eastAsia" w:ascii="仿宋" w:hAnsi="仿宋" w:eastAsia="仿宋" w:cs="仿宋"/>
          <w:color w:val="auto"/>
          <w:spacing w:val="-4"/>
          <w:sz w:val="24"/>
          <w:szCs w:val="24"/>
          <w:highlight w:val="none"/>
          <w:lang w:eastAsia="zh-CN"/>
        </w:rPr>
        <w:t>购活动后 5 个工作日</w:t>
      </w:r>
      <w:r>
        <w:rPr>
          <w:rFonts w:hint="eastAsia" w:ascii="仿宋" w:hAnsi="仿宋" w:eastAsia="仿宋" w:cs="仿宋"/>
          <w:color w:val="auto"/>
          <w:spacing w:val="-2"/>
          <w:sz w:val="24"/>
          <w:szCs w:val="24"/>
          <w:highlight w:val="none"/>
          <w:lang w:eastAsia="zh-CN"/>
        </w:rPr>
        <w:t>内退还已收取的投标保证金及其在银行产生的孳息。</w:t>
      </w:r>
    </w:p>
    <w:p w14:paraId="08F6DBC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17.8 有下列情形之一的，采购人或采购代理</w:t>
      </w:r>
      <w:r>
        <w:rPr>
          <w:rFonts w:hint="eastAsia" w:ascii="仿宋" w:hAnsi="仿宋" w:eastAsia="仿宋" w:cs="仿宋"/>
          <w:color w:val="auto"/>
          <w:spacing w:val="-4"/>
          <w:sz w:val="24"/>
          <w:szCs w:val="24"/>
          <w:highlight w:val="none"/>
          <w:lang w:eastAsia="zh-CN"/>
        </w:rPr>
        <w:t>机构可以不予退还投标保证金,</w:t>
      </w:r>
      <w:r>
        <w:rPr>
          <w:rFonts w:hint="eastAsia" w:ascii="仿宋" w:hAnsi="仿宋" w:eastAsia="仿宋" w:cs="仿宋"/>
          <w:color w:val="auto"/>
          <w:spacing w:val="-1"/>
          <w:sz w:val="24"/>
          <w:szCs w:val="24"/>
          <w:highlight w:val="none"/>
          <w:lang w:eastAsia="zh-CN"/>
        </w:rPr>
        <w:t>情节严重的将其列入不良记录名单：</w:t>
      </w:r>
    </w:p>
    <w:p w14:paraId="3AEF869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17.8.1 开标后在投标有效期内，投标人撤销其投标的；</w:t>
      </w:r>
    </w:p>
    <w:p w14:paraId="5E77F9F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17.8.2 中标后无正当理由不与采购人签订合同的；</w:t>
      </w:r>
    </w:p>
    <w:p w14:paraId="4B65353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17.8.3 中标人与采购人订立背离合同实质性内容的其他协议；</w:t>
      </w:r>
    </w:p>
    <w:p w14:paraId="20D7121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17.8.4 将中标项目转让给他人，或者在投标文件中未说明，且</w:t>
      </w:r>
      <w:r>
        <w:rPr>
          <w:rFonts w:hint="eastAsia" w:ascii="仿宋" w:hAnsi="仿宋" w:eastAsia="仿宋" w:cs="仿宋"/>
          <w:color w:val="auto"/>
          <w:spacing w:val="-1"/>
          <w:sz w:val="24"/>
          <w:szCs w:val="24"/>
          <w:highlight w:val="none"/>
          <w:lang w:eastAsia="zh-CN"/>
        </w:rPr>
        <w:t>未经采购人</w:t>
      </w:r>
      <w:r>
        <w:rPr>
          <w:rFonts w:hint="eastAsia" w:ascii="仿宋" w:hAnsi="仿宋" w:eastAsia="仿宋" w:cs="仿宋"/>
          <w:color w:val="auto"/>
          <w:spacing w:val="-3"/>
          <w:sz w:val="24"/>
          <w:szCs w:val="24"/>
          <w:highlight w:val="none"/>
          <w:lang w:eastAsia="zh-CN"/>
        </w:rPr>
        <w:t>同意，将中标项目分包给他人的；</w:t>
      </w:r>
    </w:p>
    <w:p w14:paraId="46BED15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17.8.5 存在串通投标行为的；</w:t>
      </w:r>
    </w:p>
    <w:p w14:paraId="7E7BC16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17.8.6 存在弄虚作假或提供虚假材料谋取中</w:t>
      </w:r>
      <w:r>
        <w:rPr>
          <w:rFonts w:hint="eastAsia" w:ascii="仿宋" w:hAnsi="仿宋" w:eastAsia="仿宋" w:cs="仿宋"/>
          <w:color w:val="auto"/>
          <w:spacing w:val="-2"/>
          <w:sz w:val="24"/>
          <w:szCs w:val="24"/>
          <w:highlight w:val="none"/>
          <w:lang w:eastAsia="zh-CN"/>
        </w:rPr>
        <w:t>标的；</w:t>
      </w:r>
    </w:p>
    <w:p w14:paraId="6F25534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17.8.7 投标人其他未按招标文件规定和合同约定履行义务的行为。</w:t>
      </w:r>
    </w:p>
    <w:p w14:paraId="472C3EB1">
      <w:pPr>
        <w:widowControl w:val="0"/>
        <w:spacing w:line="360" w:lineRule="auto"/>
        <w:ind w:left="28"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17.10为支持和促进中小企业发展，进一步发挥政府采购政策功能，本采购项目适用于政府采购融资优惠、政采贷、电子保函相关政策，鼓励投标人使用电子保函代替现金缴纳各类保证金，在线完成保函的申请、审核、开票、出函等环节，投标人注意区分办理保函类型，并确认投标有效期。</w:t>
      </w:r>
    </w:p>
    <w:p w14:paraId="2EF5D4E4">
      <w:pPr>
        <w:widowControl w:val="0"/>
        <w:spacing w:line="360" w:lineRule="auto"/>
        <w:ind w:left="28"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17.10.1如采用政采云电子保函形式，可按照以下形式进行在线申请，电子保函申请链接（https://jinrong.zcygov.cn/luban/finance/letter/xinjiang?pageModelFlag=650000&amp;utm=site.site-PC-42055.1718-block_comp_1709189989843012.6.33f19dd0635411ef9be3cb6599db755d），如遇问题可拨打客服电话：95763。</w:t>
      </w:r>
    </w:p>
    <w:p w14:paraId="52A392CC">
      <w:pPr>
        <w:spacing w:line="360" w:lineRule="auto"/>
        <w:ind w:left="31" w:right="-27" w:rightChars="-13"/>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18.投标文件的加密</w:t>
      </w:r>
    </w:p>
    <w:p w14:paraId="1CF8A92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18.1投标人在供应商客户端中生成投标文件并完成签章之后，使用CA证书在供应商客户端中对投标文件进行加密。</w:t>
      </w:r>
    </w:p>
    <w:p w14:paraId="7825FC4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18.2投标人应在供应商客户端中对加密的投标文件进行解</w:t>
      </w:r>
      <w:r>
        <w:rPr>
          <w:rFonts w:hint="eastAsia" w:ascii="仿宋" w:hAnsi="仿宋" w:eastAsia="仿宋" w:cs="仿宋"/>
          <w:color w:val="auto"/>
          <w:spacing w:val="-2"/>
          <w:sz w:val="24"/>
          <w:szCs w:val="24"/>
          <w:highlight w:val="none"/>
          <w:lang w:eastAsia="zh-CN"/>
        </w:rPr>
        <w:t>密验证，以防止</w:t>
      </w:r>
      <w:r>
        <w:rPr>
          <w:rFonts w:hint="eastAsia" w:ascii="仿宋" w:hAnsi="仿宋" w:eastAsia="仿宋" w:cs="仿宋"/>
          <w:color w:val="auto"/>
          <w:spacing w:val="-1"/>
          <w:sz w:val="24"/>
          <w:szCs w:val="24"/>
          <w:highlight w:val="none"/>
          <w:lang w:eastAsia="zh-CN"/>
        </w:rPr>
        <w:t>投标文件加密异常，在开标时无法解密。</w:t>
      </w:r>
    </w:p>
    <w:p w14:paraId="564B351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18.3 投标人应保证加密投标文件的C</w:t>
      </w:r>
      <w:r>
        <w:rPr>
          <w:rFonts w:hint="eastAsia" w:ascii="仿宋" w:hAnsi="仿宋" w:eastAsia="仿宋" w:cs="仿宋"/>
          <w:color w:val="auto"/>
          <w:spacing w:val="-2"/>
          <w:sz w:val="24"/>
          <w:szCs w:val="24"/>
          <w:highlight w:val="none"/>
          <w:lang w:eastAsia="zh-CN"/>
        </w:rPr>
        <w:t>A证书有效期在开标时间之前。若CA</w:t>
      </w:r>
      <w:r>
        <w:rPr>
          <w:rFonts w:hint="eastAsia" w:ascii="仿宋" w:hAnsi="仿宋" w:eastAsia="仿宋" w:cs="仿宋"/>
          <w:color w:val="auto"/>
          <w:spacing w:val="-1"/>
          <w:sz w:val="24"/>
          <w:szCs w:val="24"/>
          <w:highlight w:val="none"/>
          <w:lang w:eastAsia="zh-CN"/>
        </w:rPr>
        <w:t>证书有效期临近开标时间，建议投标人提前办理CA证书续期，以免开标时无法</w:t>
      </w:r>
      <w:r>
        <w:rPr>
          <w:rFonts w:hint="eastAsia" w:ascii="仿宋" w:hAnsi="仿宋" w:eastAsia="仿宋" w:cs="仿宋"/>
          <w:color w:val="auto"/>
          <w:spacing w:val="-2"/>
          <w:sz w:val="24"/>
          <w:szCs w:val="24"/>
          <w:highlight w:val="none"/>
          <w:lang w:eastAsia="zh-CN"/>
        </w:rPr>
        <w:t>进行解密。</w:t>
      </w:r>
    </w:p>
    <w:p w14:paraId="3A0EB2F7">
      <w:pPr>
        <w:spacing w:line="360" w:lineRule="auto"/>
        <w:ind w:left="31" w:right="-27" w:rightChars="-13"/>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18.4投标人在投标文件递交截止时间前通过</w:t>
      </w:r>
      <w:r>
        <w:rPr>
          <w:rFonts w:hint="eastAsia" w:ascii="仿宋" w:hAnsi="仿宋" w:eastAsia="仿宋" w:cs="仿宋"/>
          <w:color w:val="auto"/>
          <w:spacing w:val="-2"/>
          <w:sz w:val="24"/>
          <w:szCs w:val="24"/>
          <w:highlight w:val="none"/>
          <w:lang w:eastAsia="zh-CN"/>
        </w:rPr>
        <w:t>新疆</w:t>
      </w:r>
      <w:r>
        <w:rPr>
          <w:rFonts w:hint="eastAsia" w:ascii="仿宋" w:hAnsi="仿宋" w:eastAsia="仿宋" w:cs="仿宋"/>
          <w:color w:val="auto"/>
          <w:spacing w:val="-2"/>
          <w:sz w:val="24"/>
          <w:szCs w:val="24"/>
          <w:highlight w:val="none"/>
        </w:rPr>
        <w:t>政府采购网</w:t>
      </w:r>
      <w:r>
        <w:rPr>
          <w:rFonts w:hint="eastAsia" w:ascii="仿宋" w:hAnsi="仿宋" w:eastAsia="仿宋" w:cs="仿宋"/>
          <w:b/>
          <w:bCs/>
          <w:color w:val="auto"/>
          <w:spacing w:val="-2"/>
          <w:sz w:val="24"/>
          <w:szCs w:val="24"/>
          <w:highlight w:val="none"/>
        </w:rPr>
        <w:t>（http://www.ccgp-xinjiang.gov.cn/</w:t>
      </w:r>
      <w:r>
        <w:rPr>
          <w:rFonts w:hint="eastAsia" w:ascii="仿宋" w:hAnsi="仿宋" w:eastAsia="仿宋" w:cs="仿宋"/>
          <w:b/>
          <w:bCs/>
          <w:color w:val="auto"/>
          <w:spacing w:val="-4"/>
          <w:sz w:val="24"/>
          <w:szCs w:val="24"/>
          <w:highlight w:val="none"/>
        </w:rPr>
        <w:t>）</w:t>
      </w:r>
      <w:r>
        <w:rPr>
          <w:rFonts w:hint="eastAsia" w:ascii="仿宋" w:hAnsi="仿宋" w:eastAsia="仿宋" w:cs="仿宋"/>
          <w:color w:val="auto"/>
          <w:spacing w:val="-4"/>
          <w:sz w:val="24"/>
          <w:szCs w:val="24"/>
          <w:highlight w:val="none"/>
        </w:rPr>
        <w:t>的”政采云登录入口”登录后，将加密电子投标文件</w:t>
      </w:r>
      <w:r>
        <w:rPr>
          <w:rFonts w:hint="eastAsia" w:ascii="仿宋" w:hAnsi="仿宋" w:eastAsia="仿宋" w:cs="仿宋"/>
          <w:color w:val="auto"/>
          <w:spacing w:val="2"/>
          <w:sz w:val="24"/>
          <w:szCs w:val="24"/>
          <w:highlight w:val="none"/>
        </w:rPr>
        <w:t>上传到对应项目的指定位置，投</w:t>
      </w:r>
      <w:r>
        <w:rPr>
          <w:rFonts w:hint="eastAsia" w:ascii="仿宋" w:hAnsi="仿宋" w:eastAsia="仿宋" w:cs="仿宋"/>
          <w:color w:val="auto"/>
          <w:spacing w:val="1"/>
          <w:sz w:val="24"/>
          <w:szCs w:val="24"/>
          <w:highlight w:val="none"/>
        </w:rPr>
        <w:t>标人认为有必要提交的其他资</w:t>
      </w:r>
      <w:r>
        <w:rPr>
          <w:rFonts w:hint="eastAsia" w:ascii="仿宋" w:hAnsi="仿宋" w:eastAsia="仿宋" w:cs="仿宋"/>
          <w:color w:val="auto"/>
          <w:spacing w:val="-1"/>
          <w:sz w:val="24"/>
          <w:szCs w:val="24"/>
          <w:highlight w:val="none"/>
        </w:rPr>
        <w:t>料请于投标截止时间前一并提交。</w:t>
      </w:r>
    </w:p>
    <w:p w14:paraId="5E50F82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18.5如果投标人未按上述要求加密并上传，采购代理机</w:t>
      </w:r>
      <w:r>
        <w:rPr>
          <w:rFonts w:hint="eastAsia" w:ascii="仿宋" w:hAnsi="仿宋" w:eastAsia="仿宋" w:cs="仿宋"/>
          <w:color w:val="auto"/>
          <w:spacing w:val="-2"/>
          <w:sz w:val="24"/>
          <w:szCs w:val="24"/>
          <w:highlight w:val="none"/>
          <w:lang w:eastAsia="zh-CN"/>
        </w:rPr>
        <w:t>构对投标文件的误</w:t>
      </w:r>
      <w:r>
        <w:rPr>
          <w:rFonts w:hint="eastAsia" w:ascii="仿宋" w:hAnsi="仿宋" w:eastAsia="仿宋" w:cs="仿宋"/>
          <w:color w:val="auto"/>
          <w:spacing w:val="-8"/>
          <w:sz w:val="24"/>
          <w:szCs w:val="24"/>
          <w:highlight w:val="none"/>
          <w:lang w:eastAsia="zh-CN"/>
        </w:rPr>
        <w:t>投、无法解密、传输错误等问题概不负责。对由此造成无法正常开启的投标文件，</w:t>
      </w:r>
      <w:r>
        <w:rPr>
          <w:rFonts w:hint="eastAsia" w:ascii="仿宋" w:hAnsi="仿宋" w:eastAsia="仿宋" w:cs="仿宋"/>
          <w:color w:val="auto"/>
          <w:spacing w:val="-1"/>
          <w:sz w:val="24"/>
          <w:szCs w:val="24"/>
          <w:highlight w:val="none"/>
          <w:lang w:eastAsia="zh-CN"/>
        </w:rPr>
        <w:t>采购代理机构有权予以拒绝，并退回投标人。</w:t>
      </w:r>
    </w:p>
    <w:p w14:paraId="5394522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18.6本项目采用不见面开标，无需提供电子投标文件U盘。</w:t>
      </w:r>
    </w:p>
    <w:p w14:paraId="4BDE0B8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99" w:name="bookmark68"/>
      <w:bookmarkEnd w:id="99"/>
      <w:bookmarkStart w:id="100" w:name="bookmark67"/>
      <w:bookmarkEnd w:id="100"/>
      <w:bookmarkStart w:id="101" w:name="_Toc21696"/>
      <w:bookmarkStart w:id="102" w:name="_Toc186477707"/>
      <w:r>
        <w:rPr>
          <w:rFonts w:hint="eastAsia" w:ascii="仿宋" w:hAnsi="仿宋" w:eastAsia="仿宋" w:cs="仿宋"/>
          <w:b/>
          <w:bCs/>
          <w:color w:val="auto"/>
          <w:spacing w:val="-5"/>
          <w:sz w:val="24"/>
          <w:szCs w:val="24"/>
          <w:highlight w:val="none"/>
          <w:lang w:eastAsia="zh-CN"/>
        </w:rPr>
        <w:t>19.投标文件的递交（上传）</w:t>
      </w:r>
      <w:bookmarkEnd w:id="101"/>
      <w:bookmarkEnd w:id="102"/>
    </w:p>
    <w:p w14:paraId="18A66AB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19.1 投标人应在“第一章 招标公告”规定的投标截止</w:t>
      </w:r>
      <w:r>
        <w:rPr>
          <w:rFonts w:hint="eastAsia" w:ascii="仿宋" w:hAnsi="仿宋" w:eastAsia="仿宋" w:cs="仿宋"/>
          <w:color w:val="auto"/>
          <w:spacing w:val="-3"/>
          <w:sz w:val="24"/>
          <w:szCs w:val="24"/>
          <w:highlight w:val="none"/>
          <w:lang w:eastAsia="zh-CN"/>
        </w:rPr>
        <w:t>时间前递交（上传）投标文件。</w:t>
      </w:r>
    </w:p>
    <w:p w14:paraId="7AC2AD2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19.2 投标人递交（上传）投标文件的地点见“第一章 招标公告”。</w:t>
      </w:r>
    </w:p>
    <w:p w14:paraId="389AD55F">
      <w:pPr>
        <w:spacing w:line="360" w:lineRule="auto"/>
        <w:ind w:left="31" w:right="-27" w:rightChars="-1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1"/>
          <w:sz w:val="24"/>
          <w:szCs w:val="24"/>
          <w:highlight w:val="none"/>
          <w:lang w:eastAsia="zh-CN"/>
        </w:rPr>
        <w:t>19.3 投标人应充分评估集中同时投标带来的网络影响，尽</w:t>
      </w:r>
      <w:r>
        <w:rPr>
          <w:rFonts w:hint="eastAsia" w:ascii="仿宋" w:hAnsi="仿宋" w:eastAsia="仿宋" w:cs="仿宋"/>
          <w:color w:val="auto"/>
          <w:spacing w:val="-2"/>
          <w:sz w:val="24"/>
          <w:szCs w:val="24"/>
          <w:highlight w:val="none"/>
          <w:lang w:eastAsia="zh-CN"/>
        </w:rPr>
        <w:t>量避开投标高峰</w:t>
      </w:r>
      <w:r>
        <w:rPr>
          <w:rFonts w:hint="eastAsia" w:ascii="仿宋" w:hAnsi="仿宋" w:eastAsia="仿宋" w:cs="仿宋"/>
          <w:color w:val="auto"/>
          <w:spacing w:val="-3"/>
          <w:sz w:val="24"/>
          <w:szCs w:val="24"/>
          <w:highlight w:val="none"/>
          <w:lang w:eastAsia="zh-CN"/>
        </w:rPr>
        <w:t>时间，错峰进行电子投标。</w:t>
      </w:r>
    </w:p>
    <w:p w14:paraId="0656699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19.4 投标人应在供应商客户端中下载未加密且完成签章的投标文件妥善保存，以便启动应急开标程序时使用。</w:t>
      </w:r>
    </w:p>
    <w:p w14:paraId="5408E31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19.5 投标人所递交的投标文件不予退还。</w:t>
      </w:r>
    </w:p>
    <w:p w14:paraId="37AE7224">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03" w:name="bookmark69"/>
      <w:bookmarkEnd w:id="103"/>
      <w:bookmarkStart w:id="104" w:name="bookmark70"/>
      <w:bookmarkEnd w:id="104"/>
      <w:bookmarkStart w:id="105" w:name="_Toc426"/>
      <w:bookmarkStart w:id="106" w:name="_Toc186477708"/>
      <w:r>
        <w:rPr>
          <w:rFonts w:hint="eastAsia" w:ascii="仿宋" w:hAnsi="仿宋" w:eastAsia="仿宋" w:cs="仿宋"/>
          <w:b/>
          <w:bCs/>
          <w:color w:val="auto"/>
          <w:spacing w:val="-5"/>
          <w:sz w:val="24"/>
          <w:szCs w:val="24"/>
          <w:highlight w:val="none"/>
          <w:lang w:eastAsia="zh-CN"/>
        </w:rPr>
        <w:t>20.拒收</w:t>
      </w:r>
      <w:bookmarkEnd w:id="105"/>
      <w:bookmarkEnd w:id="106"/>
    </w:p>
    <w:p w14:paraId="614F16E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20.1 超过投标文件提交截止时间或者不按</w:t>
      </w:r>
      <w:r>
        <w:rPr>
          <w:rFonts w:hint="eastAsia" w:ascii="仿宋" w:hAnsi="仿宋" w:eastAsia="仿宋" w:cs="仿宋"/>
          <w:color w:val="auto"/>
          <w:spacing w:val="-1"/>
          <w:sz w:val="24"/>
          <w:szCs w:val="24"/>
          <w:highlight w:val="none"/>
          <w:lang w:eastAsia="zh-CN"/>
        </w:rPr>
        <w:t>照本章要求加密的投标文件，交</w:t>
      </w:r>
      <w:r>
        <w:rPr>
          <w:rFonts w:hint="eastAsia" w:ascii="仿宋" w:hAnsi="仿宋" w:eastAsia="仿宋" w:cs="仿宋"/>
          <w:color w:val="auto"/>
          <w:spacing w:val="-4"/>
          <w:sz w:val="24"/>
          <w:szCs w:val="24"/>
          <w:highlight w:val="none"/>
          <w:lang w:eastAsia="zh-CN"/>
        </w:rPr>
        <w:t>易系统应当拒收。</w:t>
      </w:r>
    </w:p>
    <w:p w14:paraId="45E5FFF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07" w:name="bookmark72"/>
      <w:bookmarkEnd w:id="107"/>
      <w:bookmarkStart w:id="108" w:name="bookmark71"/>
      <w:bookmarkEnd w:id="108"/>
      <w:bookmarkStart w:id="109" w:name="_Toc19533"/>
      <w:bookmarkStart w:id="110" w:name="_Toc186477709"/>
      <w:r>
        <w:rPr>
          <w:rFonts w:hint="eastAsia" w:ascii="仿宋" w:hAnsi="仿宋" w:eastAsia="仿宋" w:cs="仿宋"/>
          <w:b/>
          <w:bCs/>
          <w:color w:val="auto"/>
          <w:spacing w:val="-4"/>
          <w:sz w:val="24"/>
          <w:szCs w:val="24"/>
          <w:highlight w:val="none"/>
          <w:lang w:eastAsia="zh-CN"/>
        </w:rPr>
        <w:t>21.投标文件的修改与撤回</w:t>
      </w:r>
      <w:bookmarkEnd w:id="109"/>
      <w:bookmarkEnd w:id="110"/>
    </w:p>
    <w:p w14:paraId="774D2656">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21.1投标人在“第一章 招标公告”规定的投标文件递交截止时间之前，可随时撤回已上传的电子投标文件，将修改好的</w:t>
      </w:r>
      <w:r>
        <w:rPr>
          <w:rFonts w:hint="eastAsia" w:ascii="仿宋" w:hAnsi="仿宋" w:eastAsia="仿宋" w:cs="仿宋"/>
          <w:color w:val="auto"/>
          <w:sz w:val="24"/>
          <w:szCs w:val="24"/>
          <w:highlight w:val="none"/>
          <w:lang w:eastAsia="zh-CN"/>
        </w:rPr>
        <w:t>电子投标文件在投标文件递交截止时间前重新上传到</w:t>
      </w:r>
      <w:r>
        <w:rPr>
          <w:rFonts w:ascii="仿宋" w:hAnsi="仿宋" w:eastAsia="仿宋" w:cs="仿宋"/>
          <w:color w:val="auto"/>
          <w:spacing w:val="-2"/>
          <w:sz w:val="24"/>
          <w:szCs w:val="24"/>
          <w:highlight w:val="none"/>
          <w:lang w:eastAsia="zh-CN"/>
        </w:rPr>
        <w:t>政府采购电子交易云平台的指定位置</w:t>
      </w:r>
      <w:r>
        <w:rPr>
          <w:rFonts w:hint="eastAsia" w:ascii="仿宋" w:hAnsi="仿宋" w:eastAsia="仿宋" w:cs="仿宋"/>
          <w:color w:val="auto"/>
          <w:spacing w:val="-2"/>
          <w:sz w:val="24"/>
          <w:szCs w:val="24"/>
          <w:highlight w:val="none"/>
          <w:lang w:eastAsia="zh-CN"/>
        </w:rPr>
        <w:t>。</w:t>
      </w:r>
    </w:p>
    <w:p w14:paraId="31DB9AA1">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11" w:name="bookmark73"/>
      <w:bookmarkEnd w:id="111"/>
      <w:bookmarkStart w:id="112" w:name="bookmark74"/>
      <w:bookmarkEnd w:id="112"/>
      <w:bookmarkStart w:id="113" w:name="_Toc186477710"/>
      <w:bookmarkStart w:id="114" w:name="_Toc6763"/>
      <w:r>
        <w:rPr>
          <w:rFonts w:hint="eastAsia" w:ascii="仿宋" w:hAnsi="仿宋" w:eastAsia="仿宋" w:cs="仿宋"/>
          <w:b/>
          <w:bCs/>
          <w:color w:val="auto"/>
          <w:spacing w:val="-5"/>
          <w:sz w:val="24"/>
          <w:szCs w:val="24"/>
          <w:highlight w:val="none"/>
          <w:lang w:eastAsia="zh-CN"/>
        </w:rPr>
        <w:t>22.实物样品</w:t>
      </w:r>
      <w:bookmarkEnd w:id="113"/>
      <w:bookmarkEnd w:id="114"/>
    </w:p>
    <w:p w14:paraId="0A5A343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22.1“投标人须知前附表”要求提供样品的，样品的具体要求及评审详见“第</w:t>
      </w:r>
      <w:r>
        <w:rPr>
          <w:rFonts w:hint="eastAsia" w:ascii="仿宋" w:hAnsi="仿宋" w:eastAsia="仿宋" w:cs="仿宋"/>
          <w:color w:val="auto"/>
          <w:spacing w:val="-2"/>
          <w:sz w:val="24"/>
          <w:szCs w:val="24"/>
          <w:highlight w:val="none"/>
          <w:lang w:eastAsia="zh-CN"/>
        </w:rPr>
        <w:t>三章 采购需求”和“第五章 评标方法及标准”。</w:t>
      </w:r>
    </w:p>
    <w:p w14:paraId="0AD0240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22.2样品退还：未中标的投标人应按照“投标人须知前附表”要求自行联</w:t>
      </w:r>
      <w:r>
        <w:rPr>
          <w:rFonts w:hint="eastAsia" w:ascii="仿宋" w:hAnsi="仿宋" w:eastAsia="仿宋" w:cs="仿宋"/>
          <w:color w:val="auto"/>
          <w:spacing w:val="-3"/>
          <w:sz w:val="24"/>
          <w:szCs w:val="24"/>
          <w:highlight w:val="none"/>
          <w:lang w:eastAsia="zh-CN"/>
        </w:rPr>
        <w:t>系采购人取回投标样品；中标人的样品由采购人进行保管、封存，并作</w:t>
      </w:r>
      <w:r>
        <w:rPr>
          <w:rFonts w:hint="eastAsia" w:ascii="仿宋" w:hAnsi="仿宋" w:eastAsia="仿宋" w:cs="仿宋"/>
          <w:color w:val="auto"/>
          <w:spacing w:val="-4"/>
          <w:sz w:val="24"/>
          <w:szCs w:val="24"/>
          <w:highlight w:val="none"/>
          <w:lang w:eastAsia="zh-CN"/>
        </w:rPr>
        <w:t>为履约验</w:t>
      </w:r>
      <w:r>
        <w:rPr>
          <w:rFonts w:hint="eastAsia" w:ascii="仿宋" w:hAnsi="仿宋" w:eastAsia="仿宋" w:cs="仿宋"/>
          <w:color w:val="auto"/>
          <w:spacing w:val="-1"/>
          <w:sz w:val="24"/>
          <w:szCs w:val="24"/>
          <w:highlight w:val="none"/>
          <w:lang w:eastAsia="zh-CN"/>
        </w:rPr>
        <w:t>收的参考（招标文件另有规定的从其规定）。</w:t>
      </w:r>
    </w:p>
    <w:p w14:paraId="50EA51F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15" w:name="bookmark75"/>
      <w:bookmarkEnd w:id="115"/>
      <w:bookmarkStart w:id="116" w:name="bookmark76"/>
      <w:bookmarkEnd w:id="116"/>
      <w:bookmarkStart w:id="117" w:name="_Toc32619"/>
      <w:bookmarkStart w:id="118" w:name="_Toc186477711"/>
      <w:r>
        <w:rPr>
          <w:rFonts w:hint="eastAsia" w:ascii="仿宋" w:hAnsi="仿宋" w:eastAsia="仿宋" w:cs="仿宋"/>
          <w:b/>
          <w:bCs/>
          <w:color w:val="auto"/>
          <w:spacing w:val="-5"/>
          <w:sz w:val="24"/>
          <w:szCs w:val="24"/>
          <w:highlight w:val="none"/>
          <w:lang w:eastAsia="zh-CN"/>
        </w:rPr>
        <w:t>23.演示</w:t>
      </w:r>
      <w:bookmarkEnd w:id="117"/>
      <w:bookmarkEnd w:id="118"/>
    </w:p>
    <w:p w14:paraId="543584C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23.1要求投标人进行演示的，演示要求详见“投标人须知前附表”。</w:t>
      </w:r>
    </w:p>
    <w:p w14:paraId="724E22F4">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23.2演示的评审详见“第三章 采购需求”和“第五章 评标方法及标准”。</w:t>
      </w:r>
    </w:p>
    <w:p w14:paraId="310E450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19" w:name="bookmark78"/>
      <w:bookmarkEnd w:id="119"/>
      <w:bookmarkStart w:id="120" w:name="bookmark77"/>
      <w:bookmarkEnd w:id="120"/>
      <w:bookmarkStart w:id="121" w:name="_Toc186477712"/>
      <w:bookmarkStart w:id="122" w:name="_Toc5648"/>
      <w:r>
        <w:rPr>
          <w:rFonts w:hint="eastAsia" w:ascii="仿宋" w:hAnsi="仿宋" w:eastAsia="仿宋" w:cs="仿宋"/>
          <w:b/>
          <w:bCs/>
          <w:color w:val="auto"/>
          <w:spacing w:val="-8"/>
          <w:sz w:val="24"/>
          <w:szCs w:val="24"/>
          <w:highlight w:val="none"/>
          <w:lang w:eastAsia="zh-CN"/>
        </w:rPr>
        <w:t>（五）开标</w:t>
      </w:r>
      <w:bookmarkEnd w:id="121"/>
      <w:bookmarkEnd w:id="122"/>
    </w:p>
    <w:p w14:paraId="3F8EC051">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23" w:name="bookmark80"/>
      <w:bookmarkEnd w:id="123"/>
      <w:bookmarkStart w:id="124" w:name="bookmark79"/>
      <w:bookmarkEnd w:id="124"/>
      <w:bookmarkStart w:id="125" w:name="_Toc9763"/>
      <w:bookmarkStart w:id="126" w:name="_Toc186477713"/>
      <w:r>
        <w:rPr>
          <w:rFonts w:hint="eastAsia" w:ascii="仿宋" w:hAnsi="仿宋" w:eastAsia="仿宋" w:cs="仿宋"/>
          <w:b/>
          <w:bCs/>
          <w:color w:val="auto"/>
          <w:spacing w:val="-5"/>
          <w:sz w:val="24"/>
          <w:szCs w:val="24"/>
          <w:highlight w:val="none"/>
          <w:lang w:eastAsia="zh-CN"/>
        </w:rPr>
        <w:t>24.开标会议</w:t>
      </w:r>
      <w:bookmarkEnd w:id="125"/>
      <w:bookmarkEnd w:id="126"/>
    </w:p>
    <w:p w14:paraId="1E5ABB49">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24.1开标会按“第一章 招标公告”规定的开标时间和地点准时举行，采购人、采购代理机构邀请所有投标人准时参加开标会。投标人应按照招标文件的要</w:t>
      </w:r>
      <w:r>
        <w:rPr>
          <w:rFonts w:hint="eastAsia" w:ascii="仿宋" w:hAnsi="仿宋" w:eastAsia="仿宋" w:cs="仿宋"/>
          <w:color w:val="auto"/>
          <w:spacing w:val="-2"/>
          <w:sz w:val="24"/>
          <w:szCs w:val="24"/>
          <w:highlight w:val="none"/>
          <w:lang w:eastAsia="zh-CN"/>
        </w:rPr>
        <w:t>求参与不见面开标。</w:t>
      </w:r>
    </w:p>
    <w:p w14:paraId="71BF0014">
      <w:pPr>
        <w:widowControl w:val="0"/>
        <w:spacing w:line="360" w:lineRule="auto"/>
        <w:ind w:left="28" w:right="-27" w:rightChars="-1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24.2 采购代理机构按照招标文件规定的时间、地点主持开标。采购人在规定的投标文件递交截止时间（开标时间）和地点进行不见面远程开标。投标人的法定代表人或其委托代理人无需到达开标现场，仅需在任意地点通过政府采购云平台（网址：https://www.zcygov.cn/）的“政采云登录入口”登录后，进入“政采云远程开标大厅”参加开标会议，并使用CA密钥完成远程解密、提疑澄清、开标唱标、结果公布等交互环节。</w:t>
      </w:r>
    </w:p>
    <w:p w14:paraId="7187C10E">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24.3开标过程将宣布投标人名称、投标价格和招标文件规定的需要宣布的</w:t>
      </w:r>
      <w:r>
        <w:rPr>
          <w:rFonts w:hint="eastAsia" w:ascii="仿宋" w:hAnsi="仿宋" w:eastAsia="仿宋" w:cs="仿宋"/>
          <w:color w:val="auto"/>
          <w:spacing w:val="-3"/>
          <w:sz w:val="24"/>
          <w:szCs w:val="24"/>
          <w:highlight w:val="none"/>
          <w:lang w:eastAsia="zh-CN"/>
        </w:rPr>
        <w:t>其他内容并进行记录，并由参加开标的各投标人确认。投标人未在规定时间内提</w:t>
      </w:r>
      <w:r>
        <w:rPr>
          <w:rFonts w:hint="eastAsia" w:ascii="仿宋" w:hAnsi="仿宋" w:eastAsia="仿宋" w:cs="仿宋"/>
          <w:color w:val="auto"/>
          <w:spacing w:val="-1"/>
          <w:sz w:val="24"/>
          <w:szCs w:val="24"/>
          <w:highlight w:val="none"/>
          <w:lang w:eastAsia="zh-CN"/>
        </w:rPr>
        <w:t>出疑义或确认一览表的，视同认可开标结果。</w:t>
      </w:r>
    </w:p>
    <w:p w14:paraId="3B27C9C1">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27" w:name="bookmark81"/>
      <w:bookmarkEnd w:id="127"/>
      <w:bookmarkStart w:id="128" w:name="bookmark82"/>
      <w:bookmarkEnd w:id="128"/>
      <w:bookmarkStart w:id="129" w:name="_Toc186477714"/>
      <w:bookmarkStart w:id="130" w:name="_Toc19218"/>
      <w:r>
        <w:rPr>
          <w:rFonts w:hint="eastAsia" w:ascii="仿宋" w:hAnsi="仿宋" w:eastAsia="仿宋" w:cs="仿宋"/>
          <w:b/>
          <w:bCs/>
          <w:color w:val="auto"/>
          <w:spacing w:val="-5"/>
          <w:sz w:val="24"/>
          <w:szCs w:val="24"/>
          <w:highlight w:val="none"/>
          <w:lang w:eastAsia="zh-CN"/>
        </w:rPr>
        <w:t>25.开标程序</w:t>
      </w:r>
      <w:bookmarkEnd w:id="129"/>
      <w:bookmarkEnd w:id="130"/>
    </w:p>
    <w:p w14:paraId="29CF6AC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25.1 投标人不足3家的，不得开标。</w:t>
      </w:r>
    </w:p>
    <w:p w14:paraId="2A0DBF5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25.2 评标委员会成员不得参加开标活动。</w:t>
      </w:r>
    </w:p>
    <w:p w14:paraId="40AD991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25.3 主持人按下列程序进行开标：</w:t>
      </w:r>
    </w:p>
    <w:p w14:paraId="5A122F2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（1）宣布开标会纪律；</w:t>
      </w:r>
    </w:p>
    <w:p w14:paraId="2321E31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（2）介绍参加开标会的单位和人员；</w:t>
      </w:r>
    </w:p>
    <w:p w14:paraId="544F51E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（3）发起投标文件解密。投标人应在“投标人须知前附表”规定的时间内</w:t>
      </w:r>
      <w:r>
        <w:rPr>
          <w:rFonts w:hint="eastAsia" w:ascii="仿宋" w:hAnsi="仿宋" w:eastAsia="仿宋" w:cs="仿宋"/>
          <w:color w:val="auto"/>
          <w:spacing w:val="-1"/>
          <w:sz w:val="24"/>
          <w:szCs w:val="24"/>
          <w:highlight w:val="none"/>
          <w:lang w:eastAsia="zh-CN"/>
        </w:rPr>
        <w:t>使用加密投标文件的CA证书在系统中完成投标文件的解</w:t>
      </w:r>
      <w:r>
        <w:rPr>
          <w:rFonts w:hint="eastAsia" w:ascii="仿宋" w:hAnsi="仿宋" w:eastAsia="仿宋" w:cs="仿宋"/>
          <w:color w:val="auto"/>
          <w:spacing w:val="-2"/>
          <w:sz w:val="24"/>
          <w:szCs w:val="24"/>
          <w:highlight w:val="none"/>
          <w:lang w:eastAsia="zh-CN"/>
        </w:rPr>
        <w:t>密；</w:t>
      </w:r>
    </w:p>
    <w:p w14:paraId="4F96AA6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（4）解密完成后，系统自动显示投标人名称、投标价格和招标文件规定的</w:t>
      </w:r>
      <w:r>
        <w:rPr>
          <w:rFonts w:hint="eastAsia" w:ascii="仿宋" w:hAnsi="仿宋" w:eastAsia="仿宋" w:cs="仿宋"/>
          <w:color w:val="auto"/>
          <w:spacing w:val="-3"/>
          <w:sz w:val="24"/>
          <w:szCs w:val="24"/>
          <w:highlight w:val="none"/>
          <w:lang w:eastAsia="zh-CN"/>
        </w:rPr>
        <w:t>需要宣布的其他内容；</w:t>
      </w:r>
    </w:p>
    <w:p w14:paraId="38C0A4AF">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（5）系统自动生成开标记录表，投标人应在线对开标记录进行签署确认；</w:t>
      </w:r>
    </w:p>
    <w:p w14:paraId="6D78AD15">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（6）开标会结束。</w:t>
      </w:r>
    </w:p>
    <w:p w14:paraId="7EE06D7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31" w:name="bookmark83"/>
      <w:bookmarkEnd w:id="131"/>
      <w:bookmarkStart w:id="132" w:name="bookmark84"/>
      <w:bookmarkEnd w:id="132"/>
      <w:bookmarkStart w:id="133" w:name="_Toc10556"/>
      <w:bookmarkStart w:id="134" w:name="_Toc186477715"/>
      <w:r>
        <w:rPr>
          <w:rFonts w:hint="eastAsia" w:ascii="仿宋" w:hAnsi="仿宋" w:eastAsia="仿宋" w:cs="仿宋"/>
          <w:b/>
          <w:bCs/>
          <w:color w:val="auto"/>
          <w:spacing w:val="-4"/>
          <w:sz w:val="24"/>
          <w:szCs w:val="24"/>
          <w:highlight w:val="none"/>
          <w:lang w:eastAsia="zh-CN"/>
        </w:rPr>
        <w:t>26.开标疑义及回避情形</w:t>
      </w:r>
      <w:bookmarkEnd w:id="133"/>
      <w:bookmarkEnd w:id="134"/>
    </w:p>
    <w:p w14:paraId="5B27DBB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26.1投标人代表对开标过程和开标记录有疑义，以及认为采购人、采购代</w:t>
      </w:r>
      <w:r>
        <w:rPr>
          <w:rFonts w:hint="eastAsia" w:ascii="仿宋" w:hAnsi="仿宋" w:eastAsia="仿宋" w:cs="仿宋"/>
          <w:color w:val="auto"/>
          <w:spacing w:val="-3"/>
          <w:sz w:val="24"/>
          <w:szCs w:val="24"/>
          <w:highlight w:val="none"/>
          <w:lang w:eastAsia="zh-CN"/>
        </w:rPr>
        <w:t>理机构相关工作人员有需要回避的情形的，应在开标会议中提出询问或者回避申请。采购人、采购代理机构对投标人授权代表提出的询问或者回避申请应当及时处理。</w:t>
      </w:r>
    </w:p>
    <w:p w14:paraId="6AD9134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26.2投标人未参加开标的，视同认可开标</w:t>
      </w:r>
      <w:r>
        <w:rPr>
          <w:rFonts w:hint="eastAsia" w:ascii="仿宋" w:hAnsi="仿宋" w:eastAsia="仿宋" w:cs="仿宋"/>
          <w:color w:val="auto"/>
          <w:spacing w:val="-2"/>
          <w:sz w:val="24"/>
          <w:szCs w:val="24"/>
          <w:highlight w:val="none"/>
          <w:lang w:eastAsia="zh-CN"/>
        </w:rPr>
        <w:t>结果。</w:t>
      </w:r>
    </w:p>
    <w:p w14:paraId="4D8A6FED">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35" w:name="bookmark86"/>
      <w:bookmarkEnd w:id="135"/>
      <w:bookmarkStart w:id="136" w:name="bookmark85"/>
      <w:bookmarkEnd w:id="136"/>
      <w:bookmarkStart w:id="137" w:name="_Toc186477716"/>
      <w:bookmarkStart w:id="138" w:name="_Toc650"/>
      <w:r>
        <w:rPr>
          <w:rFonts w:hint="eastAsia" w:ascii="仿宋" w:hAnsi="仿宋" w:eastAsia="仿宋" w:cs="仿宋"/>
          <w:b/>
          <w:bCs/>
          <w:color w:val="auto"/>
          <w:spacing w:val="-6"/>
          <w:sz w:val="24"/>
          <w:szCs w:val="24"/>
          <w:highlight w:val="none"/>
          <w:lang w:eastAsia="zh-CN"/>
        </w:rPr>
        <w:t>（六）资格审查</w:t>
      </w:r>
      <w:bookmarkEnd w:id="137"/>
      <w:bookmarkEnd w:id="138"/>
    </w:p>
    <w:p w14:paraId="12A11CB2">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39" w:name="bookmark88"/>
      <w:bookmarkEnd w:id="139"/>
      <w:bookmarkStart w:id="140" w:name="bookmark87"/>
      <w:bookmarkEnd w:id="140"/>
      <w:bookmarkStart w:id="141" w:name="_Toc19246"/>
      <w:bookmarkStart w:id="142" w:name="_Toc186477717"/>
      <w:r>
        <w:rPr>
          <w:rFonts w:hint="eastAsia" w:ascii="仿宋" w:hAnsi="仿宋" w:eastAsia="仿宋" w:cs="仿宋"/>
          <w:b/>
          <w:bCs/>
          <w:color w:val="auto"/>
          <w:spacing w:val="-4"/>
          <w:sz w:val="24"/>
          <w:szCs w:val="24"/>
          <w:highlight w:val="none"/>
          <w:lang w:eastAsia="zh-CN"/>
        </w:rPr>
        <w:t>27.资格审查及审查主体</w:t>
      </w:r>
      <w:bookmarkEnd w:id="141"/>
      <w:bookmarkEnd w:id="142"/>
    </w:p>
    <w:p w14:paraId="2B8FC53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27.1开标结束后，采购人或者采购代理机构应当依法对投标人的资格进行</w:t>
      </w:r>
      <w:r>
        <w:rPr>
          <w:rFonts w:hint="eastAsia" w:ascii="仿宋" w:hAnsi="仿宋" w:eastAsia="仿宋" w:cs="仿宋"/>
          <w:color w:val="auto"/>
          <w:spacing w:val="-8"/>
          <w:sz w:val="24"/>
          <w:szCs w:val="24"/>
          <w:highlight w:val="none"/>
          <w:lang w:eastAsia="zh-CN"/>
        </w:rPr>
        <w:t>审查。</w:t>
      </w:r>
    </w:p>
    <w:p w14:paraId="43FBE2E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27.2资格审查按“第四章 资格审查”的规定进行。</w:t>
      </w:r>
    </w:p>
    <w:p w14:paraId="33717AD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27.3资格审查结束后，应及时对资格审查结果进行复核，对资格审查错误进行及时纠正并记录。</w:t>
      </w:r>
    </w:p>
    <w:p w14:paraId="7674507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27.4资格审查合格投标人不足3家的，不得评标。</w:t>
      </w:r>
    </w:p>
    <w:p w14:paraId="0DBF05D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43" w:name="bookmark90"/>
      <w:bookmarkEnd w:id="143"/>
      <w:bookmarkStart w:id="144" w:name="bookmark89"/>
      <w:bookmarkEnd w:id="144"/>
      <w:bookmarkStart w:id="145" w:name="_Toc9161"/>
      <w:bookmarkStart w:id="146" w:name="_Toc186477718"/>
      <w:r>
        <w:rPr>
          <w:rFonts w:hint="eastAsia" w:ascii="仿宋" w:hAnsi="仿宋" w:eastAsia="仿宋" w:cs="仿宋"/>
          <w:b/>
          <w:bCs/>
          <w:color w:val="auto"/>
          <w:spacing w:val="-8"/>
          <w:sz w:val="24"/>
          <w:szCs w:val="24"/>
          <w:highlight w:val="none"/>
          <w:lang w:eastAsia="zh-CN"/>
        </w:rPr>
        <w:t>（七）评标</w:t>
      </w:r>
      <w:bookmarkEnd w:id="145"/>
      <w:bookmarkEnd w:id="146"/>
    </w:p>
    <w:p w14:paraId="0563D45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47" w:name="bookmark91"/>
      <w:bookmarkEnd w:id="147"/>
      <w:bookmarkStart w:id="148" w:name="bookmark92"/>
      <w:bookmarkEnd w:id="148"/>
      <w:bookmarkStart w:id="149" w:name="_Toc12760"/>
      <w:bookmarkStart w:id="150" w:name="_Toc186477719"/>
      <w:r>
        <w:rPr>
          <w:rFonts w:hint="eastAsia" w:ascii="仿宋" w:hAnsi="仿宋" w:eastAsia="仿宋" w:cs="仿宋"/>
          <w:b/>
          <w:bCs/>
          <w:color w:val="auto"/>
          <w:spacing w:val="-4"/>
          <w:sz w:val="24"/>
          <w:szCs w:val="24"/>
          <w:highlight w:val="none"/>
          <w:lang w:eastAsia="zh-CN"/>
        </w:rPr>
        <w:t>28.评标委员会</w:t>
      </w:r>
      <w:bookmarkEnd w:id="149"/>
      <w:bookmarkEnd w:id="150"/>
    </w:p>
    <w:p w14:paraId="3CD87BA8">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28.1 评标由采购人依法组建的评标委员会</w:t>
      </w:r>
      <w:r>
        <w:rPr>
          <w:rFonts w:hint="eastAsia" w:ascii="仿宋" w:hAnsi="仿宋" w:eastAsia="仿宋" w:cs="仿宋"/>
          <w:color w:val="auto"/>
          <w:spacing w:val="-1"/>
          <w:sz w:val="24"/>
          <w:szCs w:val="24"/>
          <w:highlight w:val="none"/>
          <w:lang w:eastAsia="zh-CN"/>
        </w:rPr>
        <w:t>负责。评标委员会由采购人代表</w:t>
      </w:r>
      <w:r>
        <w:rPr>
          <w:rFonts w:hint="eastAsia" w:ascii="仿宋" w:hAnsi="仿宋" w:eastAsia="仿宋" w:cs="仿宋"/>
          <w:color w:val="auto"/>
          <w:spacing w:val="-4"/>
          <w:sz w:val="24"/>
          <w:szCs w:val="24"/>
          <w:highlight w:val="none"/>
          <w:lang w:eastAsia="zh-CN"/>
        </w:rPr>
        <w:t>和评审专家组成，成员人数应当为5人以上单数，其中评审专家不得少于成员总</w:t>
      </w:r>
      <w:r>
        <w:rPr>
          <w:rFonts w:hint="eastAsia" w:ascii="仿宋" w:hAnsi="仿宋" w:eastAsia="仿宋" w:cs="仿宋"/>
          <w:color w:val="auto"/>
          <w:spacing w:val="-3"/>
          <w:sz w:val="24"/>
          <w:szCs w:val="24"/>
          <w:highlight w:val="none"/>
          <w:lang w:eastAsia="zh-CN"/>
        </w:rPr>
        <w:t>数的三分之二。采购人或者采购代理机构应当从省级以上财政部门设立的政府采</w:t>
      </w:r>
      <w:r>
        <w:rPr>
          <w:rFonts w:hint="eastAsia" w:ascii="仿宋" w:hAnsi="仿宋" w:eastAsia="仿宋" w:cs="仿宋"/>
          <w:color w:val="auto"/>
          <w:spacing w:val="-1"/>
          <w:sz w:val="24"/>
          <w:szCs w:val="24"/>
          <w:highlight w:val="none"/>
          <w:lang w:eastAsia="zh-CN"/>
        </w:rPr>
        <w:t>购评审专家库中，通过随机方式抽取评审专家。</w:t>
      </w:r>
    </w:p>
    <w:p w14:paraId="652A1D5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28.2 采购项目符合下列情形之一的，评标委员会成员人数应当</w:t>
      </w:r>
      <w:r>
        <w:rPr>
          <w:rFonts w:hint="eastAsia" w:ascii="仿宋" w:hAnsi="仿宋" w:eastAsia="仿宋" w:cs="仿宋"/>
          <w:color w:val="auto"/>
          <w:spacing w:val="-2"/>
          <w:sz w:val="24"/>
          <w:szCs w:val="24"/>
          <w:highlight w:val="none"/>
          <w:lang w:eastAsia="zh-CN"/>
        </w:rPr>
        <w:t>为7人以上</w:t>
      </w:r>
      <w:r>
        <w:rPr>
          <w:rFonts w:hint="eastAsia" w:ascii="仿宋" w:hAnsi="仿宋" w:eastAsia="仿宋" w:cs="仿宋"/>
          <w:color w:val="auto"/>
          <w:spacing w:val="-4"/>
          <w:sz w:val="24"/>
          <w:szCs w:val="24"/>
          <w:highlight w:val="none"/>
          <w:lang w:eastAsia="zh-CN"/>
        </w:rPr>
        <w:t>单数：</w:t>
      </w:r>
    </w:p>
    <w:p w14:paraId="0FC4819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（1）采购预算金额在1000万元以上；</w:t>
      </w:r>
    </w:p>
    <w:p w14:paraId="1D0E377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（2）技术复杂；</w:t>
      </w:r>
    </w:p>
    <w:p w14:paraId="25CF3D5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（3）社会影响较大。</w:t>
      </w:r>
    </w:p>
    <w:p w14:paraId="42965538">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28.3评审专家对本单位的采购项目只能作为采购人代表参与评标，对技术</w:t>
      </w:r>
      <w:r>
        <w:rPr>
          <w:rFonts w:hint="eastAsia" w:ascii="仿宋" w:hAnsi="仿宋" w:eastAsia="仿宋" w:cs="仿宋"/>
          <w:color w:val="auto"/>
          <w:spacing w:val="-3"/>
          <w:sz w:val="24"/>
          <w:szCs w:val="24"/>
          <w:highlight w:val="none"/>
          <w:lang w:eastAsia="zh-CN"/>
        </w:rPr>
        <w:t>复杂、专业性强的采购项目，通过随机方式难以确定合适评审专家的，经主管预算单位同意，采购人可以自行选定相应专业领域的评审专家。采购代理机构工作</w:t>
      </w:r>
      <w:r>
        <w:rPr>
          <w:rFonts w:hint="eastAsia" w:ascii="仿宋" w:hAnsi="仿宋" w:eastAsia="仿宋" w:cs="仿宋"/>
          <w:color w:val="auto"/>
          <w:spacing w:val="-1"/>
          <w:sz w:val="24"/>
          <w:szCs w:val="24"/>
          <w:highlight w:val="none"/>
          <w:lang w:eastAsia="zh-CN"/>
        </w:rPr>
        <w:t>人员不得参加由本机构代理的政府采购项目的评标。</w:t>
      </w:r>
    </w:p>
    <w:p w14:paraId="7BC79CA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28.4评标委员会成员名单在评标结果公告前应当保密。</w:t>
      </w:r>
    </w:p>
    <w:p w14:paraId="76C480F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28.5评标中因评标委员会成员缺席、回避或者健康等特殊原因导致评标委</w:t>
      </w:r>
      <w:r>
        <w:rPr>
          <w:rFonts w:hint="eastAsia" w:ascii="仿宋" w:hAnsi="仿宋" w:eastAsia="仿宋" w:cs="仿宋"/>
          <w:color w:val="auto"/>
          <w:spacing w:val="-3"/>
          <w:sz w:val="24"/>
          <w:szCs w:val="24"/>
          <w:highlight w:val="none"/>
          <w:lang w:eastAsia="zh-CN"/>
        </w:rPr>
        <w:t>员会组成不符合本办法规定的，采购人或者采购代理机构应当依法补足后继续评</w:t>
      </w:r>
      <w:r>
        <w:rPr>
          <w:rFonts w:hint="eastAsia" w:ascii="仿宋" w:hAnsi="仿宋" w:eastAsia="仿宋" w:cs="仿宋"/>
          <w:color w:val="auto"/>
          <w:spacing w:val="-1"/>
          <w:sz w:val="24"/>
          <w:szCs w:val="24"/>
          <w:highlight w:val="none"/>
          <w:lang w:eastAsia="zh-CN"/>
        </w:rPr>
        <w:t>标。被更换的评标委员会成员所作出的评标意见无效。</w:t>
      </w:r>
    </w:p>
    <w:p w14:paraId="2AAAEB6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28.6无法及时补足评标委员会成员的，采购人或者采购代理机构应当停止</w:t>
      </w:r>
      <w:r>
        <w:rPr>
          <w:rFonts w:hint="eastAsia" w:ascii="仿宋" w:hAnsi="仿宋" w:eastAsia="仿宋" w:cs="仿宋"/>
          <w:color w:val="auto"/>
          <w:spacing w:val="-3"/>
          <w:sz w:val="24"/>
          <w:szCs w:val="24"/>
          <w:highlight w:val="none"/>
          <w:lang w:eastAsia="zh-CN"/>
        </w:rPr>
        <w:t>评标活动，封存所有投标文件和开标、评标资料，依法重新组建评标委员会进行</w:t>
      </w:r>
      <w:r>
        <w:rPr>
          <w:rFonts w:hint="eastAsia" w:ascii="仿宋" w:hAnsi="仿宋" w:eastAsia="仿宋" w:cs="仿宋"/>
          <w:color w:val="auto"/>
          <w:spacing w:val="-1"/>
          <w:sz w:val="24"/>
          <w:szCs w:val="24"/>
          <w:highlight w:val="none"/>
          <w:lang w:eastAsia="zh-CN"/>
        </w:rPr>
        <w:t>评标。原评标委员会所作出的评标意见无效。</w:t>
      </w:r>
    </w:p>
    <w:p w14:paraId="1C079C6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28.7 评标委员会成员有下列情形之一的，应当回避：</w:t>
      </w:r>
    </w:p>
    <w:p w14:paraId="1C11D05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（1）参加采购活动前3年内与投标人存在劳动关系；</w:t>
      </w:r>
    </w:p>
    <w:p w14:paraId="51A096B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（2）参加采购活动前3年内担任投标人的董事、监事；</w:t>
      </w:r>
    </w:p>
    <w:p w14:paraId="6611EC6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（3）参加采购活动前3年内是投标人的控股股东或实际控制人；</w:t>
      </w:r>
    </w:p>
    <w:p w14:paraId="3129C2DB">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（4）与投标人的法定代表人或者负责人有夫妻、直系血亲、三代以内旁系</w:t>
      </w:r>
      <w:r>
        <w:rPr>
          <w:rFonts w:hint="eastAsia" w:ascii="仿宋" w:hAnsi="仿宋" w:eastAsia="仿宋" w:cs="仿宋"/>
          <w:color w:val="auto"/>
          <w:spacing w:val="-2"/>
          <w:sz w:val="24"/>
          <w:szCs w:val="24"/>
          <w:highlight w:val="none"/>
          <w:lang w:eastAsia="zh-CN"/>
        </w:rPr>
        <w:t>血亲或者近姻亲关系；</w:t>
      </w:r>
    </w:p>
    <w:p w14:paraId="2F9AA50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（5）与投标人有其他可能影响采购活动公平、公正进行的关系。</w:t>
      </w:r>
    </w:p>
    <w:p w14:paraId="7649222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51" w:name="bookmark94"/>
      <w:bookmarkEnd w:id="151"/>
      <w:bookmarkStart w:id="152" w:name="bookmark93"/>
      <w:bookmarkEnd w:id="152"/>
      <w:bookmarkStart w:id="153" w:name="_Toc29113"/>
      <w:bookmarkStart w:id="154" w:name="_Toc186477720"/>
      <w:r>
        <w:rPr>
          <w:rFonts w:hint="eastAsia" w:ascii="仿宋" w:hAnsi="仿宋" w:eastAsia="仿宋" w:cs="仿宋"/>
          <w:b/>
          <w:bCs/>
          <w:color w:val="auto"/>
          <w:spacing w:val="-5"/>
          <w:sz w:val="24"/>
          <w:szCs w:val="24"/>
          <w:highlight w:val="none"/>
          <w:lang w:eastAsia="zh-CN"/>
        </w:rPr>
        <w:t>29.评标</w:t>
      </w:r>
      <w:bookmarkEnd w:id="153"/>
      <w:bookmarkEnd w:id="154"/>
    </w:p>
    <w:p w14:paraId="46AA89D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29.1 评标方法分为综合评分法和最低评标</w:t>
      </w:r>
      <w:r>
        <w:rPr>
          <w:rFonts w:hint="eastAsia" w:ascii="仿宋" w:hAnsi="仿宋" w:eastAsia="仿宋" w:cs="仿宋"/>
          <w:color w:val="auto"/>
          <w:spacing w:val="-1"/>
          <w:sz w:val="24"/>
          <w:szCs w:val="24"/>
          <w:highlight w:val="none"/>
          <w:lang w:eastAsia="zh-CN"/>
        </w:rPr>
        <w:t>价法，本项目评标方法详见“投</w:t>
      </w:r>
      <w:r>
        <w:rPr>
          <w:rFonts w:hint="eastAsia" w:ascii="仿宋" w:hAnsi="仿宋" w:eastAsia="仿宋" w:cs="仿宋"/>
          <w:color w:val="auto"/>
          <w:spacing w:val="-2"/>
          <w:sz w:val="24"/>
          <w:szCs w:val="24"/>
          <w:highlight w:val="none"/>
          <w:lang w:eastAsia="zh-CN"/>
        </w:rPr>
        <w:t>标人须知前附表”。</w:t>
      </w:r>
    </w:p>
    <w:p w14:paraId="16D1AC2F">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29.1.1综合评分法，是指投标文件满足招标文件全部实质性要求，且按照</w:t>
      </w:r>
      <w:r>
        <w:rPr>
          <w:rFonts w:hint="eastAsia" w:ascii="仿宋" w:hAnsi="仿宋" w:eastAsia="仿宋" w:cs="仿宋"/>
          <w:color w:val="auto"/>
          <w:sz w:val="24"/>
          <w:szCs w:val="24"/>
          <w:highlight w:val="none"/>
          <w:lang w:eastAsia="zh-CN"/>
        </w:rPr>
        <w:t>评审因素的量化指标评审得分最高的投标人为中</w:t>
      </w:r>
      <w:r>
        <w:rPr>
          <w:rFonts w:hint="eastAsia" w:ascii="仿宋" w:hAnsi="仿宋" w:eastAsia="仿宋" w:cs="仿宋"/>
          <w:color w:val="auto"/>
          <w:spacing w:val="-1"/>
          <w:sz w:val="24"/>
          <w:szCs w:val="24"/>
          <w:highlight w:val="none"/>
          <w:lang w:eastAsia="zh-CN"/>
        </w:rPr>
        <w:t>标候选人的评标方法。</w:t>
      </w:r>
    </w:p>
    <w:p w14:paraId="352A5DE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29.1.2.最低评标价法，是指投标文件满足</w:t>
      </w:r>
      <w:r>
        <w:rPr>
          <w:rFonts w:hint="eastAsia" w:ascii="仿宋" w:hAnsi="仿宋" w:eastAsia="仿宋" w:cs="仿宋"/>
          <w:color w:val="auto"/>
          <w:spacing w:val="-1"/>
          <w:sz w:val="24"/>
          <w:szCs w:val="24"/>
          <w:highlight w:val="none"/>
          <w:lang w:eastAsia="zh-CN"/>
        </w:rPr>
        <w:t>招标文件全部实质性要求，且投标报价最低的投标人为中标候选人的评标方法。</w:t>
      </w:r>
    </w:p>
    <w:p w14:paraId="2B3D388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29.2 评标委员会按照“第五章 评标方法及标准”的规定对投标文件进行评</w:t>
      </w:r>
      <w:r>
        <w:rPr>
          <w:rFonts w:hint="eastAsia" w:ascii="仿宋" w:hAnsi="仿宋" w:eastAsia="仿宋" w:cs="仿宋"/>
          <w:color w:val="auto"/>
          <w:spacing w:val="-1"/>
          <w:sz w:val="24"/>
          <w:szCs w:val="24"/>
          <w:highlight w:val="none"/>
          <w:lang w:eastAsia="zh-CN"/>
        </w:rPr>
        <w:t>审。“第五章 评标方法及标准”没有规定的方法、评审因</w:t>
      </w:r>
      <w:r>
        <w:rPr>
          <w:rFonts w:hint="eastAsia" w:ascii="仿宋" w:hAnsi="仿宋" w:eastAsia="仿宋" w:cs="仿宋"/>
          <w:color w:val="auto"/>
          <w:spacing w:val="-2"/>
          <w:sz w:val="24"/>
          <w:szCs w:val="24"/>
          <w:highlight w:val="none"/>
          <w:lang w:eastAsia="zh-CN"/>
        </w:rPr>
        <w:t>素和标准，不作为评</w:t>
      </w:r>
      <w:r>
        <w:rPr>
          <w:rFonts w:hint="eastAsia" w:ascii="仿宋" w:hAnsi="仿宋" w:eastAsia="仿宋" w:cs="仿宋"/>
          <w:color w:val="auto"/>
          <w:spacing w:val="-3"/>
          <w:sz w:val="24"/>
          <w:szCs w:val="24"/>
          <w:highlight w:val="none"/>
          <w:lang w:eastAsia="zh-CN"/>
        </w:rPr>
        <w:t>标依据。</w:t>
      </w:r>
    </w:p>
    <w:p w14:paraId="3200D20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29.3 评标委员会按“投标人须知前附表”规定的</w:t>
      </w:r>
      <w:r>
        <w:rPr>
          <w:rFonts w:hint="eastAsia" w:ascii="仿宋" w:hAnsi="仿宋" w:eastAsia="仿宋" w:cs="仿宋"/>
          <w:color w:val="auto"/>
          <w:spacing w:val="-2"/>
          <w:sz w:val="24"/>
          <w:szCs w:val="24"/>
          <w:highlight w:val="none"/>
          <w:lang w:eastAsia="zh-CN"/>
        </w:rPr>
        <w:t>中标候选人数量在评标报告中向采购人推荐中标候选人。</w:t>
      </w:r>
    </w:p>
    <w:p w14:paraId="2B6A9F4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29.4 开标之后，直到签订合同止，凡是属</w:t>
      </w:r>
      <w:r>
        <w:rPr>
          <w:rFonts w:hint="eastAsia" w:ascii="仿宋" w:hAnsi="仿宋" w:eastAsia="仿宋" w:cs="仿宋"/>
          <w:color w:val="auto"/>
          <w:spacing w:val="-1"/>
          <w:sz w:val="24"/>
          <w:szCs w:val="24"/>
          <w:highlight w:val="none"/>
          <w:lang w:eastAsia="zh-CN"/>
        </w:rPr>
        <w:t>于审查、澄清、评价和比较投标</w:t>
      </w:r>
      <w:r>
        <w:rPr>
          <w:rFonts w:hint="eastAsia" w:ascii="仿宋" w:hAnsi="仿宋" w:eastAsia="仿宋" w:cs="仿宋"/>
          <w:color w:val="auto"/>
          <w:spacing w:val="-2"/>
          <w:sz w:val="24"/>
          <w:szCs w:val="24"/>
          <w:highlight w:val="none"/>
          <w:lang w:eastAsia="zh-CN"/>
        </w:rPr>
        <w:t>的有关资料以及定标意向等，均不得向投标人或者其他与评标无关的人员透露。</w:t>
      </w:r>
    </w:p>
    <w:p w14:paraId="2A70710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29.5 在确定中标人之前，投标人试图在投</w:t>
      </w:r>
      <w:r>
        <w:rPr>
          <w:rFonts w:hint="eastAsia" w:ascii="仿宋" w:hAnsi="仿宋" w:eastAsia="仿宋" w:cs="仿宋"/>
          <w:color w:val="auto"/>
          <w:spacing w:val="-1"/>
          <w:sz w:val="24"/>
          <w:szCs w:val="24"/>
          <w:highlight w:val="none"/>
          <w:lang w:eastAsia="zh-CN"/>
        </w:rPr>
        <w:t>标文件审查、澄清、比较和评标</w:t>
      </w:r>
      <w:r>
        <w:rPr>
          <w:rFonts w:hint="eastAsia" w:ascii="仿宋" w:hAnsi="仿宋" w:eastAsia="仿宋" w:cs="仿宋"/>
          <w:color w:val="auto"/>
          <w:spacing w:val="-2"/>
          <w:sz w:val="24"/>
          <w:szCs w:val="24"/>
          <w:highlight w:val="none"/>
          <w:lang w:eastAsia="zh-CN"/>
        </w:rPr>
        <w:t>时对评标委员会、采购人和采购代理机构施加任何影响都可能导致其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049F5A4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29.6电子招投标的应急措施</w:t>
      </w:r>
    </w:p>
    <w:p w14:paraId="49E513B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29.6.1电子开标、评标如出现下列原</w:t>
      </w:r>
      <w:r>
        <w:rPr>
          <w:rFonts w:hint="eastAsia" w:ascii="仿宋" w:hAnsi="仿宋" w:eastAsia="仿宋" w:cs="仿宋"/>
          <w:color w:val="auto"/>
          <w:spacing w:val="-2"/>
          <w:sz w:val="24"/>
          <w:szCs w:val="24"/>
          <w:highlight w:val="none"/>
          <w:lang w:eastAsia="zh-CN"/>
        </w:rPr>
        <w:t>因，导致系统无法正常运行或无法正常评标时，应采取应急措施。</w:t>
      </w:r>
    </w:p>
    <w:p w14:paraId="564B527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（1）系统服务器发生故障，无法访问或无法使用系统；</w:t>
      </w:r>
    </w:p>
    <w:p w14:paraId="1AD7956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（2）系统的软件或数据库出现错误，不能进行正常操作；</w:t>
      </w:r>
    </w:p>
    <w:p w14:paraId="0D86831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（3）系统发现有安全漏洞，有潜在的泄密危险；</w:t>
      </w:r>
    </w:p>
    <w:p w14:paraId="40B68BB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（4）病毒发作或受到外来病毒的攻击；</w:t>
      </w:r>
    </w:p>
    <w:p w14:paraId="573EFF2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（5）出现其他不可抗拒的客观原因造成开评标系统无法正常使用。</w:t>
      </w:r>
    </w:p>
    <w:p w14:paraId="36BB888E">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4"/>
          <w:sz w:val="24"/>
          <w:szCs w:val="24"/>
          <w:highlight w:val="none"/>
          <w:lang w:eastAsia="zh-CN"/>
        </w:rPr>
        <w:t>出现上述情况时，应对未开标的暂停开标。已在系统内开标、评标的立即停</w:t>
      </w:r>
      <w:r>
        <w:rPr>
          <w:rFonts w:hint="eastAsia" w:ascii="仿宋" w:hAnsi="仿宋" w:eastAsia="仿宋" w:cs="仿宋"/>
          <w:color w:val="auto"/>
          <w:spacing w:val="-1"/>
          <w:sz w:val="24"/>
          <w:szCs w:val="24"/>
          <w:highlight w:val="none"/>
          <w:lang w:eastAsia="zh-CN"/>
        </w:rPr>
        <w:t>止。采取应急措施时，必须对原有资料及信息作出妥善保密处理。</w:t>
      </w:r>
    </w:p>
    <w:p w14:paraId="5C332131">
      <w:pPr>
        <w:widowControl w:val="0"/>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29.6.2因系统原因导致投标人均无法解密电子投标文件时</w:t>
      </w:r>
      <w:r>
        <w:rPr>
          <w:rFonts w:hint="eastAsia" w:ascii="仿宋" w:hAnsi="仿宋" w:eastAsia="仿宋" w:cs="仿宋"/>
          <w:color w:val="auto"/>
          <w:spacing w:val="-2"/>
          <w:sz w:val="24"/>
          <w:szCs w:val="24"/>
          <w:highlight w:val="none"/>
          <w:lang w:eastAsia="zh-CN"/>
        </w:rPr>
        <w:t>，采购代理机构</w:t>
      </w:r>
      <w:r>
        <w:rPr>
          <w:rFonts w:hint="eastAsia" w:ascii="仿宋" w:hAnsi="仿宋" w:eastAsia="仿宋" w:cs="仿宋"/>
          <w:color w:val="auto"/>
          <w:sz w:val="24"/>
          <w:szCs w:val="24"/>
          <w:highlight w:val="none"/>
          <w:lang w:eastAsia="zh-CN"/>
        </w:rPr>
        <w:t>可在开标现场直接导入投标人在投标截止时间前递交的未</w:t>
      </w:r>
      <w:r>
        <w:rPr>
          <w:rFonts w:hint="eastAsia" w:ascii="仿宋" w:hAnsi="仿宋" w:eastAsia="仿宋" w:cs="仿宋"/>
          <w:color w:val="auto"/>
          <w:spacing w:val="-1"/>
          <w:sz w:val="24"/>
          <w:szCs w:val="24"/>
          <w:highlight w:val="none"/>
          <w:lang w:eastAsia="zh-CN"/>
        </w:rPr>
        <w:t>加密的电子投标文件进行开标、评标。</w:t>
      </w:r>
    </w:p>
    <w:p w14:paraId="38F3DFD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29.7 投标人瑕疵滞后发现的处理规则</w:t>
      </w:r>
    </w:p>
    <w:p w14:paraId="6F36A47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29.7.1无论基于何种原因，各项本应作</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处理的情形即便未被及时</w:t>
      </w:r>
      <w:r>
        <w:rPr>
          <w:rFonts w:hint="eastAsia" w:ascii="仿宋" w:hAnsi="仿宋" w:eastAsia="仿宋" w:cs="仿宋"/>
          <w:color w:val="auto"/>
          <w:spacing w:val="-3"/>
          <w:sz w:val="24"/>
          <w:szCs w:val="24"/>
          <w:highlight w:val="none"/>
          <w:lang w:eastAsia="zh-CN"/>
        </w:rPr>
        <w:t>发现而使该投标人进入初审、综合评审或其他后续程序，包括已经签订合同的情形，一旦该投标人的投标作无效投标处理或该投标人的此前评议结果被取消，其</w:t>
      </w:r>
      <w:r>
        <w:rPr>
          <w:rFonts w:hint="eastAsia" w:ascii="仿宋" w:hAnsi="仿宋" w:eastAsia="仿宋" w:cs="仿宋"/>
          <w:color w:val="auto"/>
          <w:sz w:val="24"/>
          <w:szCs w:val="24"/>
          <w:highlight w:val="none"/>
          <w:lang w:eastAsia="zh-CN"/>
        </w:rPr>
        <w:t>现有的位置将被其他投标人依序替代，相关的</w:t>
      </w:r>
      <w:r>
        <w:rPr>
          <w:rFonts w:hint="eastAsia" w:ascii="仿宋" w:hAnsi="仿宋" w:eastAsia="仿宋" w:cs="仿宋"/>
          <w:color w:val="auto"/>
          <w:spacing w:val="-1"/>
          <w:sz w:val="24"/>
          <w:szCs w:val="24"/>
          <w:highlight w:val="none"/>
          <w:lang w:eastAsia="zh-CN"/>
        </w:rPr>
        <w:t>一切损失均由该投标人承担。</w:t>
      </w:r>
    </w:p>
    <w:p w14:paraId="2615BBA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55" w:name="bookmark96"/>
      <w:bookmarkEnd w:id="155"/>
      <w:bookmarkStart w:id="156" w:name="bookmark95"/>
      <w:bookmarkEnd w:id="156"/>
      <w:bookmarkStart w:id="157" w:name="_Toc186477721"/>
      <w:bookmarkStart w:id="158" w:name="_Toc7899"/>
      <w:r>
        <w:rPr>
          <w:rFonts w:hint="eastAsia" w:ascii="仿宋" w:hAnsi="仿宋" w:eastAsia="仿宋" w:cs="仿宋"/>
          <w:b/>
          <w:bCs/>
          <w:color w:val="auto"/>
          <w:spacing w:val="-8"/>
          <w:sz w:val="24"/>
          <w:szCs w:val="24"/>
          <w:highlight w:val="none"/>
          <w:lang w:eastAsia="zh-CN"/>
        </w:rPr>
        <w:t>（八）中标</w:t>
      </w:r>
      <w:bookmarkEnd w:id="157"/>
      <w:bookmarkEnd w:id="158"/>
    </w:p>
    <w:p w14:paraId="40D0DCCC">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59" w:name="bookmark97"/>
      <w:bookmarkEnd w:id="159"/>
      <w:bookmarkStart w:id="160" w:name="bookmark98"/>
      <w:bookmarkEnd w:id="160"/>
      <w:bookmarkStart w:id="161" w:name="_Toc186477722"/>
      <w:bookmarkStart w:id="162" w:name="_Toc4180"/>
      <w:r>
        <w:rPr>
          <w:rFonts w:hint="eastAsia" w:ascii="仿宋" w:hAnsi="仿宋" w:eastAsia="仿宋" w:cs="仿宋"/>
          <w:b/>
          <w:bCs/>
          <w:color w:val="auto"/>
          <w:spacing w:val="-5"/>
          <w:sz w:val="24"/>
          <w:szCs w:val="24"/>
          <w:highlight w:val="none"/>
          <w:lang w:eastAsia="zh-CN"/>
        </w:rPr>
        <w:t>30.确定中标人</w:t>
      </w:r>
      <w:bookmarkEnd w:id="161"/>
      <w:bookmarkEnd w:id="162"/>
    </w:p>
    <w:p w14:paraId="09C98E1C">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30.1采购人将在评标报告确定的中标候选人名单中按顺序确定中标人，中</w:t>
      </w:r>
      <w:r>
        <w:rPr>
          <w:rFonts w:hint="eastAsia" w:ascii="仿宋" w:hAnsi="仿宋" w:eastAsia="仿宋" w:cs="仿宋"/>
          <w:color w:val="auto"/>
          <w:spacing w:val="-3"/>
          <w:sz w:val="24"/>
          <w:szCs w:val="24"/>
          <w:highlight w:val="none"/>
          <w:lang w:eastAsia="zh-CN"/>
        </w:rPr>
        <w:t>标候选人并列的，按照“投标人须知前附表”确定中标人；招标文件未规定的，采取随机抽取的方式确定。采购人是否委托评标委员会直接确定中标人，见“投</w:t>
      </w:r>
      <w:r>
        <w:rPr>
          <w:rFonts w:hint="eastAsia" w:ascii="仿宋" w:hAnsi="仿宋" w:eastAsia="仿宋" w:cs="仿宋"/>
          <w:color w:val="auto"/>
          <w:spacing w:val="-1"/>
          <w:sz w:val="24"/>
          <w:szCs w:val="24"/>
          <w:highlight w:val="none"/>
          <w:lang w:eastAsia="zh-CN"/>
        </w:rPr>
        <w:t>标人须知前附表”。</w:t>
      </w:r>
    </w:p>
    <w:p w14:paraId="1909339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30.2采用综合评分法的采购项目，提供相同品牌产品且通过资格审查、符</w:t>
      </w:r>
      <w:r>
        <w:rPr>
          <w:rFonts w:hint="eastAsia" w:ascii="仿宋" w:hAnsi="仿宋" w:eastAsia="仿宋" w:cs="仿宋"/>
          <w:color w:val="auto"/>
          <w:spacing w:val="-3"/>
          <w:sz w:val="24"/>
          <w:szCs w:val="24"/>
          <w:highlight w:val="none"/>
          <w:lang w:eastAsia="zh-CN"/>
        </w:rPr>
        <w:t>合性审查的不同投标人参加同一合同项下投标的，按一家投标人计算，评审后得分最高的同品牌投标人获得中标人推荐资格；评审得分相同的，由采购人或者采</w:t>
      </w:r>
      <w:r>
        <w:rPr>
          <w:rFonts w:hint="eastAsia" w:ascii="仿宋" w:hAnsi="仿宋" w:eastAsia="仿宋" w:cs="仿宋"/>
          <w:color w:val="auto"/>
          <w:spacing w:val="-4"/>
          <w:sz w:val="24"/>
          <w:szCs w:val="24"/>
          <w:highlight w:val="none"/>
          <w:lang w:eastAsia="zh-CN"/>
        </w:rPr>
        <w:t>购人委托评标委员会按照“投标人须知前附表”规定的方式确定一个投标人获得</w:t>
      </w:r>
      <w:r>
        <w:rPr>
          <w:rFonts w:hint="eastAsia" w:ascii="仿宋" w:hAnsi="仿宋" w:eastAsia="仿宋" w:cs="仿宋"/>
          <w:color w:val="auto"/>
          <w:spacing w:val="-3"/>
          <w:sz w:val="24"/>
          <w:szCs w:val="24"/>
          <w:highlight w:val="none"/>
          <w:lang w:eastAsia="zh-CN"/>
        </w:rPr>
        <w:t>中标人推荐资格，招标文件未规定的采取随机抽取方式确定，其他同品牌投标人</w:t>
      </w:r>
      <w:r>
        <w:rPr>
          <w:rFonts w:hint="eastAsia" w:ascii="仿宋" w:hAnsi="仿宋" w:eastAsia="仿宋" w:cs="仿宋"/>
          <w:color w:val="auto"/>
          <w:spacing w:val="-1"/>
          <w:sz w:val="24"/>
          <w:szCs w:val="24"/>
          <w:highlight w:val="none"/>
          <w:lang w:eastAsia="zh-CN"/>
        </w:rPr>
        <w:t>不作为中标候选人。</w:t>
      </w:r>
    </w:p>
    <w:p w14:paraId="3AA496B8">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30.3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招标文件未规定的采取随机抽取方式确定，其他投标无效。</w:t>
      </w:r>
    </w:p>
    <w:p w14:paraId="46843B09">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30.4非单一产品采购项目，采购人应当根据采购项目技术构成、产品价格</w:t>
      </w:r>
      <w:r>
        <w:rPr>
          <w:rFonts w:hint="eastAsia" w:ascii="仿宋" w:hAnsi="仿宋" w:eastAsia="仿宋" w:cs="仿宋"/>
          <w:color w:val="auto"/>
          <w:spacing w:val="-4"/>
          <w:sz w:val="24"/>
          <w:szCs w:val="24"/>
          <w:highlight w:val="none"/>
          <w:lang w:eastAsia="zh-CN"/>
        </w:rPr>
        <w:t>比重等合理确定核心产品，并在“投标人须</w:t>
      </w:r>
      <w:r>
        <w:rPr>
          <w:rFonts w:hint="eastAsia" w:ascii="仿宋" w:hAnsi="仿宋" w:eastAsia="仿宋" w:cs="仿宋"/>
          <w:color w:val="auto"/>
          <w:spacing w:val="-5"/>
          <w:sz w:val="24"/>
          <w:szCs w:val="24"/>
          <w:highlight w:val="none"/>
          <w:lang w:eastAsia="zh-CN"/>
        </w:rPr>
        <w:t>知前附表”中载明。多家投标人提供</w:t>
      </w:r>
      <w:r>
        <w:rPr>
          <w:rFonts w:hint="eastAsia" w:ascii="仿宋" w:hAnsi="仿宋" w:eastAsia="仿宋" w:cs="仿宋"/>
          <w:color w:val="auto"/>
          <w:spacing w:val="-2"/>
          <w:sz w:val="24"/>
          <w:szCs w:val="24"/>
          <w:highlight w:val="none"/>
          <w:lang w:eastAsia="zh-CN"/>
        </w:rPr>
        <w:t>的核心产品品牌相同的，按前两款规定处理。</w:t>
      </w:r>
    </w:p>
    <w:p w14:paraId="1E69AF9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63" w:name="bookmark99"/>
      <w:bookmarkEnd w:id="163"/>
      <w:bookmarkStart w:id="164" w:name="bookmark100"/>
      <w:bookmarkEnd w:id="164"/>
      <w:bookmarkStart w:id="165" w:name="_Toc186477723"/>
      <w:bookmarkStart w:id="166" w:name="_Toc21439"/>
      <w:r>
        <w:rPr>
          <w:rFonts w:hint="eastAsia" w:ascii="仿宋" w:hAnsi="仿宋" w:eastAsia="仿宋" w:cs="仿宋"/>
          <w:b/>
          <w:bCs/>
          <w:color w:val="auto"/>
          <w:spacing w:val="-4"/>
          <w:sz w:val="24"/>
          <w:szCs w:val="24"/>
          <w:highlight w:val="none"/>
          <w:lang w:eastAsia="zh-CN"/>
        </w:rPr>
        <w:t>31.中标结果公告</w:t>
      </w:r>
      <w:bookmarkEnd w:id="165"/>
      <w:bookmarkEnd w:id="166"/>
    </w:p>
    <w:p w14:paraId="35098C58">
      <w:pPr>
        <w:widowControl w:val="0"/>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31.1采购人或采购代理机构应当自中标人确定</w:t>
      </w:r>
      <w:r>
        <w:rPr>
          <w:rFonts w:hint="eastAsia" w:ascii="仿宋" w:hAnsi="仿宋" w:eastAsia="仿宋" w:cs="仿宋"/>
          <w:color w:val="auto"/>
          <w:spacing w:val="-2"/>
          <w:sz w:val="24"/>
          <w:szCs w:val="24"/>
          <w:highlight w:val="none"/>
          <w:lang w:eastAsia="zh-CN"/>
        </w:rPr>
        <w:t>之日起2个工作日内，在发</w:t>
      </w:r>
      <w:r>
        <w:rPr>
          <w:rFonts w:hint="eastAsia" w:ascii="仿宋" w:hAnsi="仿宋" w:eastAsia="仿宋" w:cs="仿宋"/>
          <w:color w:val="auto"/>
          <w:spacing w:val="-3"/>
          <w:sz w:val="24"/>
          <w:szCs w:val="24"/>
          <w:highlight w:val="none"/>
          <w:lang w:eastAsia="zh-CN"/>
        </w:rPr>
        <w:t>布招标公告的同一媒体上发布中标结果公告，同时向中标人发出中标通知书。招</w:t>
      </w:r>
      <w:r>
        <w:rPr>
          <w:rFonts w:hint="eastAsia" w:ascii="仿宋" w:hAnsi="仿宋" w:eastAsia="仿宋" w:cs="仿宋"/>
          <w:color w:val="auto"/>
          <w:spacing w:val="-2"/>
          <w:sz w:val="24"/>
          <w:szCs w:val="24"/>
          <w:highlight w:val="none"/>
          <w:lang w:eastAsia="zh-CN"/>
        </w:rPr>
        <w:t>标文件随中标结果同时公告，中标结果公告期限为1个工作日。</w:t>
      </w:r>
    </w:p>
    <w:p w14:paraId="5D1ECDA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31.2中标人为中小企业享受中小企业扶持政策的，其“中小企业声明函” </w:t>
      </w:r>
      <w:r>
        <w:rPr>
          <w:rFonts w:hint="eastAsia" w:ascii="仿宋" w:hAnsi="仿宋" w:eastAsia="仿宋" w:cs="仿宋"/>
          <w:color w:val="auto"/>
          <w:spacing w:val="-3"/>
          <w:sz w:val="24"/>
          <w:szCs w:val="24"/>
          <w:highlight w:val="none"/>
          <w:lang w:eastAsia="zh-CN"/>
        </w:rPr>
        <w:t>随中标结果同时公告。中标人为残疾人福利性</w:t>
      </w:r>
      <w:r>
        <w:rPr>
          <w:rFonts w:hint="eastAsia" w:ascii="仿宋" w:hAnsi="仿宋" w:eastAsia="仿宋" w:cs="仿宋"/>
          <w:color w:val="auto"/>
          <w:spacing w:val="-4"/>
          <w:sz w:val="24"/>
          <w:szCs w:val="24"/>
          <w:highlight w:val="none"/>
          <w:lang w:eastAsia="zh-CN"/>
        </w:rPr>
        <w:t>单位的，其“残疾人福利性单位声</w:t>
      </w:r>
      <w:r>
        <w:rPr>
          <w:rFonts w:hint="eastAsia" w:ascii="仿宋" w:hAnsi="仿宋" w:eastAsia="仿宋" w:cs="仿宋"/>
          <w:color w:val="auto"/>
          <w:spacing w:val="-5"/>
          <w:sz w:val="24"/>
          <w:szCs w:val="24"/>
          <w:highlight w:val="none"/>
          <w:lang w:eastAsia="zh-CN"/>
        </w:rPr>
        <w:t>明函”随中标结果同时公告。</w:t>
      </w:r>
    </w:p>
    <w:p w14:paraId="514C4C8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31.3项目采购采用最低评标价法的，公告中标结果时同时公告因落实政府</w:t>
      </w:r>
      <w:r>
        <w:rPr>
          <w:rFonts w:hint="eastAsia" w:ascii="仿宋" w:hAnsi="仿宋" w:eastAsia="仿宋" w:cs="仿宋"/>
          <w:color w:val="auto"/>
          <w:spacing w:val="-5"/>
          <w:sz w:val="24"/>
          <w:szCs w:val="24"/>
          <w:highlight w:val="none"/>
          <w:lang w:eastAsia="zh-CN"/>
        </w:rPr>
        <w:t>采购政策等原因进行价格扣除后中标人的评审报价；项目采购采用综合评分法的，</w:t>
      </w:r>
      <w:r>
        <w:rPr>
          <w:rFonts w:hint="eastAsia" w:ascii="仿宋" w:hAnsi="仿宋" w:eastAsia="仿宋" w:cs="仿宋"/>
          <w:color w:val="auto"/>
          <w:spacing w:val="-1"/>
          <w:sz w:val="24"/>
          <w:szCs w:val="24"/>
          <w:highlight w:val="none"/>
          <w:lang w:eastAsia="zh-CN"/>
        </w:rPr>
        <w:t>公告中标结果时同时公告中标供应商的评审总得分。</w:t>
      </w:r>
    </w:p>
    <w:p w14:paraId="14E654A3">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67" w:name="bookmark101"/>
      <w:bookmarkEnd w:id="167"/>
      <w:bookmarkStart w:id="168" w:name="bookmark102"/>
      <w:bookmarkEnd w:id="168"/>
      <w:bookmarkStart w:id="169" w:name="_Toc186477724"/>
      <w:bookmarkStart w:id="170" w:name="_Toc31404"/>
      <w:r>
        <w:rPr>
          <w:rFonts w:hint="eastAsia" w:ascii="仿宋" w:hAnsi="仿宋" w:eastAsia="仿宋" w:cs="仿宋"/>
          <w:b/>
          <w:bCs/>
          <w:color w:val="auto"/>
          <w:spacing w:val="-5"/>
          <w:sz w:val="24"/>
          <w:szCs w:val="24"/>
          <w:highlight w:val="none"/>
          <w:lang w:eastAsia="zh-CN"/>
        </w:rPr>
        <w:t>32.中标通知</w:t>
      </w:r>
      <w:bookmarkEnd w:id="169"/>
      <w:bookmarkEnd w:id="170"/>
    </w:p>
    <w:p w14:paraId="6E309B5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32.1采购人和采购代理机构以书面形式向中标人发出中标通知书，同时将</w:t>
      </w:r>
      <w:r>
        <w:rPr>
          <w:rFonts w:hint="eastAsia" w:ascii="仿宋" w:hAnsi="仿宋" w:eastAsia="仿宋" w:cs="仿宋"/>
          <w:color w:val="auto"/>
          <w:spacing w:val="-3"/>
          <w:sz w:val="24"/>
          <w:szCs w:val="24"/>
          <w:highlight w:val="none"/>
          <w:lang w:eastAsia="zh-CN"/>
        </w:rPr>
        <w:t>招标结果通知未中标的投标人。对未通过资格审查的投标人，应当告知其未通过</w:t>
      </w:r>
      <w:r>
        <w:rPr>
          <w:rFonts w:hint="eastAsia" w:ascii="仿宋" w:hAnsi="仿宋" w:eastAsia="仿宋" w:cs="仿宋"/>
          <w:color w:val="auto"/>
          <w:spacing w:val="-2"/>
          <w:sz w:val="24"/>
          <w:szCs w:val="24"/>
          <w:highlight w:val="none"/>
          <w:lang w:eastAsia="zh-CN"/>
        </w:rPr>
        <w:t>的原因；采用综合评分法评审的，还应当告知未中标人本人的评审得分与排序。</w:t>
      </w:r>
    </w:p>
    <w:p w14:paraId="220F19F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32.2中标通知书对采购人和中标人均具有法律效力。中标通知书发出后，采购人改变中标结果的，或者中标人放弃中标</w:t>
      </w:r>
      <w:r>
        <w:rPr>
          <w:rFonts w:hint="eastAsia" w:ascii="仿宋" w:hAnsi="仿宋" w:eastAsia="仿宋" w:cs="仿宋"/>
          <w:color w:val="auto"/>
          <w:spacing w:val="-2"/>
          <w:sz w:val="24"/>
          <w:szCs w:val="24"/>
          <w:highlight w:val="none"/>
          <w:lang w:eastAsia="zh-CN"/>
        </w:rPr>
        <w:t>项目的，应当依法承担法律责任。</w:t>
      </w:r>
    </w:p>
    <w:p w14:paraId="51AF8DB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71" w:name="bookmark104"/>
      <w:bookmarkEnd w:id="171"/>
      <w:bookmarkStart w:id="172" w:name="bookmark103"/>
      <w:bookmarkEnd w:id="172"/>
      <w:bookmarkStart w:id="173" w:name="_Toc18510"/>
      <w:bookmarkStart w:id="174" w:name="_Toc186477725"/>
      <w:r>
        <w:rPr>
          <w:rFonts w:hint="eastAsia" w:ascii="仿宋" w:hAnsi="仿宋" w:eastAsia="仿宋" w:cs="仿宋"/>
          <w:b/>
          <w:bCs/>
          <w:color w:val="auto"/>
          <w:spacing w:val="-6"/>
          <w:sz w:val="24"/>
          <w:szCs w:val="24"/>
          <w:highlight w:val="none"/>
          <w:lang w:eastAsia="zh-CN"/>
        </w:rPr>
        <w:t>（九）签订合同</w:t>
      </w:r>
      <w:bookmarkEnd w:id="173"/>
      <w:bookmarkEnd w:id="174"/>
    </w:p>
    <w:p w14:paraId="3DF32BA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75" w:name="bookmark105"/>
      <w:bookmarkEnd w:id="175"/>
      <w:bookmarkStart w:id="176" w:name="bookmark106"/>
      <w:bookmarkEnd w:id="176"/>
      <w:bookmarkStart w:id="177" w:name="_Toc5721"/>
      <w:bookmarkStart w:id="178" w:name="_Toc186477726"/>
      <w:r>
        <w:rPr>
          <w:rFonts w:hint="eastAsia" w:ascii="仿宋" w:hAnsi="仿宋" w:eastAsia="仿宋" w:cs="仿宋"/>
          <w:b/>
          <w:bCs/>
          <w:color w:val="auto"/>
          <w:spacing w:val="-5"/>
          <w:sz w:val="24"/>
          <w:szCs w:val="24"/>
          <w:highlight w:val="none"/>
          <w:lang w:eastAsia="zh-CN"/>
        </w:rPr>
        <w:t>33.履约保证金</w:t>
      </w:r>
      <w:bookmarkEnd w:id="177"/>
      <w:bookmarkEnd w:id="178"/>
    </w:p>
    <w:p w14:paraId="11771CC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33.1在签订合同前，中标人应按“投标人须知前附表”规定的金额、担保</w:t>
      </w:r>
      <w:r>
        <w:rPr>
          <w:rFonts w:hint="eastAsia" w:ascii="仿宋" w:hAnsi="仿宋" w:eastAsia="仿宋" w:cs="仿宋"/>
          <w:color w:val="auto"/>
          <w:spacing w:val="-1"/>
          <w:sz w:val="24"/>
          <w:szCs w:val="24"/>
          <w:highlight w:val="none"/>
          <w:lang w:eastAsia="zh-CN"/>
        </w:rPr>
        <w:t>形式和采购人认可的履约担保格式向采购人提交履约保证金。</w:t>
      </w:r>
    </w:p>
    <w:p w14:paraId="1B39316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33.2中标人不能按本章第33.1项要求提交履约担保的，视为放弃中标，给</w:t>
      </w:r>
      <w:r>
        <w:rPr>
          <w:rFonts w:hint="eastAsia" w:ascii="仿宋" w:hAnsi="仿宋" w:eastAsia="仿宋" w:cs="仿宋"/>
          <w:color w:val="auto"/>
          <w:spacing w:val="-1"/>
          <w:sz w:val="24"/>
          <w:szCs w:val="24"/>
          <w:highlight w:val="none"/>
          <w:lang w:eastAsia="zh-CN"/>
        </w:rPr>
        <w:t>采购人造成损失的，中标人还应当承担民事责任。</w:t>
      </w:r>
    </w:p>
    <w:p w14:paraId="4DD51C2F">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79" w:name="bookmark108"/>
      <w:bookmarkEnd w:id="179"/>
      <w:bookmarkStart w:id="180" w:name="bookmark107"/>
      <w:bookmarkEnd w:id="180"/>
      <w:bookmarkStart w:id="181" w:name="_Toc19664"/>
      <w:bookmarkStart w:id="182" w:name="_Toc186477727"/>
      <w:r>
        <w:rPr>
          <w:rFonts w:hint="eastAsia" w:ascii="仿宋" w:hAnsi="仿宋" w:eastAsia="仿宋" w:cs="仿宋"/>
          <w:b/>
          <w:bCs/>
          <w:color w:val="auto"/>
          <w:spacing w:val="-5"/>
          <w:sz w:val="24"/>
          <w:szCs w:val="24"/>
          <w:highlight w:val="none"/>
          <w:lang w:eastAsia="zh-CN"/>
        </w:rPr>
        <w:t>34.签订合同</w:t>
      </w:r>
      <w:bookmarkEnd w:id="181"/>
      <w:bookmarkEnd w:id="182"/>
    </w:p>
    <w:p w14:paraId="2F2EED2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34.1 采购人和中标人应当自中标通知书发出之日起30天内，根据招标文件</w:t>
      </w:r>
      <w:r>
        <w:rPr>
          <w:rFonts w:hint="eastAsia" w:ascii="仿宋" w:hAnsi="仿宋" w:eastAsia="仿宋" w:cs="仿宋"/>
          <w:color w:val="auto"/>
          <w:spacing w:val="-3"/>
          <w:sz w:val="24"/>
          <w:szCs w:val="24"/>
          <w:highlight w:val="none"/>
          <w:lang w:eastAsia="zh-CN"/>
        </w:rPr>
        <w:t>和中标人的投标文件订立书面合同。采购人因不可抗力原因迟延签订合同的，应</w:t>
      </w:r>
      <w:r>
        <w:rPr>
          <w:rFonts w:hint="eastAsia" w:ascii="仿宋" w:hAnsi="仿宋" w:eastAsia="仿宋" w:cs="仿宋"/>
          <w:color w:val="auto"/>
          <w:spacing w:val="-5"/>
          <w:sz w:val="24"/>
          <w:szCs w:val="24"/>
          <w:highlight w:val="none"/>
          <w:lang w:eastAsia="zh-CN"/>
        </w:rPr>
        <w:t>当自不可抗力事由消除之日起7 日内完成合同签订事宜。所签订的合同不得对招</w:t>
      </w:r>
      <w:r>
        <w:rPr>
          <w:rFonts w:hint="eastAsia" w:ascii="仿宋" w:hAnsi="仿宋" w:eastAsia="仿宋" w:cs="仿宋"/>
          <w:color w:val="auto"/>
          <w:spacing w:val="-3"/>
          <w:sz w:val="24"/>
          <w:szCs w:val="24"/>
          <w:highlight w:val="none"/>
          <w:lang w:eastAsia="zh-CN"/>
        </w:rPr>
        <w:t>标文件和中标人投标文件作实质性修改。中标人无正当理由拒签合同，给采购人</w:t>
      </w:r>
      <w:r>
        <w:rPr>
          <w:rFonts w:hint="eastAsia" w:ascii="仿宋" w:hAnsi="仿宋" w:eastAsia="仿宋" w:cs="仿宋"/>
          <w:color w:val="auto"/>
          <w:spacing w:val="-1"/>
          <w:sz w:val="24"/>
          <w:szCs w:val="24"/>
          <w:highlight w:val="none"/>
          <w:lang w:eastAsia="zh-CN"/>
        </w:rPr>
        <w:t>造成损失的，中标人还应当承担民事责任。</w:t>
      </w:r>
    </w:p>
    <w:p w14:paraId="018416A5">
      <w:pPr>
        <w:spacing w:line="360" w:lineRule="auto"/>
        <w:ind w:left="31" w:right="-27" w:rightChars="-13"/>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34.2中标人拒绝与采购人签订合同的，采购人可以按照评标报告推荐的中标候选人名单排序，确定下一候选人为中标人，也可以重新开展政府采购活动。</w:t>
      </w:r>
    </w:p>
    <w:p w14:paraId="0A2E1B5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34.3 采购人和中标人不得向对方提出</w:t>
      </w:r>
      <w:r>
        <w:rPr>
          <w:rFonts w:hint="eastAsia" w:ascii="仿宋" w:hAnsi="仿宋" w:eastAsia="仿宋" w:cs="仿宋"/>
          <w:color w:val="auto"/>
          <w:spacing w:val="-1"/>
          <w:sz w:val="24"/>
          <w:szCs w:val="24"/>
          <w:highlight w:val="none"/>
          <w:lang w:eastAsia="zh-CN"/>
        </w:rPr>
        <w:t>任何不合理的要求，作为签订合同的条件，双方不得私下订立背离合同实质性内容的协议。</w:t>
      </w:r>
    </w:p>
    <w:p w14:paraId="1BCD951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34.4 联合体中标的，联合体各方应当</w:t>
      </w:r>
      <w:r>
        <w:rPr>
          <w:rFonts w:hint="eastAsia" w:ascii="仿宋" w:hAnsi="仿宋" w:eastAsia="仿宋" w:cs="仿宋"/>
          <w:color w:val="auto"/>
          <w:spacing w:val="-1"/>
          <w:sz w:val="24"/>
          <w:szCs w:val="24"/>
          <w:highlight w:val="none"/>
          <w:lang w:eastAsia="zh-CN"/>
        </w:rPr>
        <w:t>共同与采购人签订合同，就采购合同约定的事项向采购人承担连带责任。</w:t>
      </w:r>
    </w:p>
    <w:p w14:paraId="263F607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34.5 本项目的非主体、非关键性工作</w:t>
      </w:r>
      <w:r>
        <w:rPr>
          <w:rFonts w:hint="eastAsia" w:ascii="仿宋" w:hAnsi="仿宋" w:eastAsia="仿宋" w:cs="仿宋"/>
          <w:color w:val="auto"/>
          <w:spacing w:val="-1"/>
          <w:sz w:val="24"/>
          <w:szCs w:val="24"/>
          <w:highlight w:val="none"/>
          <w:lang w:eastAsia="zh-CN"/>
        </w:rPr>
        <w:t>是否允许分包，见“投标人须知前附</w:t>
      </w:r>
      <w:r>
        <w:rPr>
          <w:rFonts w:hint="eastAsia" w:ascii="仿宋" w:hAnsi="仿宋" w:eastAsia="仿宋" w:cs="仿宋"/>
          <w:color w:val="auto"/>
          <w:spacing w:val="-4"/>
          <w:sz w:val="24"/>
          <w:szCs w:val="24"/>
          <w:highlight w:val="none"/>
          <w:lang w:eastAsia="zh-CN"/>
        </w:rPr>
        <w:t>表”。采购人允许采用分包方式履行合同的，中标人可以依法在中标后将中标项</w:t>
      </w:r>
      <w:r>
        <w:rPr>
          <w:rFonts w:hint="eastAsia" w:ascii="仿宋" w:hAnsi="仿宋" w:eastAsia="仿宋" w:cs="仿宋"/>
          <w:color w:val="auto"/>
          <w:spacing w:val="-2"/>
          <w:sz w:val="24"/>
          <w:szCs w:val="24"/>
          <w:highlight w:val="none"/>
          <w:lang w:eastAsia="zh-CN"/>
        </w:rPr>
        <w:t>目的非主体、非关键性工作采取分包方式履行合同。政府采购合同分包履行的，</w:t>
      </w:r>
      <w:r>
        <w:rPr>
          <w:rFonts w:hint="eastAsia" w:ascii="仿宋" w:hAnsi="仿宋" w:eastAsia="仿宋" w:cs="仿宋"/>
          <w:color w:val="auto"/>
          <w:spacing w:val="-3"/>
          <w:sz w:val="24"/>
          <w:szCs w:val="24"/>
          <w:highlight w:val="none"/>
          <w:lang w:eastAsia="zh-CN"/>
        </w:rPr>
        <w:t>应当在投标文件中载明分包承担主体，分包承担主体应当具备相应资质条件且不得再次分包，否则</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。中标人就采购项目和分包项目</w:t>
      </w:r>
      <w:r>
        <w:rPr>
          <w:rFonts w:hint="eastAsia" w:ascii="仿宋" w:hAnsi="仿宋" w:eastAsia="仿宋" w:cs="仿宋"/>
          <w:color w:val="auto"/>
          <w:spacing w:val="-4"/>
          <w:sz w:val="24"/>
          <w:szCs w:val="24"/>
          <w:highlight w:val="none"/>
          <w:lang w:eastAsia="zh-CN"/>
        </w:rPr>
        <w:t>向采购人负责，分包</w:t>
      </w:r>
      <w:r>
        <w:rPr>
          <w:rFonts w:hint="eastAsia" w:ascii="仿宋" w:hAnsi="仿宋" w:eastAsia="仿宋" w:cs="仿宋"/>
          <w:color w:val="auto"/>
          <w:spacing w:val="-1"/>
          <w:sz w:val="24"/>
          <w:szCs w:val="24"/>
          <w:highlight w:val="none"/>
          <w:lang w:eastAsia="zh-CN"/>
        </w:rPr>
        <w:t>供应商就分包项目承担责任。</w:t>
      </w:r>
      <w:r>
        <w:rPr>
          <w:rFonts w:hint="eastAsia" w:ascii="仿宋" w:hAnsi="仿宋" w:eastAsia="仿宋" w:cs="仿宋"/>
          <w:b/>
          <w:bCs/>
          <w:color w:val="auto"/>
          <w:spacing w:val="-1"/>
          <w:sz w:val="24"/>
          <w:szCs w:val="24"/>
          <w:highlight w:val="none"/>
          <w:lang w:eastAsia="zh-CN"/>
        </w:rPr>
        <w:t>政府采购合同不</w:t>
      </w:r>
      <w:r>
        <w:rPr>
          <w:rFonts w:hint="eastAsia" w:ascii="仿宋" w:hAnsi="仿宋" w:eastAsia="仿宋" w:cs="仿宋"/>
          <w:b/>
          <w:bCs/>
          <w:color w:val="auto"/>
          <w:spacing w:val="-2"/>
          <w:sz w:val="24"/>
          <w:szCs w:val="24"/>
          <w:highlight w:val="none"/>
          <w:lang w:eastAsia="zh-CN"/>
        </w:rPr>
        <w:t>能转包。</w:t>
      </w:r>
    </w:p>
    <w:p w14:paraId="145A2BE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34.6采购合同履行中，采购人需追加与合同标的相同的货物、工程或者服</w:t>
      </w:r>
      <w:r>
        <w:rPr>
          <w:rFonts w:hint="eastAsia" w:ascii="仿宋" w:hAnsi="仿宋" w:eastAsia="仿宋" w:cs="仿宋"/>
          <w:color w:val="auto"/>
          <w:spacing w:val="-3"/>
          <w:sz w:val="24"/>
          <w:szCs w:val="24"/>
          <w:highlight w:val="none"/>
          <w:lang w:eastAsia="zh-CN"/>
        </w:rPr>
        <w:t>务的，在不改变合同其他条款的前提下，可以与中标人协商签订补充合同，但所</w:t>
      </w:r>
      <w:r>
        <w:rPr>
          <w:rFonts w:hint="eastAsia" w:ascii="仿宋" w:hAnsi="仿宋" w:eastAsia="仿宋" w:cs="仿宋"/>
          <w:color w:val="auto"/>
          <w:spacing w:val="-1"/>
          <w:sz w:val="24"/>
          <w:szCs w:val="24"/>
          <w:highlight w:val="none"/>
          <w:lang w:eastAsia="zh-CN"/>
        </w:rPr>
        <w:t>有补充合同的采购金额不得超过原合同采购金额的百分之十。</w:t>
      </w:r>
    </w:p>
    <w:p w14:paraId="51B8AB1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34.7 采购人应于签订合同之日起2个工作日内在政采云平台备案</w:t>
      </w:r>
      <w:r>
        <w:rPr>
          <w:rFonts w:hint="eastAsia" w:ascii="仿宋" w:hAnsi="仿宋" w:eastAsia="仿宋" w:cs="仿宋"/>
          <w:color w:val="auto"/>
          <w:spacing w:val="-2"/>
          <w:sz w:val="24"/>
          <w:szCs w:val="24"/>
          <w:highlight w:val="none"/>
          <w:lang w:eastAsia="zh-CN"/>
        </w:rPr>
        <w:t>公示。</w:t>
      </w:r>
    </w:p>
    <w:p w14:paraId="6D723F5D">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83" w:name="bookmark110"/>
      <w:bookmarkEnd w:id="183"/>
      <w:bookmarkStart w:id="184" w:name="bookmark109"/>
      <w:bookmarkEnd w:id="184"/>
      <w:bookmarkStart w:id="185" w:name="_Toc186477728"/>
      <w:bookmarkStart w:id="186" w:name="_Toc14163"/>
      <w:r>
        <w:rPr>
          <w:rFonts w:hint="eastAsia" w:ascii="仿宋" w:hAnsi="仿宋" w:eastAsia="仿宋" w:cs="仿宋"/>
          <w:b/>
          <w:bCs/>
          <w:color w:val="auto"/>
          <w:spacing w:val="-6"/>
          <w:sz w:val="24"/>
          <w:szCs w:val="24"/>
          <w:highlight w:val="none"/>
          <w:lang w:eastAsia="zh-CN"/>
        </w:rPr>
        <w:t>（十）质疑和投诉</w:t>
      </w:r>
      <w:bookmarkEnd w:id="185"/>
      <w:bookmarkEnd w:id="186"/>
    </w:p>
    <w:p w14:paraId="1385EB6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87" w:name="bookmark111"/>
      <w:bookmarkEnd w:id="187"/>
      <w:bookmarkStart w:id="188" w:name="bookmark112"/>
      <w:bookmarkEnd w:id="188"/>
      <w:bookmarkStart w:id="189" w:name="_Toc186477729"/>
      <w:bookmarkStart w:id="190" w:name="_Toc16133"/>
      <w:r>
        <w:rPr>
          <w:rFonts w:hint="eastAsia" w:ascii="仿宋" w:hAnsi="仿宋" w:eastAsia="仿宋" w:cs="仿宋"/>
          <w:b/>
          <w:bCs/>
          <w:color w:val="auto"/>
          <w:spacing w:val="-6"/>
          <w:sz w:val="24"/>
          <w:szCs w:val="24"/>
          <w:highlight w:val="none"/>
          <w:lang w:eastAsia="zh-CN"/>
        </w:rPr>
        <w:t>35.质疑</w:t>
      </w:r>
      <w:bookmarkEnd w:id="189"/>
      <w:bookmarkEnd w:id="190"/>
    </w:p>
    <w:p w14:paraId="250C5A3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35.1供应商认为采购文件、采购过程、中标结果使自己的权益受到损害的，</w:t>
      </w:r>
      <w:r>
        <w:rPr>
          <w:rFonts w:hint="eastAsia" w:ascii="仿宋" w:hAnsi="仿宋" w:eastAsia="仿宋" w:cs="仿宋"/>
          <w:color w:val="auto"/>
          <w:spacing w:val="-5"/>
          <w:sz w:val="24"/>
          <w:szCs w:val="24"/>
          <w:highlight w:val="none"/>
          <w:lang w:eastAsia="zh-CN"/>
        </w:rPr>
        <w:t>可以在知道或者应知其权益受到损害之日起7个工作日内，以书面形式向采购人、</w:t>
      </w:r>
      <w:r>
        <w:rPr>
          <w:rFonts w:hint="eastAsia" w:ascii="仿宋" w:hAnsi="仿宋" w:eastAsia="仿宋" w:cs="仿宋"/>
          <w:color w:val="auto"/>
          <w:spacing w:val="-4"/>
          <w:sz w:val="24"/>
          <w:szCs w:val="24"/>
          <w:highlight w:val="none"/>
          <w:lang w:eastAsia="zh-CN"/>
        </w:rPr>
        <w:t>采购代理机构提出质疑，详见“投标人须知前附表”。供应商在法定质疑期内一</w:t>
      </w:r>
      <w:r>
        <w:rPr>
          <w:rFonts w:hint="eastAsia" w:ascii="仿宋" w:hAnsi="仿宋" w:eastAsia="仿宋" w:cs="仿宋"/>
          <w:color w:val="auto"/>
          <w:spacing w:val="-1"/>
          <w:sz w:val="24"/>
          <w:szCs w:val="24"/>
          <w:highlight w:val="none"/>
          <w:lang w:eastAsia="zh-CN"/>
        </w:rPr>
        <w:t>次性提出针对同一采购程序环节的质疑。</w:t>
      </w:r>
    </w:p>
    <w:p w14:paraId="57FB9D9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35.2提出质疑的供应商（以下简称质疑供应商）应当是参与所质疑项目采购活动的供应商。</w:t>
      </w:r>
    </w:p>
    <w:p w14:paraId="2C38F74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35.3潜在供应商已依法获取其可质疑的采购文件的，可以对该文件提出质</w:t>
      </w:r>
      <w:r>
        <w:rPr>
          <w:rFonts w:hint="eastAsia" w:ascii="仿宋" w:hAnsi="仿宋" w:eastAsia="仿宋" w:cs="仿宋"/>
          <w:color w:val="auto"/>
          <w:spacing w:val="-3"/>
          <w:sz w:val="24"/>
          <w:szCs w:val="24"/>
          <w:highlight w:val="none"/>
          <w:lang w:eastAsia="zh-CN"/>
        </w:rPr>
        <w:t>疑。对采购文件提出质疑的，应当在获取采购文件或者采购文件公告期限届</w:t>
      </w:r>
      <w:r>
        <w:rPr>
          <w:rFonts w:hint="eastAsia" w:ascii="仿宋" w:hAnsi="仿宋" w:eastAsia="仿宋" w:cs="仿宋"/>
          <w:color w:val="auto"/>
          <w:spacing w:val="-4"/>
          <w:sz w:val="24"/>
          <w:szCs w:val="24"/>
          <w:highlight w:val="none"/>
          <w:lang w:eastAsia="zh-CN"/>
        </w:rPr>
        <w:t>满之日起7个工作日内提出。</w:t>
      </w:r>
    </w:p>
    <w:p w14:paraId="2EC8920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35.4供应商提出质疑应当提交质疑函和必要的证明材料。质疑函应当包括</w:t>
      </w:r>
      <w:r>
        <w:rPr>
          <w:rFonts w:hint="eastAsia" w:ascii="仿宋" w:hAnsi="仿宋" w:eastAsia="仿宋" w:cs="仿宋"/>
          <w:color w:val="auto"/>
          <w:spacing w:val="-4"/>
          <w:sz w:val="24"/>
          <w:szCs w:val="24"/>
          <w:highlight w:val="none"/>
          <w:lang w:eastAsia="zh-CN"/>
        </w:rPr>
        <w:t>下列内容：</w:t>
      </w:r>
    </w:p>
    <w:p w14:paraId="4A160A1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（1）供应商的姓名或者名称、地址、邮编、联系人及联系电话；</w:t>
      </w:r>
    </w:p>
    <w:p w14:paraId="4B91BE2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（2）质疑项目的名称、编号；</w:t>
      </w:r>
    </w:p>
    <w:p w14:paraId="4FA0E92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（3）具体、明确的质疑事项和与质疑事项相关的请求；</w:t>
      </w:r>
    </w:p>
    <w:p w14:paraId="25B2D28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（4）事实依据；</w:t>
      </w:r>
    </w:p>
    <w:p w14:paraId="1E6CD71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（5）必要的法律依据；</w:t>
      </w:r>
    </w:p>
    <w:p w14:paraId="6712023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（6）提出质疑的日期。</w:t>
      </w:r>
    </w:p>
    <w:p w14:paraId="3A87245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供应商为自然人的，应当由本人签字；供应商为法人或者其他组</w:t>
      </w:r>
      <w:r>
        <w:rPr>
          <w:rFonts w:hint="eastAsia" w:ascii="仿宋" w:hAnsi="仿宋" w:eastAsia="仿宋" w:cs="仿宋"/>
          <w:color w:val="auto"/>
          <w:spacing w:val="-4"/>
          <w:sz w:val="24"/>
          <w:szCs w:val="24"/>
          <w:highlight w:val="none"/>
          <w:lang w:eastAsia="zh-CN"/>
        </w:rPr>
        <w:t>织的，应当</w:t>
      </w:r>
      <w:r>
        <w:rPr>
          <w:rFonts w:hint="eastAsia" w:ascii="仿宋" w:hAnsi="仿宋" w:eastAsia="仿宋" w:cs="仿宋"/>
          <w:color w:val="auto"/>
          <w:spacing w:val="-1"/>
          <w:sz w:val="24"/>
          <w:szCs w:val="24"/>
          <w:highlight w:val="none"/>
          <w:lang w:eastAsia="zh-CN"/>
        </w:rPr>
        <w:t>由法定代表人、主要负责人，或者其授权代表签字或者盖章</w:t>
      </w:r>
      <w:r>
        <w:rPr>
          <w:rFonts w:hint="eastAsia" w:ascii="仿宋" w:hAnsi="仿宋" w:eastAsia="仿宋" w:cs="仿宋"/>
          <w:color w:val="auto"/>
          <w:spacing w:val="-2"/>
          <w:sz w:val="24"/>
          <w:szCs w:val="24"/>
          <w:highlight w:val="none"/>
          <w:lang w:eastAsia="zh-CN"/>
        </w:rPr>
        <w:t>，并加盖公章。</w:t>
      </w:r>
    </w:p>
    <w:p w14:paraId="77CC0BE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35.5质疑函不符合上述要求的，采购人或代理机构应书面告知具体事项，</w:t>
      </w:r>
      <w:r>
        <w:rPr>
          <w:rFonts w:hint="eastAsia" w:ascii="仿宋" w:hAnsi="仿宋" w:eastAsia="仿宋" w:cs="仿宋"/>
          <w:color w:val="auto"/>
          <w:spacing w:val="-1"/>
          <w:sz w:val="24"/>
          <w:szCs w:val="24"/>
          <w:highlight w:val="none"/>
          <w:lang w:eastAsia="zh-CN"/>
        </w:rPr>
        <w:t>质疑人应当按要求进行修改或补充，并在质疑有效期限内提交。</w:t>
      </w:r>
    </w:p>
    <w:p w14:paraId="65A91ED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35.6投标人进行虚假和恶意质疑投诉的，采购代理机构将提请有关部门将</w:t>
      </w:r>
      <w:r>
        <w:rPr>
          <w:rFonts w:hint="eastAsia" w:ascii="仿宋" w:hAnsi="仿宋" w:eastAsia="仿宋" w:cs="仿宋"/>
          <w:color w:val="auto"/>
          <w:spacing w:val="-3"/>
          <w:sz w:val="24"/>
          <w:szCs w:val="24"/>
          <w:highlight w:val="none"/>
          <w:lang w:eastAsia="zh-CN"/>
        </w:rPr>
        <w:t>其列入不良记录名单，在一至三年内禁止参加政府采购活动，并将处理决定在相</w:t>
      </w:r>
      <w:r>
        <w:rPr>
          <w:rFonts w:hint="eastAsia" w:ascii="仿宋" w:hAnsi="仿宋" w:eastAsia="仿宋" w:cs="仿宋"/>
          <w:color w:val="auto"/>
          <w:spacing w:val="-1"/>
          <w:sz w:val="24"/>
          <w:szCs w:val="24"/>
          <w:highlight w:val="none"/>
          <w:lang w:eastAsia="zh-CN"/>
        </w:rPr>
        <w:t>关政府采购媒体上公布。</w:t>
      </w:r>
    </w:p>
    <w:p w14:paraId="67FA80D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35.7质疑函应当使用中文，并采用财政部门制定的范本。</w:t>
      </w:r>
    </w:p>
    <w:p w14:paraId="35274C7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91" w:name="bookmark114"/>
      <w:bookmarkEnd w:id="191"/>
      <w:bookmarkStart w:id="192" w:name="bookmark113"/>
      <w:bookmarkEnd w:id="192"/>
      <w:bookmarkStart w:id="193" w:name="_Toc186477730"/>
      <w:bookmarkStart w:id="194" w:name="_Toc16242"/>
      <w:r>
        <w:rPr>
          <w:rFonts w:hint="eastAsia" w:ascii="仿宋" w:hAnsi="仿宋" w:eastAsia="仿宋" w:cs="仿宋"/>
          <w:b/>
          <w:bCs/>
          <w:color w:val="auto"/>
          <w:spacing w:val="-5"/>
          <w:sz w:val="24"/>
          <w:szCs w:val="24"/>
          <w:highlight w:val="none"/>
          <w:lang w:eastAsia="zh-CN"/>
        </w:rPr>
        <w:t>36.质疑答复</w:t>
      </w:r>
      <w:bookmarkEnd w:id="193"/>
      <w:bookmarkEnd w:id="194"/>
    </w:p>
    <w:p w14:paraId="5EB71A6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36.1采购人、采购代理机构不得拒收质疑供应商在法定质疑期内发出的质</w:t>
      </w:r>
      <w:r>
        <w:rPr>
          <w:rFonts w:hint="eastAsia" w:ascii="仿宋" w:hAnsi="仿宋" w:eastAsia="仿宋" w:cs="仿宋"/>
          <w:color w:val="auto"/>
          <w:spacing w:val="-4"/>
          <w:sz w:val="24"/>
          <w:szCs w:val="24"/>
          <w:highlight w:val="none"/>
          <w:lang w:eastAsia="zh-CN"/>
        </w:rPr>
        <w:t>疑函，应当在收到质疑函后7个工作日内作出答复，并以书面形式通知质疑供应</w:t>
      </w:r>
      <w:r>
        <w:rPr>
          <w:rFonts w:hint="eastAsia" w:ascii="仿宋" w:hAnsi="仿宋" w:eastAsia="仿宋" w:cs="仿宋"/>
          <w:color w:val="auto"/>
          <w:spacing w:val="-2"/>
          <w:sz w:val="24"/>
          <w:szCs w:val="24"/>
          <w:highlight w:val="none"/>
          <w:lang w:eastAsia="zh-CN"/>
        </w:rPr>
        <w:t>商和其他有关供应商。</w:t>
      </w:r>
    </w:p>
    <w:p w14:paraId="162315B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36.2供应商对评审过程、中标结果提出质疑的，采购人、采购代理机构可</w:t>
      </w:r>
      <w:bookmarkStart w:id="195" w:name="bookmark116"/>
      <w:bookmarkEnd w:id="195"/>
      <w:r>
        <w:rPr>
          <w:rFonts w:hint="eastAsia" w:ascii="仿宋" w:hAnsi="仿宋" w:eastAsia="仿宋" w:cs="仿宋"/>
          <w:color w:val="auto"/>
          <w:spacing w:val="-3"/>
          <w:sz w:val="24"/>
          <w:szCs w:val="24"/>
          <w:highlight w:val="none"/>
          <w:lang w:eastAsia="zh-CN"/>
        </w:rPr>
        <w:t>以组织原评标委员会协助答复质疑。</w:t>
      </w:r>
    </w:p>
    <w:p w14:paraId="545E87F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质疑答复应当包括下列内容：</w:t>
      </w:r>
    </w:p>
    <w:p w14:paraId="50F79AB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（1）质疑供应商的姓名或者名称；</w:t>
      </w:r>
    </w:p>
    <w:p w14:paraId="3C59FAE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（2）收到质疑函的日期、质疑项目名称及编号；</w:t>
      </w:r>
    </w:p>
    <w:p w14:paraId="6818DA8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（3）质疑事项、质疑答复的具体内容、事实依据和法律依据；</w:t>
      </w:r>
    </w:p>
    <w:p w14:paraId="7855043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（4）告知质疑供应商依法投诉的权利；</w:t>
      </w:r>
    </w:p>
    <w:p w14:paraId="3CA9215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（5）质疑答复人名称；</w:t>
      </w:r>
    </w:p>
    <w:p w14:paraId="6DCAE1D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（6）答复质疑的日期。</w:t>
      </w:r>
    </w:p>
    <w:p w14:paraId="3158FC1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质疑答复的内容不得涉及商业秘密。</w:t>
      </w:r>
    </w:p>
    <w:p w14:paraId="03B7730F">
      <w:pPr>
        <w:spacing w:line="360" w:lineRule="auto"/>
        <w:ind w:left="31" w:right="-27" w:rightChars="-13"/>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37.投诉</w:t>
      </w:r>
    </w:p>
    <w:p w14:paraId="21B084F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37.1质疑供应商对采购人、采购代理机构的答复不满意，或者采购人、采购代理机构未在规定时间内作出答复的，可以在答复期满</w:t>
      </w:r>
      <w:r>
        <w:rPr>
          <w:rFonts w:hint="eastAsia" w:ascii="仿宋" w:hAnsi="仿宋" w:eastAsia="仿宋" w:cs="仿宋"/>
          <w:color w:val="auto"/>
          <w:spacing w:val="-2"/>
          <w:sz w:val="24"/>
          <w:szCs w:val="24"/>
          <w:highlight w:val="none"/>
          <w:lang w:eastAsia="zh-CN"/>
        </w:rPr>
        <w:t>后15个工作日内向同</w:t>
      </w:r>
      <w:r>
        <w:rPr>
          <w:rFonts w:hint="eastAsia" w:ascii="仿宋" w:hAnsi="仿宋" w:eastAsia="仿宋" w:cs="仿宋"/>
          <w:color w:val="auto"/>
          <w:spacing w:val="-1"/>
          <w:sz w:val="24"/>
          <w:szCs w:val="24"/>
          <w:highlight w:val="none"/>
          <w:lang w:eastAsia="zh-CN"/>
        </w:rPr>
        <w:t>级政府采购监督管理部门提起投诉。</w:t>
      </w:r>
    </w:p>
    <w:p w14:paraId="60B660C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37.2投诉人投诉时,应当提交投诉书和必要的证明材料，并按照被投诉采购</w:t>
      </w:r>
      <w:r>
        <w:rPr>
          <w:rFonts w:hint="eastAsia" w:ascii="仿宋" w:hAnsi="仿宋" w:eastAsia="仿宋" w:cs="仿宋"/>
          <w:color w:val="auto"/>
          <w:spacing w:val="-3"/>
          <w:sz w:val="24"/>
          <w:szCs w:val="24"/>
          <w:highlight w:val="none"/>
          <w:lang w:eastAsia="zh-CN"/>
        </w:rPr>
        <w:t>人、采购代理机构（以下简称被投诉人）和与投诉事项有关的供应商数量提供投</w:t>
      </w:r>
      <w:r>
        <w:rPr>
          <w:rFonts w:hint="eastAsia" w:ascii="仿宋" w:hAnsi="仿宋" w:eastAsia="仿宋" w:cs="仿宋"/>
          <w:color w:val="auto"/>
          <w:spacing w:val="-1"/>
          <w:sz w:val="24"/>
          <w:szCs w:val="24"/>
          <w:highlight w:val="none"/>
          <w:lang w:eastAsia="zh-CN"/>
        </w:rPr>
        <w:t>诉书的副本。投诉书应当包括下列内容：</w:t>
      </w:r>
    </w:p>
    <w:p w14:paraId="43E4053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（1）投诉人和被投诉人的姓名或者名称、通讯地址、邮编、联系人及联系</w:t>
      </w:r>
      <w:r>
        <w:rPr>
          <w:rFonts w:hint="eastAsia" w:ascii="仿宋" w:hAnsi="仿宋" w:eastAsia="仿宋" w:cs="仿宋"/>
          <w:color w:val="auto"/>
          <w:spacing w:val="-13"/>
          <w:sz w:val="24"/>
          <w:szCs w:val="24"/>
          <w:highlight w:val="none"/>
          <w:lang w:eastAsia="zh-CN"/>
        </w:rPr>
        <w:t>电话；</w:t>
      </w:r>
    </w:p>
    <w:p w14:paraId="1572C88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（2）质疑和质疑答复情况说明及相关证明材料；</w:t>
      </w:r>
    </w:p>
    <w:p w14:paraId="4A39008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（3）具体、明确的投诉事项和与投诉事项相关的投诉请求；</w:t>
      </w:r>
    </w:p>
    <w:p w14:paraId="354B60A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（4）事实依据；</w:t>
      </w:r>
    </w:p>
    <w:p w14:paraId="449BFCA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（5）法律依据；</w:t>
      </w:r>
    </w:p>
    <w:p w14:paraId="14DF422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（6）提起投诉的日期。</w:t>
      </w:r>
    </w:p>
    <w:p w14:paraId="045C49B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投诉人为自然人的，应当由本人签字；投诉人为法人或者</w:t>
      </w:r>
      <w:r>
        <w:rPr>
          <w:rFonts w:hint="eastAsia" w:ascii="仿宋" w:hAnsi="仿宋" w:eastAsia="仿宋" w:cs="仿宋"/>
          <w:color w:val="auto"/>
          <w:spacing w:val="-4"/>
          <w:sz w:val="24"/>
          <w:szCs w:val="24"/>
          <w:highlight w:val="none"/>
          <w:lang w:eastAsia="zh-CN"/>
        </w:rPr>
        <w:t>其他组织的，应当</w:t>
      </w:r>
      <w:r>
        <w:rPr>
          <w:rFonts w:hint="eastAsia" w:ascii="仿宋" w:hAnsi="仿宋" w:eastAsia="仿宋" w:cs="仿宋"/>
          <w:color w:val="auto"/>
          <w:spacing w:val="-1"/>
          <w:sz w:val="24"/>
          <w:szCs w:val="24"/>
          <w:highlight w:val="none"/>
          <w:lang w:eastAsia="zh-CN"/>
        </w:rPr>
        <w:t>由法定代表人、主要负责人，或者其授权代表签字或者盖章</w:t>
      </w:r>
      <w:r>
        <w:rPr>
          <w:rFonts w:hint="eastAsia" w:ascii="仿宋" w:hAnsi="仿宋" w:eastAsia="仿宋" w:cs="仿宋"/>
          <w:color w:val="auto"/>
          <w:spacing w:val="-2"/>
          <w:sz w:val="24"/>
          <w:szCs w:val="24"/>
          <w:highlight w:val="none"/>
          <w:lang w:eastAsia="zh-CN"/>
        </w:rPr>
        <w:t>，并加盖公章。</w:t>
      </w:r>
    </w:p>
    <w:p w14:paraId="40DC3B94">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37.3供应商质疑、投诉应当有明确的请求和必要的证明材料。供应商投诉</w:t>
      </w:r>
      <w:r>
        <w:rPr>
          <w:rFonts w:hint="eastAsia" w:ascii="仿宋" w:hAnsi="仿宋" w:eastAsia="仿宋" w:cs="仿宋"/>
          <w:color w:val="auto"/>
          <w:spacing w:val="-2"/>
          <w:sz w:val="24"/>
          <w:szCs w:val="24"/>
          <w:highlight w:val="none"/>
          <w:lang w:eastAsia="zh-CN"/>
        </w:rPr>
        <w:t>的事项不得超出已质疑事项的范围，但基于质疑答复内容提出的投诉事项除外。</w:t>
      </w:r>
    </w:p>
    <w:p w14:paraId="0386F67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37.4投诉书应当使用中文，并采用财政部门制定的范本。</w:t>
      </w:r>
    </w:p>
    <w:p w14:paraId="10C711A1">
      <w:pPr>
        <w:spacing w:line="360" w:lineRule="auto"/>
        <w:ind w:left="31" w:right="-27" w:rightChars="-13"/>
        <w:outlineLvl w:val="2"/>
        <w:rPr>
          <w:rFonts w:hint="eastAsia" w:ascii="仿宋" w:hAnsi="仿宋" w:eastAsia="仿宋" w:cs="仿宋"/>
          <w:color w:val="auto"/>
          <w:sz w:val="24"/>
          <w:szCs w:val="24"/>
          <w:highlight w:val="none"/>
          <w:lang w:eastAsia="zh-CN"/>
        </w:rPr>
      </w:pPr>
      <w:bookmarkStart w:id="196" w:name="bookmark117"/>
      <w:bookmarkEnd w:id="196"/>
      <w:bookmarkStart w:id="197" w:name="bookmark118"/>
      <w:bookmarkEnd w:id="197"/>
      <w:bookmarkStart w:id="198" w:name="_Toc28688"/>
      <w:bookmarkStart w:id="199" w:name="_Toc186477731"/>
      <w:r>
        <w:rPr>
          <w:rFonts w:hint="eastAsia" w:ascii="仿宋" w:hAnsi="仿宋" w:eastAsia="仿宋" w:cs="仿宋"/>
          <w:b/>
          <w:bCs/>
          <w:color w:val="auto"/>
          <w:spacing w:val="-5"/>
          <w:sz w:val="24"/>
          <w:szCs w:val="24"/>
          <w:highlight w:val="none"/>
          <w:lang w:eastAsia="zh-CN"/>
        </w:rPr>
        <w:t>（十一）采购代理服务费</w:t>
      </w:r>
      <w:bookmarkEnd w:id="198"/>
      <w:bookmarkEnd w:id="199"/>
    </w:p>
    <w:p w14:paraId="6D412AD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00" w:name="bookmark119"/>
      <w:bookmarkEnd w:id="200"/>
      <w:bookmarkStart w:id="201" w:name="bookmark120"/>
      <w:bookmarkEnd w:id="201"/>
      <w:bookmarkStart w:id="202" w:name="_Toc186477732"/>
      <w:bookmarkStart w:id="203" w:name="_Toc7990"/>
      <w:r>
        <w:rPr>
          <w:rFonts w:hint="eastAsia" w:ascii="仿宋" w:hAnsi="仿宋" w:eastAsia="仿宋" w:cs="仿宋"/>
          <w:b/>
          <w:bCs/>
          <w:color w:val="auto"/>
          <w:spacing w:val="-4"/>
          <w:sz w:val="24"/>
          <w:szCs w:val="24"/>
          <w:highlight w:val="none"/>
          <w:lang w:eastAsia="zh-CN"/>
        </w:rPr>
        <w:t>38.收取方式和标准</w:t>
      </w:r>
      <w:bookmarkEnd w:id="202"/>
      <w:bookmarkEnd w:id="203"/>
    </w:p>
    <w:p w14:paraId="06FA8A2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38.1采购代理机构按“投标人须知前附表”规定的方式和标准收取采购代</w:t>
      </w:r>
      <w:r>
        <w:rPr>
          <w:rFonts w:hint="eastAsia" w:ascii="仿宋" w:hAnsi="仿宋" w:eastAsia="仿宋" w:cs="仿宋"/>
          <w:color w:val="auto"/>
          <w:spacing w:val="-3"/>
          <w:sz w:val="24"/>
          <w:szCs w:val="24"/>
          <w:highlight w:val="none"/>
          <w:lang w:eastAsia="zh-CN"/>
        </w:rPr>
        <w:t>理服务费。</w:t>
      </w:r>
    </w:p>
    <w:p w14:paraId="783B732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04" w:name="bookmark121"/>
      <w:bookmarkEnd w:id="204"/>
      <w:bookmarkStart w:id="205" w:name="bookmark122"/>
      <w:bookmarkEnd w:id="205"/>
      <w:bookmarkStart w:id="206" w:name="_Toc2744"/>
      <w:bookmarkStart w:id="207" w:name="_Toc186477733"/>
      <w:r>
        <w:rPr>
          <w:rFonts w:hint="eastAsia" w:ascii="仿宋" w:hAnsi="仿宋" w:eastAsia="仿宋" w:cs="仿宋"/>
          <w:b/>
          <w:bCs/>
          <w:color w:val="auto"/>
          <w:spacing w:val="-5"/>
          <w:sz w:val="24"/>
          <w:szCs w:val="24"/>
          <w:highlight w:val="none"/>
          <w:lang w:eastAsia="zh-CN"/>
        </w:rPr>
        <w:t>（十二）无效投标和废标</w:t>
      </w:r>
      <w:bookmarkEnd w:id="206"/>
      <w:bookmarkEnd w:id="207"/>
    </w:p>
    <w:p w14:paraId="0BD3FE01">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08" w:name="bookmark124"/>
      <w:bookmarkEnd w:id="208"/>
      <w:bookmarkStart w:id="209" w:name="bookmark123"/>
      <w:bookmarkEnd w:id="209"/>
      <w:bookmarkStart w:id="210" w:name="_Toc27009"/>
      <w:bookmarkStart w:id="211" w:name="_Toc186477734"/>
      <w:r>
        <w:rPr>
          <w:rFonts w:hint="eastAsia" w:ascii="仿宋" w:hAnsi="仿宋" w:eastAsia="仿宋" w:cs="仿宋"/>
          <w:b/>
          <w:bCs/>
          <w:color w:val="auto"/>
          <w:spacing w:val="-5"/>
          <w:sz w:val="24"/>
          <w:szCs w:val="24"/>
          <w:highlight w:val="none"/>
          <w:lang w:eastAsia="zh-CN"/>
        </w:rPr>
        <w:t>39.无效投标</w:t>
      </w:r>
      <w:bookmarkEnd w:id="210"/>
      <w:bookmarkEnd w:id="211"/>
    </w:p>
    <w:p w14:paraId="246CD0C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39.1投标文件存在“第四章 资格审查”、“第五章 评标方法及标准”及</w:t>
      </w:r>
      <w:r>
        <w:rPr>
          <w:rFonts w:hint="eastAsia" w:ascii="仿宋" w:hAnsi="仿宋" w:eastAsia="仿宋" w:cs="仿宋"/>
          <w:color w:val="auto"/>
          <w:spacing w:val="-1"/>
          <w:sz w:val="24"/>
          <w:szCs w:val="24"/>
          <w:highlight w:val="none"/>
          <w:lang w:eastAsia="zh-CN"/>
        </w:rPr>
        <w:t>本招标文件规定的投标无效情形的，其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6C94C28C">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12" w:name="bookmark126"/>
      <w:bookmarkEnd w:id="212"/>
      <w:bookmarkStart w:id="213" w:name="bookmark125"/>
      <w:bookmarkEnd w:id="213"/>
      <w:bookmarkStart w:id="214" w:name="_Toc186477735"/>
      <w:bookmarkStart w:id="215" w:name="_Toc1191"/>
      <w:r>
        <w:rPr>
          <w:rFonts w:hint="eastAsia" w:ascii="仿宋" w:hAnsi="仿宋" w:eastAsia="仿宋" w:cs="仿宋"/>
          <w:b/>
          <w:bCs/>
          <w:color w:val="auto"/>
          <w:spacing w:val="-5"/>
          <w:sz w:val="24"/>
          <w:szCs w:val="24"/>
          <w:highlight w:val="none"/>
          <w:lang w:eastAsia="zh-CN"/>
        </w:rPr>
        <w:t>40.废标</w:t>
      </w:r>
      <w:bookmarkEnd w:id="214"/>
      <w:bookmarkEnd w:id="215"/>
    </w:p>
    <w:p w14:paraId="19F1702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40.1在招标采购中出现有“第五章 评标方</w:t>
      </w:r>
      <w:r>
        <w:rPr>
          <w:rFonts w:hint="eastAsia" w:ascii="仿宋" w:hAnsi="仿宋" w:eastAsia="仿宋" w:cs="仿宋"/>
          <w:color w:val="auto"/>
          <w:spacing w:val="-3"/>
          <w:sz w:val="24"/>
          <w:szCs w:val="24"/>
          <w:highlight w:val="none"/>
          <w:lang w:eastAsia="zh-CN"/>
        </w:rPr>
        <w:t>法及标准”及本招标文件规定的</w:t>
      </w:r>
      <w:r>
        <w:rPr>
          <w:rFonts w:hint="eastAsia" w:ascii="仿宋" w:hAnsi="仿宋" w:eastAsia="仿宋" w:cs="仿宋"/>
          <w:color w:val="auto"/>
          <w:spacing w:val="-2"/>
          <w:sz w:val="24"/>
          <w:szCs w:val="24"/>
          <w:highlight w:val="none"/>
          <w:lang w:eastAsia="zh-CN"/>
        </w:rPr>
        <w:t>废标情形的，应予以</w:t>
      </w:r>
      <w:r>
        <w:rPr>
          <w:rFonts w:hint="eastAsia" w:ascii="仿宋" w:hAnsi="仿宋" w:eastAsia="仿宋" w:cs="仿宋"/>
          <w:b/>
          <w:bCs/>
          <w:color w:val="auto"/>
          <w:spacing w:val="-2"/>
          <w:sz w:val="24"/>
          <w:szCs w:val="24"/>
          <w:highlight w:val="none"/>
          <w:lang w:eastAsia="zh-CN"/>
        </w:rPr>
        <w:t>废标</w:t>
      </w:r>
      <w:r>
        <w:rPr>
          <w:rFonts w:hint="eastAsia" w:ascii="仿宋" w:hAnsi="仿宋" w:eastAsia="仿宋" w:cs="仿宋"/>
          <w:color w:val="auto"/>
          <w:spacing w:val="-2"/>
          <w:sz w:val="24"/>
          <w:szCs w:val="24"/>
          <w:highlight w:val="none"/>
          <w:lang w:eastAsia="zh-CN"/>
        </w:rPr>
        <w:t>。</w:t>
      </w:r>
    </w:p>
    <w:p w14:paraId="0EFFD8A5">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16" w:name="bookmark128"/>
      <w:bookmarkEnd w:id="216"/>
      <w:bookmarkStart w:id="217" w:name="bookmark127"/>
      <w:bookmarkEnd w:id="217"/>
      <w:bookmarkStart w:id="218" w:name="_Toc186477736"/>
      <w:bookmarkStart w:id="219" w:name="_Toc31334"/>
      <w:r>
        <w:rPr>
          <w:rFonts w:hint="eastAsia" w:ascii="仿宋" w:hAnsi="仿宋" w:eastAsia="仿宋" w:cs="仿宋"/>
          <w:b/>
          <w:bCs/>
          <w:color w:val="auto"/>
          <w:spacing w:val="-4"/>
          <w:sz w:val="24"/>
          <w:szCs w:val="24"/>
          <w:highlight w:val="none"/>
          <w:lang w:eastAsia="zh-CN"/>
        </w:rPr>
        <w:t>（十三）落实政府采购政策（包括但不限于下列具体政策要求）</w:t>
      </w:r>
      <w:bookmarkEnd w:id="218"/>
      <w:bookmarkEnd w:id="219"/>
    </w:p>
    <w:p w14:paraId="15E6DBC6">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20" w:name="bookmark130"/>
      <w:bookmarkEnd w:id="220"/>
      <w:bookmarkStart w:id="221" w:name="bookmark129"/>
      <w:bookmarkEnd w:id="221"/>
      <w:bookmarkStart w:id="222" w:name="_Toc186477737"/>
      <w:bookmarkStart w:id="223" w:name="_Toc14980"/>
      <w:r>
        <w:rPr>
          <w:rFonts w:hint="eastAsia" w:ascii="仿宋" w:hAnsi="仿宋" w:eastAsia="仿宋" w:cs="仿宋"/>
          <w:b/>
          <w:bCs/>
          <w:color w:val="auto"/>
          <w:spacing w:val="-3"/>
          <w:sz w:val="24"/>
          <w:szCs w:val="24"/>
          <w:highlight w:val="none"/>
          <w:lang w:eastAsia="zh-CN"/>
        </w:rPr>
        <w:t>41.支持国产和进口产品审批</w:t>
      </w:r>
      <w:bookmarkEnd w:id="222"/>
      <w:bookmarkEnd w:id="223"/>
    </w:p>
    <w:p w14:paraId="0A7EC51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41.1除“投标人须知前附表”另有规定外，政府采购应当采购本国货物、</w:t>
      </w:r>
      <w:r>
        <w:rPr>
          <w:rFonts w:hint="eastAsia" w:ascii="仿宋" w:hAnsi="仿宋" w:eastAsia="仿宋" w:cs="仿宋"/>
          <w:color w:val="auto"/>
          <w:spacing w:val="-3"/>
          <w:sz w:val="24"/>
          <w:szCs w:val="24"/>
          <w:highlight w:val="none"/>
          <w:lang w:eastAsia="zh-CN"/>
        </w:rPr>
        <w:t>工程和服务，确需采购进口产品的，采购人应当按照《政府采购进口产品管</w:t>
      </w:r>
      <w:r>
        <w:rPr>
          <w:rFonts w:hint="eastAsia" w:ascii="仿宋" w:hAnsi="仿宋" w:eastAsia="仿宋" w:cs="仿宋"/>
          <w:color w:val="auto"/>
          <w:spacing w:val="-4"/>
          <w:sz w:val="24"/>
          <w:szCs w:val="24"/>
          <w:highlight w:val="none"/>
          <w:lang w:eastAsia="zh-CN"/>
        </w:rPr>
        <w:t>理办</w:t>
      </w:r>
      <w:r>
        <w:rPr>
          <w:rFonts w:hint="eastAsia" w:ascii="仿宋" w:hAnsi="仿宋" w:eastAsia="仿宋" w:cs="仿宋"/>
          <w:color w:val="auto"/>
          <w:spacing w:val="-6"/>
          <w:sz w:val="24"/>
          <w:szCs w:val="24"/>
          <w:highlight w:val="none"/>
          <w:lang w:eastAsia="zh-CN"/>
        </w:rPr>
        <w:t>法》（财库〔2007〕119 号文）、《关于政府采购进口产品管理有关问题的通知》</w:t>
      </w:r>
      <w:r>
        <w:rPr>
          <w:rFonts w:hint="eastAsia" w:ascii="仿宋" w:hAnsi="仿宋" w:eastAsia="仿宋" w:cs="仿宋"/>
          <w:color w:val="auto"/>
          <w:spacing w:val="-2"/>
          <w:sz w:val="24"/>
          <w:szCs w:val="24"/>
          <w:highlight w:val="none"/>
          <w:lang w:eastAsia="zh-CN"/>
        </w:rPr>
        <w:t>（财办库〔2008〕248号）规定执行（进口产品审批制，科研院所监管部门另有</w:t>
      </w:r>
      <w:r>
        <w:rPr>
          <w:rFonts w:hint="eastAsia" w:ascii="仿宋" w:hAnsi="仿宋" w:eastAsia="仿宋" w:cs="仿宋"/>
          <w:color w:val="auto"/>
          <w:sz w:val="24"/>
          <w:szCs w:val="24"/>
          <w:highlight w:val="none"/>
          <w:lang w:eastAsia="zh-CN"/>
        </w:rPr>
        <w:t>规定的从其规定）。项目若涉及采购进口产品的，具</w:t>
      </w:r>
      <w:r>
        <w:rPr>
          <w:rFonts w:hint="eastAsia" w:ascii="仿宋" w:hAnsi="仿宋" w:eastAsia="仿宋" w:cs="仿宋"/>
          <w:color w:val="auto"/>
          <w:spacing w:val="-1"/>
          <w:sz w:val="24"/>
          <w:szCs w:val="24"/>
          <w:highlight w:val="none"/>
          <w:lang w:eastAsia="zh-CN"/>
        </w:rPr>
        <w:t>体要求详见“第三章 采购</w:t>
      </w:r>
      <w:r>
        <w:rPr>
          <w:rFonts w:hint="eastAsia" w:ascii="仿宋" w:hAnsi="仿宋" w:eastAsia="仿宋" w:cs="仿宋"/>
          <w:color w:val="auto"/>
          <w:spacing w:val="-3"/>
          <w:sz w:val="24"/>
          <w:szCs w:val="24"/>
          <w:highlight w:val="none"/>
          <w:lang w:eastAsia="zh-CN"/>
        </w:rPr>
        <w:t>需求”。</w:t>
      </w:r>
    </w:p>
    <w:p w14:paraId="5251E26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41.2进口产品指通过中国海关报关验放进入中国境内且产自关</w:t>
      </w:r>
      <w:r>
        <w:rPr>
          <w:rFonts w:hint="eastAsia" w:ascii="仿宋" w:hAnsi="仿宋" w:eastAsia="仿宋" w:cs="仿宋"/>
          <w:color w:val="auto"/>
          <w:spacing w:val="-3"/>
          <w:sz w:val="24"/>
          <w:szCs w:val="24"/>
          <w:highlight w:val="none"/>
          <w:lang w:eastAsia="zh-CN"/>
        </w:rPr>
        <w:t>境外的产品，</w:t>
      </w:r>
      <w:r>
        <w:rPr>
          <w:rFonts w:hint="eastAsia" w:ascii="仿宋" w:hAnsi="仿宋" w:eastAsia="仿宋" w:cs="仿宋"/>
          <w:color w:val="auto"/>
          <w:spacing w:val="-1"/>
          <w:sz w:val="24"/>
          <w:szCs w:val="24"/>
          <w:highlight w:val="none"/>
          <w:lang w:eastAsia="zh-CN"/>
        </w:rPr>
        <w:t>包括已经进入中国境内的进口产品。</w:t>
      </w:r>
    </w:p>
    <w:p w14:paraId="3FE4AEF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41.3若采购需求中写明允许采购进口产品，投标人应保证所投产品可履行合法报通关手续进入中国关境内。</w:t>
      </w:r>
    </w:p>
    <w:p w14:paraId="394E40B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41.4若采购需求中未写明允许采购进口产品，如投标人所投产品为进口产</w:t>
      </w:r>
      <w:r>
        <w:rPr>
          <w:rFonts w:hint="eastAsia" w:ascii="仿宋" w:hAnsi="仿宋" w:eastAsia="仿宋" w:cs="仿宋"/>
          <w:color w:val="auto"/>
          <w:spacing w:val="-3"/>
          <w:sz w:val="24"/>
          <w:szCs w:val="24"/>
          <w:highlight w:val="none"/>
          <w:lang w:eastAsia="zh-CN"/>
        </w:rPr>
        <w:t>品，其投标将被认定为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27A3183F">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24" w:name="bookmark132"/>
      <w:bookmarkEnd w:id="224"/>
      <w:bookmarkStart w:id="225" w:name="bookmark131"/>
      <w:bookmarkEnd w:id="225"/>
      <w:bookmarkStart w:id="226" w:name="_Toc28996"/>
      <w:bookmarkStart w:id="227" w:name="_Toc186477738"/>
      <w:r>
        <w:rPr>
          <w:rFonts w:hint="eastAsia" w:ascii="仿宋" w:hAnsi="仿宋" w:eastAsia="仿宋" w:cs="仿宋"/>
          <w:b/>
          <w:bCs/>
          <w:color w:val="auto"/>
          <w:spacing w:val="-3"/>
          <w:sz w:val="24"/>
          <w:szCs w:val="24"/>
          <w:highlight w:val="none"/>
          <w:lang w:eastAsia="zh-CN"/>
        </w:rPr>
        <w:t>42.中小企业、监狱企业及残疾人福利性单位</w:t>
      </w:r>
      <w:bookmarkEnd w:id="226"/>
      <w:bookmarkEnd w:id="227"/>
    </w:p>
    <w:p w14:paraId="3C65B7DF">
      <w:pPr>
        <w:spacing w:line="360" w:lineRule="auto"/>
        <w:ind w:left="31" w:right="-27" w:rightChars="-1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42.1中小企业是指在中华人民共和国境内依法设立，依据国务院批准的中</w:t>
      </w:r>
      <w:bookmarkStart w:id="228" w:name="bookmark277"/>
      <w:bookmarkEnd w:id="228"/>
      <w:r>
        <w:rPr>
          <w:rFonts w:hint="eastAsia" w:ascii="仿宋" w:hAnsi="仿宋" w:eastAsia="仿宋" w:cs="仿宋"/>
          <w:color w:val="auto"/>
          <w:spacing w:val="-1"/>
          <w:sz w:val="24"/>
          <w:szCs w:val="24"/>
          <w:highlight w:val="none"/>
          <w:lang w:eastAsia="zh-CN"/>
        </w:rPr>
        <w:t>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 号）、《政府采购促进中小企业发展管理办法》（财库〔2020〕46 号）、《关于印发中小企业划型标准规定的通知》（工信部联企业〔2011〕300 号）、《金融业企业划型标准规定》（〔2015〕309 号）等国务院批准的中小企业划分标准执行。</w:t>
      </w:r>
    </w:p>
    <w:p w14:paraId="6C922E8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42.2为促进中小企业发展，依据《关于印发&lt;政府采购促进中小企业发展管</w:t>
      </w:r>
      <w:r>
        <w:rPr>
          <w:rFonts w:hint="eastAsia" w:ascii="仿宋" w:hAnsi="仿宋" w:eastAsia="仿宋" w:cs="仿宋"/>
          <w:color w:val="auto"/>
          <w:sz w:val="24"/>
          <w:szCs w:val="24"/>
          <w:highlight w:val="none"/>
          <w:lang w:eastAsia="zh-CN"/>
        </w:rPr>
        <w:t>理办法&gt;的通知》（财库〔2020〕46号）、《财</w:t>
      </w:r>
      <w:r>
        <w:rPr>
          <w:rFonts w:hint="eastAsia" w:ascii="仿宋" w:hAnsi="仿宋" w:eastAsia="仿宋" w:cs="仿宋"/>
          <w:color w:val="auto"/>
          <w:spacing w:val="-1"/>
          <w:sz w:val="24"/>
          <w:szCs w:val="24"/>
          <w:highlight w:val="none"/>
          <w:lang w:eastAsia="zh-CN"/>
        </w:rPr>
        <w:t>政部 司法部关于政府采购支持</w:t>
      </w:r>
      <w:r>
        <w:rPr>
          <w:rFonts w:hint="eastAsia" w:ascii="仿宋" w:hAnsi="仿宋" w:eastAsia="仿宋" w:cs="仿宋"/>
          <w:color w:val="auto"/>
          <w:sz w:val="24"/>
          <w:szCs w:val="24"/>
          <w:highlight w:val="none"/>
          <w:lang w:eastAsia="zh-CN"/>
        </w:rPr>
        <w:t>监狱企业发展有关问题的通知》（财库〔2014〕</w:t>
      </w:r>
      <w:r>
        <w:rPr>
          <w:rFonts w:hint="eastAsia" w:ascii="仿宋" w:hAnsi="仿宋" w:eastAsia="仿宋" w:cs="仿宋"/>
          <w:color w:val="auto"/>
          <w:spacing w:val="-1"/>
          <w:sz w:val="24"/>
          <w:szCs w:val="24"/>
          <w:highlight w:val="none"/>
          <w:lang w:eastAsia="zh-CN"/>
        </w:rPr>
        <w:t>68号）、《关于促进残疾人就业政府采购政策的通知》（财库〔2017〕141号）的规定</w:t>
      </w:r>
      <w:r>
        <w:rPr>
          <w:rFonts w:hint="eastAsia" w:ascii="仿宋" w:hAnsi="仿宋" w:eastAsia="仿宋" w:cs="仿宋"/>
          <w:color w:val="auto"/>
          <w:spacing w:val="-2"/>
          <w:sz w:val="24"/>
          <w:szCs w:val="24"/>
          <w:highlight w:val="none"/>
          <w:lang w:eastAsia="zh-CN"/>
        </w:rPr>
        <w:t>，本项目供应商如需享</w:t>
      </w:r>
      <w:r>
        <w:rPr>
          <w:rFonts w:hint="eastAsia" w:ascii="仿宋" w:hAnsi="仿宋" w:eastAsia="仿宋" w:cs="仿宋"/>
          <w:color w:val="auto"/>
          <w:spacing w:val="-3"/>
          <w:sz w:val="24"/>
          <w:szCs w:val="24"/>
          <w:highlight w:val="none"/>
          <w:lang w:eastAsia="zh-CN"/>
        </w:rPr>
        <w:t>受中小企业相关政策的，且符合上述文件规定的，应按本招标文件规定格式提供“中小企业声明函”或“监狱企业证明文件”或“残疾人福利性单位声明函”，</w:t>
      </w:r>
      <w:r>
        <w:rPr>
          <w:rFonts w:hint="eastAsia" w:ascii="仿宋" w:hAnsi="仿宋" w:eastAsia="仿宋" w:cs="仿宋"/>
          <w:color w:val="auto"/>
          <w:spacing w:val="-4"/>
          <w:sz w:val="24"/>
          <w:szCs w:val="24"/>
          <w:highlight w:val="none"/>
          <w:lang w:eastAsia="zh-CN"/>
        </w:rPr>
        <w:t>评审时，评标委员会将依据本招标文件“投标人须知前附表”规定的报价扣除比</w:t>
      </w:r>
      <w:r>
        <w:rPr>
          <w:rFonts w:hint="eastAsia" w:ascii="仿宋" w:hAnsi="仿宋" w:eastAsia="仿宋" w:cs="仿宋"/>
          <w:color w:val="auto"/>
          <w:spacing w:val="-3"/>
          <w:sz w:val="24"/>
          <w:szCs w:val="24"/>
          <w:highlight w:val="none"/>
          <w:lang w:eastAsia="zh-CN"/>
        </w:rPr>
        <w:t>例，对供应商报价进行价格扣除，用扣除后的价格参与评审；招标公告中明确项</w:t>
      </w:r>
      <w:r>
        <w:rPr>
          <w:rFonts w:hint="eastAsia" w:ascii="仿宋" w:hAnsi="仿宋" w:eastAsia="仿宋" w:cs="仿宋"/>
          <w:color w:val="auto"/>
          <w:spacing w:val="-4"/>
          <w:sz w:val="24"/>
          <w:szCs w:val="24"/>
          <w:highlight w:val="none"/>
          <w:lang w:eastAsia="zh-CN"/>
        </w:rPr>
        <w:t>目专门面向中小企业采购的，“中小企业声明函”为资格要求文件，供应商参与</w:t>
      </w:r>
      <w:r>
        <w:rPr>
          <w:rFonts w:hint="eastAsia" w:ascii="仿宋" w:hAnsi="仿宋" w:eastAsia="仿宋" w:cs="仿宋"/>
          <w:color w:val="auto"/>
          <w:spacing w:val="1"/>
          <w:sz w:val="24"/>
          <w:szCs w:val="24"/>
          <w:highlight w:val="none"/>
          <w:lang w:eastAsia="zh-CN"/>
        </w:rPr>
        <w:t>投标须按本招标文件规定格式提供“中小企业</w:t>
      </w:r>
      <w:r>
        <w:rPr>
          <w:rFonts w:hint="eastAsia" w:ascii="仿宋" w:hAnsi="仿宋" w:eastAsia="仿宋" w:cs="仿宋"/>
          <w:color w:val="auto"/>
          <w:sz w:val="24"/>
          <w:szCs w:val="24"/>
          <w:highlight w:val="none"/>
          <w:lang w:eastAsia="zh-CN"/>
        </w:rPr>
        <w:t xml:space="preserve">声明函”或“监狱企业证明文件” </w:t>
      </w:r>
      <w:r>
        <w:rPr>
          <w:rFonts w:hint="eastAsia" w:ascii="仿宋" w:hAnsi="仿宋" w:eastAsia="仿宋" w:cs="仿宋"/>
          <w:color w:val="auto"/>
          <w:spacing w:val="-2"/>
          <w:sz w:val="24"/>
          <w:szCs w:val="24"/>
          <w:highlight w:val="none"/>
          <w:lang w:eastAsia="zh-CN"/>
        </w:rPr>
        <w:t>或“残疾人福利性单位声明函”等作为资格证明文件。</w:t>
      </w:r>
    </w:p>
    <w:p w14:paraId="1AB6E14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42.3 投标人提供的货物、工程或者服务符合下列情</w:t>
      </w:r>
      <w:r>
        <w:rPr>
          <w:rFonts w:hint="eastAsia" w:ascii="仿宋" w:hAnsi="仿宋" w:eastAsia="仿宋" w:cs="仿宋"/>
          <w:color w:val="auto"/>
          <w:spacing w:val="-1"/>
          <w:sz w:val="24"/>
          <w:szCs w:val="24"/>
          <w:highlight w:val="none"/>
          <w:lang w:eastAsia="zh-CN"/>
        </w:rPr>
        <w:t>形的，享受中小企业扶</w:t>
      </w:r>
      <w:r>
        <w:rPr>
          <w:rFonts w:hint="eastAsia" w:ascii="仿宋" w:hAnsi="仿宋" w:eastAsia="仿宋" w:cs="仿宋"/>
          <w:color w:val="auto"/>
          <w:spacing w:val="-4"/>
          <w:sz w:val="24"/>
          <w:szCs w:val="24"/>
          <w:highlight w:val="none"/>
          <w:lang w:eastAsia="zh-CN"/>
        </w:rPr>
        <w:t>持政策：</w:t>
      </w:r>
    </w:p>
    <w:p w14:paraId="3568C676">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（1）在货物采购项目中，货物由中小企业制造，即货物由中小企业生产且使用该中小企业商号或者注册商标；</w:t>
      </w:r>
    </w:p>
    <w:p w14:paraId="2E9997B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（2）在工程采购项目中，工程由中小企业承建，即工程施工单位为中小企</w:t>
      </w:r>
      <w:r>
        <w:rPr>
          <w:rFonts w:hint="eastAsia" w:ascii="仿宋" w:hAnsi="仿宋" w:eastAsia="仿宋" w:cs="仿宋"/>
          <w:color w:val="auto"/>
          <w:spacing w:val="-5"/>
          <w:sz w:val="24"/>
          <w:szCs w:val="24"/>
          <w:highlight w:val="none"/>
          <w:lang w:eastAsia="zh-CN"/>
        </w:rPr>
        <w:t>业；</w:t>
      </w:r>
    </w:p>
    <w:p w14:paraId="7DCAF31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（3）在服务采购项目中，服务由中小企业承接，即提供服务的人员为中小企业依照《中华人民共和国劳动合同法》订立劳动合同的从业人员。</w:t>
      </w:r>
    </w:p>
    <w:p w14:paraId="4C2439A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42.4 在货物采购项目中，投标人提供的货物既有中</w:t>
      </w:r>
      <w:r>
        <w:rPr>
          <w:rFonts w:hint="eastAsia" w:ascii="仿宋" w:hAnsi="仿宋" w:eastAsia="仿宋" w:cs="仿宋"/>
          <w:color w:val="auto"/>
          <w:spacing w:val="-1"/>
          <w:sz w:val="24"/>
          <w:szCs w:val="24"/>
          <w:highlight w:val="none"/>
          <w:lang w:eastAsia="zh-CN"/>
        </w:rPr>
        <w:t>小企业制造货物，也有大型企业制造货物的，不享受中小企业扶持政策。</w:t>
      </w:r>
    </w:p>
    <w:p w14:paraId="73132224">
      <w:pPr>
        <w:spacing w:line="360" w:lineRule="auto"/>
        <w:ind w:left="31" w:right="-27" w:rightChars="-13"/>
        <w:rPr>
          <w:rFonts w:hint="eastAsia" w:ascii="仿宋" w:hAnsi="仿宋" w:eastAsia="仿宋" w:cs="仿宋"/>
          <w:color w:val="auto"/>
          <w:sz w:val="24"/>
          <w:szCs w:val="24"/>
          <w:highlight w:val="none"/>
          <w:lang w:eastAsia="zh-CN"/>
        </w:rPr>
      </w:pPr>
      <w:bookmarkStart w:id="229" w:name="bookmark278"/>
      <w:bookmarkEnd w:id="229"/>
      <w:r>
        <w:rPr>
          <w:rFonts w:hint="eastAsia" w:ascii="仿宋" w:hAnsi="仿宋" w:eastAsia="仿宋" w:cs="仿宋"/>
          <w:color w:val="auto"/>
          <w:spacing w:val="-1"/>
          <w:sz w:val="24"/>
          <w:szCs w:val="24"/>
          <w:highlight w:val="none"/>
          <w:lang w:eastAsia="zh-CN"/>
        </w:rPr>
        <w:t>42.5以联合体形式参加政府采购活动，联合体</w:t>
      </w:r>
      <w:r>
        <w:rPr>
          <w:rFonts w:hint="eastAsia" w:ascii="仿宋" w:hAnsi="仿宋" w:eastAsia="仿宋" w:cs="仿宋"/>
          <w:color w:val="auto"/>
          <w:spacing w:val="-2"/>
          <w:sz w:val="24"/>
          <w:szCs w:val="24"/>
          <w:highlight w:val="none"/>
          <w:lang w:eastAsia="zh-CN"/>
        </w:rPr>
        <w:t>各方均为中小企业的，联合体视同中小企业。其中，联合体各方均为小</w:t>
      </w:r>
      <w:r>
        <w:rPr>
          <w:rFonts w:hint="eastAsia" w:ascii="仿宋" w:hAnsi="仿宋" w:eastAsia="仿宋" w:cs="仿宋"/>
          <w:color w:val="auto"/>
          <w:spacing w:val="-3"/>
          <w:sz w:val="24"/>
          <w:szCs w:val="24"/>
          <w:highlight w:val="none"/>
          <w:lang w:eastAsia="zh-CN"/>
        </w:rPr>
        <w:t>微企业的，联合体视同小微企业。</w:t>
      </w:r>
    </w:p>
    <w:p w14:paraId="5CBBD76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42.6 在政府采购活动中，监狱企业视同小型、微型企业，享受预留份额、</w:t>
      </w:r>
      <w:r>
        <w:rPr>
          <w:rFonts w:hint="eastAsia" w:ascii="仿宋" w:hAnsi="仿宋" w:eastAsia="仿宋" w:cs="仿宋"/>
          <w:color w:val="auto"/>
          <w:spacing w:val="-1"/>
          <w:sz w:val="24"/>
          <w:szCs w:val="24"/>
          <w:highlight w:val="none"/>
          <w:lang w:eastAsia="zh-CN"/>
        </w:rPr>
        <w:t>评审中价格扣除等政府采购促进中小企业发展的政府采购政策。</w:t>
      </w:r>
      <w:r>
        <w:rPr>
          <w:rFonts w:hint="eastAsia" w:ascii="仿宋" w:hAnsi="仿宋" w:eastAsia="仿宋" w:cs="仿宋"/>
          <w:color w:val="auto"/>
          <w:spacing w:val="-2"/>
          <w:sz w:val="24"/>
          <w:szCs w:val="24"/>
          <w:highlight w:val="none"/>
          <w:lang w:eastAsia="zh-CN"/>
        </w:rPr>
        <w:t>监狱企业定义：</w:t>
      </w:r>
      <w:r>
        <w:rPr>
          <w:rFonts w:hint="eastAsia" w:ascii="仿宋" w:hAnsi="仿宋" w:eastAsia="仿宋" w:cs="仿宋"/>
          <w:color w:val="auto"/>
          <w:spacing w:val="-3"/>
          <w:sz w:val="24"/>
          <w:szCs w:val="24"/>
          <w:highlight w:val="none"/>
          <w:lang w:eastAsia="zh-CN"/>
        </w:rPr>
        <w:t>是指由司法部认定的为罪犯、戒毒人员提供生产项目和劳动对象，且全部产权属于司法部监狱管理局、戒毒管理局、直属煤矿管理局，各省、自治区、直辖市监</w:t>
      </w:r>
      <w:r>
        <w:rPr>
          <w:rFonts w:hint="eastAsia" w:ascii="仿宋" w:hAnsi="仿宋" w:eastAsia="仿宋" w:cs="仿宋"/>
          <w:color w:val="auto"/>
          <w:spacing w:val="-8"/>
          <w:sz w:val="24"/>
          <w:szCs w:val="24"/>
          <w:highlight w:val="none"/>
          <w:lang w:eastAsia="zh-CN"/>
        </w:rPr>
        <w:t>狱管理局、戒毒管理局，各地（设区的市）监狱、强制隔离戒毒所、戒毒康复所，</w:t>
      </w:r>
      <w:r>
        <w:rPr>
          <w:rFonts w:hint="eastAsia" w:ascii="仿宋" w:hAnsi="仿宋" w:eastAsia="仿宋" w:cs="仿宋"/>
          <w:color w:val="auto"/>
          <w:spacing w:val="-1"/>
          <w:sz w:val="24"/>
          <w:szCs w:val="24"/>
          <w:highlight w:val="none"/>
          <w:lang w:eastAsia="zh-CN"/>
        </w:rPr>
        <w:t>以及新疆生产建设兵团监狱管理局、戒毒管理局的企业。</w:t>
      </w:r>
    </w:p>
    <w:p w14:paraId="29D4315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 在政府采购活动中，残疾人福利性单位视同小</w:t>
      </w:r>
      <w:r>
        <w:rPr>
          <w:rFonts w:hint="eastAsia" w:ascii="仿宋" w:hAnsi="仿宋" w:eastAsia="仿宋" w:cs="仿宋"/>
          <w:color w:val="auto"/>
          <w:spacing w:val="-1"/>
          <w:sz w:val="24"/>
          <w:szCs w:val="24"/>
          <w:highlight w:val="none"/>
          <w:lang w:eastAsia="zh-CN"/>
        </w:rPr>
        <w:t>型、微型企业，享受预</w:t>
      </w:r>
      <w:r>
        <w:rPr>
          <w:rFonts w:hint="eastAsia" w:ascii="仿宋" w:hAnsi="仿宋" w:eastAsia="仿宋" w:cs="仿宋"/>
          <w:color w:val="auto"/>
          <w:spacing w:val="-3"/>
          <w:sz w:val="24"/>
          <w:szCs w:val="24"/>
          <w:highlight w:val="none"/>
          <w:lang w:eastAsia="zh-CN"/>
        </w:rPr>
        <w:t>留份额、评审中价格扣除等促进中小企业发展的政府采购政策。残疾人福利性单</w:t>
      </w:r>
      <w:r>
        <w:rPr>
          <w:rFonts w:hint="eastAsia" w:ascii="仿宋" w:hAnsi="仿宋" w:eastAsia="仿宋" w:cs="仿宋"/>
          <w:color w:val="auto"/>
          <w:sz w:val="24"/>
          <w:szCs w:val="24"/>
          <w:highlight w:val="none"/>
          <w:lang w:eastAsia="zh-CN"/>
        </w:rPr>
        <w:t>位定义：享受政府采购支持政策的残疾人福利性单位</w:t>
      </w:r>
      <w:r>
        <w:rPr>
          <w:rFonts w:hint="eastAsia" w:ascii="仿宋" w:hAnsi="仿宋" w:eastAsia="仿宋" w:cs="仿宋"/>
          <w:color w:val="auto"/>
          <w:spacing w:val="-1"/>
          <w:sz w:val="24"/>
          <w:szCs w:val="24"/>
          <w:highlight w:val="none"/>
          <w:lang w:eastAsia="zh-CN"/>
        </w:rPr>
        <w:t>应当同时满足以下条件：</w:t>
      </w:r>
    </w:p>
    <w:p w14:paraId="3EEEB16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42.7.1 安置的残疾人占本单位在职职工人数的比例不低于 25%（含 25%</w:t>
      </w:r>
      <w:r>
        <w:rPr>
          <w:rFonts w:hint="eastAsia" w:ascii="仿宋" w:hAnsi="仿宋" w:eastAsia="仿宋" w:cs="仿宋"/>
          <w:color w:val="auto"/>
          <w:spacing w:val="-56"/>
          <w:w w:val="89"/>
          <w:sz w:val="24"/>
          <w:szCs w:val="24"/>
          <w:highlight w:val="none"/>
          <w:lang w:eastAsia="zh-CN"/>
        </w:rPr>
        <w:t>），</w:t>
      </w:r>
      <w:r>
        <w:rPr>
          <w:rFonts w:hint="eastAsia" w:ascii="仿宋" w:hAnsi="仿宋" w:eastAsia="仿宋" w:cs="仿宋"/>
          <w:color w:val="auto"/>
          <w:spacing w:val="-3"/>
          <w:sz w:val="24"/>
          <w:szCs w:val="24"/>
          <w:highlight w:val="none"/>
          <w:lang w:eastAsia="zh-CN"/>
        </w:rPr>
        <w:t>并且安置的残疾人人数不少于 10人（含10人</w:t>
      </w:r>
      <w:r>
        <w:rPr>
          <w:rFonts w:hint="eastAsia" w:ascii="仿宋" w:hAnsi="仿宋" w:eastAsia="仿宋" w:cs="仿宋"/>
          <w:color w:val="auto"/>
          <w:sz w:val="24"/>
          <w:szCs w:val="24"/>
          <w:highlight w:val="none"/>
          <w:lang w:eastAsia="zh-CN"/>
        </w:rPr>
        <w:t>）；</w:t>
      </w:r>
    </w:p>
    <w:p w14:paraId="228CEA7A">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42.7.2 依法与安置的每位残疾人签订了1年</w:t>
      </w:r>
      <w:r>
        <w:rPr>
          <w:rFonts w:hint="eastAsia" w:ascii="仿宋" w:hAnsi="仿宋" w:eastAsia="仿宋" w:cs="仿宋"/>
          <w:color w:val="auto"/>
          <w:spacing w:val="-3"/>
          <w:sz w:val="24"/>
          <w:szCs w:val="24"/>
          <w:highlight w:val="none"/>
          <w:lang w:eastAsia="zh-CN"/>
        </w:rPr>
        <w:t>以上（含1年）的劳动合同或</w:t>
      </w:r>
      <w:r>
        <w:rPr>
          <w:rFonts w:hint="eastAsia" w:ascii="仿宋" w:hAnsi="仿宋" w:eastAsia="仿宋" w:cs="仿宋"/>
          <w:color w:val="auto"/>
          <w:spacing w:val="-2"/>
          <w:sz w:val="24"/>
          <w:szCs w:val="24"/>
          <w:highlight w:val="none"/>
          <w:lang w:eastAsia="zh-CN"/>
        </w:rPr>
        <w:t>服务协议；</w:t>
      </w:r>
    </w:p>
    <w:p w14:paraId="5364ADD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42.7.3 为安置的每位残疾人按月足额缴纳了基本养老保险、基本医疗保险、</w:t>
      </w:r>
      <w:r>
        <w:rPr>
          <w:rFonts w:hint="eastAsia" w:ascii="仿宋" w:hAnsi="仿宋" w:eastAsia="仿宋" w:cs="仿宋"/>
          <w:color w:val="auto"/>
          <w:spacing w:val="-1"/>
          <w:sz w:val="24"/>
          <w:szCs w:val="24"/>
          <w:highlight w:val="none"/>
          <w:lang w:eastAsia="zh-CN"/>
        </w:rPr>
        <w:t>失业保险、工伤保险和生育保险等社会保险费；</w:t>
      </w:r>
    </w:p>
    <w:p w14:paraId="0A784DDB">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42.7.4 通过银行等金融机构向安置的每位残疾人，</w:t>
      </w:r>
      <w:r>
        <w:rPr>
          <w:rFonts w:hint="eastAsia" w:ascii="仿宋" w:hAnsi="仿宋" w:eastAsia="仿宋" w:cs="仿宋"/>
          <w:color w:val="auto"/>
          <w:spacing w:val="-1"/>
          <w:sz w:val="24"/>
          <w:szCs w:val="24"/>
          <w:highlight w:val="none"/>
          <w:lang w:eastAsia="zh-CN"/>
        </w:rPr>
        <w:t>按月支付了不低于单位所在区县适用的经省级人民政府批准的月最低工资标准的工资；</w:t>
      </w:r>
    </w:p>
    <w:p w14:paraId="45F5C78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42.7.5 提供本单位制造的货物、承担的工程或</w:t>
      </w:r>
      <w:r>
        <w:rPr>
          <w:rFonts w:hint="eastAsia" w:ascii="仿宋" w:hAnsi="仿宋" w:eastAsia="仿宋" w:cs="仿宋"/>
          <w:color w:val="auto"/>
          <w:spacing w:val="-1"/>
          <w:sz w:val="24"/>
          <w:szCs w:val="24"/>
          <w:highlight w:val="none"/>
          <w:lang w:eastAsia="zh-CN"/>
        </w:rPr>
        <w:t>者服务（以下简称产品</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3"/>
          <w:sz w:val="24"/>
          <w:szCs w:val="24"/>
          <w:highlight w:val="none"/>
          <w:lang w:eastAsia="zh-CN"/>
        </w:rPr>
        <w:t>或者提供其他残疾人福利性单位制造的货物（不包括使用非残疾人福利性单位注</w:t>
      </w:r>
      <w:r>
        <w:rPr>
          <w:rFonts w:hint="eastAsia" w:ascii="仿宋" w:hAnsi="仿宋" w:eastAsia="仿宋" w:cs="仿宋"/>
          <w:color w:val="auto"/>
          <w:spacing w:val="-2"/>
          <w:sz w:val="24"/>
          <w:szCs w:val="24"/>
          <w:highlight w:val="none"/>
          <w:lang w:eastAsia="zh-CN"/>
        </w:rPr>
        <w:t>册商标的货物</w:t>
      </w:r>
      <w:r>
        <w:rPr>
          <w:rFonts w:hint="eastAsia" w:ascii="仿宋" w:hAnsi="仿宋" w:eastAsia="仿宋" w:cs="仿宋"/>
          <w:color w:val="auto"/>
          <w:sz w:val="24"/>
          <w:szCs w:val="24"/>
          <w:highlight w:val="none"/>
          <w:lang w:eastAsia="zh-CN"/>
        </w:rPr>
        <w:t>）；</w:t>
      </w:r>
    </w:p>
    <w:p w14:paraId="584D882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42.7.6 前款所称残疾人是指法定劳动年龄内，持有</w:t>
      </w:r>
      <w:r>
        <w:rPr>
          <w:rFonts w:hint="eastAsia" w:ascii="仿宋" w:hAnsi="仿宋" w:eastAsia="仿宋" w:cs="仿宋"/>
          <w:color w:val="auto"/>
          <w:spacing w:val="-1"/>
          <w:sz w:val="24"/>
          <w:szCs w:val="24"/>
          <w:highlight w:val="none"/>
          <w:lang w:eastAsia="zh-CN"/>
        </w:rPr>
        <w:t>《中华人民共和国残疾</w:t>
      </w:r>
      <w:r>
        <w:rPr>
          <w:rFonts w:hint="eastAsia" w:ascii="仿宋" w:hAnsi="仿宋" w:eastAsia="仿宋" w:cs="仿宋"/>
          <w:color w:val="auto"/>
          <w:sz w:val="24"/>
          <w:szCs w:val="24"/>
          <w:highlight w:val="none"/>
          <w:lang w:eastAsia="zh-CN"/>
        </w:rPr>
        <w:t>人证》或者《中华人民共和国残疾军人证（1 至 8</w:t>
      </w:r>
      <w:r>
        <w:rPr>
          <w:rFonts w:hint="eastAsia" w:ascii="仿宋" w:hAnsi="仿宋" w:eastAsia="仿宋" w:cs="仿宋"/>
          <w:color w:val="auto"/>
          <w:spacing w:val="-1"/>
          <w:sz w:val="24"/>
          <w:szCs w:val="24"/>
          <w:highlight w:val="none"/>
          <w:lang w:eastAsia="zh-CN"/>
        </w:rPr>
        <w:t xml:space="preserve"> 级）》的自然人，包括具有</w:t>
      </w:r>
      <w:r>
        <w:rPr>
          <w:rFonts w:hint="eastAsia" w:ascii="仿宋" w:hAnsi="仿宋" w:eastAsia="仿宋" w:cs="仿宋"/>
          <w:color w:val="auto"/>
          <w:spacing w:val="-3"/>
          <w:sz w:val="24"/>
          <w:szCs w:val="24"/>
          <w:highlight w:val="none"/>
          <w:lang w:eastAsia="zh-CN"/>
        </w:rPr>
        <w:t>劳动条件和劳动意愿的精神残疾人。在职职工人数是指与残疾人福利性单位建立</w:t>
      </w:r>
      <w:r>
        <w:rPr>
          <w:rFonts w:hint="eastAsia" w:ascii="仿宋" w:hAnsi="仿宋" w:eastAsia="仿宋" w:cs="仿宋"/>
          <w:color w:val="auto"/>
          <w:spacing w:val="-1"/>
          <w:sz w:val="24"/>
          <w:szCs w:val="24"/>
          <w:highlight w:val="none"/>
          <w:lang w:eastAsia="zh-CN"/>
        </w:rPr>
        <w:t>劳动关系并依法签订劳动合同或服务协议的雇员人数。</w:t>
      </w:r>
    </w:p>
    <w:p w14:paraId="41054379">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42.8 本项目是否专门面向中小企业预留采购份额见“第一章 招标公告”。</w:t>
      </w:r>
    </w:p>
    <w:p w14:paraId="6A5701A7">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42.9 采购标的对应的中小企业划分标准所属行业见“投标人须知前附表”。</w:t>
      </w:r>
    </w:p>
    <w:p w14:paraId="45E103D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42.10 小微企业价格评审优惠的政策调整：见“投标人须知前附表”及“第</w:t>
      </w:r>
      <w:r>
        <w:rPr>
          <w:rFonts w:hint="eastAsia" w:ascii="仿宋" w:hAnsi="仿宋" w:eastAsia="仿宋" w:cs="仿宋"/>
          <w:color w:val="auto"/>
          <w:spacing w:val="-2"/>
          <w:sz w:val="24"/>
          <w:szCs w:val="24"/>
          <w:highlight w:val="none"/>
          <w:lang w:eastAsia="zh-CN"/>
        </w:rPr>
        <w:t>五章 评标方法及标准”。</w:t>
      </w:r>
    </w:p>
    <w:p w14:paraId="5C2EAF5E">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30" w:name="bookmark140"/>
      <w:bookmarkEnd w:id="230"/>
      <w:bookmarkStart w:id="231" w:name="bookmark138"/>
      <w:bookmarkEnd w:id="231"/>
      <w:bookmarkStart w:id="232" w:name="bookmark134"/>
      <w:bookmarkEnd w:id="232"/>
      <w:bookmarkStart w:id="233" w:name="bookmark136"/>
      <w:bookmarkEnd w:id="233"/>
      <w:bookmarkStart w:id="234" w:name="bookmark133"/>
      <w:bookmarkEnd w:id="234"/>
      <w:bookmarkStart w:id="235" w:name="_Toc5675"/>
      <w:bookmarkStart w:id="236" w:name="_Toc186477739"/>
      <w:r>
        <w:rPr>
          <w:rFonts w:hint="eastAsia" w:ascii="仿宋" w:hAnsi="仿宋" w:eastAsia="仿宋" w:cs="仿宋"/>
          <w:b/>
          <w:bCs/>
          <w:color w:val="auto"/>
          <w:spacing w:val="-3"/>
          <w:sz w:val="24"/>
          <w:szCs w:val="24"/>
          <w:highlight w:val="none"/>
          <w:lang w:eastAsia="zh-CN"/>
        </w:rPr>
        <w:t>43.政府采购节能产品、环境标志产品</w:t>
      </w:r>
      <w:bookmarkEnd w:id="235"/>
      <w:bookmarkEnd w:id="236"/>
    </w:p>
    <w:p w14:paraId="7E313E7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43.1 政府采购节能产品、环境标志产品实施品目清</w:t>
      </w:r>
      <w:r>
        <w:rPr>
          <w:rFonts w:hint="eastAsia" w:ascii="仿宋" w:hAnsi="仿宋" w:eastAsia="仿宋" w:cs="仿宋"/>
          <w:color w:val="auto"/>
          <w:spacing w:val="-1"/>
          <w:sz w:val="24"/>
          <w:szCs w:val="24"/>
          <w:highlight w:val="none"/>
          <w:lang w:eastAsia="zh-CN"/>
        </w:rPr>
        <w:t>单管理。财政部、发展</w:t>
      </w:r>
      <w:r>
        <w:rPr>
          <w:rFonts w:hint="eastAsia" w:ascii="仿宋" w:hAnsi="仿宋" w:eastAsia="仿宋" w:cs="仿宋"/>
          <w:color w:val="auto"/>
          <w:spacing w:val="-3"/>
          <w:sz w:val="24"/>
          <w:szCs w:val="24"/>
          <w:highlight w:val="none"/>
          <w:lang w:eastAsia="zh-CN"/>
        </w:rPr>
        <w:t>改革委、生态环境部等部门根据产品节能环保性能、技术水平和市场成熟程度等</w:t>
      </w:r>
      <w:r>
        <w:rPr>
          <w:rFonts w:hint="eastAsia" w:ascii="仿宋" w:hAnsi="仿宋" w:eastAsia="仿宋" w:cs="仿宋"/>
          <w:color w:val="auto"/>
          <w:spacing w:val="-1"/>
          <w:sz w:val="24"/>
          <w:szCs w:val="24"/>
          <w:highlight w:val="none"/>
          <w:lang w:eastAsia="zh-CN"/>
        </w:rPr>
        <w:t>因素，确定实施政府优先采购和强制采购的产品类别及所依据的相关标准规范，</w:t>
      </w:r>
      <w:r>
        <w:rPr>
          <w:rFonts w:hint="eastAsia" w:ascii="仿宋" w:hAnsi="仿宋" w:eastAsia="仿宋" w:cs="仿宋"/>
          <w:color w:val="auto"/>
          <w:spacing w:val="-3"/>
          <w:sz w:val="24"/>
          <w:szCs w:val="24"/>
          <w:highlight w:val="none"/>
          <w:lang w:eastAsia="zh-CN"/>
        </w:rPr>
        <w:t>以品目清单的形式发布并适时调整。依据品目清单和认证证书实施政府优先采购和强制采购。关于政府采购节能产品、环境标志产品的相关规定依据《关于调整</w:t>
      </w:r>
      <w:r>
        <w:rPr>
          <w:rFonts w:hint="eastAsia" w:ascii="仿宋" w:hAnsi="仿宋" w:eastAsia="仿宋" w:cs="仿宋"/>
          <w:color w:val="auto"/>
          <w:spacing w:val="-7"/>
          <w:sz w:val="24"/>
          <w:szCs w:val="24"/>
          <w:highlight w:val="none"/>
          <w:lang w:eastAsia="zh-CN"/>
        </w:rPr>
        <w:t>优化节能产品、环境标志产品政府采购执行机制的通知》（财库〔2019〕9 号）、</w:t>
      </w:r>
      <w:r>
        <w:rPr>
          <w:rFonts w:hint="eastAsia" w:ascii="仿宋" w:hAnsi="仿宋" w:eastAsia="仿宋" w:cs="仿宋"/>
          <w:color w:val="auto"/>
          <w:spacing w:val="-1"/>
          <w:sz w:val="24"/>
          <w:szCs w:val="24"/>
          <w:highlight w:val="none"/>
          <w:lang w:eastAsia="zh-CN"/>
        </w:rPr>
        <w:t>《关于印发环境标志产品政府采购品目清单的通知》（财库〔2019〕18号）、</w:t>
      </w:r>
      <w:r>
        <w:rPr>
          <w:rFonts w:hint="eastAsia" w:ascii="仿宋" w:hAnsi="仿宋" w:eastAsia="仿宋" w:cs="仿宋"/>
          <w:color w:val="auto"/>
          <w:spacing w:val="-3"/>
          <w:sz w:val="24"/>
          <w:szCs w:val="24"/>
          <w:highlight w:val="none"/>
          <w:lang w:eastAsia="zh-CN"/>
        </w:rPr>
        <w:t>《关于印发节能产品政府采购品目清单的通知》（财库〔2019〕19号）的规定。</w:t>
      </w:r>
    </w:p>
    <w:p w14:paraId="0E9F2C2B">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43.2 采购人拟采购的产品属于品目清单范围的，采</w:t>
      </w:r>
      <w:r>
        <w:rPr>
          <w:rFonts w:hint="eastAsia" w:ascii="仿宋" w:hAnsi="仿宋" w:eastAsia="仿宋" w:cs="仿宋"/>
          <w:color w:val="auto"/>
          <w:spacing w:val="-1"/>
          <w:sz w:val="24"/>
          <w:szCs w:val="24"/>
          <w:highlight w:val="none"/>
          <w:lang w:eastAsia="zh-CN"/>
        </w:rPr>
        <w:t>购人及其委托的采购代</w:t>
      </w:r>
      <w:r>
        <w:rPr>
          <w:rFonts w:hint="eastAsia" w:ascii="仿宋" w:hAnsi="仿宋" w:eastAsia="仿宋" w:cs="仿宋"/>
          <w:color w:val="auto"/>
          <w:spacing w:val="-3"/>
          <w:sz w:val="24"/>
          <w:szCs w:val="24"/>
          <w:highlight w:val="none"/>
          <w:lang w:eastAsia="zh-CN"/>
        </w:rPr>
        <w:t>理机构依据国家确定的认证机构出具的、处于有效期之内的节能产品、环境标志</w:t>
      </w:r>
      <w:r>
        <w:rPr>
          <w:rFonts w:hint="eastAsia" w:ascii="仿宋" w:hAnsi="仿宋" w:eastAsia="仿宋" w:cs="仿宋"/>
          <w:color w:val="auto"/>
          <w:spacing w:val="-1"/>
          <w:sz w:val="24"/>
          <w:szCs w:val="24"/>
          <w:highlight w:val="none"/>
          <w:lang w:eastAsia="zh-CN"/>
        </w:rPr>
        <w:t>产品认证证书，对获得证书的产品实施政府优先采购或强制采购。</w:t>
      </w:r>
    </w:p>
    <w:p w14:paraId="62D98D9C">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43.3 如本项目采购产品属于实施政府强制采购品目清单范围的节能产品，</w:t>
      </w:r>
      <w:r>
        <w:rPr>
          <w:rFonts w:hint="eastAsia" w:ascii="仿宋" w:hAnsi="仿宋" w:eastAsia="仿宋" w:cs="仿宋"/>
          <w:color w:val="auto"/>
          <w:spacing w:val="-3"/>
          <w:sz w:val="24"/>
          <w:szCs w:val="24"/>
          <w:highlight w:val="none"/>
          <w:lang w:eastAsia="zh-CN"/>
        </w:rPr>
        <w:t>则投标人所报产品必须获得国家确定的认证机构出具的、处于有效期之内的节能</w:t>
      </w:r>
      <w:r>
        <w:rPr>
          <w:rFonts w:hint="eastAsia" w:ascii="仿宋" w:hAnsi="仿宋" w:eastAsia="仿宋" w:cs="仿宋"/>
          <w:color w:val="auto"/>
          <w:spacing w:val="-2"/>
          <w:sz w:val="24"/>
          <w:szCs w:val="24"/>
          <w:highlight w:val="none"/>
          <w:lang w:eastAsia="zh-CN"/>
        </w:rPr>
        <w:t>产品认证证书，否则</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345A7D30">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43.4 非政府强制采购的节能产品或环境标志产品，</w:t>
      </w:r>
      <w:r>
        <w:rPr>
          <w:rFonts w:hint="eastAsia" w:ascii="仿宋" w:hAnsi="仿宋" w:eastAsia="仿宋" w:cs="仿宋"/>
          <w:color w:val="auto"/>
          <w:spacing w:val="-1"/>
          <w:sz w:val="24"/>
          <w:szCs w:val="24"/>
          <w:highlight w:val="none"/>
          <w:lang w:eastAsia="zh-CN"/>
        </w:rPr>
        <w:t>依据品目清单和认证证书实施政府优先采购。优先采购的具体规定见“第五章</w:t>
      </w:r>
      <w:r>
        <w:rPr>
          <w:rFonts w:hint="eastAsia" w:ascii="仿宋" w:hAnsi="仿宋" w:eastAsia="仿宋" w:cs="仿宋"/>
          <w:color w:val="auto"/>
          <w:spacing w:val="-2"/>
          <w:sz w:val="24"/>
          <w:szCs w:val="24"/>
          <w:highlight w:val="none"/>
          <w:lang w:eastAsia="zh-CN"/>
        </w:rPr>
        <w:t>评标方法及标准”（如</w:t>
      </w:r>
      <w:r>
        <w:rPr>
          <w:rFonts w:hint="eastAsia" w:ascii="仿宋" w:hAnsi="仿宋" w:eastAsia="仿宋" w:cs="仿宋"/>
          <w:color w:val="auto"/>
          <w:spacing w:val="-3"/>
          <w:sz w:val="24"/>
          <w:szCs w:val="24"/>
          <w:highlight w:val="none"/>
          <w:lang w:eastAsia="zh-CN"/>
        </w:rPr>
        <w:t>涉及）。</w:t>
      </w:r>
    </w:p>
    <w:p w14:paraId="5C198B0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43.5 投标人所投产品如属于节能产品政府采购品目</w:t>
      </w:r>
      <w:r>
        <w:rPr>
          <w:rFonts w:hint="eastAsia" w:ascii="仿宋" w:hAnsi="仿宋" w:eastAsia="仿宋" w:cs="仿宋"/>
          <w:color w:val="auto"/>
          <w:spacing w:val="-1"/>
          <w:sz w:val="24"/>
          <w:szCs w:val="24"/>
          <w:highlight w:val="none"/>
          <w:lang w:eastAsia="zh-CN"/>
        </w:rPr>
        <w:t>清单、环境标志产品政</w:t>
      </w:r>
      <w:r>
        <w:rPr>
          <w:rFonts w:hint="eastAsia" w:ascii="仿宋" w:hAnsi="仿宋" w:eastAsia="仿宋" w:cs="仿宋"/>
          <w:color w:val="auto"/>
          <w:spacing w:val="-3"/>
          <w:sz w:val="24"/>
          <w:szCs w:val="24"/>
          <w:highlight w:val="none"/>
          <w:lang w:eastAsia="zh-CN"/>
        </w:rPr>
        <w:t>府采购品目清单范围的，须提供国家确定的认证机构出具的、处于有效期内的产品认证证书，认证证书的产品型号与所投产品不一致的，视为未提供。属于政府强制采购产品的，已作为投标时强制性要求不再给予价格评审优惠，未提供认证证书的视为</w:t>
      </w:r>
      <w:r>
        <w:rPr>
          <w:rFonts w:hint="eastAsia" w:ascii="仿宋" w:hAnsi="仿宋" w:eastAsia="仿宋" w:cs="仿宋"/>
          <w:b/>
          <w:bCs/>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。属于优先采购节能产品政府采购品目</w:t>
      </w:r>
      <w:r>
        <w:rPr>
          <w:rFonts w:hint="eastAsia" w:ascii="仿宋" w:hAnsi="仿宋" w:eastAsia="仿宋" w:cs="仿宋"/>
          <w:color w:val="auto"/>
          <w:spacing w:val="-4"/>
          <w:sz w:val="24"/>
          <w:szCs w:val="24"/>
          <w:highlight w:val="none"/>
          <w:lang w:eastAsia="zh-CN"/>
        </w:rPr>
        <w:t>清单、环境标志产品</w:t>
      </w:r>
      <w:r>
        <w:rPr>
          <w:rFonts w:hint="eastAsia" w:ascii="仿宋" w:hAnsi="仿宋" w:eastAsia="仿宋" w:cs="仿宋"/>
          <w:color w:val="auto"/>
          <w:spacing w:val="-1"/>
          <w:sz w:val="24"/>
          <w:szCs w:val="24"/>
          <w:highlight w:val="none"/>
          <w:lang w:eastAsia="zh-CN"/>
        </w:rPr>
        <w:t>政府采购品目清单、创新产品范围的，按照“第五章 评标方法</w:t>
      </w:r>
      <w:r>
        <w:rPr>
          <w:rFonts w:hint="eastAsia" w:ascii="仿宋" w:hAnsi="仿宋" w:eastAsia="仿宋" w:cs="仿宋"/>
          <w:color w:val="auto"/>
          <w:spacing w:val="-2"/>
          <w:sz w:val="24"/>
          <w:szCs w:val="24"/>
          <w:highlight w:val="none"/>
          <w:lang w:eastAsia="zh-CN"/>
        </w:rPr>
        <w:t>及标准”中相关</w:t>
      </w:r>
      <w:r>
        <w:rPr>
          <w:rFonts w:hint="eastAsia" w:ascii="仿宋" w:hAnsi="仿宋" w:eastAsia="仿宋" w:cs="仿宋"/>
          <w:color w:val="auto"/>
          <w:spacing w:val="-1"/>
          <w:sz w:val="24"/>
          <w:szCs w:val="24"/>
          <w:highlight w:val="none"/>
          <w:lang w:eastAsia="zh-CN"/>
        </w:rPr>
        <w:t>规定在评审时给予价格评审优惠，具体详见“投标人须知前</w:t>
      </w:r>
      <w:r>
        <w:rPr>
          <w:rFonts w:hint="eastAsia" w:ascii="仿宋" w:hAnsi="仿宋" w:eastAsia="仿宋" w:cs="仿宋"/>
          <w:color w:val="auto"/>
          <w:spacing w:val="-2"/>
          <w:sz w:val="24"/>
          <w:szCs w:val="24"/>
          <w:highlight w:val="none"/>
          <w:lang w:eastAsia="zh-CN"/>
        </w:rPr>
        <w:t>附表”及“第五章</w:t>
      </w:r>
      <w:r>
        <w:rPr>
          <w:rFonts w:hint="eastAsia" w:ascii="仿宋" w:hAnsi="仿宋" w:eastAsia="仿宋" w:cs="仿宋"/>
          <w:color w:val="auto"/>
          <w:spacing w:val="-1"/>
          <w:sz w:val="24"/>
          <w:szCs w:val="24"/>
          <w:highlight w:val="none"/>
          <w:lang w:eastAsia="zh-CN"/>
        </w:rPr>
        <w:t>评标方法及标准”。</w:t>
      </w:r>
    </w:p>
    <w:p w14:paraId="4AB6DD1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37" w:name="bookmark135"/>
      <w:bookmarkEnd w:id="237"/>
      <w:bookmarkStart w:id="238" w:name="bookmark142"/>
      <w:bookmarkEnd w:id="238"/>
      <w:bookmarkStart w:id="239" w:name="_Toc186477740"/>
      <w:bookmarkStart w:id="240" w:name="_Toc180"/>
      <w:r>
        <w:rPr>
          <w:rFonts w:hint="eastAsia" w:ascii="仿宋" w:hAnsi="仿宋" w:eastAsia="仿宋" w:cs="仿宋"/>
          <w:b/>
          <w:bCs/>
          <w:color w:val="auto"/>
          <w:spacing w:val="-4"/>
          <w:sz w:val="24"/>
          <w:szCs w:val="24"/>
          <w:highlight w:val="none"/>
          <w:lang w:eastAsia="zh-CN"/>
        </w:rPr>
        <w:t>44.正版软件</w:t>
      </w:r>
      <w:bookmarkEnd w:id="239"/>
      <w:bookmarkEnd w:id="240"/>
    </w:p>
    <w:p w14:paraId="2B9D8BA2">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44.1 依据《财政部国家发展改革委 信息产业部关于印</w:t>
      </w:r>
      <w:r>
        <w:rPr>
          <w:rFonts w:hint="eastAsia" w:ascii="仿宋" w:hAnsi="仿宋" w:eastAsia="仿宋" w:cs="仿宋"/>
          <w:color w:val="auto"/>
          <w:spacing w:val="-2"/>
          <w:sz w:val="24"/>
          <w:szCs w:val="24"/>
          <w:highlight w:val="none"/>
          <w:lang w:eastAsia="zh-CN"/>
        </w:rPr>
        <w:t>发无线局域网产品政府采购实施意见的通知》（财库〔2005〕366 号</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采购无线</w:t>
      </w:r>
      <w:r>
        <w:rPr>
          <w:rFonts w:hint="eastAsia" w:ascii="仿宋" w:hAnsi="仿宋" w:eastAsia="仿宋" w:cs="仿宋"/>
          <w:color w:val="auto"/>
          <w:spacing w:val="-3"/>
          <w:sz w:val="24"/>
          <w:szCs w:val="24"/>
          <w:highlight w:val="none"/>
          <w:lang w:eastAsia="zh-CN"/>
        </w:rPr>
        <w:t>局域网产品和含有无线局域网功能的计算机、通信设备、打印机、复印机、投影仪等产品的，优</w:t>
      </w:r>
      <w:r>
        <w:rPr>
          <w:rFonts w:hint="eastAsia" w:ascii="仿宋" w:hAnsi="仿宋" w:eastAsia="仿宋" w:cs="仿宋"/>
          <w:color w:val="auto"/>
          <w:spacing w:val="-2"/>
          <w:sz w:val="24"/>
          <w:szCs w:val="24"/>
          <w:highlight w:val="none"/>
          <w:lang w:eastAsia="zh-CN"/>
        </w:rPr>
        <w:t>先采购符合国家无线局域网安全标准（GB 15629.</w:t>
      </w:r>
      <w:r>
        <w:rPr>
          <w:rFonts w:hint="eastAsia" w:ascii="仿宋" w:hAnsi="仿宋" w:eastAsia="仿宋" w:cs="仿宋"/>
          <w:color w:val="auto"/>
          <w:spacing w:val="-3"/>
          <w:sz w:val="24"/>
          <w:szCs w:val="24"/>
          <w:highlight w:val="none"/>
          <w:lang w:eastAsia="zh-CN"/>
        </w:rPr>
        <w:t>11/1102）并通过国家产品认证的产品。其中，国家有特殊信息安全要求的项目必须采购认证产品</w:t>
      </w:r>
      <w:r>
        <w:rPr>
          <w:rFonts w:hint="eastAsia" w:ascii="仿宋" w:hAnsi="仿宋" w:eastAsia="仿宋" w:cs="仿宋"/>
          <w:color w:val="auto"/>
          <w:spacing w:val="-4"/>
          <w:sz w:val="24"/>
          <w:szCs w:val="24"/>
          <w:highlight w:val="none"/>
          <w:lang w:eastAsia="zh-CN"/>
        </w:rPr>
        <w:t>，否则</w:t>
      </w:r>
      <w:r>
        <w:rPr>
          <w:rFonts w:hint="eastAsia" w:ascii="仿宋" w:hAnsi="仿宋" w:eastAsia="仿宋" w:cs="仿宋"/>
          <w:b/>
          <w:bCs/>
          <w:color w:val="auto"/>
          <w:spacing w:val="-4"/>
          <w:sz w:val="24"/>
          <w:szCs w:val="24"/>
          <w:highlight w:val="none"/>
          <w:lang w:eastAsia="zh-CN"/>
        </w:rPr>
        <w:t>投标无</w:t>
      </w:r>
      <w:r>
        <w:rPr>
          <w:rFonts w:hint="eastAsia" w:ascii="仿宋" w:hAnsi="仿宋" w:eastAsia="仿宋" w:cs="仿宋"/>
          <w:b/>
          <w:bCs/>
          <w:color w:val="auto"/>
          <w:spacing w:val="-3"/>
          <w:sz w:val="24"/>
          <w:szCs w:val="24"/>
          <w:highlight w:val="none"/>
          <w:lang w:eastAsia="zh-CN"/>
        </w:rPr>
        <w:t>效</w:t>
      </w:r>
      <w:r>
        <w:rPr>
          <w:rFonts w:hint="eastAsia" w:ascii="仿宋" w:hAnsi="仿宋" w:eastAsia="仿宋" w:cs="仿宋"/>
          <w:color w:val="auto"/>
          <w:spacing w:val="-3"/>
          <w:sz w:val="24"/>
          <w:szCs w:val="24"/>
          <w:highlight w:val="none"/>
          <w:lang w:eastAsia="zh-CN"/>
        </w:rPr>
        <w:t>。财政部、国家发展改革委、信息产业部根据政府采购改革进展和无线局域网产品技术及市场成熟等情况，从国家指定的认证机构认证的生产厂商和产品型号</w:t>
      </w:r>
      <w:r>
        <w:rPr>
          <w:rFonts w:hint="eastAsia" w:ascii="仿宋" w:hAnsi="仿宋" w:eastAsia="仿宋" w:cs="仿宋"/>
          <w:color w:val="auto"/>
          <w:spacing w:val="-4"/>
          <w:sz w:val="24"/>
          <w:szCs w:val="24"/>
          <w:highlight w:val="none"/>
          <w:lang w:eastAsia="zh-CN"/>
        </w:rPr>
        <w:t>中确定优先采购的产品，并以“无线局域网认证产品政府采购清单”（以下简称</w:t>
      </w:r>
      <w:r>
        <w:rPr>
          <w:rFonts w:hint="eastAsia" w:ascii="仿宋" w:hAnsi="仿宋" w:eastAsia="仿宋" w:cs="仿宋"/>
          <w:color w:val="auto"/>
          <w:spacing w:val="-3"/>
          <w:sz w:val="24"/>
          <w:szCs w:val="24"/>
          <w:highlight w:val="none"/>
          <w:lang w:eastAsia="zh-CN"/>
        </w:rPr>
        <w:t>清单）的形式公布。清单中新增认证产品厂商和型号，由财政部、国家发展改革</w:t>
      </w:r>
      <w:r>
        <w:rPr>
          <w:rFonts w:hint="eastAsia" w:ascii="仿宋" w:hAnsi="仿宋" w:eastAsia="仿宋" w:cs="仿宋"/>
          <w:color w:val="auto"/>
          <w:spacing w:val="-1"/>
          <w:sz w:val="24"/>
          <w:szCs w:val="24"/>
          <w:highlight w:val="none"/>
          <w:lang w:eastAsia="zh-CN"/>
        </w:rPr>
        <w:t>委、信息产业部以文件形式确定、公布并适时调整。</w:t>
      </w:r>
    </w:p>
    <w:p w14:paraId="1D606A2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44.2 各级政府部门在购置计算机办公设备时，必须</w:t>
      </w:r>
      <w:r>
        <w:rPr>
          <w:rFonts w:hint="eastAsia" w:ascii="仿宋" w:hAnsi="仿宋" w:eastAsia="仿宋" w:cs="仿宋"/>
          <w:color w:val="auto"/>
          <w:spacing w:val="-1"/>
          <w:sz w:val="24"/>
          <w:szCs w:val="24"/>
          <w:highlight w:val="none"/>
          <w:lang w:eastAsia="zh-CN"/>
        </w:rPr>
        <w:t>采购预装正版操作系统</w:t>
      </w:r>
      <w:r>
        <w:rPr>
          <w:rFonts w:hint="eastAsia" w:ascii="仿宋" w:hAnsi="仿宋" w:eastAsia="仿宋" w:cs="仿宋"/>
          <w:color w:val="auto"/>
          <w:spacing w:val="-3"/>
          <w:sz w:val="24"/>
          <w:szCs w:val="24"/>
          <w:highlight w:val="none"/>
          <w:lang w:eastAsia="zh-CN"/>
        </w:rPr>
        <w:t>软件的计算机产品，相关规定依据《国家版权局、信息产业部、财政部、国务院</w:t>
      </w:r>
      <w:r>
        <w:rPr>
          <w:rFonts w:hint="eastAsia" w:ascii="仿宋" w:hAnsi="仿宋" w:eastAsia="仿宋" w:cs="仿宋"/>
          <w:color w:val="auto"/>
          <w:sz w:val="24"/>
          <w:szCs w:val="24"/>
          <w:highlight w:val="none"/>
          <w:lang w:eastAsia="zh-CN"/>
        </w:rPr>
        <w:t>机关事务管理局关于政府部门购置计算机办公设备必须</w:t>
      </w:r>
      <w:r>
        <w:rPr>
          <w:rFonts w:hint="eastAsia" w:ascii="仿宋" w:hAnsi="仿宋" w:eastAsia="仿宋" w:cs="仿宋"/>
          <w:color w:val="auto"/>
          <w:spacing w:val="-1"/>
          <w:sz w:val="24"/>
          <w:szCs w:val="24"/>
          <w:highlight w:val="none"/>
          <w:lang w:eastAsia="zh-CN"/>
        </w:rPr>
        <w:t>采购已预装正版操作系</w:t>
      </w:r>
      <w:r>
        <w:rPr>
          <w:rFonts w:hint="eastAsia" w:ascii="仿宋" w:hAnsi="仿宋" w:eastAsia="仿宋" w:cs="仿宋"/>
          <w:color w:val="auto"/>
          <w:spacing w:val="-3"/>
          <w:sz w:val="24"/>
          <w:szCs w:val="24"/>
          <w:highlight w:val="none"/>
          <w:lang w:eastAsia="zh-CN"/>
        </w:rPr>
        <w:t>统软件产品的通知》（国权联〔2006〕1 号）、《国务院办公厅关于进一步做好</w:t>
      </w:r>
      <w:r>
        <w:rPr>
          <w:rFonts w:hint="eastAsia" w:ascii="仿宋" w:hAnsi="仿宋" w:eastAsia="仿宋" w:cs="仿宋"/>
          <w:color w:val="auto"/>
          <w:sz w:val="24"/>
          <w:szCs w:val="24"/>
          <w:highlight w:val="none"/>
          <w:lang w:eastAsia="zh-CN"/>
        </w:rPr>
        <w:t>政府机关使用正版软件工作的通知》（国办发〔2010〕47</w:t>
      </w:r>
      <w:r>
        <w:rPr>
          <w:rFonts w:hint="eastAsia" w:ascii="仿宋" w:hAnsi="仿宋" w:eastAsia="仿宋" w:cs="仿宋"/>
          <w:color w:val="auto"/>
          <w:spacing w:val="-1"/>
          <w:sz w:val="24"/>
          <w:szCs w:val="24"/>
          <w:highlight w:val="none"/>
          <w:lang w:eastAsia="zh-CN"/>
        </w:rPr>
        <w:t xml:space="preserve"> 号）、《国务院办公厅关于印发政府机关使用正版软件管理办法的通知》国办发〔2013〕88号。</w:t>
      </w:r>
    </w:p>
    <w:p w14:paraId="1AD12B6E">
      <w:pPr>
        <w:spacing w:line="360" w:lineRule="auto"/>
        <w:ind w:left="31" w:right="-27" w:rightChars="-13"/>
        <w:outlineLvl w:val="3"/>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45.网络安全专用产品</w:t>
      </w:r>
    </w:p>
    <w:p w14:paraId="7271A7B8">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45.1本项目中如涉及网络关键设备或网络安全专用产品的，应严格执行国</w:t>
      </w:r>
      <w:r>
        <w:rPr>
          <w:rFonts w:hint="eastAsia" w:ascii="仿宋" w:hAnsi="仿宋" w:eastAsia="仿宋" w:cs="仿宋"/>
          <w:color w:val="auto"/>
          <w:spacing w:val="-3"/>
          <w:sz w:val="24"/>
          <w:szCs w:val="24"/>
          <w:highlight w:val="none"/>
          <w:lang w:eastAsia="zh-CN"/>
        </w:rPr>
        <w:t>家互联网信息办公室、工业和信息化部、公安部、财政部和国家认证认可监督管</w:t>
      </w:r>
      <w:r>
        <w:rPr>
          <w:rFonts w:hint="eastAsia" w:ascii="仿宋" w:hAnsi="仿宋" w:eastAsia="仿宋" w:cs="仿宋"/>
          <w:color w:val="auto"/>
          <w:spacing w:val="-1"/>
          <w:sz w:val="24"/>
          <w:szCs w:val="24"/>
          <w:highlight w:val="none"/>
          <w:lang w:eastAsia="zh-CN"/>
        </w:rPr>
        <w:t>理委员会 2023年第 1 号《关于调整网络安全专用产品安全管理有关事项的公</w:t>
      </w:r>
      <w:r>
        <w:rPr>
          <w:rFonts w:hint="eastAsia" w:ascii="仿宋" w:hAnsi="仿宋" w:eastAsia="仿宋" w:cs="仿宋"/>
          <w:color w:val="auto"/>
          <w:spacing w:val="-3"/>
          <w:sz w:val="24"/>
          <w:szCs w:val="24"/>
          <w:highlight w:val="none"/>
          <w:lang w:eastAsia="zh-CN"/>
        </w:rPr>
        <w:t>告》及国家互联网信息办公室、工业和信息化部、公安部和国家认证认可监督管</w:t>
      </w:r>
      <w:r>
        <w:rPr>
          <w:rFonts w:hint="eastAsia" w:ascii="仿宋" w:hAnsi="仿宋" w:eastAsia="仿宋" w:cs="仿宋"/>
          <w:color w:val="auto"/>
          <w:spacing w:val="-1"/>
          <w:sz w:val="24"/>
          <w:szCs w:val="24"/>
          <w:highlight w:val="none"/>
          <w:lang w:eastAsia="zh-CN"/>
        </w:rPr>
        <w:t>理委员会 2023 年第 2号《关于调整&lt;网络关键设备和网络安全专用产品目录&gt;</w:t>
      </w:r>
      <w:r>
        <w:rPr>
          <w:rFonts w:hint="eastAsia" w:ascii="仿宋" w:hAnsi="仿宋" w:eastAsia="仿宋" w:cs="仿宋"/>
          <w:color w:val="auto"/>
          <w:spacing w:val="-2"/>
          <w:sz w:val="24"/>
          <w:szCs w:val="24"/>
          <w:highlight w:val="none"/>
          <w:lang w:eastAsia="zh-CN"/>
        </w:rPr>
        <w:t>的公告》等相关文件要求，所投标（响应）设备或产品至少符合以下条件之一：</w:t>
      </w:r>
      <w:r>
        <w:rPr>
          <w:rFonts w:hint="eastAsia" w:ascii="仿宋" w:hAnsi="仿宋" w:eastAsia="仿宋" w:cs="仿宋"/>
          <w:color w:val="auto"/>
          <w:spacing w:val="-3"/>
          <w:sz w:val="24"/>
          <w:szCs w:val="24"/>
          <w:highlight w:val="none"/>
          <w:lang w:eastAsia="zh-CN"/>
        </w:rPr>
        <w:t>一是已由具备资格的机构安全认证合格或安全检测符合要求；二是已获得《计算</w:t>
      </w:r>
      <w:r>
        <w:rPr>
          <w:rFonts w:hint="eastAsia" w:ascii="仿宋" w:hAnsi="仿宋" w:eastAsia="仿宋" w:cs="仿宋"/>
          <w:color w:val="auto"/>
          <w:sz w:val="24"/>
          <w:szCs w:val="24"/>
          <w:highlight w:val="none"/>
          <w:lang w:eastAsia="zh-CN"/>
        </w:rPr>
        <w:t>机信息系统安全专用产品销售许可证》，且在有效期内。</w:t>
      </w:r>
      <w:r>
        <w:rPr>
          <w:rFonts w:hint="eastAsia" w:ascii="仿宋" w:hAnsi="仿宋" w:eastAsia="仿宋" w:cs="仿宋"/>
          <w:color w:val="auto"/>
          <w:spacing w:val="-1"/>
          <w:sz w:val="24"/>
          <w:szCs w:val="24"/>
          <w:highlight w:val="none"/>
          <w:lang w:eastAsia="zh-CN"/>
        </w:rPr>
        <w:t>采购人、中标(成交)人双方签订合同及验收环节，应包含上述网络安全要求的条款。</w:t>
      </w:r>
    </w:p>
    <w:p w14:paraId="61B7AE0B">
      <w:pPr>
        <w:widowControl w:val="0"/>
        <w:spacing w:line="360" w:lineRule="auto"/>
        <w:ind w:left="28"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45.2本项目中如涉及国家强制性产品认证证书（CCC 认证证书）、电信设</w:t>
      </w:r>
      <w:r>
        <w:rPr>
          <w:rFonts w:hint="eastAsia" w:ascii="仿宋" w:hAnsi="仿宋" w:eastAsia="仿宋" w:cs="仿宋"/>
          <w:color w:val="auto"/>
          <w:spacing w:val="-3"/>
          <w:sz w:val="24"/>
          <w:szCs w:val="24"/>
          <w:highlight w:val="none"/>
          <w:lang w:eastAsia="zh-CN"/>
        </w:rPr>
        <w:t>备进网许可证、无线电发射设备核准证等市场准入类资质的，应严格执行国</w:t>
      </w:r>
      <w:r>
        <w:rPr>
          <w:rFonts w:hint="eastAsia" w:ascii="仿宋" w:hAnsi="仿宋" w:eastAsia="仿宋" w:cs="仿宋"/>
          <w:color w:val="auto"/>
          <w:spacing w:val="-4"/>
          <w:sz w:val="24"/>
          <w:szCs w:val="24"/>
          <w:highlight w:val="none"/>
          <w:lang w:eastAsia="zh-CN"/>
        </w:rPr>
        <w:t>家相</w:t>
      </w:r>
      <w:r>
        <w:rPr>
          <w:rFonts w:hint="eastAsia" w:ascii="仿宋" w:hAnsi="仿宋" w:eastAsia="仿宋" w:cs="仿宋"/>
          <w:color w:val="auto"/>
          <w:spacing w:val="-3"/>
          <w:sz w:val="24"/>
          <w:szCs w:val="24"/>
          <w:highlight w:val="none"/>
          <w:lang w:eastAsia="zh-CN"/>
        </w:rPr>
        <w:t>关法律法规的要求。采购人、中标(成交)人双方签订合同及验收环节，应包含上</w:t>
      </w:r>
      <w:r>
        <w:rPr>
          <w:rFonts w:hint="eastAsia" w:ascii="仿宋" w:hAnsi="仿宋" w:eastAsia="仿宋" w:cs="仿宋"/>
          <w:color w:val="auto"/>
          <w:spacing w:val="-1"/>
          <w:sz w:val="24"/>
          <w:szCs w:val="24"/>
          <w:highlight w:val="none"/>
          <w:lang w:eastAsia="zh-CN"/>
        </w:rPr>
        <w:t>述市场准入类资质要求的条款。</w:t>
      </w:r>
    </w:p>
    <w:p w14:paraId="3BFF03E2">
      <w:pPr>
        <w:spacing w:line="360" w:lineRule="auto"/>
        <w:ind w:left="31" w:right="-27" w:rightChars="-13"/>
        <w:outlineLvl w:val="3"/>
        <w:rPr>
          <w:rFonts w:hint="eastAsia" w:ascii="仿宋" w:hAnsi="仿宋" w:eastAsia="仿宋" w:cs="仿宋"/>
          <w:color w:val="auto"/>
          <w:sz w:val="24"/>
          <w:szCs w:val="24"/>
          <w:highlight w:val="none"/>
          <w:lang w:eastAsia="zh-CN"/>
        </w:rPr>
      </w:pPr>
      <w:bookmarkStart w:id="241" w:name="bookmark279"/>
      <w:bookmarkEnd w:id="241"/>
      <w:r>
        <w:rPr>
          <w:rFonts w:hint="eastAsia" w:ascii="仿宋" w:hAnsi="仿宋" w:eastAsia="仿宋" w:cs="仿宋"/>
          <w:b/>
          <w:bCs/>
          <w:color w:val="auto"/>
          <w:spacing w:val="-3"/>
          <w:sz w:val="24"/>
          <w:szCs w:val="24"/>
          <w:highlight w:val="none"/>
          <w:lang w:eastAsia="zh-CN"/>
        </w:rPr>
        <w:t>46.采购需求标准</w:t>
      </w:r>
    </w:p>
    <w:p w14:paraId="0CB01F9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46.1 商品包装、快递包装政府采购需求标准（试行）</w:t>
      </w:r>
    </w:p>
    <w:p w14:paraId="760DF27C">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为助力打好污染防治攻坚战，推广使用绿色包装，根据财</w:t>
      </w:r>
      <w:r>
        <w:rPr>
          <w:rFonts w:hint="eastAsia" w:ascii="仿宋" w:hAnsi="仿宋" w:eastAsia="仿宋" w:cs="仿宋"/>
          <w:color w:val="auto"/>
          <w:spacing w:val="-4"/>
          <w:sz w:val="24"/>
          <w:szCs w:val="24"/>
          <w:highlight w:val="none"/>
          <w:lang w:eastAsia="zh-CN"/>
        </w:rPr>
        <w:t>政部关于印发《商</w:t>
      </w:r>
      <w:r>
        <w:rPr>
          <w:rFonts w:hint="eastAsia" w:ascii="仿宋" w:hAnsi="仿宋" w:eastAsia="仿宋" w:cs="仿宋"/>
          <w:color w:val="auto"/>
          <w:spacing w:val="-1"/>
          <w:sz w:val="24"/>
          <w:szCs w:val="24"/>
          <w:highlight w:val="none"/>
          <w:lang w:eastAsia="zh-CN"/>
        </w:rPr>
        <w:t>品包装政府采购需求标准（试行）》、《快递包装政府采购需求标准（试行）》</w:t>
      </w:r>
      <w:r>
        <w:rPr>
          <w:rFonts w:hint="eastAsia" w:ascii="仿宋" w:hAnsi="仿宋" w:eastAsia="仿宋" w:cs="仿宋"/>
          <w:color w:val="auto"/>
          <w:spacing w:val="-2"/>
          <w:sz w:val="24"/>
          <w:szCs w:val="24"/>
          <w:highlight w:val="none"/>
          <w:lang w:eastAsia="zh-CN"/>
        </w:rPr>
        <w:t>的通知（财办库〔2020〕123 号</w:t>
      </w:r>
      <w:r>
        <w:rPr>
          <w:rFonts w:hint="eastAsia" w:ascii="仿宋" w:hAnsi="仿宋" w:eastAsia="仿宋" w:cs="仿宋"/>
          <w:color w:val="auto"/>
          <w:spacing w:val="-11"/>
          <w:sz w:val="24"/>
          <w:szCs w:val="24"/>
          <w:highlight w:val="none"/>
          <w:lang w:eastAsia="zh-CN"/>
        </w:rPr>
        <w:t>），</w:t>
      </w:r>
      <w:r>
        <w:rPr>
          <w:rFonts w:hint="eastAsia" w:ascii="仿宋" w:hAnsi="仿宋" w:eastAsia="仿宋" w:cs="仿宋"/>
          <w:color w:val="auto"/>
          <w:spacing w:val="-2"/>
          <w:sz w:val="24"/>
          <w:szCs w:val="24"/>
          <w:highlight w:val="none"/>
          <w:lang w:eastAsia="zh-CN"/>
        </w:rPr>
        <w:t>本项目如涉</w:t>
      </w:r>
      <w:r>
        <w:rPr>
          <w:rFonts w:hint="eastAsia" w:ascii="仿宋" w:hAnsi="仿宋" w:eastAsia="仿宋" w:cs="仿宋"/>
          <w:color w:val="auto"/>
          <w:spacing w:val="-3"/>
          <w:sz w:val="24"/>
          <w:szCs w:val="24"/>
          <w:highlight w:val="none"/>
          <w:lang w:eastAsia="zh-CN"/>
        </w:rPr>
        <w:t>及商品包装和快递包装的，则其</w:t>
      </w:r>
      <w:r>
        <w:rPr>
          <w:rFonts w:hint="eastAsia" w:ascii="仿宋" w:hAnsi="仿宋" w:eastAsia="仿宋" w:cs="仿宋"/>
          <w:color w:val="auto"/>
          <w:spacing w:val="-1"/>
          <w:sz w:val="24"/>
          <w:szCs w:val="24"/>
          <w:highlight w:val="none"/>
          <w:lang w:eastAsia="zh-CN"/>
        </w:rPr>
        <w:t>具体要求见第三章《采购需求》。</w:t>
      </w:r>
    </w:p>
    <w:p w14:paraId="1B61F2E3">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46.2 绿色数据中心政府采购需求标准（试行）</w:t>
      </w:r>
    </w:p>
    <w:p w14:paraId="77DB4C3C">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为加快数据中心绿色转型，根据财政部 生态环境部 工业和信息</w:t>
      </w:r>
      <w:r>
        <w:rPr>
          <w:rFonts w:hint="eastAsia" w:ascii="仿宋" w:hAnsi="仿宋" w:eastAsia="仿宋" w:cs="仿宋"/>
          <w:color w:val="auto"/>
          <w:spacing w:val="-4"/>
          <w:sz w:val="24"/>
          <w:szCs w:val="24"/>
          <w:highlight w:val="none"/>
          <w:lang w:eastAsia="zh-CN"/>
        </w:rPr>
        <w:t>化部关于印</w:t>
      </w:r>
      <w:r>
        <w:rPr>
          <w:rFonts w:hint="eastAsia" w:ascii="仿宋" w:hAnsi="仿宋" w:eastAsia="仿宋" w:cs="仿宋"/>
          <w:color w:val="auto"/>
          <w:sz w:val="24"/>
          <w:szCs w:val="24"/>
          <w:highlight w:val="none"/>
          <w:lang w:eastAsia="zh-CN"/>
        </w:rPr>
        <w:t>发《绿色数据中心政府采购需求标准（试行）》的通知</w:t>
      </w:r>
      <w:r>
        <w:rPr>
          <w:rFonts w:hint="eastAsia" w:ascii="仿宋" w:hAnsi="仿宋" w:eastAsia="仿宋" w:cs="仿宋"/>
          <w:color w:val="auto"/>
          <w:spacing w:val="-1"/>
          <w:sz w:val="24"/>
          <w:szCs w:val="24"/>
          <w:highlight w:val="none"/>
          <w:lang w:eastAsia="zh-CN"/>
        </w:rPr>
        <w:t>（财库〔2023〕7 号</w:t>
      </w:r>
      <w:r>
        <w:rPr>
          <w:rFonts w:hint="eastAsia" w:ascii="仿宋" w:hAnsi="仿宋" w:eastAsia="仿宋" w:cs="仿宋"/>
          <w:color w:val="auto"/>
          <w:spacing w:val="-29"/>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本项目如涉及绿色数据中心，则具体要求见第三章《采购需求》。</w:t>
      </w:r>
    </w:p>
    <w:p w14:paraId="1F2BE8A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46.3台式计算机政府采购需求标准</w:t>
      </w:r>
    </w:p>
    <w:p w14:paraId="6E695548">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为提高台式计算机政府采购需求管理的科学化、规范化水</w:t>
      </w:r>
      <w:r>
        <w:rPr>
          <w:rFonts w:hint="eastAsia" w:ascii="仿宋" w:hAnsi="仿宋" w:eastAsia="仿宋" w:cs="仿宋"/>
          <w:color w:val="auto"/>
          <w:spacing w:val="-4"/>
          <w:sz w:val="24"/>
          <w:szCs w:val="24"/>
          <w:highlight w:val="none"/>
          <w:lang w:eastAsia="zh-CN"/>
        </w:rPr>
        <w:t>平，进一步落实政</w:t>
      </w:r>
      <w:r>
        <w:rPr>
          <w:rFonts w:hint="eastAsia" w:ascii="仿宋" w:hAnsi="仿宋" w:eastAsia="仿宋" w:cs="仿宋"/>
          <w:color w:val="auto"/>
          <w:sz w:val="24"/>
          <w:szCs w:val="24"/>
          <w:highlight w:val="none"/>
          <w:lang w:eastAsia="zh-CN"/>
        </w:rPr>
        <w:t>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工业和信息化部关于印发《台式计算机政府采购需求标准（2023年版）》的通知（财库〔2023〕29号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本项目如涉及台式计算机采购，则具体要求见第三章《采购</w:t>
      </w:r>
      <w:r>
        <w:rPr>
          <w:rFonts w:hint="eastAsia" w:ascii="仿宋" w:hAnsi="仿宋" w:eastAsia="仿宋" w:cs="仿宋"/>
          <w:color w:val="auto"/>
          <w:spacing w:val="-3"/>
          <w:sz w:val="24"/>
          <w:szCs w:val="24"/>
          <w:highlight w:val="none"/>
          <w:lang w:eastAsia="zh-CN"/>
        </w:rPr>
        <w:t>需求》。</w:t>
      </w:r>
    </w:p>
    <w:p w14:paraId="4B00E535">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46.4便携式计算机政府采购需求标准</w:t>
      </w:r>
    </w:p>
    <w:p w14:paraId="5EEDA9D1">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为提高便携式计算机政府采购需求管理的科学化、规范化</w:t>
      </w:r>
      <w:r>
        <w:rPr>
          <w:rFonts w:hint="eastAsia" w:ascii="仿宋" w:hAnsi="仿宋" w:eastAsia="仿宋" w:cs="仿宋"/>
          <w:color w:val="auto"/>
          <w:spacing w:val="-4"/>
          <w:sz w:val="24"/>
          <w:szCs w:val="24"/>
          <w:highlight w:val="none"/>
          <w:lang w:eastAsia="zh-CN"/>
        </w:rPr>
        <w:t>水平，进一步落实</w:t>
      </w:r>
      <w:r>
        <w:rPr>
          <w:rFonts w:hint="eastAsia" w:ascii="仿宋" w:hAnsi="仿宋" w:eastAsia="仿宋" w:cs="仿宋"/>
          <w:color w:val="auto"/>
          <w:sz w:val="24"/>
          <w:szCs w:val="24"/>
          <w:highlight w:val="none"/>
          <w:lang w:eastAsia="zh-CN"/>
        </w:rPr>
        <w:t>政府采购公平竞争原则，优化营商环境，营造良好的产业生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w:t>
      </w:r>
      <w:r>
        <w:rPr>
          <w:rFonts w:hint="eastAsia" w:ascii="仿宋" w:hAnsi="仿宋" w:eastAsia="仿宋" w:cs="仿宋"/>
          <w:color w:val="auto"/>
          <w:spacing w:val="-5"/>
          <w:sz w:val="24"/>
          <w:szCs w:val="24"/>
          <w:highlight w:val="none"/>
          <w:lang w:eastAsia="zh-CN"/>
        </w:rPr>
        <w:t>信息化部关于印发《便携式计算机政府采购需求标准（2023年版）》的通知（财</w:t>
      </w:r>
      <w:r>
        <w:rPr>
          <w:rFonts w:hint="eastAsia" w:ascii="仿宋" w:hAnsi="仿宋" w:eastAsia="仿宋" w:cs="仿宋"/>
          <w:color w:val="auto"/>
          <w:spacing w:val="-4"/>
          <w:sz w:val="24"/>
          <w:szCs w:val="24"/>
          <w:highlight w:val="none"/>
          <w:lang w:eastAsia="zh-CN"/>
        </w:rPr>
        <w:t>库〔2023〕30号</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4"/>
          <w:sz w:val="24"/>
          <w:szCs w:val="24"/>
          <w:highlight w:val="none"/>
          <w:lang w:eastAsia="zh-CN"/>
        </w:rPr>
        <w:t>本项目如涉及便携式计算机采购，则具体要求见第三章《采</w:t>
      </w:r>
      <w:r>
        <w:rPr>
          <w:rFonts w:hint="eastAsia" w:ascii="仿宋" w:hAnsi="仿宋" w:eastAsia="仿宋" w:cs="仿宋"/>
          <w:color w:val="auto"/>
          <w:spacing w:val="-2"/>
          <w:sz w:val="24"/>
          <w:szCs w:val="24"/>
          <w:highlight w:val="none"/>
          <w:lang w:eastAsia="zh-CN"/>
        </w:rPr>
        <w:t>购需求》。</w:t>
      </w:r>
    </w:p>
    <w:p w14:paraId="476F0CD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46.5一体式计算机政府采购需求标准</w:t>
      </w:r>
    </w:p>
    <w:p w14:paraId="5E59AEE9">
      <w:pPr>
        <w:widowControl w:val="0"/>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为提高一体式计算机政府采购需求管理的科学化、规范化</w:t>
      </w:r>
      <w:r>
        <w:rPr>
          <w:rFonts w:hint="eastAsia" w:ascii="仿宋" w:hAnsi="仿宋" w:eastAsia="仿宋" w:cs="仿宋"/>
          <w:color w:val="auto"/>
          <w:spacing w:val="-4"/>
          <w:sz w:val="24"/>
          <w:szCs w:val="24"/>
          <w:highlight w:val="none"/>
          <w:lang w:eastAsia="zh-CN"/>
        </w:rPr>
        <w:t>水平，进一步落实</w:t>
      </w:r>
      <w:r>
        <w:rPr>
          <w:rFonts w:hint="eastAsia" w:ascii="仿宋" w:hAnsi="仿宋" w:eastAsia="仿宋" w:cs="仿宋"/>
          <w:color w:val="auto"/>
          <w:sz w:val="24"/>
          <w:szCs w:val="24"/>
          <w:highlight w:val="none"/>
          <w:lang w:eastAsia="zh-CN"/>
        </w:rPr>
        <w:t>政府采购公平竞争原则，优化营商环境，营造良好的产业生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w:t>
      </w:r>
      <w:r>
        <w:rPr>
          <w:rFonts w:hint="eastAsia" w:ascii="仿宋" w:hAnsi="仿宋" w:eastAsia="仿宋" w:cs="仿宋"/>
          <w:color w:val="auto"/>
          <w:spacing w:val="-5"/>
          <w:sz w:val="24"/>
          <w:szCs w:val="24"/>
          <w:highlight w:val="none"/>
          <w:lang w:eastAsia="zh-CN"/>
        </w:rPr>
        <w:t>信息化部关于印发《一体式计算机政府采购需求标准（2023年版）》的通知（财</w:t>
      </w:r>
      <w:r>
        <w:rPr>
          <w:rFonts w:hint="eastAsia" w:ascii="仿宋" w:hAnsi="仿宋" w:eastAsia="仿宋" w:cs="仿宋"/>
          <w:color w:val="auto"/>
          <w:spacing w:val="-4"/>
          <w:sz w:val="24"/>
          <w:szCs w:val="24"/>
          <w:highlight w:val="none"/>
          <w:lang w:eastAsia="zh-CN"/>
        </w:rPr>
        <w:t>库〔2023〕31号</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4"/>
          <w:sz w:val="24"/>
          <w:szCs w:val="24"/>
          <w:highlight w:val="none"/>
          <w:lang w:eastAsia="zh-CN"/>
        </w:rPr>
        <w:t>本项目如涉及一体式计算机采购，则具体要求见第三章《采</w:t>
      </w:r>
      <w:r>
        <w:rPr>
          <w:rFonts w:hint="eastAsia" w:ascii="仿宋" w:hAnsi="仿宋" w:eastAsia="仿宋" w:cs="仿宋"/>
          <w:color w:val="auto"/>
          <w:spacing w:val="-2"/>
          <w:sz w:val="24"/>
          <w:szCs w:val="24"/>
          <w:highlight w:val="none"/>
          <w:lang w:eastAsia="zh-CN"/>
        </w:rPr>
        <w:t>购需求》。</w:t>
      </w:r>
    </w:p>
    <w:p w14:paraId="23816731">
      <w:pPr>
        <w:spacing w:line="360" w:lineRule="auto"/>
        <w:ind w:left="31" w:right="-27" w:rightChars="-13"/>
        <w:rPr>
          <w:rFonts w:hint="eastAsia" w:ascii="仿宋" w:hAnsi="仿宋" w:eastAsia="仿宋" w:cs="仿宋"/>
          <w:color w:val="auto"/>
          <w:sz w:val="24"/>
          <w:szCs w:val="24"/>
          <w:highlight w:val="none"/>
          <w:lang w:eastAsia="zh-CN"/>
        </w:rPr>
      </w:pPr>
      <w:bookmarkStart w:id="242" w:name="bookmark280"/>
      <w:bookmarkEnd w:id="242"/>
      <w:r>
        <w:rPr>
          <w:rFonts w:hint="eastAsia" w:ascii="仿宋" w:hAnsi="仿宋" w:eastAsia="仿宋" w:cs="仿宋"/>
          <w:color w:val="auto"/>
          <w:spacing w:val="-2"/>
          <w:sz w:val="24"/>
          <w:szCs w:val="24"/>
          <w:highlight w:val="none"/>
          <w:lang w:eastAsia="zh-CN"/>
        </w:rPr>
        <w:t>46.6工作站政府采购需求标准</w:t>
      </w:r>
    </w:p>
    <w:p w14:paraId="26D03766">
      <w:pPr>
        <w:widowControl w:val="0"/>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为提高工作站政府采购需求管理的科学化、规范化水平，</w:t>
      </w:r>
      <w:r>
        <w:rPr>
          <w:rFonts w:hint="eastAsia" w:ascii="仿宋" w:hAnsi="仿宋" w:eastAsia="仿宋" w:cs="仿宋"/>
          <w:color w:val="auto"/>
          <w:spacing w:val="-4"/>
          <w:sz w:val="24"/>
          <w:szCs w:val="24"/>
          <w:highlight w:val="none"/>
          <w:lang w:eastAsia="zh-CN"/>
        </w:rPr>
        <w:t>进一步落实政府采</w:t>
      </w:r>
      <w:r>
        <w:rPr>
          <w:rFonts w:hint="eastAsia" w:ascii="仿宋" w:hAnsi="仿宋" w:eastAsia="仿宋" w:cs="仿宋"/>
          <w:color w:val="auto"/>
          <w:sz w:val="24"/>
          <w:szCs w:val="24"/>
          <w:highlight w:val="none"/>
          <w:lang w:eastAsia="zh-CN"/>
        </w:rPr>
        <w:t>购公平竞争原则，优化营商环境，营造良好的产业生态，财</w:t>
      </w:r>
      <w:r>
        <w:rPr>
          <w:rFonts w:hint="eastAsia" w:ascii="仿宋" w:hAnsi="仿宋" w:eastAsia="仿宋" w:cs="仿宋"/>
          <w:color w:val="auto"/>
          <w:spacing w:val="-1"/>
          <w:sz w:val="24"/>
          <w:szCs w:val="24"/>
          <w:highlight w:val="none"/>
          <w:lang w:eastAsia="zh-CN"/>
        </w:rPr>
        <w:t>政部 工业和信息化部关于印发《工作站政府采购需求标准（2023年版）</w:t>
      </w:r>
      <w:r>
        <w:rPr>
          <w:rFonts w:hint="eastAsia" w:ascii="仿宋" w:hAnsi="仿宋" w:eastAsia="仿宋" w:cs="仿宋"/>
          <w:color w:val="auto"/>
          <w:spacing w:val="-2"/>
          <w:sz w:val="24"/>
          <w:szCs w:val="24"/>
          <w:highlight w:val="none"/>
          <w:lang w:eastAsia="zh-CN"/>
        </w:rPr>
        <w:t>》的通知（财库〔2023〕3</w:t>
      </w:r>
      <w:r>
        <w:rPr>
          <w:rFonts w:hint="eastAsia" w:ascii="仿宋" w:hAnsi="仿宋" w:eastAsia="仿宋" w:cs="仿宋"/>
          <w:color w:val="auto"/>
          <w:spacing w:val="-1"/>
          <w:sz w:val="24"/>
          <w:szCs w:val="24"/>
          <w:highlight w:val="none"/>
          <w:lang w:eastAsia="zh-CN"/>
        </w:rPr>
        <w:t>2号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本项目如涉及工作站采购，则具体要求见第三章《采购</w:t>
      </w:r>
      <w:r>
        <w:rPr>
          <w:rFonts w:hint="eastAsia" w:ascii="仿宋" w:hAnsi="仿宋" w:eastAsia="仿宋" w:cs="仿宋"/>
          <w:color w:val="auto"/>
          <w:spacing w:val="-2"/>
          <w:sz w:val="24"/>
          <w:szCs w:val="24"/>
          <w:highlight w:val="none"/>
          <w:lang w:eastAsia="zh-CN"/>
        </w:rPr>
        <w:t>需求》。</w:t>
      </w:r>
    </w:p>
    <w:p w14:paraId="1531AB5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46.7通用服务器政府采购需求标准</w:t>
      </w:r>
    </w:p>
    <w:p w14:paraId="6D5A8C8D">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为提高通用服务器政府采购需求管理的科学化、规范化水</w:t>
      </w:r>
      <w:r>
        <w:rPr>
          <w:rFonts w:hint="eastAsia" w:ascii="仿宋" w:hAnsi="仿宋" w:eastAsia="仿宋" w:cs="仿宋"/>
          <w:color w:val="auto"/>
          <w:spacing w:val="-4"/>
          <w:sz w:val="24"/>
          <w:szCs w:val="24"/>
          <w:highlight w:val="none"/>
          <w:lang w:eastAsia="zh-CN"/>
        </w:rPr>
        <w:t>平，进一步落实政</w:t>
      </w:r>
      <w:r>
        <w:rPr>
          <w:rFonts w:hint="eastAsia" w:ascii="仿宋" w:hAnsi="仿宋" w:eastAsia="仿宋" w:cs="仿宋"/>
          <w:color w:val="auto"/>
          <w:sz w:val="24"/>
          <w:szCs w:val="24"/>
          <w:highlight w:val="none"/>
          <w:lang w:eastAsia="zh-CN"/>
        </w:rPr>
        <w:t>府采购公平竞争原则，优化营商环境，营造良好的产业生</w:t>
      </w:r>
      <w:r>
        <w:rPr>
          <w:rFonts w:hint="eastAsia" w:ascii="仿宋" w:hAnsi="仿宋" w:eastAsia="仿宋" w:cs="仿宋"/>
          <w:color w:val="auto"/>
          <w:spacing w:val="-1"/>
          <w:sz w:val="24"/>
          <w:szCs w:val="24"/>
          <w:highlight w:val="none"/>
          <w:lang w:eastAsia="zh-CN"/>
        </w:rPr>
        <w:t>态，财政部 工业和信息化部关于印发《通用服务器政府采购需求标准（2023年版）》的通知（财库〔2023〕33号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本项目如涉及通用服务器采购，则具体要求见第三章《采购</w:t>
      </w:r>
      <w:r>
        <w:rPr>
          <w:rFonts w:hint="eastAsia" w:ascii="仿宋" w:hAnsi="仿宋" w:eastAsia="仿宋" w:cs="仿宋"/>
          <w:color w:val="auto"/>
          <w:spacing w:val="-3"/>
          <w:sz w:val="24"/>
          <w:szCs w:val="24"/>
          <w:highlight w:val="none"/>
          <w:lang w:eastAsia="zh-CN"/>
        </w:rPr>
        <w:t>需求》。</w:t>
      </w:r>
    </w:p>
    <w:p w14:paraId="13886F0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46.8操作系统政府采购需求标准</w:t>
      </w:r>
    </w:p>
    <w:p w14:paraId="3F175739">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为提高操作系统政府采购需求管理的科学化、规范化水平</w:t>
      </w:r>
      <w:r>
        <w:rPr>
          <w:rFonts w:hint="eastAsia" w:ascii="仿宋" w:hAnsi="仿宋" w:eastAsia="仿宋" w:cs="仿宋"/>
          <w:color w:val="auto"/>
          <w:spacing w:val="-4"/>
          <w:sz w:val="24"/>
          <w:szCs w:val="24"/>
          <w:highlight w:val="none"/>
          <w:lang w:eastAsia="zh-CN"/>
        </w:rPr>
        <w:t>，进一步落实政府</w:t>
      </w:r>
      <w:r>
        <w:rPr>
          <w:rFonts w:hint="eastAsia" w:ascii="仿宋" w:hAnsi="仿宋" w:eastAsia="仿宋" w:cs="仿宋"/>
          <w:color w:val="auto"/>
          <w:sz w:val="24"/>
          <w:szCs w:val="24"/>
          <w:highlight w:val="none"/>
          <w:lang w:eastAsia="zh-CN"/>
        </w:rPr>
        <w:t>采购公平竞争原则，优化营商环境，营造良好的产业生态</w:t>
      </w:r>
      <w:r>
        <w:rPr>
          <w:rFonts w:hint="eastAsia" w:ascii="仿宋" w:hAnsi="仿宋" w:eastAsia="仿宋" w:cs="仿宋"/>
          <w:color w:val="auto"/>
          <w:spacing w:val="-1"/>
          <w:sz w:val="24"/>
          <w:szCs w:val="24"/>
          <w:highlight w:val="none"/>
          <w:lang w:eastAsia="zh-CN"/>
        </w:rPr>
        <w:t>，财政部 工业和信息化部关于印发《操作系统政府采购需求标准（20</w:t>
      </w:r>
      <w:r>
        <w:rPr>
          <w:rFonts w:hint="eastAsia" w:ascii="仿宋" w:hAnsi="仿宋" w:eastAsia="仿宋" w:cs="仿宋"/>
          <w:color w:val="auto"/>
          <w:spacing w:val="-2"/>
          <w:sz w:val="24"/>
          <w:szCs w:val="24"/>
          <w:highlight w:val="none"/>
          <w:lang w:eastAsia="zh-CN"/>
        </w:rPr>
        <w:t>23年版）》的通知（财库〔2023〕34号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2"/>
          <w:sz w:val="24"/>
          <w:szCs w:val="24"/>
          <w:highlight w:val="none"/>
          <w:lang w:eastAsia="zh-CN"/>
        </w:rPr>
        <w:t>本项目如涉及操作系统采购，则具体要求见第三章《采购需求</w:t>
      </w:r>
      <w:r>
        <w:rPr>
          <w:rFonts w:hint="eastAsia" w:ascii="仿宋" w:hAnsi="仿宋" w:eastAsia="仿宋" w:cs="仿宋"/>
          <w:color w:val="auto"/>
          <w:spacing w:val="-3"/>
          <w:sz w:val="24"/>
          <w:szCs w:val="24"/>
          <w:highlight w:val="none"/>
          <w:lang w:eastAsia="zh-CN"/>
        </w:rPr>
        <w:t>》。</w:t>
      </w:r>
    </w:p>
    <w:p w14:paraId="2BA123FF">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46.9数据库政府采购需求标准</w:t>
      </w:r>
    </w:p>
    <w:p w14:paraId="0CB87925">
      <w:pPr>
        <w:spacing w:line="360" w:lineRule="auto"/>
        <w:ind w:left="31" w:leftChars="15" w:right="-27" w:rightChars="-13" w:firstLine="458" w:firstLineChars="1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为提高数据库政府采购需求管理的科学化、规范化水平，</w:t>
      </w:r>
      <w:r>
        <w:rPr>
          <w:rFonts w:hint="eastAsia" w:ascii="仿宋" w:hAnsi="仿宋" w:eastAsia="仿宋" w:cs="仿宋"/>
          <w:color w:val="auto"/>
          <w:spacing w:val="-4"/>
          <w:sz w:val="24"/>
          <w:szCs w:val="24"/>
          <w:highlight w:val="none"/>
          <w:lang w:eastAsia="zh-CN"/>
        </w:rPr>
        <w:t>进一步落实政府采</w:t>
      </w:r>
      <w:r>
        <w:rPr>
          <w:rFonts w:hint="eastAsia" w:ascii="仿宋" w:hAnsi="仿宋" w:eastAsia="仿宋" w:cs="仿宋"/>
          <w:color w:val="auto"/>
          <w:sz w:val="24"/>
          <w:szCs w:val="24"/>
          <w:highlight w:val="none"/>
          <w:lang w:eastAsia="zh-CN"/>
        </w:rPr>
        <w:t>购公平竞争原则，优化营商环境，营造良好的产业生态，财</w:t>
      </w:r>
      <w:r>
        <w:rPr>
          <w:rFonts w:hint="eastAsia" w:ascii="仿宋" w:hAnsi="仿宋" w:eastAsia="仿宋" w:cs="仿宋"/>
          <w:color w:val="auto"/>
          <w:spacing w:val="-1"/>
          <w:sz w:val="24"/>
          <w:szCs w:val="24"/>
          <w:highlight w:val="none"/>
          <w:lang w:eastAsia="zh-CN"/>
        </w:rPr>
        <w:t>政部 工业和信息化部关于印发《数据库政府采购需求标准（2023年版）</w:t>
      </w:r>
      <w:r>
        <w:rPr>
          <w:rFonts w:hint="eastAsia" w:ascii="仿宋" w:hAnsi="仿宋" w:eastAsia="仿宋" w:cs="仿宋"/>
          <w:color w:val="auto"/>
          <w:spacing w:val="-2"/>
          <w:sz w:val="24"/>
          <w:szCs w:val="24"/>
          <w:highlight w:val="none"/>
          <w:lang w:eastAsia="zh-CN"/>
        </w:rPr>
        <w:t>》的通知（财库〔2023〕3</w:t>
      </w:r>
      <w:r>
        <w:rPr>
          <w:rFonts w:hint="eastAsia" w:ascii="仿宋" w:hAnsi="仿宋" w:eastAsia="仿宋" w:cs="仿宋"/>
          <w:color w:val="auto"/>
          <w:spacing w:val="-1"/>
          <w:sz w:val="24"/>
          <w:szCs w:val="24"/>
          <w:highlight w:val="none"/>
          <w:lang w:eastAsia="zh-CN"/>
        </w:rPr>
        <w:t>5号</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本项目如涉及数据库采购，则具体要求见第三章《采购</w:t>
      </w:r>
      <w:r>
        <w:rPr>
          <w:rFonts w:hint="eastAsia" w:ascii="仿宋" w:hAnsi="仿宋" w:eastAsia="仿宋" w:cs="仿宋"/>
          <w:color w:val="auto"/>
          <w:spacing w:val="-2"/>
          <w:sz w:val="24"/>
          <w:szCs w:val="24"/>
          <w:highlight w:val="none"/>
          <w:lang w:eastAsia="zh-CN"/>
        </w:rPr>
        <w:t>需求》。</w:t>
      </w:r>
    </w:p>
    <w:p w14:paraId="12FD0C06">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46.10物业管理服务政府采购需求标准（办公场所类</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lang w:eastAsia="zh-CN"/>
        </w:rPr>
        <w:t>试行）</w:t>
      </w:r>
    </w:p>
    <w:p w14:paraId="140AEEFE">
      <w:pPr>
        <w:spacing w:line="360" w:lineRule="auto"/>
        <w:ind w:left="31" w:leftChars="15" w:right="-27" w:rightChars="-13" w:firstLine="458" w:firstLineChars="1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为贯彻落实中央全面深化改革委员会审议通过的《深化政</w:t>
      </w:r>
      <w:r>
        <w:rPr>
          <w:rFonts w:hint="eastAsia" w:ascii="仿宋" w:hAnsi="仿宋" w:eastAsia="仿宋" w:cs="仿宋"/>
          <w:color w:val="auto"/>
          <w:spacing w:val="-4"/>
          <w:sz w:val="24"/>
          <w:szCs w:val="24"/>
          <w:highlight w:val="none"/>
          <w:lang w:eastAsia="zh-CN"/>
        </w:rPr>
        <w:t>府采购制度改革方</w:t>
      </w:r>
      <w:r>
        <w:rPr>
          <w:rFonts w:hint="eastAsia" w:ascii="仿宋" w:hAnsi="仿宋" w:eastAsia="仿宋" w:cs="仿宋"/>
          <w:color w:val="auto"/>
          <w:spacing w:val="-3"/>
          <w:sz w:val="24"/>
          <w:szCs w:val="24"/>
          <w:highlight w:val="none"/>
          <w:lang w:eastAsia="zh-CN"/>
        </w:rPr>
        <w:t>案》有关要求，推动政府采购需求标准建设，财政部办公厅关于印发《物业管理</w:t>
      </w:r>
      <w:r>
        <w:rPr>
          <w:rFonts w:hint="eastAsia" w:ascii="仿宋" w:hAnsi="仿宋" w:eastAsia="仿宋" w:cs="仿宋"/>
          <w:color w:val="auto"/>
          <w:spacing w:val="1"/>
          <w:sz w:val="24"/>
          <w:szCs w:val="24"/>
          <w:highlight w:val="none"/>
          <w:lang w:eastAsia="zh-CN"/>
        </w:rPr>
        <w:t>服务政府采购需求标准（办公场所类</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1"/>
          <w:sz w:val="24"/>
          <w:szCs w:val="24"/>
          <w:highlight w:val="none"/>
          <w:lang w:eastAsia="zh-CN"/>
        </w:rPr>
        <w:t>试行）》的通知（</w:t>
      </w:r>
      <w:r>
        <w:rPr>
          <w:rFonts w:hint="eastAsia" w:ascii="仿宋" w:hAnsi="仿宋" w:eastAsia="仿宋" w:cs="仿宋"/>
          <w:color w:val="auto"/>
          <w:sz w:val="24"/>
          <w:szCs w:val="24"/>
          <w:highlight w:val="none"/>
          <w:lang w:eastAsia="zh-CN"/>
        </w:rPr>
        <w:t>财办库〔2024〕113</w:t>
      </w:r>
      <w:r>
        <w:rPr>
          <w:rFonts w:hint="eastAsia" w:ascii="仿宋" w:hAnsi="仿宋" w:eastAsia="仿宋" w:cs="仿宋"/>
          <w:color w:val="auto"/>
          <w:spacing w:val="-1"/>
          <w:sz w:val="24"/>
          <w:szCs w:val="24"/>
          <w:highlight w:val="none"/>
          <w:lang w:eastAsia="zh-CN"/>
        </w:rPr>
        <w:t>号</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1"/>
          <w:sz w:val="24"/>
          <w:szCs w:val="24"/>
          <w:highlight w:val="none"/>
          <w:lang w:eastAsia="zh-CN"/>
        </w:rPr>
        <w:t>本项目如涉及物业管理服务采购，则具体要求见第三章《采购需求》。</w:t>
      </w:r>
    </w:p>
    <w:p w14:paraId="03ADBE93">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43" w:name="_Toc186477741"/>
      <w:bookmarkStart w:id="244" w:name="_Toc22345"/>
      <w:r>
        <w:rPr>
          <w:rFonts w:hint="eastAsia" w:ascii="仿宋" w:hAnsi="仿宋" w:eastAsia="仿宋" w:cs="仿宋"/>
          <w:b/>
          <w:bCs/>
          <w:color w:val="auto"/>
          <w:spacing w:val="-4"/>
          <w:sz w:val="24"/>
          <w:szCs w:val="24"/>
          <w:highlight w:val="none"/>
          <w:lang w:eastAsia="zh-CN"/>
        </w:rPr>
        <w:t>（十四）政府采购合同融资政策</w:t>
      </w:r>
      <w:bookmarkEnd w:id="243"/>
      <w:r>
        <w:rPr>
          <w:rFonts w:hint="eastAsia" w:ascii="仿宋" w:hAnsi="仿宋" w:eastAsia="仿宋" w:cs="仿宋"/>
          <w:b/>
          <w:bCs/>
          <w:color w:val="auto"/>
          <w:spacing w:val="-4"/>
          <w:sz w:val="24"/>
          <w:szCs w:val="24"/>
          <w:highlight w:val="none"/>
          <w:lang w:eastAsia="zh-CN"/>
        </w:rPr>
        <w:t>：/</w:t>
      </w:r>
      <w:bookmarkEnd w:id="244"/>
    </w:p>
    <w:p w14:paraId="4EC73B3D">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45" w:name="bookmark144"/>
      <w:bookmarkEnd w:id="245"/>
      <w:bookmarkStart w:id="246" w:name="bookmark143"/>
      <w:bookmarkEnd w:id="246"/>
      <w:bookmarkStart w:id="247" w:name="_Toc27433"/>
      <w:bookmarkStart w:id="248" w:name="_Toc186477742"/>
      <w:r>
        <w:rPr>
          <w:rFonts w:hint="eastAsia" w:ascii="仿宋" w:hAnsi="仿宋" w:eastAsia="仿宋" w:cs="仿宋"/>
          <w:b/>
          <w:bCs/>
          <w:color w:val="auto"/>
          <w:spacing w:val="-3"/>
          <w:sz w:val="24"/>
          <w:szCs w:val="24"/>
          <w:highlight w:val="none"/>
          <w:lang w:eastAsia="zh-CN"/>
        </w:rPr>
        <w:t>47.政府采购合同融资政策</w:t>
      </w:r>
      <w:bookmarkEnd w:id="247"/>
      <w:bookmarkEnd w:id="248"/>
    </w:p>
    <w:p w14:paraId="20E584C1">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47.1政府采购合同融资政策：见投标人须知前附表。</w:t>
      </w:r>
    </w:p>
    <w:p w14:paraId="4DEF18B8">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49" w:name="bookmark146"/>
      <w:bookmarkEnd w:id="249"/>
      <w:bookmarkStart w:id="250" w:name="bookmark145"/>
      <w:bookmarkEnd w:id="250"/>
      <w:bookmarkStart w:id="251" w:name="_Toc6689"/>
      <w:bookmarkStart w:id="252" w:name="_Toc186477743"/>
      <w:r>
        <w:rPr>
          <w:rFonts w:hint="eastAsia" w:ascii="仿宋" w:hAnsi="仿宋" w:eastAsia="仿宋" w:cs="仿宋"/>
          <w:b/>
          <w:bCs/>
          <w:color w:val="auto"/>
          <w:spacing w:val="-7"/>
          <w:sz w:val="24"/>
          <w:szCs w:val="24"/>
          <w:highlight w:val="none"/>
          <w:lang w:eastAsia="zh-CN"/>
        </w:rPr>
        <w:t>（十五）其他</w:t>
      </w:r>
      <w:bookmarkEnd w:id="251"/>
      <w:bookmarkEnd w:id="252"/>
    </w:p>
    <w:p w14:paraId="29BF003C">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53" w:name="bookmark148"/>
      <w:bookmarkEnd w:id="253"/>
      <w:bookmarkStart w:id="254" w:name="bookmark147"/>
      <w:bookmarkEnd w:id="254"/>
      <w:bookmarkStart w:id="255" w:name="_Toc31010"/>
      <w:bookmarkStart w:id="256" w:name="_Toc186477744"/>
      <w:r>
        <w:rPr>
          <w:rFonts w:hint="eastAsia" w:ascii="仿宋" w:hAnsi="仿宋" w:eastAsia="仿宋" w:cs="仿宋"/>
          <w:b/>
          <w:bCs/>
          <w:color w:val="auto"/>
          <w:spacing w:val="-3"/>
          <w:sz w:val="24"/>
          <w:szCs w:val="24"/>
          <w:highlight w:val="none"/>
          <w:lang w:eastAsia="zh-CN"/>
        </w:rPr>
        <w:t>48.需要补充的其他内容</w:t>
      </w:r>
      <w:bookmarkEnd w:id="255"/>
      <w:bookmarkEnd w:id="256"/>
    </w:p>
    <w:p w14:paraId="2EB7FC4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48.1需要补充的其他内容：见投标人须知前附表。</w:t>
      </w:r>
    </w:p>
    <w:p w14:paraId="071DE39D">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57" w:name="bookmark150"/>
      <w:bookmarkEnd w:id="257"/>
      <w:bookmarkStart w:id="258" w:name="bookmark149"/>
      <w:bookmarkEnd w:id="258"/>
      <w:bookmarkStart w:id="259" w:name="_Toc186477745"/>
      <w:bookmarkStart w:id="260" w:name="_Toc21841"/>
      <w:r>
        <w:rPr>
          <w:rFonts w:hint="eastAsia" w:ascii="仿宋" w:hAnsi="仿宋" w:eastAsia="仿宋" w:cs="仿宋"/>
          <w:b/>
          <w:bCs/>
          <w:color w:val="auto"/>
          <w:spacing w:val="-4"/>
          <w:sz w:val="24"/>
          <w:szCs w:val="24"/>
          <w:highlight w:val="none"/>
          <w:lang w:eastAsia="zh-CN"/>
        </w:rPr>
        <w:t>49.适用法律</w:t>
      </w:r>
      <w:bookmarkEnd w:id="259"/>
      <w:bookmarkEnd w:id="260"/>
    </w:p>
    <w:p w14:paraId="14B8D8F6">
      <w:pPr>
        <w:spacing w:line="360" w:lineRule="auto"/>
        <w:ind w:left="31" w:right="-27" w:rightChars="-1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49.1采购人、采购代理机构及投标人的一切采购活动均适用《中华人民共</w:t>
      </w:r>
      <w:r>
        <w:rPr>
          <w:rFonts w:hint="eastAsia" w:ascii="仿宋" w:hAnsi="仿宋" w:eastAsia="仿宋" w:cs="仿宋"/>
          <w:color w:val="auto"/>
          <w:spacing w:val="-3"/>
          <w:sz w:val="24"/>
          <w:szCs w:val="24"/>
          <w:highlight w:val="none"/>
          <w:lang w:eastAsia="zh-CN"/>
        </w:rPr>
        <w:t>和国政府采购法》、《中华人民共和国政府采购法实施条例》、《政府采</w:t>
      </w:r>
      <w:r>
        <w:rPr>
          <w:rFonts w:hint="eastAsia" w:ascii="仿宋" w:hAnsi="仿宋" w:eastAsia="仿宋" w:cs="仿宋"/>
          <w:color w:val="auto"/>
          <w:spacing w:val="-4"/>
          <w:sz w:val="24"/>
          <w:szCs w:val="24"/>
          <w:highlight w:val="none"/>
          <w:lang w:eastAsia="zh-CN"/>
        </w:rPr>
        <w:t>购货物</w:t>
      </w:r>
      <w:r>
        <w:rPr>
          <w:rFonts w:hint="eastAsia" w:ascii="仿宋" w:hAnsi="仿宋" w:eastAsia="仿宋" w:cs="仿宋"/>
          <w:color w:val="auto"/>
          <w:spacing w:val="-1"/>
          <w:sz w:val="24"/>
          <w:szCs w:val="24"/>
          <w:highlight w:val="none"/>
          <w:lang w:eastAsia="zh-CN"/>
        </w:rPr>
        <w:t>和服务招标投标管理办法》（财政部令第87号）及</w:t>
      </w:r>
      <w:r>
        <w:rPr>
          <w:rFonts w:hint="eastAsia" w:ascii="仿宋" w:hAnsi="仿宋" w:eastAsia="仿宋" w:cs="仿宋"/>
          <w:color w:val="auto"/>
          <w:spacing w:val="-2"/>
          <w:sz w:val="24"/>
          <w:szCs w:val="24"/>
          <w:highlight w:val="none"/>
          <w:lang w:eastAsia="zh-CN"/>
        </w:rPr>
        <w:t>相关法律法规。</w:t>
      </w:r>
    </w:p>
    <w:p w14:paraId="608D7CDE">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49.2政府采购合同的履行、违约责任和解决争议的方法等适用《中华人民</w:t>
      </w:r>
      <w:r>
        <w:rPr>
          <w:rFonts w:hint="eastAsia" w:ascii="仿宋" w:hAnsi="仿宋" w:eastAsia="仿宋" w:cs="仿宋"/>
          <w:color w:val="auto"/>
          <w:spacing w:val="-2"/>
          <w:sz w:val="24"/>
          <w:szCs w:val="24"/>
          <w:highlight w:val="none"/>
          <w:lang w:eastAsia="zh-CN"/>
        </w:rPr>
        <w:t>共和国民法典》。</w:t>
      </w:r>
    </w:p>
    <w:p w14:paraId="7D184BE7">
      <w:pPr>
        <w:spacing w:line="360" w:lineRule="auto"/>
        <w:ind w:left="31" w:right="-27" w:rightChars="-13"/>
        <w:outlineLvl w:val="2"/>
        <w:rPr>
          <w:rFonts w:hint="eastAsia" w:ascii="仿宋" w:hAnsi="仿宋" w:eastAsia="仿宋" w:cs="仿宋"/>
          <w:color w:val="auto"/>
          <w:sz w:val="24"/>
          <w:szCs w:val="24"/>
          <w:highlight w:val="none"/>
          <w:lang w:eastAsia="zh-CN"/>
        </w:rPr>
      </w:pPr>
      <w:bookmarkStart w:id="261" w:name="bookmark151"/>
      <w:bookmarkEnd w:id="261"/>
      <w:bookmarkStart w:id="262" w:name="bookmark152"/>
      <w:bookmarkEnd w:id="262"/>
      <w:bookmarkStart w:id="263" w:name="_Toc186477746"/>
      <w:bookmarkStart w:id="264" w:name="_Toc24163"/>
      <w:r>
        <w:rPr>
          <w:rFonts w:hint="eastAsia" w:ascii="仿宋" w:hAnsi="仿宋" w:eastAsia="仿宋" w:cs="仿宋"/>
          <w:b/>
          <w:bCs/>
          <w:color w:val="auto"/>
          <w:spacing w:val="-5"/>
          <w:sz w:val="24"/>
          <w:szCs w:val="24"/>
          <w:highlight w:val="none"/>
          <w:lang w:eastAsia="zh-CN"/>
        </w:rPr>
        <w:t>50.解释权</w:t>
      </w:r>
      <w:bookmarkEnd w:id="263"/>
      <w:bookmarkEnd w:id="264"/>
    </w:p>
    <w:p w14:paraId="72420F6D">
      <w:pPr>
        <w:spacing w:line="360" w:lineRule="auto"/>
        <w:ind w:left="31" w:right="-27" w:rightChars="-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50.1本招标文件最终解释权归采购人或采购代理机构所有。</w:t>
      </w:r>
    </w:p>
    <w:p w14:paraId="0151ADA1">
      <w:pPr>
        <w:pStyle w:val="9"/>
        <w:pageBreakBefore/>
        <w:spacing w:before="314" w:line="226" w:lineRule="auto"/>
        <w:jc w:val="center"/>
        <w:outlineLvl w:val="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30"/>
          <w:szCs w:val="30"/>
          <w:highlight w:val="none"/>
          <w:lang w:eastAsia="zh-CN"/>
        </w:rPr>
        <w:t>第三章采购需求</w:t>
      </w:r>
      <w:bookmarkEnd w:id="8"/>
    </w:p>
    <w:p w14:paraId="4B64481C">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（一）商务要求</w:t>
      </w:r>
    </w:p>
    <w:p w14:paraId="32B86706">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一、采购内容</w:t>
      </w:r>
    </w:p>
    <w:p w14:paraId="1EDD2033">
      <w:pPr>
        <w:widowControl w:val="0"/>
        <w:kinsoku/>
        <w:autoSpaceDE/>
        <w:autoSpaceDN/>
        <w:adjustRightInd/>
        <w:snapToGrid/>
        <w:spacing w:line="360" w:lineRule="auto"/>
        <w:ind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1.副食品（各种调料类、豆制品类及速食类）。</w:t>
      </w:r>
    </w:p>
    <w:p w14:paraId="7F8757C4">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二、合同履约期限</w:t>
      </w:r>
    </w:p>
    <w:p w14:paraId="69819D3C">
      <w:pPr>
        <w:widowControl w:val="0"/>
        <w:kinsoku/>
        <w:autoSpaceDE/>
        <w:autoSpaceDN/>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自合同签订之日起一年。</w:t>
      </w:r>
    </w:p>
    <w:p w14:paraId="3F78FF41">
      <w:pPr>
        <w:widowControl w:val="0"/>
        <w:kinsoku/>
        <w:autoSpaceDE/>
        <w:autoSpaceDN/>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三、保质期（有效期）：质保期不得低于总质保期的3分之2</w:t>
      </w:r>
      <w:r>
        <w:rPr>
          <w:rFonts w:hint="eastAsia" w:ascii="仿宋" w:hAnsi="仿宋" w:eastAsia="仿宋" w:cs="仿宋"/>
          <w:b/>
          <w:bCs/>
          <w:color w:val="auto"/>
          <w:highlight w:val="none"/>
          <w:lang w:eastAsia="zh-CN"/>
        </w:rPr>
        <w:t>。</w:t>
      </w:r>
    </w:p>
    <w:p w14:paraId="7A630B37">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四、</w:t>
      </w:r>
      <w:r>
        <w:rPr>
          <w:rFonts w:ascii="仿宋" w:hAnsi="仿宋" w:eastAsia="仿宋" w:cs="仿宋"/>
          <w:b/>
          <w:bCs/>
          <w:color w:val="auto"/>
          <w:sz w:val="24"/>
          <w:szCs w:val="24"/>
          <w:highlight w:val="none"/>
          <w:lang w:eastAsia="zh-CN"/>
        </w:rPr>
        <w:t>供货地点</w:t>
      </w:r>
    </w:p>
    <w:p w14:paraId="4AF6829E">
      <w:pPr>
        <w:widowControl w:val="0"/>
        <w:kinsoku/>
        <w:autoSpaceDE/>
        <w:autoSpaceDN/>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按采购人要求分批送达指定地点。</w:t>
      </w:r>
    </w:p>
    <w:p w14:paraId="53381617">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五、报价要求</w:t>
      </w:r>
    </w:p>
    <w:p w14:paraId="08B0F8EA">
      <w:pPr>
        <w:widowControl w:val="0"/>
        <w:kinsoku/>
        <w:autoSpaceDE/>
        <w:autoSpaceDN/>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投标报价采用下浮率方式,下浮率不得高于15%（例如14%高于15%，16%低于15%，下浮率填写整数，不保留小数）。每一品目预算控制价统一按照“乌鲁木齐北园春集团有限公司-价格行情”http://www.beiyuanchun.com/)’或“九鼎农商网-市场价格”(www.xj9d.com)当日公示价中的“中间价”投标人在此基础上报下浮率。</w:t>
      </w:r>
    </w:p>
    <w:p w14:paraId="32D13229">
      <w:pPr>
        <w:widowControl w:val="0"/>
        <w:kinsoku/>
        <w:autoSpaceDE/>
        <w:autoSpaceDN/>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在实际供货中有增加品种，增加品种有北园春或九鼎信息价的，按照以上第1条的信息价*（1-中标下浮率）进行结算；增加品种没有北园春或九鼎信息价的，基准价采用询价方式(由招标人经三家及以上询价确定配送价格)，结算单价按所询价的最低价计算。</w:t>
      </w:r>
    </w:p>
    <w:p w14:paraId="756B808F">
      <w:pPr>
        <w:widowControl w:val="0"/>
        <w:kinsoku/>
        <w:autoSpaceDE/>
        <w:autoSpaceDN/>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3.本项目投标报价包括货物到达招标人指定地点的全部费用，包括但不限于项目实施所需的货物费、包装运输费、配送费、人工费、装卸费管理费、利润、税费等一切费用。</w:t>
      </w:r>
    </w:p>
    <w:p w14:paraId="48AC4036">
      <w:pPr>
        <w:widowControl w:val="0"/>
        <w:kinsoku/>
        <w:autoSpaceDE/>
        <w:autoSpaceDN/>
        <w:adjustRightInd/>
        <w:snapToGrid/>
        <w:spacing w:line="360"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4.严格开具税务发票，投标报价为含税价格，供应商应按含税金额开具增值税普通发票。</w:t>
      </w:r>
    </w:p>
    <w:p w14:paraId="000175C1">
      <w:pPr>
        <w:widowControl w:val="0"/>
        <w:kinsoku/>
        <w:autoSpaceDE/>
        <w:autoSpaceDN/>
        <w:adjustRightInd/>
        <w:snapToGrid/>
        <w:spacing w:line="360" w:lineRule="auto"/>
        <w:textAlignment w:val="auto"/>
        <w:rPr>
          <w:rFonts w:hint="eastAsia" w:ascii="仿宋" w:hAnsi="仿宋" w:eastAsia="仿宋" w:cs="仿宋"/>
          <w:b/>
          <w:bCs/>
          <w:color w:val="auto"/>
          <w:sz w:val="24"/>
          <w:szCs w:val="24"/>
          <w:highlight w:val="none"/>
          <w:lang w:eastAsia="zh-CN"/>
        </w:rPr>
      </w:pPr>
      <w:r>
        <w:rPr>
          <w:rFonts w:ascii="仿宋" w:hAnsi="仿宋" w:eastAsia="仿宋" w:cs="仿宋"/>
          <w:b/>
          <w:bCs/>
          <w:color w:val="auto"/>
          <w:sz w:val="24"/>
          <w:szCs w:val="24"/>
          <w:highlight w:val="none"/>
          <w:lang w:eastAsia="zh-CN"/>
        </w:rPr>
        <w:t xml:space="preserve">六、服务要求 </w:t>
      </w:r>
    </w:p>
    <w:p w14:paraId="02627288">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1.每批货品需要严格按照食品安全要求，提供相关的厂家质量检测报告。</w:t>
      </w:r>
    </w:p>
    <w:p w14:paraId="336F3C8B">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2..供货商需要提供每批货品的送货单、货物验收单和发票，需要供货商签字确认。</w:t>
      </w:r>
    </w:p>
    <w:p w14:paraId="41E76AA3">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eastAsia="zh-CN"/>
        </w:rPr>
        <w:t>供货商需提供完整的售后服务方案、卫生安全保障计划及不合格货物退换承诺，并可向用户提供优惠条件。</w:t>
      </w:r>
    </w:p>
    <w:p w14:paraId="28E10188">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验收需求：招标食品必须保证质量，不能送过保质期或临期食品，不得违背国家食品卫生要求，不得以次充好、腐烂变质；配送原材料与订单内容必须相符;中标单位应保留和提供所有食材的溯源信息依据。如产地、生产商、生产批次、质保期限等信息资料。</w:t>
      </w:r>
    </w:p>
    <w:p w14:paraId="30D017A4">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5.供货商必须具备</w:t>
      </w:r>
      <w:r>
        <w:rPr>
          <w:rFonts w:hint="eastAsia" w:ascii="仿宋" w:hAnsi="仿宋" w:eastAsia="仿宋" w:cs="仿宋"/>
          <w:color w:val="auto"/>
          <w:sz w:val="24"/>
          <w:szCs w:val="24"/>
          <w:highlight w:val="none"/>
          <w:lang w:eastAsia="zh-CN"/>
        </w:rPr>
        <w:t>销售副食品类（调料类、豆制品类及速食类）等</w:t>
      </w:r>
      <w:r>
        <w:rPr>
          <w:rFonts w:hint="eastAsia" w:ascii="仿宋" w:hAnsi="仿宋" w:eastAsia="仿宋" w:cs="仿宋"/>
          <w:color w:val="auto"/>
          <w:sz w:val="24"/>
          <w:szCs w:val="24"/>
          <w:highlight w:val="none"/>
          <w:lang w:eastAsia="zh-CN"/>
        </w:rPr>
        <w:t>物资的资质，供货商在中标后，应向我单位缴纳合同总金额10%的履约保证金，合同期满后，无欠货、无食品质量等问题，我单位将无息退还其缴纳的履约保证金。</w:t>
      </w:r>
    </w:p>
    <w:p w14:paraId="5AAC2D8F">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送货要求：合同一经签订，双方必须严格履行合同条款及相关需求。供货商承担货物运输费用，并自行承担运输过程中的一切风险，我单位不承担任何责任，若在运输过程中发生食品污染问题，我单位有权无条件退货及终止合同。</w:t>
      </w:r>
    </w:p>
    <w:p w14:paraId="060440EF">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7.项目团队</w:t>
      </w:r>
    </w:p>
    <w:p w14:paraId="4B156322">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（1）项目经理：配备项目经理1名，具备食材采购经验，熟悉采购工作流程，负责与采购人对接供货服务。</w:t>
      </w:r>
    </w:p>
    <w:p w14:paraId="7BE9A7B0">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（2）配送人员：供应商需配备一定数量的配送人员以确保日常配送工作，禁止配送人员带病带伤配送。</w:t>
      </w:r>
    </w:p>
    <w:p w14:paraId="2FD8B447">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8.履约能力</w:t>
      </w:r>
    </w:p>
    <w:p w14:paraId="0C93B9E2">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（1）车辆配送</w:t>
      </w:r>
    </w:p>
    <w:p w14:paraId="3D2BAF80">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为了保证食材的新鲜和安全，需要配备符合卫生标准的车辆，考虑食堂的日均消耗量和配送频次，确保一次配送能够满足食堂的需求。</w:t>
      </w:r>
    </w:p>
    <w:p w14:paraId="0462F9F0">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（2）仓储、贮藏能力</w:t>
      </w:r>
    </w:p>
    <w:p w14:paraId="4890B32B">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为保障食材供应，供应商要有固定的仓储场所。仓储场所应保持干燥、清洁，避免阳光直射，温度应控制在适宜食材储存的范围内。仓储场所应具备良好的通风设施，以确保空气流通。</w:t>
      </w:r>
    </w:p>
    <w:p w14:paraId="17523C54">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9.应急能力</w:t>
      </w:r>
    </w:p>
    <w:p w14:paraId="748BC32F">
      <w:pPr>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应提供在自然灾害、极端事件、市场关闭、物资紧缺等突发紧急情况下拟采取的应急措施，包括运输途中的突发状况应急预案、临时安排送货应急预案、食品安全事故应急预案、食品卫生责任追究制度等，确保食堂食材及时供应不间断。经相关部门认定，因供应商所提供的原料原因造成采购人食堂出现食物中毒等卫生安全事故的，供应商除必须承担全部的法律责任外，还要全额承担因食物中毒发生所造成后果的一切费用。</w:t>
      </w:r>
    </w:p>
    <w:p w14:paraId="772A5076">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10.售后服务</w:t>
      </w:r>
    </w:p>
    <w:p w14:paraId="2142C7D6">
      <w:pPr>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确保在项目交付后能够及时响应客户需求，提供持续的技术支持和维护服务，以服务的长期稳定运行。</w:t>
      </w:r>
    </w:p>
    <w:p w14:paraId="7A2F65B5">
      <w:pPr>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eastAsia="zh-CN"/>
        </w:rPr>
        <w:t>所送货物与采购人所提供清单或合同要求不符，或货物送达前受损，经双方确认后，</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lang w:eastAsia="zh-CN"/>
        </w:rPr>
        <w:t>须接到通知后1小时之内免费提供包换、包退服务，并将换货货物送至指定地点替换不符或受损货物。</w:t>
      </w:r>
    </w:p>
    <w:p w14:paraId="5283980D">
      <w:pPr>
        <w:spacing w:line="360" w:lineRule="auto"/>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供应商需定期且认真地做好回访工作。对于在食材方面所存在的质量问题，或是收到相关的反馈意见，应当在24小时之内采取有限的措施进行解决，并及时给予相应的反馈。以此保障食材供应的质量，确保整个供应流程顺畅、高效。采购人有权对不符合质量要求的货物退货或要求换货，采购人要求换货或补货的，应由供应商重新供货直至合格，相关供货再行验收及给采购方造成的损失等费用由供应商承担。</w:t>
      </w:r>
    </w:p>
    <w:p w14:paraId="7DBB73CA">
      <w:pPr>
        <w:spacing w:line="360" w:lineRule="auto"/>
        <w:jc w:val="both"/>
        <w:rPr>
          <w:rFonts w:hint="eastAsia" w:ascii="仿宋" w:hAnsi="仿宋" w:eastAsia="仿宋" w:cs="仿宋"/>
          <w:b/>
          <w:bCs/>
          <w:color w:val="auto"/>
          <w:sz w:val="24"/>
          <w:szCs w:val="24"/>
          <w:highlight w:val="none"/>
          <w:lang w:eastAsia="zh-CN"/>
        </w:rPr>
      </w:pPr>
    </w:p>
    <w:p w14:paraId="03E77273">
      <w:pPr>
        <w:spacing w:line="360" w:lineRule="auto"/>
        <w:jc w:val="both"/>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（二）技术要求</w:t>
      </w:r>
    </w:p>
    <w:p w14:paraId="5730C2E9">
      <w:pPr>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需求清单</w:t>
      </w:r>
    </w:p>
    <w:tbl>
      <w:tblPr>
        <w:tblStyle w:val="22"/>
        <w:tblW w:w="8658" w:type="dxa"/>
        <w:tblInd w:w="96" w:type="dxa"/>
        <w:tblLayout w:type="autofit"/>
        <w:tblCellMar>
          <w:top w:w="0" w:type="dxa"/>
          <w:left w:w="108" w:type="dxa"/>
          <w:bottom w:w="0" w:type="dxa"/>
          <w:right w:w="108" w:type="dxa"/>
        </w:tblCellMar>
      </w:tblPr>
      <w:tblGrid>
        <w:gridCol w:w="464"/>
        <w:gridCol w:w="1496"/>
        <w:gridCol w:w="1060"/>
        <w:gridCol w:w="3429"/>
        <w:gridCol w:w="2209"/>
      </w:tblGrid>
      <w:tr w14:paraId="3B2E55D8">
        <w:tblPrEx>
          <w:tblCellMar>
            <w:top w:w="0" w:type="dxa"/>
            <w:left w:w="108" w:type="dxa"/>
            <w:bottom w:w="0" w:type="dxa"/>
            <w:right w:w="108" w:type="dxa"/>
          </w:tblCellMar>
        </w:tblPrEx>
        <w:trPr>
          <w:trHeight w:val="660" w:hRule="atLeast"/>
        </w:trPr>
        <w:tc>
          <w:tcPr>
            <w:tcW w:w="464" w:type="dxa"/>
            <w:tcBorders>
              <w:top w:val="single" w:color="auto" w:sz="4" w:space="0"/>
              <w:left w:val="single" w:color="auto" w:sz="4" w:space="0"/>
              <w:bottom w:val="single" w:color="auto" w:sz="4" w:space="0"/>
              <w:right w:val="single" w:color="auto" w:sz="4" w:space="0"/>
            </w:tcBorders>
            <w:vAlign w:val="center"/>
          </w:tcPr>
          <w:p w14:paraId="4D8298F7">
            <w:pPr>
              <w:jc w:val="center"/>
              <w:rPr>
                <w:rFonts w:hint="eastAsia" w:ascii="仿宋_GB2312" w:hAnsi="宋体" w:eastAsia="仿宋_GB2312" w:cs="宋体"/>
                <w:b/>
                <w:bCs/>
                <w:sz w:val="24"/>
                <w:highlight w:val="none"/>
              </w:rPr>
            </w:pPr>
            <w:r>
              <w:rPr>
                <w:rFonts w:hint="eastAsia" w:ascii="仿宋_GB2312" w:hAnsi="宋体" w:eastAsia="仿宋_GB2312" w:cs="宋体"/>
                <w:b/>
                <w:bCs/>
                <w:sz w:val="24"/>
                <w:highlight w:val="none"/>
              </w:rPr>
              <w:t>序号</w:t>
            </w:r>
          </w:p>
        </w:tc>
        <w:tc>
          <w:tcPr>
            <w:tcW w:w="1496" w:type="dxa"/>
            <w:tcBorders>
              <w:top w:val="single" w:color="auto" w:sz="4" w:space="0"/>
              <w:left w:val="single" w:color="auto" w:sz="4" w:space="0"/>
              <w:bottom w:val="single" w:color="auto" w:sz="4" w:space="0"/>
              <w:right w:val="single" w:color="auto" w:sz="4" w:space="0"/>
            </w:tcBorders>
            <w:vAlign w:val="center"/>
          </w:tcPr>
          <w:p w14:paraId="32C45A88">
            <w:pPr>
              <w:jc w:val="center"/>
              <w:rPr>
                <w:rFonts w:hint="eastAsia" w:ascii="仿宋_GB2312" w:hAnsi="宋体" w:eastAsia="仿宋_GB2312" w:cs="宋体"/>
                <w:b/>
                <w:bCs/>
                <w:sz w:val="24"/>
                <w:highlight w:val="none"/>
              </w:rPr>
            </w:pPr>
            <w:r>
              <w:rPr>
                <w:rFonts w:hint="eastAsia" w:ascii="仿宋_GB2312" w:hAnsi="宋体" w:eastAsia="仿宋_GB2312" w:cs="宋体"/>
                <w:b/>
                <w:bCs/>
                <w:sz w:val="24"/>
                <w:highlight w:val="none"/>
              </w:rPr>
              <w:t>种  类</w:t>
            </w:r>
          </w:p>
        </w:tc>
        <w:tc>
          <w:tcPr>
            <w:tcW w:w="1060" w:type="dxa"/>
            <w:tcBorders>
              <w:top w:val="single" w:color="auto" w:sz="4" w:space="0"/>
              <w:left w:val="single" w:color="auto" w:sz="4" w:space="0"/>
              <w:bottom w:val="single" w:color="auto" w:sz="4" w:space="0"/>
              <w:right w:val="single" w:color="auto" w:sz="4" w:space="0"/>
            </w:tcBorders>
            <w:vAlign w:val="center"/>
          </w:tcPr>
          <w:p w14:paraId="35769D50">
            <w:pPr>
              <w:jc w:val="center"/>
              <w:rPr>
                <w:rFonts w:hint="eastAsia" w:ascii="仿宋_GB2312" w:hAnsi="宋体" w:eastAsia="仿宋_GB2312" w:cs="宋体"/>
                <w:b/>
                <w:bCs/>
                <w:sz w:val="24"/>
                <w:highlight w:val="none"/>
              </w:rPr>
            </w:pPr>
            <w:r>
              <w:rPr>
                <w:rFonts w:hint="eastAsia" w:ascii="仿宋_GB2312" w:hAnsi="宋体" w:eastAsia="仿宋_GB2312" w:cs="宋体"/>
                <w:b/>
                <w:bCs/>
                <w:sz w:val="24"/>
                <w:highlight w:val="none"/>
              </w:rPr>
              <w:t>规格</w:t>
            </w:r>
          </w:p>
        </w:tc>
        <w:tc>
          <w:tcPr>
            <w:tcW w:w="3429" w:type="dxa"/>
            <w:tcBorders>
              <w:top w:val="single" w:color="auto" w:sz="4" w:space="0"/>
              <w:left w:val="single" w:color="auto" w:sz="4" w:space="0"/>
              <w:bottom w:val="single" w:color="auto" w:sz="4" w:space="0"/>
              <w:right w:val="single" w:color="auto" w:sz="4" w:space="0"/>
            </w:tcBorders>
            <w:vAlign w:val="center"/>
          </w:tcPr>
          <w:p w14:paraId="1C5C43DC">
            <w:pPr>
              <w:jc w:val="center"/>
              <w:rPr>
                <w:rFonts w:hint="eastAsia" w:ascii="仿宋_GB2312" w:hAnsi="宋体" w:eastAsia="仿宋_GB2312" w:cs="宋体"/>
                <w:b/>
                <w:bCs/>
                <w:sz w:val="24"/>
                <w:highlight w:val="none"/>
              </w:rPr>
            </w:pPr>
            <w:r>
              <w:rPr>
                <w:rFonts w:hint="eastAsia" w:ascii="仿宋_GB2312" w:hAnsi="宋体" w:eastAsia="仿宋_GB2312" w:cs="宋体"/>
                <w:b/>
                <w:bCs/>
                <w:sz w:val="24"/>
                <w:highlight w:val="none"/>
                <w:lang w:eastAsia="zh-CN"/>
              </w:rPr>
              <w:t>技术</w:t>
            </w:r>
            <w:r>
              <w:rPr>
                <w:rFonts w:hint="eastAsia" w:ascii="仿宋_GB2312" w:hAnsi="宋体" w:eastAsia="仿宋_GB2312" w:cs="宋体"/>
                <w:b/>
                <w:bCs/>
                <w:sz w:val="24"/>
                <w:highlight w:val="none"/>
              </w:rPr>
              <w:t>要求</w:t>
            </w:r>
          </w:p>
        </w:tc>
        <w:tc>
          <w:tcPr>
            <w:tcW w:w="2209" w:type="dxa"/>
            <w:tcBorders>
              <w:top w:val="single" w:color="auto" w:sz="4" w:space="0"/>
              <w:left w:val="single" w:color="auto" w:sz="4" w:space="0"/>
              <w:bottom w:val="single" w:color="auto" w:sz="4" w:space="0"/>
              <w:right w:val="single" w:color="auto" w:sz="4" w:space="0"/>
            </w:tcBorders>
            <w:vAlign w:val="center"/>
          </w:tcPr>
          <w:p w14:paraId="30EA1DF5">
            <w:pPr>
              <w:jc w:val="center"/>
              <w:rPr>
                <w:rFonts w:hint="default" w:ascii="仿宋_GB2312" w:hAnsi="宋体" w:eastAsia="仿宋_GB2312" w:cs="宋体"/>
                <w:b/>
                <w:bCs/>
                <w:sz w:val="24"/>
                <w:highlight w:val="none"/>
                <w:lang w:val="en-US" w:eastAsia="zh-CN"/>
              </w:rPr>
            </w:pPr>
            <w:r>
              <w:rPr>
                <w:rFonts w:hint="eastAsia" w:ascii="仿宋_GB2312" w:hAnsi="宋体" w:eastAsia="仿宋_GB2312" w:cs="宋体"/>
                <w:b/>
                <w:bCs/>
                <w:sz w:val="24"/>
                <w:highlight w:val="none"/>
                <w:lang w:val="en-US" w:eastAsia="zh-CN"/>
              </w:rPr>
              <w:t>所属行业</w:t>
            </w:r>
          </w:p>
        </w:tc>
      </w:tr>
      <w:tr w14:paraId="07E7B07D">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1BE3D54E">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1</w:t>
            </w:r>
          </w:p>
        </w:tc>
        <w:tc>
          <w:tcPr>
            <w:tcW w:w="1496" w:type="dxa"/>
            <w:tcBorders>
              <w:top w:val="single" w:color="auto" w:sz="4" w:space="0"/>
              <w:left w:val="single" w:color="auto" w:sz="4" w:space="0"/>
              <w:bottom w:val="single" w:color="auto" w:sz="4" w:space="0"/>
              <w:right w:val="single" w:color="auto" w:sz="4" w:space="0"/>
            </w:tcBorders>
            <w:vAlign w:val="center"/>
          </w:tcPr>
          <w:p w14:paraId="2CC40E6D">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酱 油</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461004D">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件</w:t>
            </w:r>
          </w:p>
        </w:tc>
        <w:tc>
          <w:tcPr>
            <w:tcW w:w="3429" w:type="dxa"/>
            <w:tcBorders>
              <w:top w:val="single" w:color="auto" w:sz="4" w:space="0"/>
              <w:left w:val="single" w:color="auto" w:sz="4" w:space="0"/>
              <w:bottom w:val="single" w:color="auto" w:sz="4" w:space="0"/>
              <w:right w:val="single" w:color="auto" w:sz="4" w:space="0"/>
            </w:tcBorders>
            <w:vAlign w:val="center"/>
          </w:tcPr>
          <w:p w14:paraId="10336965">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420F589D">
            <w:pPr>
              <w:spacing w:line="560" w:lineRule="auto"/>
              <w:jc w:val="center"/>
              <w:rPr>
                <w:rFonts w:hint="default"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工业</w:t>
            </w:r>
          </w:p>
        </w:tc>
      </w:tr>
      <w:tr w14:paraId="4D8EC191">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5A441827">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2</w:t>
            </w:r>
          </w:p>
        </w:tc>
        <w:tc>
          <w:tcPr>
            <w:tcW w:w="1496" w:type="dxa"/>
            <w:tcBorders>
              <w:top w:val="single" w:color="auto" w:sz="4" w:space="0"/>
              <w:left w:val="nil"/>
              <w:bottom w:val="single" w:color="auto" w:sz="4" w:space="0"/>
              <w:right w:val="single" w:color="auto" w:sz="4" w:space="0"/>
            </w:tcBorders>
            <w:vAlign w:val="center"/>
          </w:tcPr>
          <w:p w14:paraId="6EFC5794">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醋</w:t>
            </w:r>
          </w:p>
        </w:tc>
        <w:tc>
          <w:tcPr>
            <w:tcW w:w="1060" w:type="dxa"/>
            <w:tcBorders>
              <w:top w:val="single" w:color="auto" w:sz="4" w:space="0"/>
              <w:left w:val="nil"/>
              <w:bottom w:val="single" w:color="auto" w:sz="4" w:space="0"/>
              <w:right w:val="single" w:color="auto" w:sz="4" w:space="0"/>
            </w:tcBorders>
            <w:shd w:val="clear" w:color="auto" w:fill="auto"/>
            <w:vAlign w:val="center"/>
          </w:tcPr>
          <w:p w14:paraId="22D024D6">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件</w:t>
            </w:r>
          </w:p>
        </w:tc>
        <w:tc>
          <w:tcPr>
            <w:tcW w:w="3429" w:type="dxa"/>
            <w:tcBorders>
              <w:top w:val="single" w:color="auto" w:sz="4" w:space="0"/>
              <w:left w:val="nil"/>
              <w:bottom w:val="single" w:color="auto" w:sz="4" w:space="0"/>
              <w:right w:val="single" w:color="auto" w:sz="4" w:space="0"/>
            </w:tcBorders>
            <w:vAlign w:val="center"/>
          </w:tcPr>
          <w:p w14:paraId="114499B4">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nil"/>
              <w:bottom w:val="single" w:color="auto" w:sz="4" w:space="0"/>
              <w:right w:val="single" w:color="auto" w:sz="4" w:space="0"/>
            </w:tcBorders>
            <w:vAlign w:val="center"/>
          </w:tcPr>
          <w:p w14:paraId="6809A406">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07693992">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vAlign w:val="center"/>
          </w:tcPr>
          <w:p w14:paraId="18744289">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3</w:t>
            </w:r>
          </w:p>
        </w:tc>
        <w:tc>
          <w:tcPr>
            <w:tcW w:w="1496" w:type="dxa"/>
            <w:tcBorders>
              <w:top w:val="nil"/>
              <w:left w:val="nil"/>
              <w:bottom w:val="single" w:color="auto" w:sz="4" w:space="0"/>
              <w:right w:val="single" w:color="auto" w:sz="4" w:space="0"/>
            </w:tcBorders>
            <w:vAlign w:val="center"/>
          </w:tcPr>
          <w:p w14:paraId="32459F34">
            <w:pPr>
              <w:spacing w:line="560" w:lineRule="auto"/>
              <w:jc w:val="center"/>
              <w:rPr>
                <w:rFonts w:hint="eastAsia" w:ascii="仿宋_GB2312" w:hAnsi="宋体" w:eastAsia="仿宋_GB2312" w:cs="宋体"/>
                <w:sz w:val="24"/>
                <w:highlight w:val="none"/>
                <w:lang w:eastAsia="zh-CN"/>
              </w:rPr>
            </w:pPr>
            <w:r>
              <w:rPr>
                <w:rFonts w:ascii="宋体" w:hAnsi="宋体" w:eastAsia="宋体" w:cs="宋体"/>
                <w:color w:val="auto"/>
                <w:sz w:val="18"/>
                <w:highlight w:val="none"/>
              </w:rPr>
              <w:t>豆  腐</w:t>
            </w:r>
          </w:p>
        </w:tc>
        <w:tc>
          <w:tcPr>
            <w:tcW w:w="1060" w:type="dxa"/>
            <w:tcBorders>
              <w:top w:val="nil"/>
              <w:left w:val="nil"/>
              <w:bottom w:val="single" w:color="auto" w:sz="4" w:space="0"/>
              <w:right w:val="single" w:color="auto" w:sz="4" w:space="0"/>
            </w:tcBorders>
            <w:shd w:val="clear" w:color="auto" w:fill="auto"/>
            <w:vAlign w:val="center"/>
          </w:tcPr>
          <w:p w14:paraId="62BF8DC9">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nil"/>
              <w:left w:val="nil"/>
              <w:bottom w:val="single" w:color="auto" w:sz="4" w:space="0"/>
              <w:right w:val="single" w:color="auto" w:sz="4" w:space="0"/>
            </w:tcBorders>
            <w:vAlign w:val="center"/>
          </w:tcPr>
          <w:p w14:paraId="0F558536">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nil"/>
              <w:left w:val="nil"/>
              <w:bottom w:val="single" w:color="auto" w:sz="4" w:space="0"/>
              <w:right w:val="single" w:color="auto" w:sz="4" w:space="0"/>
            </w:tcBorders>
            <w:vAlign w:val="center"/>
          </w:tcPr>
          <w:p w14:paraId="5AB5177E">
            <w:pPr>
              <w:spacing w:line="560" w:lineRule="auto"/>
              <w:jc w:val="center"/>
              <w:rPr>
                <w:rFonts w:ascii="宋体" w:hAnsi="宋体" w:eastAsia="宋体" w:cs="宋体"/>
                <w:color w:val="auto"/>
                <w:sz w:val="18"/>
                <w:highlight w:val="none"/>
                <w:lang w:eastAsia="zh-CN"/>
              </w:rPr>
            </w:pPr>
            <w:r>
              <w:rPr>
                <w:rFonts w:hint="eastAsia" w:asciiTheme="minorEastAsia" w:hAnsiTheme="minorEastAsia" w:cstheme="minorEastAsia"/>
                <w:color w:val="auto"/>
                <w:sz w:val="21"/>
                <w:szCs w:val="21"/>
                <w:highlight w:val="none"/>
                <w:lang w:val="en-US" w:eastAsia="zh-CN"/>
              </w:rPr>
              <w:t>工业</w:t>
            </w:r>
          </w:p>
        </w:tc>
      </w:tr>
      <w:tr w14:paraId="084B0C3C">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vAlign w:val="center"/>
          </w:tcPr>
          <w:p w14:paraId="5566085B">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4</w:t>
            </w:r>
          </w:p>
        </w:tc>
        <w:tc>
          <w:tcPr>
            <w:tcW w:w="1496" w:type="dxa"/>
            <w:tcBorders>
              <w:top w:val="nil"/>
              <w:left w:val="nil"/>
              <w:bottom w:val="single" w:color="auto" w:sz="4" w:space="0"/>
              <w:right w:val="single" w:color="auto" w:sz="4" w:space="0"/>
            </w:tcBorders>
            <w:vAlign w:val="center"/>
          </w:tcPr>
          <w:p w14:paraId="368BDFE4">
            <w:pPr>
              <w:spacing w:line="560" w:lineRule="auto"/>
              <w:jc w:val="center"/>
              <w:rPr>
                <w:rFonts w:hint="eastAsia" w:ascii="仿宋_GB2312" w:hAnsi="宋体" w:eastAsia="仿宋_GB2312" w:cs="宋体"/>
                <w:sz w:val="24"/>
                <w:highlight w:val="none"/>
                <w:lang w:eastAsia="zh-CN"/>
              </w:rPr>
            </w:pPr>
            <w:r>
              <w:rPr>
                <w:rFonts w:ascii="宋体" w:hAnsi="宋体" w:eastAsia="宋体" w:cs="宋体"/>
                <w:color w:val="auto"/>
                <w:sz w:val="18"/>
                <w:highlight w:val="none"/>
              </w:rPr>
              <w:t>花椒粉（粒）</w:t>
            </w:r>
          </w:p>
        </w:tc>
        <w:tc>
          <w:tcPr>
            <w:tcW w:w="1060" w:type="dxa"/>
            <w:tcBorders>
              <w:top w:val="nil"/>
              <w:left w:val="nil"/>
              <w:bottom w:val="single" w:color="auto" w:sz="4" w:space="0"/>
              <w:right w:val="single" w:color="auto" w:sz="4" w:space="0"/>
            </w:tcBorders>
            <w:shd w:val="clear" w:color="auto" w:fill="auto"/>
            <w:vAlign w:val="center"/>
          </w:tcPr>
          <w:p w14:paraId="5945CF6D">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nil"/>
              <w:left w:val="nil"/>
              <w:bottom w:val="single" w:color="auto" w:sz="4" w:space="0"/>
              <w:right w:val="single" w:color="auto" w:sz="4" w:space="0"/>
            </w:tcBorders>
            <w:vAlign w:val="center"/>
          </w:tcPr>
          <w:p w14:paraId="0B719F3B">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nil"/>
              <w:left w:val="nil"/>
              <w:bottom w:val="single" w:color="auto" w:sz="4" w:space="0"/>
              <w:right w:val="single" w:color="auto" w:sz="4" w:space="0"/>
            </w:tcBorders>
            <w:vAlign w:val="center"/>
          </w:tcPr>
          <w:p w14:paraId="604892BF">
            <w:pPr>
              <w:spacing w:line="560" w:lineRule="auto"/>
              <w:jc w:val="center"/>
              <w:rPr>
                <w:rFonts w:ascii="宋体" w:hAnsi="宋体" w:eastAsia="宋体" w:cs="宋体"/>
                <w:color w:val="auto"/>
                <w:sz w:val="18"/>
                <w:highlight w:val="none"/>
                <w:lang w:eastAsia="zh-CN"/>
              </w:rPr>
            </w:pPr>
            <w:r>
              <w:rPr>
                <w:rFonts w:hint="eastAsia" w:asciiTheme="minorEastAsia" w:hAnsiTheme="minorEastAsia" w:cstheme="minorEastAsia"/>
                <w:color w:val="auto"/>
                <w:sz w:val="21"/>
                <w:szCs w:val="21"/>
                <w:highlight w:val="none"/>
                <w:lang w:val="en-US" w:eastAsia="zh-CN"/>
              </w:rPr>
              <w:t>工业</w:t>
            </w:r>
          </w:p>
        </w:tc>
      </w:tr>
      <w:tr w14:paraId="695F0276">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vAlign w:val="center"/>
          </w:tcPr>
          <w:p w14:paraId="4E1DF928">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5</w:t>
            </w:r>
          </w:p>
        </w:tc>
        <w:tc>
          <w:tcPr>
            <w:tcW w:w="1496" w:type="dxa"/>
            <w:tcBorders>
              <w:top w:val="nil"/>
              <w:left w:val="nil"/>
              <w:bottom w:val="single" w:color="auto" w:sz="4" w:space="0"/>
              <w:right w:val="single" w:color="auto" w:sz="4" w:space="0"/>
            </w:tcBorders>
            <w:vAlign w:val="center"/>
          </w:tcPr>
          <w:p w14:paraId="7DC33EA2">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味  精</w:t>
            </w:r>
          </w:p>
        </w:tc>
        <w:tc>
          <w:tcPr>
            <w:tcW w:w="1060" w:type="dxa"/>
            <w:tcBorders>
              <w:top w:val="nil"/>
              <w:left w:val="nil"/>
              <w:bottom w:val="single" w:color="auto" w:sz="4" w:space="0"/>
              <w:right w:val="single" w:color="auto" w:sz="4" w:space="0"/>
            </w:tcBorders>
            <w:shd w:val="clear" w:color="auto" w:fill="auto"/>
            <w:vAlign w:val="center"/>
          </w:tcPr>
          <w:p w14:paraId="66472C3F">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nil"/>
              <w:left w:val="nil"/>
              <w:bottom w:val="single" w:color="auto" w:sz="4" w:space="0"/>
              <w:right w:val="single" w:color="auto" w:sz="4" w:space="0"/>
            </w:tcBorders>
            <w:vAlign w:val="center"/>
          </w:tcPr>
          <w:p w14:paraId="43BDB806">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nil"/>
              <w:left w:val="nil"/>
              <w:bottom w:val="single" w:color="auto" w:sz="4" w:space="0"/>
              <w:right w:val="single" w:color="auto" w:sz="4" w:space="0"/>
            </w:tcBorders>
            <w:vAlign w:val="center"/>
          </w:tcPr>
          <w:p w14:paraId="09F4C563">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6818E62D">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shd w:val="clear" w:color="auto" w:fill="auto"/>
            <w:vAlign w:val="center"/>
          </w:tcPr>
          <w:p w14:paraId="6FEF6FE7">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6</w:t>
            </w:r>
          </w:p>
        </w:tc>
        <w:tc>
          <w:tcPr>
            <w:tcW w:w="1496" w:type="dxa"/>
            <w:tcBorders>
              <w:top w:val="nil"/>
              <w:left w:val="nil"/>
              <w:bottom w:val="single" w:color="auto" w:sz="4" w:space="0"/>
              <w:right w:val="single" w:color="auto" w:sz="4" w:space="0"/>
            </w:tcBorders>
            <w:shd w:val="clear" w:color="000000" w:fill="FFFFFF"/>
            <w:vAlign w:val="center"/>
          </w:tcPr>
          <w:p w14:paraId="4469C357">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八  角</w:t>
            </w:r>
          </w:p>
        </w:tc>
        <w:tc>
          <w:tcPr>
            <w:tcW w:w="1060" w:type="dxa"/>
            <w:tcBorders>
              <w:top w:val="nil"/>
              <w:left w:val="nil"/>
              <w:bottom w:val="single" w:color="auto" w:sz="4" w:space="0"/>
              <w:right w:val="single" w:color="auto" w:sz="4" w:space="0"/>
            </w:tcBorders>
            <w:shd w:val="clear" w:color="auto" w:fill="auto"/>
            <w:vAlign w:val="center"/>
          </w:tcPr>
          <w:p w14:paraId="2FEF14D5">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nil"/>
              <w:left w:val="nil"/>
              <w:bottom w:val="single" w:color="auto" w:sz="4" w:space="0"/>
              <w:right w:val="single" w:color="auto" w:sz="4" w:space="0"/>
            </w:tcBorders>
            <w:shd w:val="clear" w:color="000000" w:fill="FFFFFF"/>
            <w:vAlign w:val="center"/>
          </w:tcPr>
          <w:p w14:paraId="2CB199D8">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nil"/>
              <w:left w:val="nil"/>
              <w:bottom w:val="single" w:color="auto" w:sz="4" w:space="0"/>
              <w:right w:val="single" w:color="auto" w:sz="4" w:space="0"/>
            </w:tcBorders>
            <w:shd w:val="clear" w:color="000000" w:fill="FFFFFF"/>
            <w:vAlign w:val="center"/>
          </w:tcPr>
          <w:p w14:paraId="4A7D4015">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7448D0D3">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shd w:val="clear" w:color="auto" w:fill="auto"/>
            <w:vAlign w:val="center"/>
          </w:tcPr>
          <w:p w14:paraId="31B60AD8">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7</w:t>
            </w:r>
          </w:p>
        </w:tc>
        <w:tc>
          <w:tcPr>
            <w:tcW w:w="1496" w:type="dxa"/>
            <w:tcBorders>
              <w:top w:val="nil"/>
              <w:left w:val="nil"/>
              <w:bottom w:val="single" w:color="auto" w:sz="4" w:space="0"/>
              <w:right w:val="single" w:color="auto" w:sz="4" w:space="0"/>
            </w:tcBorders>
            <w:shd w:val="clear" w:color="000000" w:fill="FFFFFF"/>
            <w:vAlign w:val="center"/>
          </w:tcPr>
          <w:p w14:paraId="201AD681">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姜  粉</w:t>
            </w:r>
          </w:p>
        </w:tc>
        <w:tc>
          <w:tcPr>
            <w:tcW w:w="1060" w:type="dxa"/>
            <w:tcBorders>
              <w:top w:val="nil"/>
              <w:left w:val="nil"/>
              <w:bottom w:val="single" w:color="auto" w:sz="4" w:space="0"/>
              <w:right w:val="single" w:color="auto" w:sz="4" w:space="0"/>
            </w:tcBorders>
            <w:shd w:val="clear" w:color="auto" w:fill="auto"/>
            <w:vAlign w:val="center"/>
          </w:tcPr>
          <w:p w14:paraId="3D1E926A">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nil"/>
              <w:left w:val="nil"/>
              <w:bottom w:val="single" w:color="auto" w:sz="4" w:space="0"/>
              <w:right w:val="single" w:color="auto" w:sz="4" w:space="0"/>
            </w:tcBorders>
            <w:shd w:val="clear" w:color="000000" w:fill="FFFFFF"/>
            <w:vAlign w:val="center"/>
          </w:tcPr>
          <w:p w14:paraId="78A36714">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nil"/>
              <w:left w:val="nil"/>
              <w:bottom w:val="single" w:color="auto" w:sz="4" w:space="0"/>
              <w:right w:val="single" w:color="auto" w:sz="4" w:space="0"/>
            </w:tcBorders>
            <w:shd w:val="clear" w:color="000000" w:fill="FFFFFF"/>
            <w:vAlign w:val="center"/>
          </w:tcPr>
          <w:p w14:paraId="43F8340D">
            <w:pPr>
              <w:spacing w:line="560" w:lineRule="auto"/>
              <w:jc w:val="center"/>
              <w:rPr>
                <w:rFonts w:ascii="宋体" w:hAnsi="宋体" w:eastAsia="宋体" w:cs="宋体"/>
                <w:color w:val="auto"/>
                <w:sz w:val="18"/>
                <w:highlight w:val="none"/>
                <w:lang w:eastAsia="zh-CN"/>
              </w:rPr>
            </w:pPr>
            <w:r>
              <w:rPr>
                <w:rFonts w:hint="eastAsia" w:asciiTheme="minorEastAsia" w:hAnsiTheme="minorEastAsia" w:cstheme="minorEastAsia"/>
                <w:color w:val="auto"/>
                <w:sz w:val="21"/>
                <w:szCs w:val="21"/>
                <w:highlight w:val="none"/>
                <w:lang w:val="en-US" w:eastAsia="zh-CN"/>
              </w:rPr>
              <w:t>工业</w:t>
            </w:r>
          </w:p>
        </w:tc>
      </w:tr>
      <w:tr w14:paraId="018E3C08">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vAlign w:val="center"/>
          </w:tcPr>
          <w:p w14:paraId="5216B6F5">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8</w:t>
            </w:r>
          </w:p>
        </w:tc>
        <w:tc>
          <w:tcPr>
            <w:tcW w:w="1496" w:type="dxa"/>
            <w:tcBorders>
              <w:top w:val="nil"/>
              <w:left w:val="nil"/>
              <w:bottom w:val="single" w:color="auto" w:sz="4" w:space="0"/>
              <w:right w:val="single" w:color="auto" w:sz="4" w:space="0"/>
            </w:tcBorders>
            <w:vAlign w:val="center"/>
          </w:tcPr>
          <w:p w14:paraId="209243F4">
            <w:pPr>
              <w:spacing w:line="560" w:lineRule="auto"/>
              <w:jc w:val="center"/>
              <w:rPr>
                <w:rFonts w:hint="eastAsia" w:ascii="宋体" w:hAnsi="宋体" w:eastAsia="宋体" w:cs="宋体"/>
                <w:color w:val="auto"/>
                <w:sz w:val="18"/>
                <w:highlight w:val="none"/>
              </w:rPr>
            </w:pPr>
            <w:r>
              <w:rPr>
                <w:rFonts w:ascii="宋体" w:hAnsi="宋体" w:eastAsia="宋体" w:cs="宋体"/>
                <w:color w:val="auto"/>
                <w:sz w:val="18"/>
                <w:highlight w:val="none"/>
              </w:rPr>
              <w:t>红油</w:t>
            </w:r>
          </w:p>
          <w:p w14:paraId="3A235D8F">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豆瓣酱</w:t>
            </w:r>
          </w:p>
        </w:tc>
        <w:tc>
          <w:tcPr>
            <w:tcW w:w="1060" w:type="dxa"/>
            <w:tcBorders>
              <w:top w:val="nil"/>
              <w:left w:val="nil"/>
              <w:bottom w:val="single" w:color="auto" w:sz="4" w:space="0"/>
              <w:right w:val="single" w:color="auto" w:sz="4" w:space="0"/>
            </w:tcBorders>
            <w:shd w:val="clear" w:color="auto" w:fill="auto"/>
            <w:vAlign w:val="center"/>
          </w:tcPr>
          <w:p w14:paraId="3574C984">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桶</w:t>
            </w:r>
          </w:p>
        </w:tc>
        <w:tc>
          <w:tcPr>
            <w:tcW w:w="3429" w:type="dxa"/>
            <w:tcBorders>
              <w:top w:val="nil"/>
              <w:left w:val="nil"/>
              <w:bottom w:val="single" w:color="auto" w:sz="4" w:space="0"/>
              <w:right w:val="single" w:color="auto" w:sz="4" w:space="0"/>
            </w:tcBorders>
            <w:vAlign w:val="center"/>
          </w:tcPr>
          <w:p w14:paraId="505C2D23">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nil"/>
              <w:left w:val="nil"/>
              <w:bottom w:val="single" w:color="auto" w:sz="4" w:space="0"/>
              <w:right w:val="single" w:color="auto" w:sz="4" w:space="0"/>
            </w:tcBorders>
            <w:vAlign w:val="center"/>
          </w:tcPr>
          <w:p w14:paraId="7FF00675">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55259AD5">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vAlign w:val="center"/>
          </w:tcPr>
          <w:p w14:paraId="074A6DF2">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9</w:t>
            </w:r>
          </w:p>
        </w:tc>
        <w:tc>
          <w:tcPr>
            <w:tcW w:w="1496" w:type="dxa"/>
            <w:tcBorders>
              <w:top w:val="nil"/>
              <w:left w:val="nil"/>
              <w:bottom w:val="single" w:color="auto" w:sz="4" w:space="0"/>
              <w:right w:val="single" w:color="auto" w:sz="4" w:space="0"/>
            </w:tcBorders>
            <w:vAlign w:val="center"/>
          </w:tcPr>
          <w:p w14:paraId="7472AAC5">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粉  条</w:t>
            </w:r>
          </w:p>
        </w:tc>
        <w:tc>
          <w:tcPr>
            <w:tcW w:w="1060" w:type="dxa"/>
            <w:tcBorders>
              <w:top w:val="nil"/>
              <w:left w:val="nil"/>
              <w:bottom w:val="single" w:color="auto" w:sz="4" w:space="0"/>
              <w:right w:val="single" w:color="auto" w:sz="4" w:space="0"/>
            </w:tcBorders>
            <w:shd w:val="clear" w:color="auto" w:fill="auto"/>
            <w:vAlign w:val="center"/>
          </w:tcPr>
          <w:p w14:paraId="32C110D8">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nil"/>
              <w:left w:val="nil"/>
              <w:bottom w:val="single" w:color="auto" w:sz="4" w:space="0"/>
              <w:right w:val="single" w:color="auto" w:sz="4" w:space="0"/>
            </w:tcBorders>
            <w:vAlign w:val="center"/>
          </w:tcPr>
          <w:p w14:paraId="3348C3D9">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nil"/>
              <w:left w:val="nil"/>
              <w:bottom w:val="single" w:color="auto" w:sz="4" w:space="0"/>
              <w:right w:val="single" w:color="auto" w:sz="4" w:space="0"/>
            </w:tcBorders>
            <w:vAlign w:val="center"/>
          </w:tcPr>
          <w:p w14:paraId="52ACE6C8">
            <w:pPr>
              <w:spacing w:line="560" w:lineRule="auto"/>
              <w:jc w:val="center"/>
              <w:rPr>
                <w:rFonts w:hint="default"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工业</w:t>
            </w:r>
          </w:p>
        </w:tc>
      </w:tr>
      <w:tr w14:paraId="2CA338B4">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vAlign w:val="center"/>
          </w:tcPr>
          <w:p w14:paraId="24C5691F">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10</w:t>
            </w:r>
          </w:p>
        </w:tc>
        <w:tc>
          <w:tcPr>
            <w:tcW w:w="1496" w:type="dxa"/>
            <w:tcBorders>
              <w:top w:val="nil"/>
              <w:left w:val="nil"/>
              <w:bottom w:val="single" w:color="auto" w:sz="4" w:space="0"/>
              <w:right w:val="single" w:color="auto" w:sz="4" w:space="0"/>
            </w:tcBorders>
            <w:vAlign w:val="center"/>
          </w:tcPr>
          <w:p w14:paraId="537EC862">
            <w:pPr>
              <w:spacing w:line="560" w:lineRule="auto"/>
              <w:jc w:val="center"/>
              <w:rPr>
                <w:rFonts w:hint="eastAsia" w:ascii="仿宋_GB2312" w:hAnsi="宋体" w:eastAsia="仿宋_GB2312" w:cs="宋体"/>
                <w:sz w:val="24"/>
                <w:highlight w:val="none"/>
                <w:lang w:eastAsia="zh-CN"/>
              </w:rPr>
            </w:pPr>
            <w:r>
              <w:rPr>
                <w:rFonts w:ascii="宋体" w:hAnsi="宋体" w:eastAsia="宋体" w:cs="宋体"/>
                <w:color w:val="auto"/>
                <w:sz w:val="18"/>
                <w:highlight w:val="none"/>
              </w:rPr>
              <w:t>干木耳</w:t>
            </w:r>
          </w:p>
        </w:tc>
        <w:tc>
          <w:tcPr>
            <w:tcW w:w="1060" w:type="dxa"/>
            <w:tcBorders>
              <w:top w:val="nil"/>
              <w:left w:val="nil"/>
              <w:bottom w:val="single" w:color="auto" w:sz="4" w:space="0"/>
              <w:right w:val="single" w:color="auto" w:sz="4" w:space="0"/>
            </w:tcBorders>
            <w:shd w:val="clear" w:color="auto" w:fill="auto"/>
            <w:vAlign w:val="center"/>
          </w:tcPr>
          <w:p w14:paraId="1C68029A">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nil"/>
              <w:left w:val="nil"/>
              <w:bottom w:val="single" w:color="auto" w:sz="4" w:space="0"/>
              <w:right w:val="single" w:color="auto" w:sz="4" w:space="0"/>
            </w:tcBorders>
            <w:vAlign w:val="center"/>
          </w:tcPr>
          <w:p w14:paraId="2D672C9F">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nil"/>
              <w:left w:val="nil"/>
              <w:bottom w:val="single" w:color="auto" w:sz="4" w:space="0"/>
              <w:right w:val="single" w:color="auto" w:sz="4" w:space="0"/>
            </w:tcBorders>
            <w:vAlign w:val="center"/>
          </w:tcPr>
          <w:p w14:paraId="322C53FF">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09DFDFB8">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vAlign w:val="center"/>
          </w:tcPr>
          <w:p w14:paraId="362D03B4">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11</w:t>
            </w:r>
          </w:p>
        </w:tc>
        <w:tc>
          <w:tcPr>
            <w:tcW w:w="1496" w:type="dxa"/>
            <w:tcBorders>
              <w:top w:val="nil"/>
              <w:left w:val="nil"/>
              <w:bottom w:val="single" w:color="auto" w:sz="4" w:space="0"/>
              <w:right w:val="single" w:color="auto" w:sz="4" w:space="0"/>
            </w:tcBorders>
            <w:vAlign w:val="center"/>
          </w:tcPr>
          <w:p w14:paraId="1C6B73EA">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红  糖</w:t>
            </w:r>
          </w:p>
        </w:tc>
        <w:tc>
          <w:tcPr>
            <w:tcW w:w="1060" w:type="dxa"/>
            <w:tcBorders>
              <w:top w:val="nil"/>
              <w:left w:val="nil"/>
              <w:bottom w:val="single" w:color="auto" w:sz="4" w:space="0"/>
              <w:right w:val="single" w:color="auto" w:sz="4" w:space="0"/>
            </w:tcBorders>
            <w:shd w:val="clear" w:color="auto" w:fill="auto"/>
            <w:vAlign w:val="center"/>
          </w:tcPr>
          <w:p w14:paraId="789B31F6">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nil"/>
              <w:left w:val="nil"/>
              <w:bottom w:val="single" w:color="auto" w:sz="4" w:space="0"/>
              <w:right w:val="single" w:color="auto" w:sz="4" w:space="0"/>
            </w:tcBorders>
            <w:vAlign w:val="center"/>
          </w:tcPr>
          <w:p w14:paraId="7AD3A563">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nil"/>
              <w:left w:val="nil"/>
              <w:bottom w:val="single" w:color="auto" w:sz="4" w:space="0"/>
              <w:right w:val="single" w:color="auto" w:sz="4" w:space="0"/>
            </w:tcBorders>
            <w:vAlign w:val="center"/>
          </w:tcPr>
          <w:p w14:paraId="2DC57411">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1CC6433F">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shd w:val="clear" w:color="000000" w:fill="FFFFFF"/>
            <w:vAlign w:val="center"/>
          </w:tcPr>
          <w:p w14:paraId="2DC1F881">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12</w:t>
            </w:r>
          </w:p>
        </w:tc>
        <w:tc>
          <w:tcPr>
            <w:tcW w:w="1496" w:type="dxa"/>
            <w:tcBorders>
              <w:top w:val="nil"/>
              <w:left w:val="nil"/>
              <w:bottom w:val="single" w:color="auto" w:sz="4" w:space="0"/>
              <w:right w:val="single" w:color="auto" w:sz="4" w:space="0"/>
            </w:tcBorders>
            <w:shd w:val="clear" w:color="000000" w:fill="FFFFFF"/>
            <w:vAlign w:val="center"/>
          </w:tcPr>
          <w:p w14:paraId="7594F250">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砖  茶</w:t>
            </w:r>
          </w:p>
        </w:tc>
        <w:tc>
          <w:tcPr>
            <w:tcW w:w="1060" w:type="dxa"/>
            <w:tcBorders>
              <w:top w:val="nil"/>
              <w:left w:val="nil"/>
              <w:bottom w:val="single" w:color="auto" w:sz="4" w:space="0"/>
              <w:right w:val="single" w:color="auto" w:sz="4" w:space="0"/>
            </w:tcBorders>
            <w:shd w:val="clear" w:color="auto" w:fill="auto"/>
            <w:vAlign w:val="center"/>
          </w:tcPr>
          <w:p w14:paraId="685C6F3F">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块</w:t>
            </w:r>
          </w:p>
        </w:tc>
        <w:tc>
          <w:tcPr>
            <w:tcW w:w="3429" w:type="dxa"/>
            <w:tcBorders>
              <w:top w:val="nil"/>
              <w:left w:val="nil"/>
              <w:bottom w:val="single" w:color="auto" w:sz="4" w:space="0"/>
              <w:right w:val="single" w:color="auto" w:sz="4" w:space="0"/>
            </w:tcBorders>
            <w:shd w:val="clear" w:color="000000" w:fill="FFFFFF"/>
            <w:vAlign w:val="center"/>
          </w:tcPr>
          <w:p w14:paraId="3B4B7BF4">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nil"/>
              <w:left w:val="nil"/>
              <w:bottom w:val="single" w:color="auto" w:sz="4" w:space="0"/>
              <w:right w:val="single" w:color="auto" w:sz="4" w:space="0"/>
            </w:tcBorders>
            <w:shd w:val="clear" w:color="000000" w:fill="FFFFFF"/>
            <w:vAlign w:val="center"/>
          </w:tcPr>
          <w:p w14:paraId="5DF225B0">
            <w:pPr>
              <w:spacing w:line="560" w:lineRule="auto"/>
              <w:jc w:val="center"/>
              <w:rPr>
                <w:rFonts w:hint="default"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工业</w:t>
            </w:r>
          </w:p>
        </w:tc>
      </w:tr>
      <w:tr w14:paraId="6FFF8D98">
        <w:tblPrEx>
          <w:tblCellMar>
            <w:top w:w="0" w:type="dxa"/>
            <w:left w:w="108" w:type="dxa"/>
            <w:bottom w:w="0" w:type="dxa"/>
            <w:right w:w="108" w:type="dxa"/>
          </w:tblCellMar>
        </w:tblPrEx>
        <w:trPr>
          <w:trHeight w:val="1067" w:hRule="atLeast"/>
        </w:trPr>
        <w:tc>
          <w:tcPr>
            <w:tcW w:w="464" w:type="dxa"/>
            <w:tcBorders>
              <w:top w:val="nil"/>
              <w:left w:val="single" w:color="auto" w:sz="4" w:space="0"/>
              <w:bottom w:val="single" w:color="auto" w:sz="4" w:space="0"/>
              <w:right w:val="single" w:color="auto" w:sz="4" w:space="0"/>
            </w:tcBorders>
            <w:shd w:val="clear" w:color="000000" w:fill="FFFFFF"/>
            <w:vAlign w:val="center"/>
          </w:tcPr>
          <w:p w14:paraId="6546E8E5">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13</w:t>
            </w:r>
          </w:p>
        </w:tc>
        <w:tc>
          <w:tcPr>
            <w:tcW w:w="1496" w:type="dxa"/>
            <w:tcBorders>
              <w:top w:val="single" w:color="auto" w:sz="4" w:space="0"/>
              <w:left w:val="single" w:color="auto" w:sz="4" w:space="0"/>
              <w:bottom w:val="single" w:color="auto" w:sz="4" w:space="0"/>
              <w:right w:val="single" w:color="auto" w:sz="4" w:space="0"/>
            </w:tcBorders>
            <w:shd w:val="clear" w:color="000000" w:fill="FFFFFF"/>
            <w:vAlign w:val="center"/>
          </w:tcPr>
          <w:p w14:paraId="13C5F1AC">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紫  菜</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83FB64D">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件</w:t>
            </w:r>
          </w:p>
        </w:tc>
        <w:tc>
          <w:tcPr>
            <w:tcW w:w="3429" w:type="dxa"/>
            <w:tcBorders>
              <w:top w:val="single" w:color="auto" w:sz="4" w:space="0"/>
              <w:left w:val="single" w:color="auto" w:sz="4" w:space="0"/>
              <w:bottom w:val="single" w:color="auto" w:sz="4" w:space="0"/>
              <w:right w:val="single" w:color="auto" w:sz="4" w:space="0"/>
            </w:tcBorders>
            <w:shd w:val="clear" w:color="000000" w:fill="FFFFFF"/>
            <w:vAlign w:val="center"/>
          </w:tcPr>
          <w:p w14:paraId="709F36CB">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shd w:val="clear" w:color="000000" w:fill="FFFFFF"/>
            <w:vAlign w:val="center"/>
          </w:tcPr>
          <w:p w14:paraId="47BB467E">
            <w:pPr>
              <w:spacing w:line="560" w:lineRule="auto"/>
              <w:jc w:val="center"/>
              <w:rPr>
                <w:rFonts w:hint="default" w:ascii="宋体" w:hAnsi="宋体" w:eastAsia="宋体" w:cs="宋体"/>
                <w:color w:val="auto"/>
                <w:sz w:val="18"/>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1D2913FD">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000000" w:fill="FFFFFF"/>
            <w:vAlign w:val="center"/>
          </w:tcPr>
          <w:p w14:paraId="7E9E972A">
            <w:pPr>
              <w:jc w:val="center"/>
              <w:rPr>
                <w:rFonts w:hint="eastAsia" w:ascii="仿宋_GB2312" w:hAnsi="宋体" w:eastAsia="仿宋_GB2312" w:cs="宋体"/>
                <w:sz w:val="24"/>
                <w:highlight w:val="none"/>
              </w:rPr>
            </w:pPr>
            <w:r>
              <w:rPr>
                <w:rFonts w:hint="eastAsia" w:ascii="仿宋_GB2312" w:hAnsi="宋体" w:eastAsia="仿宋_GB2312" w:cs="宋体"/>
                <w:sz w:val="24"/>
                <w:highlight w:val="none"/>
              </w:rPr>
              <w:t>14</w:t>
            </w:r>
          </w:p>
        </w:tc>
        <w:tc>
          <w:tcPr>
            <w:tcW w:w="1496" w:type="dxa"/>
            <w:tcBorders>
              <w:top w:val="single" w:color="auto" w:sz="4" w:space="0"/>
              <w:left w:val="single" w:color="auto" w:sz="4" w:space="0"/>
              <w:bottom w:val="single" w:color="auto" w:sz="4" w:space="0"/>
              <w:right w:val="single" w:color="auto" w:sz="4" w:space="0"/>
            </w:tcBorders>
            <w:shd w:val="clear" w:color="000000" w:fill="FFFFFF"/>
            <w:vAlign w:val="center"/>
          </w:tcPr>
          <w:p w14:paraId="38EBE551">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发酵粉</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0A5B620">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件</w:t>
            </w:r>
          </w:p>
        </w:tc>
        <w:tc>
          <w:tcPr>
            <w:tcW w:w="3429" w:type="dxa"/>
            <w:tcBorders>
              <w:top w:val="single" w:color="auto" w:sz="4" w:space="0"/>
              <w:left w:val="single" w:color="auto" w:sz="4" w:space="0"/>
              <w:bottom w:val="single" w:color="auto" w:sz="4" w:space="0"/>
              <w:right w:val="single" w:color="auto" w:sz="4" w:space="0"/>
            </w:tcBorders>
            <w:shd w:val="clear" w:color="000000" w:fill="FFFFFF"/>
            <w:vAlign w:val="center"/>
          </w:tcPr>
          <w:p w14:paraId="47F5756C">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shd w:val="clear" w:color="000000" w:fill="FFFFFF"/>
            <w:vAlign w:val="center"/>
          </w:tcPr>
          <w:p w14:paraId="51453F15">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7D628520">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000000" w:fill="FFFFFF"/>
            <w:vAlign w:val="center"/>
          </w:tcPr>
          <w:p w14:paraId="23E8AFCD">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15</w:t>
            </w:r>
          </w:p>
        </w:tc>
        <w:tc>
          <w:tcPr>
            <w:tcW w:w="1496" w:type="dxa"/>
            <w:tcBorders>
              <w:top w:val="single" w:color="auto" w:sz="4" w:space="0"/>
              <w:left w:val="single" w:color="auto" w:sz="4" w:space="0"/>
              <w:bottom w:val="single" w:color="auto" w:sz="4" w:space="0"/>
              <w:right w:val="single" w:color="auto" w:sz="4" w:space="0"/>
            </w:tcBorders>
            <w:shd w:val="clear" w:color="000000" w:fill="FFFFFF"/>
            <w:vAlign w:val="center"/>
          </w:tcPr>
          <w:p w14:paraId="19C1B036">
            <w:pPr>
              <w:spacing w:line="560" w:lineRule="auto"/>
              <w:jc w:val="center"/>
              <w:rPr>
                <w:rFonts w:hint="eastAsia" w:ascii="仿宋_GB2312" w:hAnsi="宋体" w:eastAsia="仿宋_GB2312" w:cs="宋体"/>
                <w:sz w:val="24"/>
                <w:highlight w:val="none"/>
                <w:lang w:eastAsia="zh-CN"/>
              </w:rPr>
            </w:pPr>
            <w:r>
              <w:rPr>
                <w:rFonts w:ascii="宋体" w:hAnsi="宋体" w:eastAsia="宋体" w:cs="宋体"/>
                <w:color w:val="auto"/>
                <w:sz w:val="18"/>
                <w:highlight w:val="none"/>
              </w:rPr>
              <w:t>西红柿酱</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DBC971B">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桶</w:t>
            </w:r>
          </w:p>
        </w:tc>
        <w:tc>
          <w:tcPr>
            <w:tcW w:w="3429" w:type="dxa"/>
            <w:tcBorders>
              <w:top w:val="single" w:color="auto" w:sz="4" w:space="0"/>
              <w:left w:val="single" w:color="auto" w:sz="4" w:space="0"/>
              <w:bottom w:val="single" w:color="auto" w:sz="4" w:space="0"/>
              <w:right w:val="single" w:color="auto" w:sz="4" w:space="0"/>
            </w:tcBorders>
            <w:shd w:val="clear" w:color="000000" w:fill="FFFFFF"/>
            <w:vAlign w:val="center"/>
          </w:tcPr>
          <w:p w14:paraId="4D4798C8">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shd w:val="clear" w:color="000000" w:fill="FFFFFF"/>
            <w:vAlign w:val="center"/>
          </w:tcPr>
          <w:p w14:paraId="4B201F2B">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6DD73DDF">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000000" w:fill="FFFFFF"/>
            <w:vAlign w:val="center"/>
          </w:tcPr>
          <w:p w14:paraId="3B857DF8">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16</w:t>
            </w:r>
          </w:p>
        </w:tc>
        <w:tc>
          <w:tcPr>
            <w:tcW w:w="1496" w:type="dxa"/>
            <w:tcBorders>
              <w:top w:val="single" w:color="auto" w:sz="4" w:space="0"/>
              <w:left w:val="single" w:color="auto" w:sz="4" w:space="0"/>
              <w:bottom w:val="single" w:color="auto" w:sz="4" w:space="0"/>
              <w:right w:val="single" w:color="auto" w:sz="4" w:space="0"/>
            </w:tcBorders>
            <w:vAlign w:val="center"/>
          </w:tcPr>
          <w:p w14:paraId="311BE58D">
            <w:pPr>
              <w:spacing w:line="560" w:lineRule="auto"/>
              <w:jc w:val="center"/>
              <w:rPr>
                <w:rFonts w:hint="eastAsia" w:ascii="仿宋_GB2312" w:hAnsi="宋体" w:eastAsia="仿宋_GB2312" w:cs="宋体"/>
                <w:sz w:val="24"/>
                <w:highlight w:val="none"/>
                <w:lang w:eastAsia="zh-CN"/>
              </w:rPr>
            </w:pPr>
            <w:r>
              <w:rPr>
                <w:rFonts w:ascii="宋体" w:hAnsi="宋体" w:eastAsia="宋体" w:cs="宋体"/>
                <w:color w:val="auto"/>
                <w:sz w:val="18"/>
                <w:highlight w:val="none"/>
              </w:rPr>
              <w:t>绿豆</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E19FC1E">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6A4B71E4">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3D4BB97E">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147818B9">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55543F2D">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rPr>
              <w:t>1</w:t>
            </w:r>
            <w:r>
              <w:rPr>
                <w:rFonts w:hint="eastAsia" w:ascii="仿宋_GB2312" w:hAnsi="宋体" w:eastAsia="仿宋_GB2312" w:cs="宋体"/>
                <w:sz w:val="24"/>
                <w:highlight w:val="none"/>
                <w:lang w:eastAsia="zh-CN"/>
              </w:rPr>
              <w:t>7</w:t>
            </w:r>
          </w:p>
        </w:tc>
        <w:tc>
          <w:tcPr>
            <w:tcW w:w="1496" w:type="dxa"/>
            <w:tcBorders>
              <w:top w:val="single" w:color="auto" w:sz="4" w:space="0"/>
              <w:left w:val="single" w:color="auto" w:sz="4" w:space="0"/>
              <w:bottom w:val="single" w:color="auto" w:sz="4" w:space="0"/>
              <w:right w:val="single" w:color="auto" w:sz="4" w:space="0"/>
            </w:tcBorders>
            <w:vAlign w:val="center"/>
          </w:tcPr>
          <w:p w14:paraId="22A42F64">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淀粉</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44F508C">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3B5A793B">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17B66AEB">
            <w:pPr>
              <w:spacing w:line="560" w:lineRule="auto"/>
              <w:jc w:val="center"/>
              <w:rPr>
                <w:rFonts w:ascii="宋体" w:hAnsi="宋体" w:eastAsia="宋体" w:cs="宋体"/>
                <w:color w:val="auto"/>
                <w:sz w:val="18"/>
                <w:highlight w:val="none"/>
                <w:lang w:eastAsia="zh-CN"/>
              </w:rPr>
            </w:pPr>
            <w:r>
              <w:rPr>
                <w:rFonts w:hint="eastAsia" w:asciiTheme="minorEastAsia" w:hAnsiTheme="minorEastAsia" w:cstheme="minorEastAsia"/>
                <w:color w:val="auto"/>
                <w:sz w:val="21"/>
                <w:szCs w:val="21"/>
                <w:highlight w:val="none"/>
                <w:lang w:val="en-US" w:eastAsia="zh-CN"/>
              </w:rPr>
              <w:t>工业</w:t>
            </w:r>
          </w:p>
        </w:tc>
      </w:tr>
      <w:tr w14:paraId="56B0081F">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77E1A686">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18</w:t>
            </w:r>
          </w:p>
        </w:tc>
        <w:tc>
          <w:tcPr>
            <w:tcW w:w="1496" w:type="dxa"/>
            <w:tcBorders>
              <w:top w:val="single" w:color="auto" w:sz="4" w:space="0"/>
              <w:left w:val="single" w:color="auto" w:sz="4" w:space="0"/>
              <w:bottom w:val="single" w:color="auto" w:sz="4" w:space="0"/>
              <w:right w:val="single" w:color="auto" w:sz="4" w:space="0"/>
            </w:tcBorders>
            <w:vAlign w:val="center"/>
          </w:tcPr>
          <w:p w14:paraId="6FD560DB">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鸡精</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DB96A80">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403ECF31">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7A7FF655">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28B35C72">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574DF7B0">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19</w:t>
            </w:r>
          </w:p>
        </w:tc>
        <w:tc>
          <w:tcPr>
            <w:tcW w:w="1496" w:type="dxa"/>
            <w:tcBorders>
              <w:top w:val="single" w:color="auto" w:sz="4" w:space="0"/>
              <w:left w:val="single" w:color="auto" w:sz="4" w:space="0"/>
              <w:bottom w:val="single" w:color="auto" w:sz="4" w:space="0"/>
              <w:right w:val="single" w:color="auto" w:sz="4" w:space="0"/>
            </w:tcBorders>
            <w:vAlign w:val="center"/>
          </w:tcPr>
          <w:p w14:paraId="0883B08F">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榨菜</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DA03BEB">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件</w:t>
            </w:r>
          </w:p>
        </w:tc>
        <w:tc>
          <w:tcPr>
            <w:tcW w:w="3429" w:type="dxa"/>
            <w:tcBorders>
              <w:top w:val="single" w:color="auto" w:sz="4" w:space="0"/>
              <w:left w:val="single" w:color="auto" w:sz="4" w:space="0"/>
              <w:bottom w:val="single" w:color="auto" w:sz="4" w:space="0"/>
              <w:right w:val="single" w:color="auto" w:sz="4" w:space="0"/>
            </w:tcBorders>
            <w:vAlign w:val="center"/>
          </w:tcPr>
          <w:p w14:paraId="7B1BA86A">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165E3AC1">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248E07D3">
        <w:tblPrEx>
          <w:tblCellMar>
            <w:top w:w="0" w:type="dxa"/>
            <w:left w:w="108" w:type="dxa"/>
            <w:bottom w:w="0" w:type="dxa"/>
            <w:right w:w="108" w:type="dxa"/>
          </w:tblCellMar>
        </w:tblPrEx>
        <w:trPr>
          <w:trHeight w:val="866" w:hRule="atLeast"/>
        </w:trPr>
        <w:tc>
          <w:tcPr>
            <w:tcW w:w="464" w:type="dxa"/>
            <w:tcBorders>
              <w:top w:val="single" w:color="auto" w:sz="4" w:space="0"/>
              <w:left w:val="single" w:color="auto" w:sz="4" w:space="0"/>
              <w:bottom w:val="single" w:color="auto" w:sz="4" w:space="0"/>
              <w:right w:val="single" w:color="auto" w:sz="4" w:space="0"/>
            </w:tcBorders>
            <w:vAlign w:val="center"/>
          </w:tcPr>
          <w:p w14:paraId="43870358">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20</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309998D">
            <w:pPr>
              <w:spacing w:line="560" w:lineRule="auto"/>
              <w:jc w:val="center"/>
              <w:rPr>
                <w:rFonts w:hint="eastAsia" w:ascii="仿宋_GB2312" w:hAnsi="宋体" w:eastAsia="仿宋_GB2312" w:cs="宋体"/>
                <w:sz w:val="24"/>
                <w:highlight w:val="none"/>
              </w:rPr>
            </w:pPr>
            <w:r>
              <w:rPr>
                <w:rFonts w:ascii="宋体" w:hAnsi="宋体" w:eastAsia="宋体" w:cs="宋体"/>
                <w:color w:val="auto"/>
                <w:sz w:val="18"/>
                <w:highlight w:val="none"/>
              </w:rPr>
              <w:t>芝麻</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E67067F">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4EDCB467">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288B01E0">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4984F568">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23B53F4F">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21</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B4D0A39">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草果</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4313716">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4527B1F7">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1E1EB751">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43FB19AC">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5C5FA748">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22</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62731E">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桂皮</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ECE7FA0">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10433CF1">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3B94C5EE">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35C79929">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7980A0E3">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23</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30DA599">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孜然粉</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F76BB2E">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6AD462B9">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19247E9E">
            <w:pPr>
              <w:spacing w:line="560" w:lineRule="auto"/>
              <w:jc w:val="center"/>
              <w:rPr>
                <w:rFonts w:ascii="宋体" w:hAnsi="宋体" w:eastAsia="宋体" w:cs="宋体"/>
                <w:color w:val="auto"/>
                <w:sz w:val="18"/>
                <w:highlight w:val="none"/>
                <w:lang w:eastAsia="zh-CN"/>
              </w:rPr>
            </w:pPr>
            <w:r>
              <w:rPr>
                <w:rFonts w:hint="eastAsia" w:asciiTheme="minorEastAsia" w:hAnsiTheme="minorEastAsia" w:cstheme="minorEastAsia"/>
                <w:color w:val="auto"/>
                <w:sz w:val="21"/>
                <w:szCs w:val="21"/>
                <w:highlight w:val="none"/>
                <w:lang w:val="en-US" w:eastAsia="zh-CN"/>
              </w:rPr>
              <w:t>工业</w:t>
            </w:r>
          </w:p>
        </w:tc>
      </w:tr>
      <w:tr w14:paraId="190CAB0D">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017775B2">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24</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D6FA62">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香叶</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2CFC3C3">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40538DB7">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789BD40C">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13273547">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2E9C1B72">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25</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096F452">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辣皮子</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99F87EC">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626232F7">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59F43C1E">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56AD6CE0">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09DF19F5">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26</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86271D1">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冰糖</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6C7A9DED">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14EB40F8">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0D51852A">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0946D264">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7061B08F">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27</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41735BCF">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大粒盐</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1405A1B5">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袋</w:t>
            </w:r>
          </w:p>
        </w:tc>
        <w:tc>
          <w:tcPr>
            <w:tcW w:w="3429" w:type="dxa"/>
            <w:tcBorders>
              <w:top w:val="single" w:color="auto" w:sz="4" w:space="0"/>
              <w:left w:val="single" w:color="auto" w:sz="4" w:space="0"/>
              <w:bottom w:val="single" w:color="auto" w:sz="4" w:space="0"/>
              <w:right w:val="single" w:color="auto" w:sz="4" w:space="0"/>
            </w:tcBorders>
            <w:vAlign w:val="center"/>
          </w:tcPr>
          <w:p w14:paraId="7C073FD3">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28B69F07">
            <w:pPr>
              <w:spacing w:line="560" w:lineRule="auto"/>
              <w:jc w:val="both"/>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07C0275D">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3303CF6A">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28</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6EC757E">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枸杞</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2ECBC08">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25018170">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1135DE60">
            <w:pPr>
              <w:spacing w:line="560" w:lineRule="auto"/>
              <w:jc w:val="center"/>
              <w:rPr>
                <w:rFonts w:hint="default" w:ascii="宋体" w:hAnsi="宋体" w:eastAsia="宋体" w:cs="宋体"/>
                <w:color w:val="auto"/>
                <w:sz w:val="18"/>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5257950D">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5EDF2942">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29</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00988D2">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腐竹</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57ECAFE">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06BCCDDB">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4E02475B">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1B6DE1FC">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0386CCF6">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30</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0D90DC9B">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葡萄干</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B013404">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68578B7B">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300AD044">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2ABDCBE9">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65864BA4">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31</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1FD30E6">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香油</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69B57195">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件</w:t>
            </w:r>
          </w:p>
        </w:tc>
        <w:tc>
          <w:tcPr>
            <w:tcW w:w="3429" w:type="dxa"/>
            <w:tcBorders>
              <w:top w:val="single" w:color="auto" w:sz="4" w:space="0"/>
              <w:left w:val="single" w:color="auto" w:sz="4" w:space="0"/>
              <w:bottom w:val="single" w:color="auto" w:sz="4" w:space="0"/>
              <w:right w:val="single" w:color="auto" w:sz="4" w:space="0"/>
            </w:tcBorders>
            <w:vAlign w:val="center"/>
          </w:tcPr>
          <w:p w14:paraId="0BFB7E87">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4E319175">
            <w:pPr>
              <w:spacing w:line="560" w:lineRule="auto"/>
              <w:jc w:val="center"/>
              <w:rPr>
                <w:rFonts w:hint="default" w:ascii="宋体" w:hAnsi="宋体" w:eastAsia="宋体" w:cs="宋体"/>
                <w:color w:val="auto"/>
                <w:sz w:val="18"/>
                <w:highlight w:val="none"/>
                <w:lang w:val="en-US" w:eastAsia="zh-CN"/>
              </w:rPr>
            </w:pPr>
            <w:r>
              <w:rPr>
                <w:rFonts w:hint="eastAsia" w:ascii="宋体" w:hAnsi="宋体" w:eastAsia="宋体" w:cs="宋体"/>
                <w:color w:val="auto"/>
                <w:sz w:val="18"/>
                <w:highlight w:val="none"/>
                <w:lang w:val="en-US" w:eastAsia="zh-CN"/>
              </w:rPr>
              <w:t>工业</w:t>
            </w:r>
          </w:p>
        </w:tc>
      </w:tr>
      <w:tr w14:paraId="6194582F">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7D1657B6">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32</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5660CEB">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火锅底料</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613EA2E5">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件</w:t>
            </w:r>
          </w:p>
        </w:tc>
        <w:tc>
          <w:tcPr>
            <w:tcW w:w="3429" w:type="dxa"/>
            <w:tcBorders>
              <w:top w:val="single" w:color="auto" w:sz="4" w:space="0"/>
              <w:left w:val="single" w:color="auto" w:sz="4" w:space="0"/>
              <w:bottom w:val="single" w:color="auto" w:sz="4" w:space="0"/>
              <w:right w:val="single" w:color="auto" w:sz="4" w:space="0"/>
            </w:tcBorders>
            <w:vAlign w:val="center"/>
          </w:tcPr>
          <w:p w14:paraId="6D952A4F">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36647279">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38E35FC7">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1D653F07">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33</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C163876">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薏米</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68606383">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193112F5">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4FCC480B">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535630D6">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461B9BA7">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34</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6381F88">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饺子</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00CF8F7">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6A2B014F">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6E8733D8">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5CC2928A">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2FE29557">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35</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74550521">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馓子</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6769BF9">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vAlign w:val="center"/>
          </w:tcPr>
          <w:p w14:paraId="364A1A76">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78CEADAB">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140E5988">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62D326FB">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34</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051727A">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黄豆酱</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931EB28">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桶</w:t>
            </w:r>
          </w:p>
        </w:tc>
        <w:tc>
          <w:tcPr>
            <w:tcW w:w="3429" w:type="dxa"/>
            <w:tcBorders>
              <w:top w:val="single" w:color="auto" w:sz="4" w:space="0"/>
              <w:left w:val="single" w:color="auto" w:sz="4" w:space="0"/>
              <w:bottom w:val="single" w:color="auto" w:sz="4" w:space="0"/>
              <w:right w:val="single" w:color="auto" w:sz="4" w:space="0"/>
            </w:tcBorders>
            <w:vAlign w:val="center"/>
          </w:tcPr>
          <w:p w14:paraId="23293B17">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3A1B812A">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67FBB49B">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0D60ABBC">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35</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A436582">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绿豆沙</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F1C27D8">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袋</w:t>
            </w:r>
          </w:p>
        </w:tc>
        <w:tc>
          <w:tcPr>
            <w:tcW w:w="3429" w:type="dxa"/>
            <w:tcBorders>
              <w:top w:val="single" w:color="auto" w:sz="4" w:space="0"/>
              <w:left w:val="single" w:color="auto" w:sz="4" w:space="0"/>
              <w:bottom w:val="single" w:color="auto" w:sz="4" w:space="0"/>
              <w:right w:val="single" w:color="auto" w:sz="4" w:space="0"/>
            </w:tcBorders>
            <w:vAlign w:val="center"/>
          </w:tcPr>
          <w:p w14:paraId="5B7C31B5">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6D5FEA9B">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50C52902">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7895DCCE">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36</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2D1C6EC9">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小苏打</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8081A47">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袋</w:t>
            </w:r>
          </w:p>
        </w:tc>
        <w:tc>
          <w:tcPr>
            <w:tcW w:w="3429" w:type="dxa"/>
            <w:tcBorders>
              <w:top w:val="single" w:color="auto" w:sz="4" w:space="0"/>
              <w:left w:val="single" w:color="auto" w:sz="4" w:space="0"/>
              <w:bottom w:val="single" w:color="auto" w:sz="4" w:space="0"/>
              <w:right w:val="single" w:color="auto" w:sz="4" w:space="0"/>
            </w:tcBorders>
            <w:vAlign w:val="center"/>
          </w:tcPr>
          <w:p w14:paraId="74B64D18">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0D4C98B7">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33522AF9">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53F36F50">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37</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32E15F20">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月饼</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BE49ACF">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块</w:t>
            </w:r>
          </w:p>
        </w:tc>
        <w:tc>
          <w:tcPr>
            <w:tcW w:w="3429" w:type="dxa"/>
            <w:tcBorders>
              <w:top w:val="single" w:color="auto" w:sz="4" w:space="0"/>
              <w:left w:val="single" w:color="auto" w:sz="4" w:space="0"/>
              <w:bottom w:val="single" w:color="auto" w:sz="4" w:space="0"/>
              <w:right w:val="single" w:color="auto" w:sz="4" w:space="0"/>
            </w:tcBorders>
            <w:vAlign w:val="center"/>
          </w:tcPr>
          <w:p w14:paraId="30C627DC">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2F65D685">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4AB07A6D">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2E210CEC">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38</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8D5C362">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食用碱</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7B42A9B">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袋</w:t>
            </w:r>
          </w:p>
        </w:tc>
        <w:tc>
          <w:tcPr>
            <w:tcW w:w="3429" w:type="dxa"/>
            <w:tcBorders>
              <w:top w:val="single" w:color="auto" w:sz="4" w:space="0"/>
              <w:left w:val="single" w:color="auto" w:sz="4" w:space="0"/>
              <w:bottom w:val="single" w:color="auto" w:sz="4" w:space="0"/>
              <w:right w:val="single" w:color="auto" w:sz="4" w:space="0"/>
            </w:tcBorders>
            <w:vAlign w:val="center"/>
          </w:tcPr>
          <w:p w14:paraId="7D06EF07">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vAlign w:val="center"/>
          </w:tcPr>
          <w:p w14:paraId="70AEFEE0">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38FEE411">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shd w:val="clear" w:color="auto" w:fill="auto"/>
            <w:vAlign w:val="center"/>
          </w:tcPr>
          <w:p w14:paraId="734D82E4">
            <w:pPr>
              <w:spacing w:line="560" w:lineRule="auto"/>
              <w:jc w:val="center"/>
              <w:rPr>
                <w:rFonts w:hint="eastAsia" w:ascii="宋体" w:hAnsi="宋体" w:eastAsia="宋体" w:cs="宋体"/>
                <w:color w:val="auto"/>
                <w:highlight w:val="none"/>
                <w:lang w:eastAsia="zh-CN"/>
              </w:rPr>
            </w:pPr>
            <w:r>
              <w:rPr>
                <w:rFonts w:ascii="宋体" w:hAnsi="宋体" w:eastAsia="宋体" w:cs="宋体"/>
                <w:color w:val="auto"/>
                <w:sz w:val="18"/>
                <w:highlight w:val="none"/>
              </w:rPr>
              <w:t>39</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0AB77B5">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糯米</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360B873">
            <w:pPr>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51F652FC">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14:paraId="6926918E">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39F24640">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584F9AB4">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40</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15F09C5A">
            <w:pPr>
              <w:tabs>
                <w:tab w:val="left" w:pos="3834"/>
              </w:tabs>
              <w:spacing w:line="560" w:lineRule="auto"/>
              <w:jc w:val="center"/>
              <w:rPr>
                <w:rFonts w:hint="eastAsia" w:ascii="宋体" w:hAnsi="宋体" w:eastAsia="宋体" w:cs="宋体"/>
                <w:color w:val="auto"/>
                <w:highlight w:val="none"/>
              </w:rPr>
            </w:pPr>
            <w:r>
              <w:rPr>
                <w:rFonts w:ascii="宋体" w:hAnsi="宋体" w:eastAsia="宋体" w:cs="宋体"/>
                <w:color w:val="auto"/>
                <w:sz w:val="22"/>
                <w:highlight w:val="none"/>
              </w:rPr>
              <w:t>红枣片</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AC4A752">
            <w:pPr>
              <w:tabs>
                <w:tab w:val="left" w:pos="3834"/>
              </w:tabs>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524B47AE">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14:paraId="65D996AB">
            <w:pPr>
              <w:spacing w:line="560" w:lineRule="auto"/>
              <w:jc w:val="center"/>
              <w:rPr>
                <w:rFonts w:ascii="宋体" w:hAnsi="宋体" w:eastAsia="宋体" w:cs="宋体"/>
                <w:color w:val="auto"/>
                <w:sz w:val="18"/>
                <w:highlight w:val="none"/>
                <w:lang w:eastAsia="zh-CN"/>
              </w:rPr>
            </w:pPr>
            <w:r>
              <w:rPr>
                <w:rFonts w:hint="eastAsia" w:asciiTheme="minorEastAsia" w:hAnsiTheme="minorEastAsia" w:cstheme="minorEastAsia"/>
                <w:color w:val="auto"/>
                <w:sz w:val="21"/>
                <w:szCs w:val="21"/>
                <w:highlight w:val="none"/>
                <w:lang w:val="en-US" w:eastAsia="zh-CN"/>
              </w:rPr>
              <w:t>工业</w:t>
            </w:r>
          </w:p>
        </w:tc>
      </w:tr>
      <w:tr w14:paraId="59D3C3BE">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09AF4489">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41</w:t>
            </w:r>
          </w:p>
        </w:tc>
        <w:tc>
          <w:tcPr>
            <w:tcW w:w="1496" w:type="dxa"/>
            <w:tcBorders>
              <w:top w:val="single" w:color="auto" w:sz="4" w:space="0"/>
              <w:left w:val="single" w:color="auto" w:sz="4" w:space="0"/>
              <w:bottom w:val="single" w:color="auto" w:sz="4" w:space="0"/>
              <w:right w:val="single" w:color="auto" w:sz="4" w:space="0"/>
            </w:tcBorders>
            <w:shd w:val="clear" w:color="auto" w:fill="auto"/>
            <w:vAlign w:val="center"/>
          </w:tcPr>
          <w:p w14:paraId="576B164A">
            <w:pPr>
              <w:tabs>
                <w:tab w:val="left" w:pos="3834"/>
              </w:tabs>
              <w:spacing w:line="560" w:lineRule="auto"/>
              <w:jc w:val="center"/>
              <w:rPr>
                <w:rFonts w:hint="eastAsia" w:ascii="宋体" w:hAnsi="宋体" w:eastAsia="宋体" w:cs="宋体"/>
                <w:color w:val="auto"/>
                <w:highlight w:val="none"/>
              </w:rPr>
            </w:pPr>
            <w:r>
              <w:rPr>
                <w:rFonts w:ascii="宋体" w:hAnsi="宋体" w:eastAsia="宋体" w:cs="宋体"/>
                <w:color w:val="auto"/>
                <w:sz w:val="22"/>
                <w:highlight w:val="none"/>
              </w:rPr>
              <w:t>干香菇</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98C4257">
            <w:pPr>
              <w:tabs>
                <w:tab w:val="left" w:pos="3834"/>
              </w:tabs>
              <w:spacing w:line="560" w:lineRule="auto"/>
              <w:jc w:val="center"/>
              <w:rPr>
                <w:rFonts w:hint="eastAsia" w:ascii="宋体" w:hAnsi="宋体" w:eastAsia="宋体" w:cs="宋体"/>
                <w:color w:val="auto"/>
                <w:highlight w:val="none"/>
              </w:rPr>
            </w:pPr>
            <w:r>
              <w:rPr>
                <w:rFonts w:ascii="宋体" w:hAnsi="宋体" w:eastAsia="宋体" w:cs="宋体"/>
                <w:color w:val="auto"/>
                <w:sz w:val="18"/>
                <w:highlight w:val="none"/>
              </w:rPr>
              <w:t>公斤</w:t>
            </w:r>
          </w:p>
        </w:tc>
        <w:tc>
          <w:tcPr>
            <w:tcW w:w="3429" w:type="dxa"/>
            <w:tcBorders>
              <w:top w:val="single" w:color="auto" w:sz="4" w:space="0"/>
              <w:left w:val="single" w:color="auto" w:sz="4" w:space="0"/>
              <w:bottom w:val="single" w:color="auto" w:sz="4" w:space="0"/>
              <w:right w:val="single" w:color="auto" w:sz="4" w:space="0"/>
            </w:tcBorders>
            <w:shd w:val="clear" w:color="auto" w:fill="auto"/>
            <w:vAlign w:val="center"/>
          </w:tcPr>
          <w:p w14:paraId="6ADC6A46">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single" w:color="auto" w:sz="4" w:space="0"/>
              <w:bottom w:val="single" w:color="auto" w:sz="4" w:space="0"/>
              <w:right w:val="single" w:color="auto" w:sz="4" w:space="0"/>
            </w:tcBorders>
            <w:shd w:val="clear" w:color="auto" w:fill="auto"/>
            <w:vAlign w:val="center"/>
          </w:tcPr>
          <w:p w14:paraId="4FF18870">
            <w:pPr>
              <w:spacing w:line="560" w:lineRule="auto"/>
              <w:jc w:val="center"/>
              <w:rPr>
                <w:rFonts w:ascii="宋体" w:hAnsi="宋体" w:eastAsia="宋体" w:cs="宋体"/>
                <w:color w:val="auto"/>
                <w:sz w:val="18"/>
                <w:highlight w:val="none"/>
                <w:lang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47B08FCA">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1BCE6AD0">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42</w:t>
            </w:r>
          </w:p>
        </w:tc>
        <w:tc>
          <w:tcPr>
            <w:tcW w:w="1496" w:type="dxa"/>
            <w:tcBorders>
              <w:top w:val="single" w:color="auto" w:sz="4" w:space="0"/>
              <w:left w:val="nil"/>
              <w:bottom w:val="single" w:color="auto" w:sz="4" w:space="0"/>
              <w:right w:val="single" w:color="auto" w:sz="4" w:space="0"/>
            </w:tcBorders>
            <w:shd w:val="clear" w:color="auto" w:fill="auto"/>
            <w:vAlign w:val="center"/>
          </w:tcPr>
          <w:p w14:paraId="15A1EFA3">
            <w:pPr>
              <w:spacing w:line="560" w:lineRule="auto"/>
              <w:jc w:val="center"/>
              <w:rPr>
                <w:rFonts w:hint="eastAsia" w:ascii="宋体" w:hAnsi="宋体" w:eastAsia="宋体" w:cs="宋体"/>
                <w:color w:val="auto"/>
                <w:sz w:val="22"/>
                <w:highlight w:val="none"/>
              </w:rPr>
            </w:pPr>
            <w:r>
              <w:rPr>
                <w:rFonts w:ascii="宋体" w:hAnsi="宋体" w:eastAsia="宋体" w:cs="宋体"/>
                <w:color w:val="auto"/>
                <w:sz w:val="22"/>
                <w:highlight w:val="none"/>
              </w:rPr>
              <w:t>黑芝麻糊</w:t>
            </w:r>
          </w:p>
        </w:tc>
        <w:tc>
          <w:tcPr>
            <w:tcW w:w="1060" w:type="dxa"/>
            <w:tcBorders>
              <w:top w:val="single" w:color="auto" w:sz="4" w:space="0"/>
              <w:left w:val="nil"/>
              <w:bottom w:val="single" w:color="auto" w:sz="4" w:space="0"/>
              <w:right w:val="single" w:color="auto" w:sz="4" w:space="0"/>
            </w:tcBorders>
            <w:shd w:val="clear" w:color="auto" w:fill="auto"/>
            <w:vAlign w:val="center"/>
          </w:tcPr>
          <w:p w14:paraId="44408283">
            <w:pPr>
              <w:spacing w:line="560" w:lineRule="auto"/>
              <w:jc w:val="center"/>
              <w:rPr>
                <w:rFonts w:hint="eastAsia" w:ascii="宋体" w:hAnsi="宋体" w:eastAsia="宋体" w:cs="宋体"/>
                <w:color w:val="auto"/>
                <w:highlight w:val="none"/>
              </w:rPr>
            </w:pPr>
            <w:r>
              <w:rPr>
                <w:rFonts w:ascii="宋体" w:hAnsi="宋体" w:eastAsia="宋体" w:cs="宋体"/>
                <w:color w:val="auto"/>
                <w:sz w:val="22"/>
                <w:highlight w:val="none"/>
              </w:rPr>
              <w:t>袋</w:t>
            </w:r>
          </w:p>
        </w:tc>
        <w:tc>
          <w:tcPr>
            <w:tcW w:w="3429" w:type="dxa"/>
            <w:tcBorders>
              <w:top w:val="single" w:color="auto" w:sz="4" w:space="0"/>
              <w:left w:val="nil"/>
              <w:bottom w:val="single" w:color="auto" w:sz="4" w:space="0"/>
              <w:right w:val="single" w:color="auto" w:sz="4" w:space="0"/>
            </w:tcBorders>
            <w:shd w:val="clear" w:color="auto" w:fill="auto"/>
            <w:vAlign w:val="center"/>
          </w:tcPr>
          <w:p w14:paraId="04720191">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nil"/>
              <w:bottom w:val="single" w:color="auto" w:sz="4" w:space="0"/>
              <w:right w:val="single" w:color="auto" w:sz="4" w:space="0"/>
            </w:tcBorders>
            <w:shd w:val="clear" w:color="auto" w:fill="auto"/>
            <w:vAlign w:val="center"/>
          </w:tcPr>
          <w:p w14:paraId="12D050BB">
            <w:pPr>
              <w:spacing w:line="560" w:lineRule="auto"/>
              <w:jc w:val="center"/>
              <w:rPr>
                <w:rFonts w:ascii="宋体" w:hAnsi="宋体" w:eastAsia="宋体" w:cs="宋体"/>
                <w:color w:val="auto"/>
                <w:sz w:val="18"/>
                <w:highlight w:val="none"/>
                <w:lang w:eastAsia="zh-CN"/>
              </w:rPr>
            </w:pPr>
            <w:r>
              <w:rPr>
                <w:rFonts w:hint="eastAsia" w:ascii="宋体" w:hAnsi="宋体" w:eastAsia="宋体" w:cs="宋体"/>
                <w:color w:val="auto"/>
                <w:sz w:val="18"/>
                <w:highlight w:val="none"/>
                <w:lang w:val="en-US" w:eastAsia="zh-CN"/>
              </w:rPr>
              <w:t>工业</w:t>
            </w:r>
          </w:p>
        </w:tc>
      </w:tr>
      <w:tr w14:paraId="66CE22E7">
        <w:tblPrEx>
          <w:tblCellMar>
            <w:top w:w="0" w:type="dxa"/>
            <w:left w:w="108" w:type="dxa"/>
            <w:bottom w:w="0" w:type="dxa"/>
            <w:right w:w="108" w:type="dxa"/>
          </w:tblCellMar>
        </w:tblPrEx>
        <w:trPr>
          <w:trHeight w:val="866" w:hRule="atLeast"/>
        </w:trPr>
        <w:tc>
          <w:tcPr>
            <w:tcW w:w="464" w:type="dxa"/>
            <w:tcBorders>
              <w:top w:val="single" w:color="auto" w:sz="4" w:space="0"/>
              <w:left w:val="single" w:color="auto" w:sz="4" w:space="0"/>
              <w:bottom w:val="single" w:color="auto" w:sz="4" w:space="0"/>
              <w:right w:val="single" w:color="auto" w:sz="4" w:space="0"/>
            </w:tcBorders>
            <w:vAlign w:val="center"/>
          </w:tcPr>
          <w:p w14:paraId="06404D87">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43</w:t>
            </w:r>
          </w:p>
        </w:tc>
        <w:tc>
          <w:tcPr>
            <w:tcW w:w="1496" w:type="dxa"/>
            <w:tcBorders>
              <w:top w:val="single" w:color="auto" w:sz="4" w:space="0"/>
              <w:left w:val="nil"/>
              <w:bottom w:val="single" w:color="auto" w:sz="4" w:space="0"/>
              <w:right w:val="single" w:color="auto" w:sz="4" w:space="0"/>
            </w:tcBorders>
            <w:shd w:val="clear" w:color="auto" w:fill="auto"/>
            <w:vAlign w:val="center"/>
          </w:tcPr>
          <w:p w14:paraId="56D36610">
            <w:pPr>
              <w:tabs>
                <w:tab w:val="left" w:pos="3834"/>
              </w:tabs>
              <w:spacing w:line="560" w:lineRule="auto"/>
              <w:jc w:val="center"/>
              <w:rPr>
                <w:rFonts w:hint="eastAsia" w:ascii="宋体" w:hAnsi="宋体" w:eastAsia="宋体" w:cs="宋体"/>
                <w:color w:val="auto"/>
                <w:sz w:val="22"/>
                <w:highlight w:val="none"/>
              </w:rPr>
            </w:pPr>
            <w:r>
              <w:rPr>
                <w:rFonts w:ascii="宋体" w:hAnsi="宋体" w:eastAsia="宋体" w:cs="宋体"/>
                <w:color w:val="auto"/>
                <w:sz w:val="22"/>
                <w:highlight w:val="none"/>
              </w:rPr>
              <w:t>辣子面</w:t>
            </w:r>
          </w:p>
        </w:tc>
        <w:tc>
          <w:tcPr>
            <w:tcW w:w="1060" w:type="dxa"/>
            <w:tcBorders>
              <w:top w:val="single" w:color="auto" w:sz="4" w:space="0"/>
              <w:left w:val="nil"/>
              <w:bottom w:val="single" w:color="auto" w:sz="4" w:space="0"/>
              <w:right w:val="single" w:color="auto" w:sz="4" w:space="0"/>
            </w:tcBorders>
            <w:shd w:val="clear" w:color="auto" w:fill="auto"/>
            <w:vAlign w:val="center"/>
          </w:tcPr>
          <w:p w14:paraId="376C2094">
            <w:pPr>
              <w:tabs>
                <w:tab w:val="left" w:pos="3834"/>
              </w:tabs>
              <w:spacing w:line="560" w:lineRule="auto"/>
              <w:jc w:val="center"/>
              <w:rPr>
                <w:rFonts w:hint="eastAsia" w:ascii="宋体" w:hAnsi="宋体" w:eastAsia="宋体" w:cs="宋体"/>
                <w:color w:val="auto"/>
                <w:highlight w:val="none"/>
              </w:rPr>
            </w:pPr>
            <w:r>
              <w:rPr>
                <w:rFonts w:ascii="宋体" w:hAnsi="宋体" w:eastAsia="宋体" w:cs="宋体"/>
                <w:color w:val="auto"/>
                <w:sz w:val="22"/>
                <w:highlight w:val="none"/>
              </w:rPr>
              <w:t>公斤</w:t>
            </w:r>
          </w:p>
        </w:tc>
        <w:tc>
          <w:tcPr>
            <w:tcW w:w="3429" w:type="dxa"/>
            <w:tcBorders>
              <w:top w:val="single" w:color="auto" w:sz="4" w:space="0"/>
              <w:left w:val="nil"/>
              <w:bottom w:val="single" w:color="auto" w:sz="4" w:space="0"/>
              <w:right w:val="single" w:color="auto" w:sz="4" w:space="0"/>
            </w:tcBorders>
            <w:shd w:val="clear" w:color="auto" w:fill="auto"/>
            <w:vAlign w:val="center"/>
          </w:tcPr>
          <w:p w14:paraId="40CAE5B2">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nil"/>
              <w:bottom w:val="single" w:color="auto" w:sz="4" w:space="0"/>
              <w:right w:val="single" w:color="auto" w:sz="4" w:space="0"/>
            </w:tcBorders>
            <w:shd w:val="clear" w:color="auto" w:fill="auto"/>
            <w:vAlign w:val="center"/>
          </w:tcPr>
          <w:p w14:paraId="5E2FB261">
            <w:pPr>
              <w:spacing w:line="560" w:lineRule="auto"/>
              <w:jc w:val="center"/>
              <w:rPr>
                <w:rFonts w:ascii="宋体" w:hAnsi="宋体" w:eastAsia="宋体" w:cs="宋体"/>
                <w:color w:val="auto"/>
                <w:sz w:val="18"/>
                <w:highlight w:val="none"/>
                <w:lang w:eastAsia="zh-CN"/>
              </w:rPr>
            </w:pPr>
            <w:r>
              <w:rPr>
                <w:rFonts w:hint="eastAsia" w:asciiTheme="minorEastAsia" w:hAnsiTheme="minorEastAsia" w:cstheme="minorEastAsia"/>
                <w:color w:val="auto"/>
                <w:sz w:val="21"/>
                <w:szCs w:val="21"/>
                <w:highlight w:val="none"/>
                <w:lang w:val="en-US" w:eastAsia="zh-CN"/>
              </w:rPr>
              <w:t>工业</w:t>
            </w:r>
          </w:p>
        </w:tc>
      </w:tr>
      <w:tr w14:paraId="592B7853">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68F21C99">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44</w:t>
            </w:r>
          </w:p>
        </w:tc>
        <w:tc>
          <w:tcPr>
            <w:tcW w:w="1496" w:type="dxa"/>
            <w:tcBorders>
              <w:top w:val="single" w:color="auto" w:sz="4" w:space="0"/>
              <w:left w:val="nil"/>
              <w:bottom w:val="single" w:color="auto" w:sz="4" w:space="0"/>
              <w:right w:val="single" w:color="auto" w:sz="4" w:space="0"/>
            </w:tcBorders>
            <w:shd w:val="clear" w:color="auto" w:fill="auto"/>
            <w:vAlign w:val="center"/>
          </w:tcPr>
          <w:p w14:paraId="6A028FE6">
            <w:pPr>
              <w:tabs>
                <w:tab w:val="left" w:pos="3834"/>
              </w:tabs>
              <w:spacing w:line="560" w:lineRule="auto"/>
              <w:jc w:val="center"/>
              <w:rPr>
                <w:rFonts w:hint="eastAsia" w:ascii="宋体" w:hAnsi="宋体" w:eastAsia="宋体" w:cs="宋体"/>
                <w:color w:val="auto"/>
                <w:sz w:val="22"/>
                <w:highlight w:val="none"/>
              </w:rPr>
            </w:pPr>
            <w:r>
              <w:rPr>
                <w:rFonts w:ascii="宋体" w:hAnsi="宋体" w:eastAsia="宋体" w:cs="宋体"/>
                <w:color w:val="auto"/>
                <w:sz w:val="22"/>
                <w:highlight w:val="none"/>
              </w:rPr>
              <w:t>海带</w:t>
            </w:r>
          </w:p>
        </w:tc>
        <w:tc>
          <w:tcPr>
            <w:tcW w:w="1060" w:type="dxa"/>
            <w:tcBorders>
              <w:top w:val="single" w:color="auto" w:sz="4" w:space="0"/>
              <w:left w:val="nil"/>
              <w:bottom w:val="single" w:color="auto" w:sz="4" w:space="0"/>
              <w:right w:val="single" w:color="auto" w:sz="4" w:space="0"/>
            </w:tcBorders>
            <w:shd w:val="clear" w:color="auto" w:fill="auto"/>
            <w:vAlign w:val="center"/>
          </w:tcPr>
          <w:p w14:paraId="30E4943F">
            <w:pPr>
              <w:tabs>
                <w:tab w:val="left" w:pos="3834"/>
              </w:tabs>
              <w:spacing w:line="560" w:lineRule="auto"/>
              <w:jc w:val="center"/>
              <w:rPr>
                <w:rFonts w:hint="eastAsia" w:ascii="宋体" w:hAnsi="宋体" w:eastAsia="宋体" w:cs="宋体"/>
                <w:color w:val="auto"/>
                <w:sz w:val="22"/>
                <w:highlight w:val="none"/>
              </w:rPr>
            </w:pPr>
            <w:r>
              <w:rPr>
                <w:rFonts w:ascii="宋体" w:hAnsi="宋体" w:eastAsia="宋体" w:cs="宋体"/>
                <w:color w:val="auto"/>
                <w:sz w:val="22"/>
                <w:highlight w:val="none"/>
              </w:rPr>
              <w:t>板</w:t>
            </w:r>
          </w:p>
        </w:tc>
        <w:tc>
          <w:tcPr>
            <w:tcW w:w="3429" w:type="dxa"/>
            <w:tcBorders>
              <w:top w:val="single" w:color="auto" w:sz="4" w:space="0"/>
              <w:left w:val="nil"/>
              <w:bottom w:val="single" w:color="auto" w:sz="4" w:space="0"/>
              <w:right w:val="single" w:color="auto" w:sz="4" w:space="0"/>
            </w:tcBorders>
            <w:shd w:val="clear" w:color="auto" w:fill="auto"/>
            <w:vAlign w:val="center"/>
          </w:tcPr>
          <w:p w14:paraId="31F2995B">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nil"/>
              <w:bottom w:val="single" w:color="auto" w:sz="4" w:space="0"/>
              <w:right w:val="single" w:color="auto" w:sz="4" w:space="0"/>
            </w:tcBorders>
            <w:shd w:val="clear" w:color="auto" w:fill="auto"/>
            <w:vAlign w:val="center"/>
          </w:tcPr>
          <w:p w14:paraId="2FFCC418">
            <w:pPr>
              <w:spacing w:line="560" w:lineRule="auto"/>
              <w:jc w:val="center"/>
              <w:rPr>
                <w:rFonts w:hint="default" w:ascii="宋体" w:hAnsi="宋体" w:eastAsia="宋体" w:cs="宋体"/>
                <w:color w:val="auto"/>
                <w:sz w:val="18"/>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农、林、牧、渔业</w:t>
            </w:r>
          </w:p>
        </w:tc>
      </w:tr>
      <w:tr w14:paraId="72DF7187">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25CC6A41">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45</w:t>
            </w:r>
          </w:p>
        </w:tc>
        <w:tc>
          <w:tcPr>
            <w:tcW w:w="1496" w:type="dxa"/>
            <w:tcBorders>
              <w:top w:val="single" w:color="auto" w:sz="4" w:space="0"/>
              <w:left w:val="nil"/>
              <w:bottom w:val="single" w:color="auto" w:sz="4" w:space="0"/>
              <w:right w:val="single" w:color="auto" w:sz="4" w:space="0"/>
            </w:tcBorders>
            <w:shd w:val="clear" w:color="auto" w:fill="auto"/>
            <w:vAlign w:val="center"/>
          </w:tcPr>
          <w:p w14:paraId="312AB38E">
            <w:pPr>
              <w:tabs>
                <w:tab w:val="left" w:pos="3834"/>
              </w:tabs>
              <w:spacing w:line="560" w:lineRule="auto"/>
              <w:jc w:val="center"/>
              <w:rPr>
                <w:rFonts w:hint="eastAsia" w:ascii="宋体" w:hAnsi="宋体" w:eastAsia="宋体" w:cs="宋体"/>
                <w:color w:val="auto"/>
                <w:sz w:val="22"/>
                <w:highlight w:val="none"/>
              </w:rPr>
            </w:pPr>
            <w:r>
              <w:rPr>
                <w:rFonts w:ascii="宋体" w:hAnsi="宋体" w:eastAsia="宋体" w:cs="宋体"/>
                <w:color w:val="auto"/>
                <w:sz w:val="22"/>
                <w:highlight w:val="none"/>
              </w:rPr>
              <w:t>米粉</w:t>
            </w:r>
          </w:p>
        </w:tc>
        <w:tc>
          <w:tcPr>
            <w:tcW w:w="1060" w:type="dxa"/>
            <w:tcBorders>
              <w:top w:val="single" w:color="auto" w:sz="4" w:space="0"/>
              <w:left w:val="nil"/>
              <w:bottom w:val="single" w:color="auto" w:sz="4" w:space="0"/>
              <w:right w:val="single" w:color="auto" w:sz="4" w:space="0"/>
            </w:tcBorders>
            <w:shd w:val="clear" w:color="auto" w:fill="auto"/>
            <w:vAlign w:val="center"/>
          </w:tcPr>
          <w:p w14:paraId="2EC1F73D">
            <w:pPr>
              <w:tabs>
                <w:tab w:val="left" w:pos="3834"/>
              </w:tabs>
              <w:spacing w:line="560" w:lineRule="auto"/>
              <w:jc w:val="center"/>
              <w:rPr>
                <w:rFonts w:hint="eastAsia" w:ascii="宋体" w:hAnsi="宋体" w:eastAsia="宋体" w:cs="宋体"/>
                <w:color w:val="auto"/>
                <w:sz w:val="22"/>
                <w:highlight w:val="none"/>
              </w:rPr>
            </w:pPr>
            <w:r>
              <w:rPr>
                <w:rFonts w:ascii="宋体" w:hAnsi="宋体" w:eastAsia="宋体" w:cs="宋体"/>
                <w:color w:val="auto"/>
                <w:sz w:val="22"/>
                <w:highlight w:val="none"/>
              </w:rPr>
              <w:t>公斤</w:t>
            </w:r>
          </w:p>
        </w:tc>
        <w:tc>
          <w:tcPr>
            <w:tcW w:w="3429" w:type="dxa"/>
            <w:tcBorders>
              <w:top w:val="single" w:color="auto" w:sz="4" w:space="0"/>
              <w:left w:val="nil"/>
              <w:bottom w:val="single" w:color="auto" w:sz="4" w:space="0"/>
              <w:right w:val="single" w:color="auto" w:sz="4" w:space="0"/>
            </w:tcBorders>
            <w:shd w:val="clear" w:color="auto" w:fill="auto"/>
            <w:vAlign w:val="center"/>
          </w:tcPr>
          <w:p w14:paraId="51F03DF7">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nil"/>
              <w:bottom w:val="single" w:color="auto" w:sz="4" w:space="0"/>
              <w:right w:val="single" w:color="auto" w:sz="4" w:space="0"/>
            </w:tcBorders>
            <w:shd w:val="clear" w:color="auto" w:fill="auto"/>
            <w:vAlign w:val="center"/>
          </w:tcPr>
          <w:p w14:paraId="1421ADCA">
            <w:pPr>
              <w:spacing w:line="560" w:lineRule="auto"/>
              <w:jc w:val="center"/>
              <w:rPr>
                <w:rFonts w:ascii="宋体" w:hAnsi="宋体" w:eastAsia="宋体" w:cs="宋体"/>
                <w:color w:val="auto"/>
                <w:sz w:val="18"/>
                <w:highlight w:val="none"/>
                <w:lang w:eastAsia="zh-CN"/>
              </w:rPr>
            </w:pPr>
            <w:r>
              <w:rPr>
                <w:rFonts w:hint="eastAsia" w:asciiTheme="minorEastAsia" w:hAnsiTheme="minorEastAsia" w:cstheme="minorEastAsia"/>
                <w:color w:val="auto"/>
                <w:sz w:val="21"/>
                <w:szCs w:val="21"/>
                <w:highlight w:val="none"/>
                <w:lang w:val="en-US" w:eastAsia="zh-CN"/>
              </w:rPr>
              <w:t>工业</w:t>
            </w:r>
          </w:p>
        </w:tc>
      </w:tr>
      <w:tr w14:paraId="732FE520">
        <w:tblPrEx>
          <w:tblCellMar>
            <w:top w:w="0" w:type="dxa"/>
            <w:left w:w="108" w:type="dxa"/>
            <w:bottom w:w="0" w:type="dxa"/>
            <w:right w:w="108" w:type="dxa"/>
          </w:tblCellMar>
        </w:tblPrEx>
        <w:trPr>
          <w:trHeight w:val="1067" w:hRule="atLeast"/>
        </w:trPr>
        <w:tc>
          <w:tcPr>
            <w:tcW w:w="464" w:type="dxa"/>
            <w:tcBorders>
              <w:top w:val="single" w:color="auto" w:sz="4" w:space="0"/>
              <w:left w:val="single" w:color="auto" w:sz="4" w:space="0"/>
              <w:bottom w:val="single" w:color="auto" w:sz="4" w:space="0"/>
              <w:right w:val="single" w:color="auto" w:sz="4" w:space="0"/>
            </w:tcBorders>
            <w:vAlign w:val="center"/>
          </w:tcPr>
          <w:p w14:paraId="2FAA20AE">
            <w:pPr>
              <w:jc w:val="center"/>
              <w:rPr>
                <w:rFonts w:hint="eastAsia" w:ascii="仿宋_GB2312" w:hAnsi="宋体" w:eastAsia="仿宋_GB2312" w:cs="宋体"/>
                <w:sz w:val="24"/>
                <w:highlight w:val="none"/>
                <w:lang w:eastAsia="zh-CN"/>
              </w:rPr>
            </w:pPr>
            <w:r>
              <w:rPr>
                <w:rFonts w:hint="eastAsia" w:ascii="仿宋_GB2312" w:hAnsi="宋体" w:eastAsia="仿宋_GB2312" w:cs="宋体"/>
                <w:sz w:val="24"/>
                <w:highlight w:val="none"/>
                <w:lang w:eastAsia="zh-CN"/>
              </w:rPr>
              <w:t>46</w:t>
            </w:r>
          </w:p>
        </w:tc>
        <w:tc>
          <w:tcPr>
            <w:tcW w:w="1496" w:type="dxa"/>
            <w:tcBorders>
              <w:top w:val="single" w:color="auto" w:sz="4" w:space="0"/>
              <w:left w:val="nil"/>
              <w:bottom w:val="single" w:color="auto" w:sz="4" w:space="0"/>
              <w:right w:val="single" w:color="auto" w:sz="4" w:space="0"/>
            </w:tcBorders>
            <w:shd w:val="clear" w:color="auto" w:fill="auto"/>
            <w:vAlign w:val="center"/>
          </w:tcPr>
          <w:p w14:paraId="44133763">
            <w:pPr>
              <w:tabs>
                <w:tab w:val="left" w:pos="3834"/>
              </w:tabs>
              <w:spacing w:line="560" w:lineRule="auto"/>
              <w:jc w:val="center"/>
              <w:rPr>
                <w:rFonts w:hint="eastAsia" w:ascii="宋体" w:hAnsi="宋体" w:eastAsia="宋体" w:cs="宋体"/>
                <w:color w:val="auto"/>
                <w:sz w:val="22"/>
                <w:highlight w:val="none"/>
              </w:rPr>
            </w:pPr>
            <w:r>
              <w:rPr>
                <w:rFonts w:ascii="宋体" w:hAnsi="宋体" w:eastAsia="宋体" w:cs="宋体"/>
                <w:color w:val="auto"/>
                <w:sz w:val="22"/>
                <w:highlight w:val="none"/>
              </w:rPr>
              <w:t>胡椒粉</w:t>
            </w:r>
          </w:p>
        </w:tc>
        <w:tc>
          <w:tcPr>
            <w:tcW w:w="1060" w:type="dxa"/>
            <w:tcBorders>
              <w:top w:val="single" w:color="auto" w:sz="4" w:space="0"/>
              <w:left w:val="nil"/>
              <w:bottom w:val="single" w:color="auto" w:sz="4" w:space="0"/>
              <w:right w:val="single" w:color="auto" w:sz="4" w:space="0"/>
            </w:tcBorders>
            <w:shd w:val="clear" w:color="auto" w:fill="auto"/>
            <w:vAlign w:val="center"/>
          </w:tcPr>
          <w:p w14:paraId="17EA8311">
            <w:pPr>
              <w:tabs>
                <w:tab w:val="left" w:pos="3834"/>
              </w:tabs>
              <w:spacing w:line="560" w:lineRule="auto"/>
              <w:jc w:val="center"/>
              <w:rPr>
                <w:rFonts w:hint="eastAsia" w:ascii="宋体" w:hAnsi="宋体" w:eastAsia="宋体" w:cs="宋体"/>
                <w:color w:val="auto"/>
                <w:sz w:val="22"/>
                <w:highlight w:val="none"/>
              </w:rPr>
            </w:pPr>
            <w:r>
              <w:rPr>
                <w:rFonts w:ascii="宋体" w:hAnsi="宋体" w:eastAsia="宋体" w:cs="宋体"/>
                <w:color w:val="auto"/>
                <w:sz w:val="22"/>
                <w:highlight w:val="none"/>
              </w:rPr>
              <w:t>公斤</w:t>
            </w:r>
          </w:p>
        </w:tc>
        <w:tc>
          <w:tcPr>
            <w:tcW w:w="3429" w:type="dxa"/>
            <w:tcBorders>
              <w:top w:val="single" w:color="auto" w:sz="4" w:space="0"/>
              <w:left w:val="nil"/>
              <w:bottom w:val="single" w:color="auto" w:sz="4" w:space="0"/>
              <w:right w:val="single" w:color="auto" w:sz="4" w:space="0"/>
            </w:tcBorders>
            <w:shd w:val="clear" w:color="auto" w:fill="auto"/>
            <w:vAlign w:val="center"/>
          </w:tcPr>
          <w:p w14:paraId="709D18BA">
            <w:pPr>
              <w:spacing w:line="560" w:lineRule="auto"/>
              <w:rPr>
                <w:rFonts w:hint="eastAsia" w:ascii="仿宋_GB2312" w:hAnsi="宋体" w:eastAsia="仿宋_GB2312" w:cs="宋体"/>
                <w:sz w:val="20"/>
                <w:szCs w:val="20"/>
                <w:highlight w:val="none"/>
                <w:lang w:eastAsia="zh-CN"/>
              </w:rPr>
            </w:pPr>
            <w:r>
              <w:rPr>
                <w:rFonts w:ascii="宋体" w:hAnsi="宋体" w:eastAsia="宋体" w:cs="宋体"/>
                <w:color w:val="auto"/>
                <w:sz w:val="18"/>
                <w:highlight w:val="none"/>
                <w:lang w:eastAsia="zh-CN"/>
              </w:rPr>
              <w:t>符合国家食品安全要求，质保期不得低于总质保期的3分之2</w:t>
            </w:r>
          </w:p>
        </w:tc>
        <w:tc>
          <w:tcPr>
            <w:tcW w:w="2209" w:type="dxa"/>
            <w:tcBorders>
              <w:top w:val="single" w:color="auto" w:sz="4" w:space="0"/>
              <w:left w:val="nil"/>
              <w:bottom w:val="single" w:color="auto" w:sz="4" w:space="0"/>
              <w:right w:val="single" w:color="auto" w:sz="4" w:space="0"/>
            </w:tcBorders>
            <w:shd w:val="clear" w:color="auto" w:fill="auto"/>
            <w:vAlign w:val="center"/>
          </w:tcPr>
          <w:p w14:paraId="58975F01">
            <w:pPr>
              <w:spacing w:line="560" w:lineRule="auto"/>
              <w:jc w:val="center"/>
              <w:rPr>
                <w:rFonts w:ascii="宋体" w:hAnsi="宋体" w:eastAsia="宋体" w:cs="宋体"/>
                <w:color w:val="auto"/>
                <w:sz w:val="18"/>
                <w:highlight w:val="none"/>
                <w:lang w:eastAsia="zh-CN"/>
              </w:rPr>
            </w:pPr>
            <w:r>
              <w:rPr>
                <w:rFonts w:hint="eastAsia" w:asciiTheme="minorEastAsia" w:hAnsiTheme="minorEastAsia" w:cstheme="minorEastAsia"/>
                <w:color w:val="auto"/>
                <w:sz w:val="21"/>
                <w:szCs w:val="21"/>
                <w:highlight w:val="none"/>
                <w:lang w:val="en-US" w:eastAsia="zh-CN"/>
              </w:rPr>
              <w:t>工业</w:t>
            </w:r>
          </w:p>
        </w:tc>
      </w:tr>
    </w:tbl>
    <w:p w14:paraId="41CA8B4E">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注：</w:t>
      </w:r>
    </w:p>
    <w:p w14:paraId="6B323970">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1.上表仅列举常用食材，采购品种及数量以实际发生为准</w:t>
      </w:r>
      <w:r>
        <w:rPr>
          <w:rFonts w:hint="eastAsia" w:ascii="仿宋" w:hAnsi="仿宋" w:eastAsia="仿宋" w:cs="仿宋"/>
          <w:b/>
          <w:bCs/>
          <w:color w:val="auto"/>
          <w:sz w:val="24"/>
          <w:szCs w:val="24"/>
          <w:highlight w:val="none"/>
          <w:lang w:eastAsia="zh-CN"/>
        </w:rPr>
        <w:t>。</w:t>
      </w:r>
    </w:p>
    <w:p w14:paraId="5C9A28FC">
      <w:pP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2.供货商提供的全部货物，需要三证齐全、确保货物质量。</w:t>
      </w:r>
    </w:p>
    <w:p w14:paraId="6CEC717F">
      <w:pPr>
        <w:rPr>
          <w:rFonts w:hint="eastAsia" w:ascii="仿宋" w:hAnsi="仿宋" w:eastAsia="仿宋" w:cs="仿宋"/>
          <w:b/>
          <w:bCs/>
          <w:color w:val="auto"/>
          <w:sz w:val="24"/>
          <w:szCs w:val="24"/>
          <w:highlight w:val="none"/>
          <w:lang w:eastAsia="zh-CN"/>
        </w:rPr>
      </w:pPr>
    </w:p>
    <w:bookmarkEnd w:id="9"/>
    <w:bookmarkEnd w:id="10"/>
    <w:p w14:paraId="4F1C8771">
      <w:pPr>
        <w:pStyle w:val="9"/>
        <w:pageBreakBefore/>
        <w:spacing w:before="314" w:line="226" w:lineRule="auto"/>
        <w:jc w:val="center"/>
        <w:outlineLvl w:val="0"/>
        <w:rPr>
          <w:rFonts w:hint="eastAsia" w:ascii="仿宋" w:hAnsi="仿宋" w:eastAsia="仿宋" w:cs="仿宋"/>
          <w:b/>
          <w:bCs/>
          <w:color w:val="auto"/>
          <w:spacing w:val="4"/>
          <w:sz w:val="30"/>
          <w:szCs w:val="30"/>
          <w:highlight w:val="none"/>
          <w:lang w:eastAsia="zh-CN"/>
        </w:rPr>
      </w:pPr>
      <w:bookmarkStart w:id="265" w:name="bookmark156"/>
      <w:bookmarkEnd w:id="265"/>
      <w:bookmarkStart w:id="266" w:name="bookmark162"/>
      <w:bookmarkEnd w:id="266"/>
      <w:bookmarkStart w:id="267" w:name="bookmark160"/>
      <w:bookmarkEnd w:id="267"/>
      <w:bookmarkStart w:id="268" w:name="bookmark154"/>
      <w:bookmarkEnd w:id="268"/>
      <w:bookmarkStart w:id="269" w:name="bookmark159"/>
      <w:bookmarkEnd w:id="269"/>
      <w:bookmarkStart w:id="270" w:name="bookmark153"/>
      <w:bookmarkEnd w:id="270"/>
      <w:bookmarkStart w:id="271" w:name="_Toc28055"/>
      <w:bookmarkStart w:id="272" w:name="_Toc30458"/>
      <w:r>
        <w:rPr>
          <w:rFonts w:hint="eastAsia" w:ascii="仿宋" w:hAnsi="仿宋" w:eastAsia="仿宋" w:cs="仿宋"/>
          <w:b/>
          <w:bCs/>
          <w:color w:val="auto"/>
          <w:spacing w:val="4"/>
          <w:sz w:val="30"/>
          <w:szCs w:val="30"/>
          <w:highlight w:val="none"/>
          <w:lang w:eastAsia="zh-CN"/>
        </w:rPr>
        <w:t>第四章资格审查</w:t>
      </w:r>
      <w:bookmarkEnd w:id="271"/>
    </w:p>
    <w:p w14:paraId="1484D0BF">
      <w:pPr>
        <w:spacing w:line="360" w:lineRule="auto"/>
        <w:ind w:left="549"/>
        <w:outlineLvl w:val="1"/>
        <w:rPr>
          <w:rFonts w:hint="eastAsia" w:ascii="仿宋" w:hAnsi="仿宋" w:eastAsia="仿宋" w:cs="仿宋"/>
          <w:color w:val="auto"/>
          <w:sz w:val="24"/>
          <w:szCs w:val="24"/>
          <w:highlight w:val="none"/>
          <w:lang w:eastAsia="zh-CN"/>
        </w:rPr>
      </w:pPr>
      <w:bookmarkStart w:id="273" w:name="bookmark161"/>
      <w:bookmarkEnd w:id="273"/>
      <w:bookmarkStart w:id="274" w:name="_Toc18738"/>
      <w:r>
        <w:rPr>
          <w:rFonts w:hint="eastAsia" w:ascii="仿宋" w:hAnsi="仿宋" w:eastAsia="仿宋" w:cs="仿宋"/>
          <w:b/>
          <w:bCs/>
          <w:color w:val="auto"/>
          <w:spacing w:val="5"/>
          <w:sz w:val="24"/>
          <w:szCs w:val="24"/>
          <w:highlight w:val="none"/>
          <w:lang w:eastAsia="zh-CN"/>
        </w:rPr>
        <w:t>一、资格审查程序</w:t>
      </w:r>
      <w:bookmarkEnd w:id="274"/>
    </w:p>
    <w:p w14:paraId="4648E8EE">
      <w:pPr>
        <w:spacing w:line="360" w:lineRule="auto"/>
        <w:ind w:right="13" w:firstLine="50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 开标结束后，采购人或采购代理机构将根据《资格审查要求》中的规定，</w:t>
      </w:r>
      <w:r>
        <w:rPr>
          <w:rFonts w:hint="eastAsia" w:ascii="仿宋" w:hAnsi="仿宋" w:eastAsia="仿宋" w:cs="仿宋"/>
          <w:color w:val="auto"/>
          <w:spacing w:val="-1"/>
          <w:sz w:val="24"/>
          <w:szCs w:val="24"/>
          <w:highlight w:val="none"/>
          <w:lang w:eastAsia="zh-CN"/>
        </w:rPr>
        <w:t>对投标人进行资格审查，并形成资格审查结果。</w:t>
      </w:r>
    </w:p>
    <w:p w14:paraId="761CDF7B">
      <w:pPr>
        <w:spacing w:line="360" w:lineRule="auto"/>
        <w:ind w:right="13" w:firstLine="501"/>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2 投标人《资格证明文件》有任何一项不符合《资格审查要求》的，资格审查不合格，其</w:t>
      </w:r>
      <w:r>
        <w:rPr>
          <w:rFonts w:hint="eastAsia" w:ascii="仿宋" w:hAnsi="仿宋" w:eastAsia="仿宋" w:cs="仿宋"/>
          <w:b/>
          <w:color w:val="auto"/>
          <w:spacing w:val="-3"/>
          <w:sz w:val="24"/>
          <w:szCs w:val="24"/>
          <w:highlight w:val="none"/>
          <w:lang w:eastAsia="zh-CN"/>
        </w:rPr>
        <w:t>投标无效</w:t>
      </w:r>
      <w:r>
        <w:rPr>
          <w:rFonts w:hint="eastAsia" w:ascii="仿宋" w:hAnsi="仿宋" w:eastAsia="仿宋" w:cs="仿宋"/>
          <w:color w:val="auto"/>
          <w:spacing w:val="-3"/>
          <w:sz w:val="24"/>
          <w:szCs w:val="24"/>
          <w:highlight w:val="none"/>
          <w:lang w:eastAsia="zh-CN"/>
        </w:rPr>
        <w:t>。</w:t>
      </w:r>
    </w:p>
    <w:p w14:paraId="4CB65689">
      <w:pPr>
        <w:spacing w:line="360" w:lineRule="auto"/>
        <w:ind w:right="13" w:firstLine="501"/>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3 资格审查合格的投标人不足 3 家的，不进行评标。</w:t>
      </w:r>
    </w:p>
    <w:p w14:paraId="0A22B27E">
      <w:pPr>
        <w:numPr>
          <w:ilvl w:val="0"/>
          <w:numId w:val="4"/>
        </w:numPr>
        <w:spacing w:line="360" w:lineRule="auto"/>
        <w:ind w:left="549"/>
        <w:outlineLvl w:val="1"/>
        <w:rPr>
          <w:rFonts w:hint="eastAsia" w:ascii="仿宋" w:hAnsi="仿宋" w:eastAsia="仿宋" w:cs="仿宋"/>
          <w:b/>
          <w:bCs/>
          <w:color w:val="auto"/>
          <w:spacing w:val="5"/>
          <w:sz w:val="24"/>
          <w:szCs w:val="24"/>
          <w:highlight w:val="none"/>
        </w:rPr>
      </w:pPr>
      <w:r>
        <w:rPr>
          <w:rFonts w:hint="eastAsia" w:ascii="仿宋" w:hAnsi="仿宋" w:eastAsia="仿宋" w:cs="仿宋"/>
          <w:b/>
          <w:bCs/>
          <w:color w:val="auto"/>
          <w:spacing w:val="5"/>
          <w:sz w:val="24"/>
          <w:szCs w:val="24"/>
          <w:highlight w:val="none"/>
        </w:rPr>
        <w:t>资格审查要求</w:t>
      </w:r>
    </w:p>
    <w:tbl>
      <w:tblPr>
        <w:tblStyle w:val="22"/>
        <w:tblW w:w="8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815"/>
        <w:gridCol w:w="3433"/>
        <w:gridCol w:w="3827"/>
      </w:tblGrid>
      <w:tr w14:paraId="3CA74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8" w:hRule="atLeast"/>
        </w:trPr>
        <w:tc>
          <w:tcPr>
            <w:tcW w:w="815" w:type="dxa"/>
            <w:shd w:val="clear" w:color="auto" w:fill="D8D8D8"/>
            <w:vAlign w:val="center"/>
          </w:tcPr>
          <w:p w14:paraId="702654C0">
            <w:pPr>
              <w:pStyle w:val="31"/>
              <w:spacing w:line="276" w:lineRule="auto"/>
              <w:ind w:left="-2"/>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序号</w:t>
            </w:r>
          </w:p>
        </w:tc>
        <w:tc>
          <w:tcPr>
            <w:tcW w:w="3433" w:type="dxa"/>
            <w:shd w:val="clear" w:color="auto" w:fill="D8D8D8"/>
            <w:vAlign w:val="center"/>
          </w:tcPr>
          <w:p w14:paraId="098E46CF">
            <w:pPr>
              <w:pStyle w:val="31"/>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审查因素</w:t>
            </w:r>
          </w:p>
        </w:tc>
        <w:tc>
          <w:tcPr>
            <w:tcW w:w="3827" w:type="dxa"/>
            <w:shd w:val="clear" w:color="auto" w:fill="D8D8D8"/>
            <w:vAlign w:val="center"/>
          </w:tcPr>
          <w:p w14:paraId="323F2CD2">
            <w:pPr>
              <w:pStyle w:val="31"/>
              <w:spacing w:line="276"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审查内容</w:t>
            </w:r>
          </w:p>
        </w:tc>
      </w:tr>
      <w:tr w14:paraId="207DBF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77988EBD">
            <w:pPr>
              <w:pStyle w:val="31"/>
              <w:ind w:left="-4" w:leftChars="-2"/>
              <w:jc w:val="center"/>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1</w:t>
            </w:r>
          </w:p>
        </w:tc>
        <w:tc>
          <w:tcPr>
            <w:tcW w:w="3433" w:type="dxa"/>
            <w:vAlign w:val="center"/>
          </w:tcPr>
          <w:p w14:paraId="32A8D59B">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具有独立承担民事责任的能力；</w:t>
            </w:r>
          </w:p>
        </w:tc>
        <w:tc>
          <w:tcPr>
            <w:tcW w:w="3827" w:type="dxa"/>
            <w:vAlign w:val="center"/>
          </w:tcPr>
          <w:p w14:paraId="12177959">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(1)供应商为企业（包括合伙企业）的，应提供有效的“营业执照”；供应商为事业单位的，应提供有效的“事业单位法人证书”；供应商是非企业机构的，应提供有效的“执业许可证”、“登记证书”等证明文件;供应商是个体工商户的，应提供有效的“个体工商户营业执照”；供应商是自然人的，应提供有效的自然人身份证明。</w:t>
            </w:r>
          </w:p>
          <w:p w14:paraId="2996FD3C">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以联合体形式参加投标的，联合体各方均须提供上述资料。</w:t>
            </w:r>
          </w:p>
        </w:tc>
      </w:tr>
      <w:tr w14:paraId="109461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132BC0B3">
            <w:pPr>
              <w:pStyle w:val="31"/>
              <w:ind w:left="-4" w:leftChars="-2"/>
              <w:jc w:val="center"/>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2</w:t>
            </w:r>
          </w:p>
        </w:tc>
        <w:tc>
          <w:tcPr>
            <w:tcW w:w="3433" w:type="dxa"/>
            <w:shd w:val="clear" w:color="auto" w:fill="auto"/>
            <w:vAlign w:val="center"/>
          </w:tcPr>
          <w:p w14:paraId="108C5963">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具有良好的商业信誉和健全的财务会计制度；</w:t>
            </w:r>
          </w:p>
        </w:tc>
        <w:tc>
          <w:tcPr>
            <w:tcW w:w="3827" w:type="dxa"/>
            <w:shd w:val="clear" w:color="auto" w:fill="auto"/>
            <w:vAlign w:val="center"/>
          </w:tcPr>
          <w:p w14:paraId="734DF3F1">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须提供本单位上一年度由会计师事务所出具的财务审计报告（当上一年度审计报告未出来时，可提供前一年度审计报告），审计报告须包括资产负债表、利润表、现金流量表、所有者权益变动（如有）及其附注。如供应商无法提供上年度审计报告，则需提供开标日前三个月内银行出具的资信证明证明材料。如供应商注册成立不足三个月的则提供承诺书（自拟）。</w:t>
            </w:r>
          </w:p>
        </w:tc>
      </w:tr>
      <w:tr w14:paraId="5B8D3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2771574B">
            <w:pPr>
              <w:pStyle w:val="31"/>
              <w:ind w:left="-4" w:leftChars="-2"/>
              <w:jc w:val="center"/>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3</w:t>
            </w:r>
          </w:p>
        </w:tc>
        <w:tc>
          <w:tcPr>
            <w:tcW w:w="3433" w:type="dxa"/>
            <w:shd w:val="clear" w:color="auto" w:fill="auto"/>
            <w:vAlign w:val="center"/>
          </w:tcPr>
          <w:p w14:paraId="422EA5DF">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具有履行合同所必需的设备和专业技术能力；</w:t>
            </w:r>
          </w:p>
        </w:tc>
        <w:tc>
          <w:tcPr>
            <w:tcW w:w="3827" w:type="dxa"/>
            <w:shd w:val="clear" w:color="auto" w:fill="auto"/>
            <w:vAlign w:val="center"/>
          </w:tcPr>
          <w:p w14:paraId="129E3CBF">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须提供具备履行合同所必需的设备和专业技术能力的书面声明或证明材料。</w:t>
            </w:r>
          </w:p>
        </w:tc>
      </w:tr>
      <w:tr w14:paraId="76BE78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52C2D4FA">
            <w:pPr>
              <w:pStyle w:val="31"/>
              <w:ind w:left="-4" w:leftChars="-2"/>
              <w:jc w:val="center"/>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4</w:t>
            </w:r>
          </w:p>
        </w:tc>
        <w:tc>
          <w:tcPr>
            <w:tcW w:w="3433" w:type="dxa"/>
            <w:shd w:val="clear" w:color="auto" w:fill="auto"/>
            <w:vAlign w:val="center"/>
          </w:tcPr>
          <w:p w14:paraId="17716B84">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有依法缴纳税收和社会保障资金的良好记录；</w:t>
            </w:r>
          </w:p>
        </w:tc>
        <w:tc>
          <w:tcPr>
            <w:tcW w:w="3827" w:type="dxa"/>
            <w:shd w:val="clear" w:color="auto" w:fill="auto"/>
            <w:vAlign w:val="center"/>
          </w:tcPr>
          <w:p w14:paraId="7536619E">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1.须提供投标文件递交截止日期之前六个月内任何一期的纳税记录或证明材料（依法免税的应提供相应文件说明），如供应商注册成立不足三个月的则提供承诺书（自拟）。</w:t>
            </w:r>
          </w:p>
          <w:p w14:paraId="424BF338">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2.须提供投标文件递交截止日期之前六个月内为员工缴纳社会保障资金的证明材料（任意一个月即可），证明材料是缴纳社会保险的凭据（专用收据或社会保险缴纳清单或银行回单等）（依法不需要缴纳社会保障资金的应提供相应文件说明）；如供应商注册成立不足三个月的则提供承诺书（自拟）。</w:t>
            </w:r>
          </w:p>
        </w:tc>
      </w:tr>
      <w:tr w14:paraId="7C57CE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0430C2F6">
            <w:pPr>
              <w:pStyle w:val="31"/>
              <w:ind w:left="-4" w:leftChars="-2"/>
              <w:jc w:val="center"/>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5</w:t>
            </w:r>
          </w:p>
        </w:tc>
        <w:tc>
          <w:tcPr>
            <w:tcW w:w="3433" w:type="dxa"/>
            <w:shd w:val="clear" w:color="auto" w:fill="auto"/>
            <w:vAlign w:val="center"/>
          </w:tcPr>
          <w:p w14:paraId="5DB3FBDB">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参加投标活动前三年内，在经营活动中没有重大违法记录；</w:t>
            </w:r>
          </w:p>
        </w:tc>
        <w:tc>
          <w:tcPr>
            <w:tcW w:w="3827" w:type="dxa"/>
            <w:shd w:val="clear" w:color="auto" w:fill="auto"/>
            <w:vAlign w:val="center"/>
          </w:tcPr>
          <w:p w14:paraId="5CD1EC01">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须提供：书面声明（供应商自行承诺并承担后果，声明不实的，按《政府采购法》及相关法律法规中提供虚假材料的有关规定处理。</w:t>
            </w:r>
          </w:p>
        </w:tc>
      </w:tr>
      <w:tr w14:paraId="353978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4F938944">
            <w:pPr>
              <w:pStyle w:val="31"/>
              <w:ind w:left="-4" w:leftChars="-2"/>
              <w:jc w:val="center"/>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6</w:t>
            </w:r>
          </w:p>
        </w:tc>
        <w:tc>
          <w:tcPr>
            <w:tcW w:w="3433" w:type="dxa"/>
            <w:vAlign w:val="center"/>
          </w:tcPr>
          <w:p w14:paraId="6A05CF3D">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法律、行政法规规定的其他条件。</w:t>
            </w:r>
          </w:p>
        </w:tc>
        <w:tc>
          <w:tcPr>
            <w:tcW w:w="3827" w:type="dxa"/>
            <w:vAlign w:val="center"/>
          </w:tcPr>
          <w:p w14:paraId="7BEC59AF">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须提供：承诺函（供应商自行承诺并承担后果，声明函不实的，按《政府采购法》及相关法律法规中提供虚假材料的有关规定处理）。</w:t>
            </w:r>
          </w:p>
        </w:tc>
      </w:tr>
      <w:tr w14:paraId="3A583C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925" w:hRule="atLeast"/>
        </w:trPr>
        <w:tc>
          <w:tcPr>
            <w:tcW w:w="815" w:type="dxa"/>
            <w:vAlign w:val="center"/>
          </w:tcPr>
          <w:p w14:paraId="78CEA093">
            <w:pPr>
              <w:pStyle w:val="31"/>
              <w:ind w:left="-4" w:leftChars="-2"/>
              <w:jc w:val="center"/>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7</w:t>
            </w:r>
          </w:p>
        </w:tc>
        <w:tc>
          <w:tcPr>
            <w:tcW w:w="3433" w:type="dxa"/>
            <w:vAlign w:val="center"/>
          </w:tcPr>
          <w:p w14:paraId="29F32E93">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本项目为专门面向中小企业采购项目；</w:t>
            </w:r>
          </w:p>
        </w:tc>
        <w:tc>
          <w:tcPr>
            <w:tcW w:w="3827" w:type="dxa"/>
            <w:vAlign w:val="center"/>
          </w:tcPr>
          <w:p w14:paraId="714E8AF3">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请根据要求提供《中小企业声明函》。“提供的《中小企业声明函》须符合《政府采购促进中小企业发展管理办法》，否则不得享受相关中小企业扶持政策。”</w:t>
            </w:r>
          </w:p>
          <w:p w14:paraId="6D358C67">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本项目为专门面向中小企业采购项目，不提供或未按要求提供会被否决。</w:t>
            </w:r>
          </w:p>
        </w:tc>
      </w:tr>
      <w:tr w14:paraId="49DB12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054" w:hRule="atLeast"/>
        </w:trPr>
        <w:tc>
          <w:tcPr>
            <w:tcW w:w="815" w:type="dxa"/>
            <w:vAlign w:val="center"/>
          </w:tcPr>
          <w:p w14:paraId="661AFE5F">
            <w:pPr>
              <w:pStyle w:val="31"/>
              <w:ind w:left="-4" w:leftChars="-2"/>
              <w:jc w:val="center"/>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8</w:t>
            </w:r>
          </w:p>
        </w:tc>
        <w:tc>
          <w:tcPr>
            <w:tcW w:w="3433" w:type="dxa"/>
            <w:vAlign w:val="center"/>
          </w:tcPr>
          <w:p w14:paraId="349D7574">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特定资格要求：投标人须具备有效的</w:t>
            </w:r>
            <w:r>
              <w:rPr>
                <w:rFonts w:hint="eastAsia" w:ascii="仿宋" w:hAnsi="仿宋" w:eastAsia="仿宋" w:cs="仿宋"/>
                <w:color w:val="auto"/>
                <w:spacing w:val="13"/>
                <w:sz w:val="21"/>
                <w:szCs w:val="21"/>
                <w:highlight w:val="none"/>
                <w:lang w:eastAsia="zh-CN"/>
              </w:rPr>
              <w:t>《食品经营许可证》或《食品生产许可证》</w:t>
            </w:r>
            <w:r>
              <w:rPr>
                <w:rFonts w:hint="eastAsia" w:ascii="仿宋" w:hAnsi="仿宋" w:eastAsia="仿宋" w:cs="仿宋"/>
                <w:color w:val="auto"/>
                <w:spacing w:val="13"/>
                <w:sz w:val="21"/>
                <w:szCs w:val="21"/>
                <w:highlight w:val="none"/>
                <w:lang w:eastAsia="zh-CN"/>
              </w:rPr>
              <w:t>；如投标人所在地行政监督管理部门另有规定，须提供相关文件信息；</w:t>
            </w:r>
          </w:p>
        </w:tc>
        <w:tc>
          <w:tcPr>
            <w:tcW w:w="3827" w:type="dxa"/>
            <w:vAlign w:val="center"/>
          </w:tcPr>
          <w:p w14:paraId="17AFAF0C">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提供《食品经营许可证》或《食品生产许可证》；</w:t>
            </w:r>
          </w:p>
        </w:tc>
      </w:tr>
      <w:tr w14:paraId="6999D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20" w:hRule="atLeast"/>
        </w:trPr>
        <w:tc>
          <w:tcPr>
            <w:tcW w:w="815" w:type="dxa"/>
            <w:vAlign w:val="center"/>
          </w:tcPr>
          <w:p w14:paraId="74714D48">
            <w:pPr>
              <w:pStyle w:val="31"/>
              <w:ind w:left="-4" w:leftChars="-2"/>
              <w:jc w:val="center"/>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9</w:t>
            </w:r>
          </w:p>
        </w:tc>
        <w:tc>
          <w:tcPr>
            <w:tcW w:w="3433" w:type="dxa"/>
            <w:vAlign w:val="center"/>
          </w:tcPr>
          <w:p w14:paraId="39AEBECA">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凡拟参加本次招标项目的供应商，未在“信用中国”网站（www.creditchina.gov.cn）被列入重大税收违法失信主体、政府采购严重违法失信名单的（尚在处罚期内的）、“中国政府采购网”（www.ccgp.gov.cn）被列入政府采购严重违法失信行为记录名单（尚在处罚期内的）以及未被列入“中国执行信息公开网”（http://zxgk.court.gov.cn/）失信被执行人名单。</w:t>
            </w:r>
          </w:p>
        </w:tc>
        <w:tc>
          <w:tcPr>
            <w:tcW w:w="3827" w:type="dxa"/>
            <w:vAlign w:val="center"/>
          </w:tcPr>
          <w:p w14:paraId="7FDA1A21">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“中国执行信息公开网”（http://zxgk.court.gov.cn/）；</w:t>
            </w:r>
          </w:p>
          <w:p w14:paraId="6D296084">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查询时间：投标截止时间后至资格审查阶段完成；</w:t>
            </w:r>
          </w:p>
          <w:p w14:paraId="6768A3F5">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信用信息查询记录和证据留存具体方式：查询结果网页打印页作为查询记录和证据，与其他采购文件一并保存；信用信息的使用原则：经认定的“中国执行信息公开网”（http://zxgk.court.gov.cn/）”被列入失信被执行人、“信用中国”网站被列入重大税收违法失信主体、政府采购严重违法失信名单的（尚在处罚期内的）、中国政府采购网被列入政府采购严重违法失信行为记录名单（尚在处罚期内的）供应商，其投标无效。</w:t>
            </w:r>
          </w:p>
          <w:p w14:paraId="3466DF85">
            <w:pPr>
              <w:pStyle w:val="31"/>
              <w:ind w:left="-4" w:leftChars="-2"/>
              <w:rPr>
                <w:rFonts w:hint="eastAsia" w:ascii="仿宋" w:hAnsi="仿宋" w:eastAsia="仿宋" w:cs="仿宋"/>
                <w:color w:val="auto"/>
                <w:spacing w:val="13"/>
                <w:sz w:val="21"/>
                <w:szCs w:val="21"/>
                <w:highlight w:val="none"/>
                <w:lang w:eastAsia="zh-CN"/>
              </w:rPr>
            </w:pPr>
            <w:r>
              <w:rPr>
                <w:rFonts w:hint="eastAsia" w:ascii="仿宋" w:hAnsi="仿宋" w:eastAsia="仿宋" w:cs="仿宋"/>
                <w:color w:val="auto"/>
                <w:spacing w:val="13"/>
                <w:sz w:val="21"/>
                <w:szCs w:val="21"/>
                <w:highlight w:val="none"/>
                <w:lang w:eastAsia="zh-CN"/>
              </w:rPr>
              <w:t>以递交截止时间点采购代理机构查询为准，供应商无须提供。</w:t>
            </w:r>
          </w:p>
        </w:tc>
      </w:tr>
    </w:tbl>
    <w:p w14:paraId="4D24A2EB">
      <w:pPr>
        <w:pStyle w:val="31"/>
        <w:ind w:left="-4" w:leftChars="-2"/>
        <w:rPr>
          <w:rFonts w:hint="eastAsia" w:ascii="仿宋" w:hAnsi="仿宋" w:eastAsia="仿宋" w:cs="仿宋"/>
          <w:color w:val="auto"/>
          <w:spacing w:val="13"/>
          <w:sz w:val="21"/>
          <w:szCs w:val="21"/>
          <w:highlight w:val="none"/>
          <w:lang w:eastAsia="zh-CN"/>
        </w:rPr>
      </w:pPr>
      <w:bookmarkStart w:id="275" w:name="bookmark164"/>
      <w:bookmarkEnd w:id="275"/>
      <w:bookmarkStart w:id="276" w:name="bookmark196"/>
      <w:bookmarkEnd w:id="276"/>
      <w:bookmarkStart w:id="277" w:name="bookmark163"/>
      <w:bookmarkEnd w:id="277"/>
      <w:bookmarkStart w:id="278" w:name="bookmark166"/>
      <w:bookmarkEnd w:id="278"/>
      <w:bookmarkStart w:id="279" w:name="bookmark194"/>
      <w:bookmarkEnd w:id="279"/>
    </w:p>
    <w:p w14:paraId="118AE2E5">
      <w:pPr>
        <w:rPr>
          <w:rFonts w:hint="eastAsia" w:ascii="仿宋" w:hAnsi="仿宋" w:eastAsia="仿宋" w:cs="仿宋"/>
          <w:b/>
          <w:bCs/>
          <w:color w:val="auto"/>
          <w:spacing w:val="5"/>
          <w:sz w:val="30"/>
          <w:szCs w:val="30"/>
          <w:highlight w:val="none"/>
          <w:lang w:eastAsia="zh-CN"/>
        </w:rPr>
      </w:pPr>
      <w:r>
        <w:rPr>
          <w:rFonts w:hint="eastAsia" w:ascii="仿宋" w:hAnsi="仿宋" w:eastAsia="仿宋" w:cs="仿宋"/>
          <w:b/>
          <w:bCs/>
          <w:color w:val="auto"/>
          <w:spacing w:val="5"/>
          <w:sz w:val="30"/>
          <w:szCs w:val="30"/>
          <w:highlight w:val="none"/>
          <w:lang w:eastAsia="zh-CN"/>
        </w:rPr>
        <w:br w:type="page"/>
      </w:r>
    </w:p>
    <w:p w14:paraId="182F36A6">
      <w:pPr>
        <w:pStyle w:val="9"/>
        <w:pageBreakBefore/>
        <w:spacing w:before="313" w:line="360" w:lineRule="auto"/>
        <w:jc w:val="center"/>
        <w:outlineLvl w:val="0"/>
        <w:rPr>
          <w:rFonts w:hint="eastAsia" w:ascii="仿宋" w:hAnsi="仿宋" w:eastAsia="仿宋" w:cs="仿宋"/>
          <w:color w:val="auto"/>
          <w:sz w:val="30"/>
          <w:szCs w:val="30"/>
          <w:highlight w:val="none"/>
          <w:lang w:eastAsia="zh-CN"/>
        </w:rPr>
      </w:pPr>
      <w:r>
        <w:rPr>
          <w:rFonts w:hint="eastAsia" w:ascii="仿宋" w:hAnsi="仿宋" w:eastAsia="仿宋" w:cs="仿宋"/>
          <w:b/>
          <w:bCs/>
          <w:color w:val="auto"/>
          <w:spacing w:val="5"/>
          <w:sz w:val="30"/>
          <w:szCs w:val="30"/>
          <w:highlight w:val="none"/>
          <w:lang w:eastAsia="zh-CN"/>
        </w:rPr>
        <w:t>第五章评标方法及标准(综合评分法)</w:t>
      </w:r>
      <w:bookmarkEnd w:id="272"/>
    </w:p>
    <w:p w14:paraId="66502E68">
      <w:pPr>
        <w:spacing w:line="360" w:lineRule="auto"/>
        <w:ind w:left="24" w:right="13"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根据《中华人民共和国政府采购法》及其实施条例、《政府采购</w:t>
      </w:r>
      <w:r>
        <w:rPr>
          <w:rFonts w:hint="eastAsia" w:ascii="仿宋" w:hAnsi="仿宋" w:eastAsia="仿宋" w:cs="仿宋"/>
          <w:color w:val="auto"/>
          <w:spacing w:val="-4"/>
          <w:sz w:val="24"/>
          <w:szCs w:val="24"/>
          <w:highlight w:val="none"/>
          <w:lang w:eastAsia="zh-CN"/>
        </w:rPr>
        <w:t>货物和服务</w:t>
      </w:r>
      <w:r>
        <w:rPr>
          <w:rFonts w:hint="eastAsia" w:ascii="仿宋" w:hAnsi="仿宋" w:eastAsia="仿宋" w:cs="仿宋"/>
          <w:color w:val="auto"/>
          <w:spacing w:val="-1"/>
          <w:sz w:val="24"/>
          <w:szCs w:val="24"/>
          <w:highlight w:val="none"/>
          <w:lang w:eastAsia="zh-CN"/>
        </w:rPr>
        <w:t>招标投标管理办法》及相关法律法规确定以下评标方法及标准。</w:t>
      </w:r>
    </w:p>
    <w:p w14:paraId="2D113D26">
      <w:pPr>
        <w:spacing w:line="360" w:lineRule="auto"/>
        <w:ind w:left="31"/>
        <w:outlineLvl w:val="1"/>
        <w:rPr>
          <w:rFonts w:hint="eastAsia" w:ascii="仿宋" w:hAnsi="仿宋" w:eastAsia="仿宋" w:cs="仿宋"/>
          <w:color w:val="auto"/>
          <w:sz w:val="24"/>
          <w:szCs w:val="24"/>
          <w:highlight w:val="none"/>
          <w:lang w:eastAsia="zh-CN"/>
        </w:rPr>
      </w:pPr>
      <w:bookmarkStart w:id="280" w:name="bookmark165"/>
      <w:bookmarkEnd w:id="280"/>
      <w:bookmarkStart w:id="281" w:name="_Toc18135"/>
      <w:r>
        <w:rPr>
          <w:rFonts w:hint="eastAsia" w:ascii="仿宋" w:hAnsi="仿宋" w:eastAsia="仿宋" w:cs="仿宋"/>
          <w:b/>
          <w:bCs/>
          <w:color w:val="auto"/>
          <w:spacing w:val="4"/>
          <w:sz w:val="24"/>
          <w:szCs w:val="24"/>
          <w:highlight w:val="none"/>
          <w:lang w:eastAsia="zh-CN"/>
        </w:rPr>
        <w:t>一、评标方法</w:t>
      </w:r>
      <w:bookmarkEnd w:id="281"/>
    </w:p>
    <w:p w14:paraId="0963ADD4">
      <w:pPr>
        <w:spacing w:line="360" w:lineRule="auto"/>
        <w:ind w:left="24" w:right="13" w:firstLine="4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w:t>
      </w:r>
      <w:r>
        <w:rPr>
          <w:rFonts w:hint="eastAsia" w:ascii="仿宋" w:hAnsi="仿宋" w:eastAsia="仿宋" w:cs="仿宋"/>
          <w:b/>
          <w:bCs/>
          <w:color w:val="auto"/>
          <w:spacing w:val="-4"/>
          <w:sz w:val="24"/>
          <w:szCs w:val="24"/>
          <w:highlight w:val="none"/>
          <w:lang w:eastAsia="zh-CN"/>
        </w:rPr>
        <w:t>本项目采用综合评分法</w:t>
      </w:r>
      <w:r>
        <w:rPr>
          <w:rFonts w:hint="eastAsia" w:ascii="仿宋" w:hAnsi="仿宋" w:eastAsia="仿宋" w:cs="仿宋"/>
          <w:color w:val="auto"/>
          <w:spacing w:val="-4"/>
          <w:sz w:val="24"/>
          <w:szCs w:val="24"/>
          <w:highlight w:val="none"/>
          <w:lang w:eastAsia="zh-CN"/>
        </w:rPr>
        <w:t>。综合评分法，是指投标</w:t>
      </w:r>
      <w:r>
        <w:rPr>
          <w:rFonts w:hint="eastAsia" w:ascii="仿宋" w:hAnsi="仿宋" w:eastAsia="仿宋" w:cs="仿宋"/>
          <w:color w:val="auto"/>
          <w:spacing w:val="-5"/>
          <w:sz w:val="24"/>
          <w:szCs w:val="24"/>
          <w:highlight w:val="none"/>
          <w:lang w:eastAsia="zh-CN"/>
        </w:rPr>
        <w:t>文件满足招标文件全部实</w:t>
      </w:r>
      <w:r>
        <w:rPr>
          <w:rFonts w:hint="eastAsia" w:ascii="仿宋" w:hAnsi="仿宋" w:eastAsia="仿宋" w:cs="仿宋"/>
          <w:color w:val="auto"/>
          <w:spacing w:val="-3"/>
          <w:sz w:val="24"/>
          <w:szCs w:val="24"/>
          <w:highlight w:val="none"/>
          <w:lang w:eastAsia="zh-CN"/>
        </w:rPr>
        <w:t>质性要求，且按照评审因素的量化指标评审得分最高的投标人为中标候选人的评标方法。</w:t>
      </w:r>
    </w:p>
    <w:p w14:paraId="50105B62">
      <w:pPr>
        <w:spacing w:line="360" w:lineRule="auto"/>
        <w:ind w:left="31"/>
        <w:outlineLvl w:val="1"/>
        <w:rPr>
          <w:rFonts w:hint="eastAsia" w:ascii="仿宋" w:hAnsi="仿宋" w:eastAsia="仿宋" w:cs="仿宋"/>
          <w:color w:val="auto"/>
          <w:sz w:val="24"/>
          <w:szCs w:val="24"/>
          <w:highlight w:val="none"/>
          <w:lang w:eastAsia="zh-CN"/>
        </w:rPr>
      </w:pPr>
      <w:bookmarkStart w:id="282" w:name="bookmark167"/>
      <w:bookmarkEnd w:id="282"/>
      <w:bookmarkStart w:id="283" w:name="_Toc25589"/>
      <w:r>
        <w:rPr>
          <w:rFonts w:hint="eastAsia" w:ascii="仿宋" w:hAnsi="仿宋" w:eastAsia="仿宋" w:cs="仿宋"/>
          <w:b/>
          <w:bCs/>
          <w:color w:val="auto"/>
          <w:spacing w:val="4"/>
          <w:sz w:val="24"/>
          <w:szCs w:val="24"/>
          <w:highlight w:val="none"/>
          <w:lang w:eastAsia="zh-CN"/>
        </w:rPr>
        <w:t>二、评标程序</w:t>
      </w:r>
      <w:bookmarkEnd w:id="283"/>
    </w:p>
    <w:p w14:paraId="1E8E8F60">
      <w:pPr>
        <w:spacing w:line="360" w:lineRule="auto"/>
        <w:ind w:left="38"/>
        <w:outlineLvl w:val="2"/>
        <w:rPr>
          <w:rFonts w:hint="eastAsia" w:ascii="仿宋" w:hAnsi="仿宋" w:eastAsia="仿宋" w:cs="仿宋"/>
          <w:color w:val="auto"/>
          <w:sz w:val="24"/>
          <w:szCs w:val="24"/>
          <w:highlight w:val="none"/>
          <w:lang w:eastAsia="zh-CN"/>
        </w:rPr>
      </w:pPr>
      <w:bookmarkStart w:id="284" w:name="bookmark168"/>
      <w:bookmarkEnd w:id="284"/>
      <w:bookmarkStart w:id="285" w:name="_Toc186477754"/>
      <w:bookmarkStart w:id="286" w:name="_Toc23982"/>
      <w:r>
        <w:rPr>
          <w:rFonts w:hint="eastAsia" w:ascii="仿宋" w:hAnsi="仿宋" w:eastAsia="仿宋" w:cs="仿宋"/>
          <w:b/>
          <w:bCs/>
          <w:color w:val="auto"/>
          <w:spacing w:val="-6"/>
          <w:sz w:val="24"/>
          <w:szCs w:val="24"/>
          <w:highlight w:val="none"/>
          <w:lang w:eastAsia="zh-CN"/>
        </w:rPr>
        <w:t>（一）符合性审查</w:t>
      </w:r>
      <w:bookmarkEnd w:id="285"/>
      <w:bookmarkEnd w:id="286"/>
    </w:p>
    <w:p w14:paraId="5E1F285F">
      <w:pPr>
        <w:spacing w:line="360" w:lineRule="auto"/>
        <w:ind w:left="23" w:right="13" w:firstLine="48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2.评标委员会应当对通过资格审查的投标人的投标文件进行符合</w:t>
      </w:r>
      <w:r>
        <w:rPr>
          <w:rFonts w:hint="eastAsia" w:ascii="仿宋" w:hAnsi="仿宋" w:eastAsia="仿宋" w:cs="仿宋"/>
          <w:color w:val="auto"/>
          <w:spacing w:val="-4"/>
          <w:sz w:val="24"/>
          <w:szCs w:val="24"/>
          <w:highlight w:val="none"/>
          <w:lang w:eastAsia="zh-CN"/>
        </w:rPr>
        <w:t>性审查，以</w:t>
      </w:r>
      <w:r>
        <w:rPr>
          <w:rFonts w:hint="eastAsia" w:ascii="仿宋" w:hAnsi="仿宋" w:eastAsia="仿宋" w:cs="仿宋"/>
          <w:color w:val="auto"/>
          <w:spacing w:val="-3"/>
          <w:sz w:val="24"/>
          <w:szCs w:val="24"/>
          <w:highlight w:val="none"/>
          <w:lang w:eastAsia="zh-CN"/>
        </w:rPr>
        <w:t>确定其是否满足招标文件的实质性要求。投标人必须通过符合性审查的全部评审</w:t>
      </w:r>
      <w:r>
        <w:rPr>
          <w:rFonts w:hint="eastAsia" w:ascii="仿宋" w:hAnsi="仿宋" w:eastAsia="仿宋" w:cs="仿宋"/>
          <w:color w:val="auto"/>
          <w:spacing w:val="-4"/>
          <w:sz w:val="24"/>
          <w:szCs w:val="24"/>
          <w:highlight w:val="none"/>
          <w:lang w:eastAsia="zh-CN"/>
        </w:rPr>
        <w:t>指标，不满足招标文件的实质性要求的，其</w:t>
      </w:r>
      <w:r>
        <w:rPr>
          <w:rFonts w:hint="eastAsia" w:ascii="仿宋" w:hAnsi="仿宋" w:eastAsia="仿宋" w:cs="仿宋"/>
          <w:b/>
          <w:bCs/>
          <w:color w:val="auto"/>
          <w:spacing w:val="-4"/>
          <w:sz w:val="24"/>
          <w:szCs w:val="24"/>
          <w:highlight w:val="none"/>
          <w:lang w:eastAsia="zh-CN"/>
        </w:rPr>
        <w:t>投标无效</w:t>
      </w:r>
      <w:r>
        <w:rPr>
          <w:rFonts w:hint="eastAsia" w:ascii="仿宋" w:hAnsi="仿宋" w:eastAsia="仿宋" w:cs="仿宋"/>
          <w:color w:val="auto"/>
          <w:spacing w:val="-4"/>
          <w:sz w:val="24"/>
          <w:szCs w:val="24"/>
          <w:highlight w:val="none"/>
          <w:lang w:eastAsia="zh-CN"/>
        </w:rPr>
        <w:t>。具体内容详</w:t>
      </w:r>
      <w:r>
        <w:rPr>
          <w:rFonts w:hint="eastAsia" w:ascii="仿宋" w:hAnsi="仿宋" w:eastAsia="仿宋" w:cs="仿宋"/>
          <w:color w:val="auto"/>
          <w:spacing w:val="-5"/>
          <w:sz w:val="24"/>
          <w:szCs w:val="24"/>
          <w:highlight w:val="none"/>
          <w:lang w:eastAsia="zh-CN"/>
        </w:rPr>
        <w:t>本章“四、评</w:t>
      </w:r>
      <w:r>
        <w:rPr>
          <w:rFonts w:hint="eastAsia" w:ascii="仿宋" w:hAnsi="仿宋" w:eastAsia="仿宋" w:cs="仿宋"/>
          <w:color w:val="auto"/>
          <w:spacing w:val="-3"/>
          <w:sz w:val="24"/>
          <w:szCs w:val="24"/>
          <w:highlight w:val="none"/>
          <w:lang w:eastAsia="zh-CN"/>
        </w:rPr>
        <w:t>标标准”中的“（一）符合性审查”。</w:t>
      </w:r>
    </w:p>
    <w:p w14:paraId="6C5C9DD3">
      <w:pPr>
        <w:spacing w:line="360" w:lineRule="auto"/>
        <w:ind w:left="38"/>
        <w:outlineLvl w:val="2"/>
        <w:rPr>
          <w:rFonts w:hint="eastAsia" w:ascii="仿宋" w:hAnsi="仿宋" w:eastAsia="仿宋" w:cs="仿宋"/>
          <w:color w:val="auto"/>
          <w:sz w:val="24"/>
          <w:szCs w:val="24"/>
          <w:highlight w:val="none"/>
          <w:lang w:eastAsia="zh-CN"/>
        </w:rPr>
      </w:pPr>
      <w:bookmarkStart w:id="287" w:name="bookmark169"/>
      <w:bookmarkEnd w:id="287"/>
      <w:bookmarkStart w:id="288" w:name="bookmark200"/>
      <w:bookmarkEnd w:id="288"/>
      <w:bookmarkStart w:id="289" w:name="bookmark170"/>
      <w:bookmarkEnd w:id="289"/>
      <w:bookmarkStart w:id="290" w:name="bookmark199"/>
      <w:bookmarkEnd w:id="290"/>
      <w:bookmarkStart w:id="291" w:name="_Toc22454"/>
      <w:bookmarkStart w:id="292" w:name="_Toc186477755"/>
      <w:r>
        <w:rPr>
          <w:rFonts w:hint="eastAsia" w:ascii="仿宋" w:hAnsi="仿宋" w:eastAsia="仿宋" w:cs="仿宋"/>
          <w:b/>
          <w:bCs/>
          <w:color w:val="auto"/>
          <w:spacing w:val="-5"/>
          <w:sz w:val="24"/>
          <w:szCs w:val="24"/>
          <w:highlight w:val="none"/>
          <w:lang w:eastAsia="zh-CN"/>
        </w:rPr>
        <w:t>（二）投标文件澄清及修正</w:t>
      </w:r>
      <w:bookmarkEnd w:id="291"/>
      <w:bookmarkEnd w:id="292"/>
    </w:p>
    <w:p w14:paraId="381F9546">
      <w:pPr>
        <w:spacing w:line="360" w:lineRule="auto"/>
        <w:ind w:left="22" w:right="13" w:firstLine="48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3.评标期间，对于投标文件中含义不明确、同类问题表述不</w:t>
      </w:r>
      <w:r>
        <w:rPr>
          <w:rFonts w:hint="eastAsia" w:ascii="仿宋" w:hAnsi="仿宋" w:eastAsia="仿宋" w:cs="仿宋"/>
          <w:color w:val="auto"/>
          <w:spacing w:val="-4"/>
          <w:sz w:val="24"/>
          <w:szCs w:val="24"/>
          <w:highlight w:val="none"/>
          <w:lang w:eastAsia="zh-CN"/>
        </w:rPr>
        <w:t>一致或者有明显</w:t>
      </w:r>
      <w:r>
        <w:rPr>
          <w:rFonts w:hint="eastAsia" w:ascii="仿宋" w:hAnsi="仿宋" w:eastAsia="仿宋" w:cs="仿宋"/>
          <w:color w:val="auto"/>
          <w:spacing w:val="-3"/>
          <w:sz w:val="24"/>
          <w:szCs w:val="24"/>
          <w:highlight w:val="none"/>
          <w:lang w:eastAsia="zh-CN"/>
        </w:rPr>
        <w:t>文字和计算错误的内容需要投标人作出必要的澄清、说明或者补正的，评标委员会应当在政采云平台评标系统中以书面形式要求投标人作出必要的澄清、说明或者补正。</w:t>
      </w:r>
    </w:p>
    <w:p w14:paraId="2EAE6E61">
      <w:pPr>
        <w:spacing w:line="360" w:lineRule="auto"/>
        <w:ind w:left="23" w:right="13"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4.投标人应按照评标委员会要求在规定时间内作出澄清、说明或者补正</w:t>
      </w:r>
      <w:r>
        <w:rPr>
          <w:rFonts w:hint="eastAsia" w:ascii="仿宋" w:hAnsi="仿宋" w:eastAsia="仿宋" w:cs="仿宋"/>
          <w:color w:val="auto"/>
          <w:spacing w:val="-4"/>
          <w:sz w:val="24"/>
          <w:szCs w:val="24"/>
          <w:highlight w:val="none"/>
          <w:lang w:eastAsia="zh-CN"/>
        </w:rPr>
        <w:t>，澄</w:t>
      </w:r>
      <w:r>
        <w:rPr>
          <w:rFonts w:hint="eastAsia" w:ascii="仿宋" w:hAnsi="仿宋" w:eastAsia="仿宋" w:cs="仿宋"/>
          <w:color w:val="auto"/>
          <w:sz w:val="24"/>
          <w:szCs w:val="24"/>
          <w:highlight w:val="none"/>
          <w:lang w:eastAsia="zh-CN"/>
        </w:rPr>
        <w:t>清、说明或者补正不得超出投标文件的范围或者改变</w:t>
      </w:r>
      <w:r>
        <w:rPr>
          <w:rFonts w:hint="eastAsia" w:ascii="仿宋" w:hAnsi="仿宋" w:eastAsia="仿宋" w:cs="仿宋"/>
          <w:color w:val="auto"/>
          <w:spacing w:val="-1"/>
          <w:sz w:val="24"/>
          <w:szCs w:val="24"/>
          <w:highlight w:val="none"/>
          <w:lang w:eastAsia="zh-CN"/>
        </w:rPr>
        <w:t>投标文件的实质性内容。</w:t>
      </w:r>
    </w:p>
    <w:p w14:paraId="74CD51CE">
      <w:pPr>
        <w:spacing w:line="360" w:lineRule="auto"/>
        <w:ind w:left="26" w:right="13"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5.投标人的澄清、说明或者补正是其投标文件的有效组成部</w:t>
      </w:r>
      <w:r>
        <w:rPr>
          <w:rFonts w:hint="eastAsia" w:ascii="仿宋" w:hAnsi="仿宋" w:eastAsia="仿宋" w:cs="仿宋"/>
          <w:color w:val="auto"/>
          <w:spacing w:val="-4"/>
          <w:sz w:val="24"/>
          <w:szCs w:val="24"/>
          <w:highlight w:val="none"/>
          <w:lang w:eastAsia="zh-CN"/>
        </w:rPr>
        <w:t>分，澄清、说明</w:t>
      </w:r>
      <w:r>
        <w:rPr>
          <w:rFonts w:hint="eastAsia" w:ascii="仿宋" w:hAnsi="仿宋" w:eastAsia="仿宋" w:cs="仿宋"/>
          <w:color w:val="auto"/>
          <w:spacing w:val="-1"/>
          <w:sz w:val="24"/>
          <w:szCs w:val="24"/>
          <w:highlight w:val="none"/>
          <w:lang w:eastAsia="zh-CN"/>
        </w:rPr>
        <w:t>或者补正应当在政采云平台评标系统中加盖电子印章后提交。</w:t>
      </w:r>
    </w:p>
    <w:p w14:paraId="03C8527C">
      <w:pPr>
        <w:spacing w:line="360" w:lineRule="auto"/>
        <w:ind w:left="24" w:right="1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6.报价合理性说明：评标委员会认为投标人的报价明显低于其他通</w:t>
      </w:r>
      <w:r>
        <w:rPr>
          <w:rFonts w:hint="eastAsia" w:ascii="仿宋" w:hAnsi="仿宋" w:eastAsia="仿宋" w:cs="仿宋"/>
          <w:color w:val="auto"/>
          <w:spacing w:val="-4"/>
          <w:sz w:val="24"/>
          <w:szCs w:val="24"/>
          <w:highlight w:val="none"/>
          <w:lang w:eastAsia="zh-CN"/>
        </w:rPr>
        <w:t>过符合性</w:t>
      </w:r>
      <w:r>
        <w:rPr>
          <w:rFonts w:hint="eastAsia" w:ascii="仿宋" w:hAnsi="仿宋" w:eastAsia="仿宋" w:cs="仿宋"/>
          <w:color w:val="auto"/>
          <w:spacing w:val="-3"/>
          <w:sz w:val="24"/>
          <w:szCs w:val="24"/>
          <w:highlight w:val="none"/>
          <w:lang w:eastAsia="zh-CN"/>
        </w:rPr>
        <w:t>审查投标人的报价，有可能影响货物质量或者不能诚信履约的，应当要求该投标人在合理的时间内提供说明，必要时提交相关证明材料；若投标人不能证明其报</w:t>
      </w:r>
      <w:r>
        <w:rPr>
          <w:rFonts w:hint="eastAsia" w:ascii="仿宋" w:hAnsi="仿宋" w:eastAsia="仿宋" w:cs="仿宋"/>
          <w:color w:val="auto"/>
          <w:spacing w:val="-1"/>
          <w:sz w:val="24"/>
          <w:szCs w:val="24"/>
          <w:highlight w:val="none"/>
          <w:lang w:eastAsia="zh-CN"/>
        </w:rPr>
        <w:t>价合理性的，评标委员会应当将其作为</w:t>
      </w:r>
      <w:r>
        <w:rPr>
          <w:rFonts w:hint="eastAsia" w:ascii="仿宋" w:hAnsi="仿宋" w:eastAsia="仿宋" w:cs="仿宋"/>
          <w:b/>
          <w:bCs/>
          <w:color w:val="auto"/>
          <w:spacing w:val="-1"/>
          <w:sz w:val="24"/>
          <w:szCs w:val="24"/>
          <w:highlight w:val="none"/>
          <w:lang w:eastAsia="zh-CN"/>
        </w:rPr>
        <w:t>无效投标</w:t>
      </w:r>
      <w:r>
        <w:rPr>
          <w:rFonts w:hint="eastAsia" w:ascii="仿宋" w:hAnsi="仿宋" w:eastAsia="仿宋" w:cs="仿宋"/>
          <w:color w:val="auto"/>
          <w:spacing w:val="-1"/>
          <w:sz w:val="24"/>
          <w:szCs w:val="24"/>
          <w:highlight w:val="none"/>
          <w:lang w:eastAsia="zh-CN"/>
        </w:rPr>
        <w:t>处理。</w:t>
      </w:r>
    </w:p>
    <w:p w14:paraId="37112242">
      <w:pPr>
        <w:spacing w:line="360" w:lineRule="auto"/>
        <w:ind w:left="23" w:right="208" w:firstLine="485"/>
        <w:jc w:val="both"/>
        <w:rPr>
          <w:rFonts w:hint="eastAsia" w:ascii="仿宋" w:hAnsi="仿宋" w:eastAsia="仿宋" w:cs="仿宋"/>
          <w:color w:val="auto"/>
          <w:sz w:val="24"/>
          <w:szCs w:val="24"/>
          <w:highlight w:val="none"/>
          <w:lang w:eastAsia="zh-CN"/>
        </w:rPr>
      </w:pPr>
      <w:bookmarkStart w:id="293" w:name="bookmark281"/>
      <w:bookmarkEnd w:id="293"/>
      <w:r>
        <w:rPr>
          <w:rFonts w:hint="eastAsia" w:ascii="仿宋" w:hAnsi="仿宋" w:eastAsia="仿宋" w:cs="仿宋"/>
          <w:color w:val="auto"/>
          <w:spacing w:val="-3"/>
          <w:sz w:val="24"/>
          <w:szCs w:val="24"/>
          <w:highlight w:val="none"/>
          <w:lang w:eastAsia="zh-CN"/>
        </w:rPr>
        <w:t>7.投标报价须包含招标文件全部内容，如分项报价表有缺</w:t>
      </w:r>
      <w:r>
        <w:rPr>
          <w:rFonts w:hint="eastAsia" w:ascii="仿宋" w:hAnsi="仿宋" w:eastAsia="仿宋" w:cs="仿宋"/>
          <w:color w:val="auto"/>
          <w:spacing w:val="-4"/>
          <w:sz w:val="24"/>
          <w:szCs w:val="24"/>
          <w:highlight w:val="none"/>
          <w:lang w:eastAsia="zh-CN"/>
        </w:rPr>
        <w:t>漏视为已含在其他</w:t>
      </w:r>
      <w:r>
        <w:rPr>
          <w:rFonts w:hint="eastAsia" w:ascii="仿宋" w:hAnsi="仿宋" w:eastAsia="仿宋" w:cs="仿宋"/>
          <w:color w:val="auto"/>
          <w:spacing w:val="-3"/>
          <w:sz w:val="24"/>
          <w:szCs w:val="24"/>
          <w:highlight w:val="none"/>
          <w:lang w:eastAsia="zh-CN"/>
        </w:rPr>
        <w:t>各项报价中，将不对投标总价进行调整。评标委员会有权要求投标人在评标现场合理的时间内对此进行书面确认，投标人不确认的，视为将一个采购包中的内容</w:t>
      </w:r>
      <w:r>
        <w:rPr>
          <w:rFonts w:hint="eastAsia" w:ascii="仿宋" w:hAnsi="仿宋" w:eastAsia="仿宋" w:cs="仿宋"/>
          <w:color w:val="auto"/>
          <w:spacing w:val="-2"/>
          <w:sz w:val="24"/>
          <w:szCs w:val="24"/>
          <w:highlight w:val="none"/>
          <w:lang w:eastAsia="zh-CN"/>
        </w:rPr>
        <w:t>拆分投标，其</w:t>
      </w:r>
      <w:r>
        <w:rPr>
          <w:rFonts w:hint="eastAsia" w:ascii="仿宋" w:hAnsi="仿宋" w:eastAsia="仿宋" w:cs="仿宋"/>
          <w:b/>
          <w:bCs/>
          <w:color w:val="auto"/>
          <w:spacing w:val="-2"/>
          <w:sz w:val="24"/>
          <w:szCs w:val="24"/>
          <w:highlight w:val="none"/>
          <w:lang w:eastAsia="zh-CN"/>
        </w:rPr>
        <w:t>投标无效</w:t>
      </w:r>
      <w:r>
        <w:rPr>
          <w:rFonts w:hint="eastAsia" w:ascii="仿宋" w:hAnsi="仿宋" w:eastAsia="仿宋" w:cs="仿宋"/>
          <w:color w:val="auto"/>
          <w:spacing w:val="-2"/>
          <w:sz w:val="24"/>
          <w:szCs w:val="24"/>
          <w:highlight w:val="none"/>
          <w:lang w:eastAsia="zh-CN"/>
        </w:rPr>
        <w:t>。</w:t>
      </w:r>
    </w:p>
    <w:p w14:paraId="275C1532">
      <w:pPr>
        <w:spacing w:line="360" w:lineRule="auto"/>
        <w:ind w:left="23" w:right="208"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8.投标文件报价出现前后不一致的，除招标文件另有规定外，按照下</w:t>
      </w:r>
      <w:r>
        <w:rPr>
          <w:rFonts w:hint="eastAsia" w:ascii="仿宋" w:hAnsi="仿宋" w:eastAsia="仿宋" w:cs="仿宋"/>
          <w:color w:val="auto"/>
          <w:spacing w:val="-4"/>
          <w:sz w:val="24"/>
          <w:szCs w:val="24"/>
          <w:highlight w:val="none"/>
          <w:lang w:eastAsia="zh-CN"/>
        </w:rPr>
        <w:t>列规定修正：</w:t>
      </w:r>
    </w:p>
    <w:p w14:paraId="12A5E321">
      <w:pPr>
        <w:spacing w:line="360" w:lineRule="auto"/>
        <w:ind w:left="50" w:right="147" w:firstLine="45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8.1投标文件中开标一览表（报价表）内容与投标文件中相应内容不一致的，</w:t>
      </w:r>
      <w:r>
        <w:rPr>
          <w:rFonts w:hint="eastAsia" w:ascii="仿宋" w:hAnsi="仿宋" w:eastAsia="仿宋" w:cs="仿宋"/>
          <w:color w:val="auto"/>
          <w:spacing w:val="-3"/>
          <w:sz w:val="24"/>
          <w:szCs w:val="24"/>
          <w:highlight w:val="none"/>
          <w:lang w:eastAsia="zh-CN"/>
        </w:rPr>
        <w:t>以开标一览表（报价表）为准；</w:t>
      </w:r>
    </w:p>
    <w:p w14:paraId="010712CD">
      <w:pPr>
        <w:spacing w:line="360" w:lineRule="auto"/>
        <w:ind w:left="50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8.2大写金额和小写金额不一致的，以大写金额为准；</w:t>
      </w:r>
    </w:p>
    <w:p w14:paraId="07690397">
      <w:pPr>
        <w:spacing w:line="360" w:lineRule="auto"/>
        <w:ind w:left="29" w:right="233" w:firstLine="47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8.3单价金额小数点或者百分比有明显错位</w:t>
      </w:r>
      <w:r>
        <w:rPr>
          <w:rFonts w:hint="eastAsia" w:ascii="仿宋" w:hAnsi="仿宋" w:eastAsia="仿宋" w:cs="仿宋"/>
          <w:color w:val="auto"/>
          <w:spacing w:val="-3"/>
          <w:sz w:val="24"/>
          <w:szCs w:val="24"/>
          <w:highlight w:val="none"/>
          <w:lang w:eastAsia="zh-CN"/>
        </w:rPr>
        <w:t>的，以开标一览表的总价为准，并修改单价；</w:t>
      </w:r>
    </w:p>
    <w:p w14:paraId="62BB6569">
      <w:pPr>
        <w:spacing w:line="360" w:lineRule="auto"/>
        <w:ind w:left="50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8.4总价金额与按单价汇总金额不一致的，以单价金额计算结果为准。</w:t>
      </w:r>
    </w:p>
    <w:p w14:paraId="4A2E6345">
      <w:pPr>
        <w:spacing w:line="360" w:lineRule="auto"/>
        <w:ind w:left="23" w:right="208" w:firstLine="50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同时出现两种以上不一致的，按照8.1—8.4的顺序修正。修正后</w:t>
      </w:r>
      <w:r>
        <w:rPr>
          <w:rFonts w:hint="eastAsia" w:ascii="仿宋" w:hAnsi="仿宋" w:eastAsia="仿宋" w:cs="仿宋"/>
          <w:color w:val="auto"/>
          <w:spacing w:val="-3"/>
          <w:sz w:val="24"/>
          <w:szCs w:val="24"/>
          <w:highlight w:val="none"/>
          <w:lang w:eastAsia="zh-CN"/>
        </w:rPr>
        <w:t>的报价采用书面形式，并加盖公章，或者由法定代表人或其授权的代表签字，经投标人确</w:t>
      </w:r>
      <w:r>
        <w:rPr>
          <w:rFonts w:hint="eastAsia" w:ascii="仿宋" w:hAnsi="仿宋" w:eastAsia="仿宋" w:cs="仿宋"/>
          <w:color w:val="auto"/>
          <w:spacing w:val="-1"/>
          <w:sz w:val="24"/>
          <w:szCs w:val="24"/>
          <w:highlight w:val="none"/>
          <w:lang w:eastAsia="zh-CN"/>
        </w:rPr>
        <w:t>认后产生约束力，投标人不确认的，其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70A3226F">
      <w:pPr>
        <w:spacing w:line="360" w:lineRule="auto"/>
        <w:ind w:left="38"/>
        <w:outlineLvl w:val="2"/>
        <w:rPr>
          <w:rFonts w:hint="eastAsia" w:ascii="仿宋" w:hAnsi="仿宋" w:eastAsia="仿宋" w:cs="仿宋"/>
          <w:color w:val="auto"/>
          <w:sz w:val="24"/>
          <w:szCs w:val="24"/>
          <w:highlight w:val="none"/>
          <w:lang w:eastAsia="zh-CN"/>
        </w:rPr>
      </w:pPr>
      <w:bookmarkStart w:id="294" w:name="bookmark171"/>
      <w:bookmarkEnd w:id="294"/>
      <w:bookmarkStart w:id="295" w:name="_Toc186477756"/>
      <w:bookmarkStart w:id="296" w:name="_Toc25777"/>
      <w:r>
        <w:rPr>
          <w:rFonts w:hint="eastAsia" w:ascii="仿宋" w:hAnsi="仿宋" w:eastAsia="仿宋" w:cs="仿宋"/>
          <w:b/>
          <w:bCs/>
          <w:color w:val="auto"/>
          <w:spacing w:val="-6"/>
          <w:sz w:val="24"/>
          <w:szCs w:val="24"/>
          <w:highlight w:val="none"/>
          <w:lang w:eastAsia="zh-CN"/>
        </w:rPr>
        <w:t>（三）比较与评价</w:t>
      </w:r>
      <w:bookmarkEnd w:id="295"/>
      <w:bookmarkEnd w:id="296"/>
    </w:p>
    <w:p w14:paraId="3D6CEA65">
      <w:pPr>
        <w:spacing w:line="360" w:lineRule="auto"/>
        <w:ind w:left="22" w:right="208" w:firstLine="48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9.评标委员会应当按照招标文件中规定的评标方法和标准，对符合性</w:t>
      </w:r>
      <w:r>
        <w:rPr>
          <w:rFonts w:hint="eastAsia" w:ascii="仿宋" w:hAnsi="仿宋" w:eastAsia="仿宋" w:cs="仿宋"/>
          <w:color w:val="auto"/>
          <w:spacing w:val="-4"/>
          <w:sz w:val="24"/>
          <w:szCs w:val="24"/>
          <w:highlight w:val="none"/>
          <w:lang w:eastAsia="zh-CN"/>
        </w:rPr>
        <w:t>审查合</w:t>
      </w:r>
      <w:r>
        <w:rPr>
          <w:rFonts w:hint="eastAsia" w:ascii="仿宋" w:hAnsi="仿宋" w:eastAsia="仿宋" w:cs="仿宋"/>
          <w:color w:val="auto"/>
          <w:spacing w:val="-3"/>
          <w:sz w:val="24"/>
          <w:szCs w:val="24"/>
          <w:highlight w:val="none"/>
          <w:lang w:eastAsia="zh-CN"/>
        </w:rPr>
        <w:t>格的投标文件进行商务和技术评估，综合比较与评价；未通过符合性审查的投标文件不得进入比较与评价。评审因素包括投标报价、商务技术以及落实政府采购</w:t>
      </w:r>
      <w:r>
        <w:rPr>
          <w:rFonts w:hint="eastAsia" w:ascii="仿宋" w:hAnsi="仿宋" w:eastAsia="仿宋" w:cs="仿宋"/>
          <w:color w:val="auto"/>
          <w:spacing w:val="-2"/>
          <w:sz w:val="24"/>
          <w:szCs w:val="24"/>
          <w:highlight w:val="none"/>
          <w:lang w:eastAsia="zh-CN"/>
        </w:rPr>
        <w:t>政策。评审因素及标准见本章“四、评标标准”。</w:t>
      </w:r>
    </w:p>
    <w:p w14:paraId="1668F817">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10.相同品牌处理原则</w:t>
      </w:r>
    </w:p>
    <w:p w14:paraId="54024433">
      <w:pPr>
        <w:spacing w:line="360" w:lineRule="auto"/>
        <w:ind w:left="26" w:right="208" w:firstLine="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10.1单一产品采购（或非单一产品采购中的核心产品</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提供相同品牌产</w:t>
      </w:r>
      <w:r>
        <w:rPr>
          <w:rFonts w:hint="eastAsia" w:ascii="仿宋" w:hAnsi="仿宋" w:eastAsia="仿宋" w:cs="仿宋"/>
          <w:color w:val="auto"/>
          <w:spacing w:val="-3"/>
          <w:sz w:val="24"/>
          <w:szCs w:val="24"/>
          <w:highlight w:val="none"/>
          <w:lang w:eastAsia="zh-CN"/>
        </w:rPr>
        <w:t>品且通过资格审查、符合性审查的不同投标人参加同一合同项下投标的，按</w:t>
      </w:r>
      <w:r>
        <w:rPr>
          <w:rFonts w:hint="eastAsia" w:ascii="仿宋" w:hAnsi="仿宋" w:eastAsia="仿宋" w:cs="仿宋"/>
          <w:color w:val="auto"/>
          <w:spacing w:val="-4"/>
          <w:sz w:val="24"/>
          <w:szCs w:val="24"/>
          <w:highlight w:val="none"/>
          <w:lang w:eastAsia="zh-CN"/>
        </w:rPr>
        <w:t>一家</w:t>
      </w:r>
      <w:r>
        <w:rPr>
          <w:rFonts w:hint="eastAsia" w:ascii="仿宋" w:hAnsi="仿宋" w:eastAsia="仿宋" w:cs="仿宋"/>
          <w:color w:val="auto"/>
          <w:spacing w:val="-3"/>
          <w:sz w:val="24"/>
          <w:szCs w:val="24"/>
          <w:highlight w:val="none"/>
          <w:lang w:eastAsia="zh-CN"/>
        </w:rPr>
        <w:t>投标人计算。</w:t>
      </w:r>
    </w:p>
    <w:p w14:paraId="75FF3B0E">
      <w:pPr>
        <w:spacing w:line="360" w:lineRule="auto"/>
        <w:ind w:left="24" w:firstLine="4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10.2非单一产品采购项目，采购人应当根据采购项目技</w:t>
      </w:r>
      <w:r>
        <w:rPr>
          <w:rFonts w:hint="eastAsia" w:ascii="仿宋" w:hAnsi="仿宋" w:eastAsia="仿宋" w:cs="仿宋"/>
          <w:color w:val="auto"/>
          <w:spacing w:val="-2"/>
          <w:sz w:val="24"/>
          <w:szCs w:val="24"/>
          <w:highlight w:val="none"/>
          <w:lang w:eastAsia="zh-CN"/>
        </w:rPr>
        <w:t>术构成、产品价格</w:t>
      </w:r>
      <w:r>
        <w:rPr>
          <w:rFonts w:hint="eastAsia" w:ascii="仿宋" w:hAnsi="仿宋" w:eastAsia="仿宋" w:cs="仿宋"/>
          <w:color w:val="auto"/>
          <w:spacing w:val="-4"/>
          <w:sz w:val="24"/>
          <w:szCs w:val="24"/>
          <w:highlight w:val="none"/>
          <w:lang w:eastAsia="zh-CN"/>
        </w:rPr>
        <w:t>比重等合理确定核心产品（采购清单中作“与核心产品相同〈或同一〉品牌”实</w:t>
      </w:r>
      <w:r>
        <w:rPr>
          <w:rFonts w:hint="eastAsia" w:ascii="仿宋" w:hAnsi="仿宋" w:eastAsia="仿宋" w:cs="仿宋"/>
          <w:color w:val="auto"/>
          <w:spacing w:val="1"/>
          <w:sz w:val="24"/>
          <w:szCs w:val="24"/>
          <w:highlight w:val="none"/>
          <w:lang w:eastAsia="zh-CN"/>
        </w:rPr>
        <w:t>质性要求的产品，视为核心产品</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1"/>
          <w:sz w:val="24"/>
          <w:szCs w:val="24"/>
          <w:highlight w:val="none"/>
          <w:lang w:eastAsia="zh-CN"/>
        </w:rPr>
        <w:t>并以“核心产品”在“</w:t>
      </w:r>
      <w:r>
        <w:rPr>
          <w:rFonts w:hint="eastAsia" w:ascii="仿宋" w:hAnsi="仿宋" w:eastAsia="仿宋" w:cs="仿宋"/>
          <w:color w:val="auto"/>
          <w:sz w:val="24"/>
          <w:szCs w:val="24"/>
          <w:highlight w:val="none"/>
          <w:lang w:eastAsia="zh-CN"/>
        </w:rPr>
        <w:t xml:space="preserve">投标人须知前附表” </w:t>
      </w:r>
      <w:r>
        <w:rPr>
          <w:rFonts w:hint="eastAsia" w:ascii="仿宋" w:hAnsi="仿宋" w:eastAsia="仿宋" w:cs="仿宋"/>
          <w:color w:val="auto"/>
          <w:spacing w:val="-1"/>
          <w:sz w:val="24"/>
          <w:szCs w:val="24"/>
          <w:highlight w:val="none"/>
          <w:lang w:eastAsia="zh-CN"/>
        </w:rPr>
        <w:t>中载明，评审时按前款规定处理。</w:t>
      </w:r>
    </w:p>
    <w:p w14:paraId="5B8982D1">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10.3有效投标品牌不足3家的应按</w:t>
      </w:r>
      <w:r>
        <w:rPr>
          <w:rFonts w:hint="eastAsia" w:ascii="仿宋" w:hAnsi="仿宋" w:eastAsia="仿宋" w:cs="仿宋"/>
          <w:b/>
          <w:bCs/>
          <w:color w:val="auto"/>
          <w:spacing w:val="-3"/>
          <w:sz w:val="24"/>
          <w:szCs w:val="24"/>
          <w:highlight w:val="none"/>
          <w:lang w:eastAsia="zh-CN"/>
        </w:rPr>
        <w:t>废标</w:t>
      </w:r>
      <w:r>
        <w:rPr>
          <w:rFonts w:hint="eastAsia" w:ascii="仿宋" w:hAnsi="仿宋" w:eastAsia="仿宋" w:cs="仿宋"/>
          <w:color w:val="auto"/>
          <w:spacing w:val="-4"/>
          <w:sz w:val="24"/>
          <w:szCs w:val="24"/>
          <w:highlight w:val="none"/>
          <w:lang w:eastAsia="zh-CN"/>
        </w:rPr>
        <w:t>处理。</w:t>
      </w:r>
    </w:p>
    <w:p w14:paraId="456C7A25">
      <w:pPr>
        <w:spacing w:line="360" w:lineRule="auto"/>
        <w:ind w:left="38"/>
        <w:outlineLvl w:val="2"/>
        <w:rPr>
          <w:rFonts w:hint="eastAsia" w:ascii="仿宋" w:hAnsi="仿宋" w:eastAsia="仿宋" w:cs="仿宋"/>
          <w:color w:val="auto"/>
          <w:sz w:val="24"/>
          <w:szCs w:val="24"/>
          <w:highlight w:val="none"/>
          <w:lang w:eastAsia="zh-CN"/>
        </w:rPr>
      </w:pPr>
      <w:bookmarkStart w:id="297" w:name="bookmark172"/>
      <w:bookmarkEnd w:id="297"/>
      <w:bookmarkStart w:id="298" w:name="bookmark282"/>
      <w:bookmarkEnd w:id="298"/>
      <w:bookmarkStart w:id="299" w:name="_Toc31351"/>
      <w:bookmarkStart w:id="300" w:name="_Toc186477757"/>
      <w:r>
        <w:rPr>
          <w:rFonts w:hint="eastAsia" w:ascii="仿宋" w:hAnsi="仿宋" w:eastAsia="仿宋" w:cs="仿宋"/>
          <w:b/>
          <w:bCs/>
          <w:color w:val="auto"/>
          <w:spacing w:val="-6"/>
          <w:sz w:val="24"/>
          <w:szCs w:val="24"/>
          <w:highlight w:val="none"/>
          <w:lang w:eastAsia="zh-CN"/>
        </w:rPr>
        <w:t>（四）报价评审</w:t>
      </w:r>
      <w:bookmarkEnd w:id="299"/>
      <w:bookmarkEnd w:id="300"/>
    </w:p>
    <w:p w14:paraId="6D96BEB2">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11.投标报价评审</w:t>
      </w:r>
    </w:p>
    <w:p w14:paraId="4B1EAA06">
      <w:pPr>
        <w:spacing w:line="360" w:lineRule="auto"/>
        <w:ind w:left="22" w:right="53" w:firstLine="49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11.1货物项目的价格分值占总分值的比重不得低于30%。</w:t>
      </w:r>
      <w:r>
        <w:rPr>
          <w:rFonts w:hint="eastAsia" w:ascii="仿宋" w:hAnsi="仿宋" w:eastAsia="仿宋" w:cs="仿宋"/>
          <w:color w:val="auto"/>
          <w:spacing w:val="-5"/>
          <w:sz w:val="24"/>
          <w:szCs w:val="24"/>
          <w:highlight w:val="none"/>
          <w:lang w:eastAsia="zh-CN"/>
        </w:rPr>
        <w:t>执行国家统一定价</w:t>
      </w:r>
      <w:r>
        <w:rPr>
          <w:rFonts w:hint="eastAsia" w:ascii="仿宋" w:hAnsi="仿宋" w:eastAsia="仿宋" w:cs="仿宋"/>
          <w:color w:val="auto"/>
          <w:spacing w:val="-3"/>
          <w:sz w:val="24"/>
          <w:szCs w:val="24"/>
          <w:highlight w:val="none"/>
          <w:lang w:eastAsia="zh-CN"/>
        </w:rPr>
        <w:t>标准和采用固定价格采购的项目，其价格不列为评审因素。价格分应当采用低价优先法计算，即满足招标文件要求且投标价格最低的投标报价为评标基准价，其</w:t>
      </w:r>
      <w:r>
        <w:rPr>
          <w:rFonts w:hint="eastAsia" w:ascii="仿宋" w:hAnsi="仿宋" w:eastAsia="仿宋" w:cs="仿宋"/>
          <w:color w:val="auto"/>
          <w:spacing w:val="-1"/>
          <w:sz w:val="24"/>
          <w:szCs w:val="24"/>
          <w:highlight w:val="none"/>
          <w:lang w:eastAsia="zh-CN"/>
        </w:rPr>
        <w:t>价格分为满分。其他投标人的价格分统一按照下列公式计算：</w:t>
      </w:r>
    </w:p>
    <w:p w14:paraId="726D8FA7">
      <w:pPr>
        <w:spacing w:line="360" w:lineRule="auto"/>
        <w:ind w:left="502" w:right="2160" w:firstLine="3"/>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投标报价得分=(评标基准价／投标报价)×价格分值</w:t>
      </w:r>
    </w:p>
    <w:p w14:paraId="702CF3F3">
      <w:pPr>
        <w:spacing w:line="360" w:lineRule="auto"/>
        <w:ind w:left="502" w:right="2160" w:firstLine="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评标过程中，不得去掉报价中的最高报价和最低报</w:t>
      </w:r>
      <w:r>
        <w:rPr>
          <w:rFonts w:hint="eastAsia" w:ascii="仿宋" w:hAnsi="仿宋" w:eastAsia="仿宋" w:cs="仿宋"/>
          <w:color w:val="auto"/>
          <w:spacing w:val="-3"/>
          <w:sz w:val="24"/>
          <w:szCs w:val="24"/>
          <w:highlight w:val="none"/>
          <w:lang w:eastAsia="zh-CN"/>
        </w:rPr>
        <w:t>价。</w:t>
      </w:r>
    </w:p>
    <w:p w14:paraId="07979BE7">
      <w:pPr>
        <w:spacing w:line="360" w:lineRule="auto"/>
        <w:ind w:left="22" w:right="53" w:firstLine="498"/>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11.2除算术修正和落实政府采购政策的价格扣除外，不对投标报价进行调整；</w:t>
      </w:r>
    </w:p>
    <w:p w14:paraId="5E44B2AD">
      <w:pPr>
        <w:spacing w:line="360" w:lineRule="auto"/>
        <w:ind w:left="22" w:right="53" w:firstLine="498"/>
        <w:rPr>
          <w:rFonts w:hint="eastAsia" w:ascii="仿宋" w:hAnsi="仿宋" w:eastAsia="仿宋" w:cs="仿宋"/>
          <w:color w:val="auto"/>
          <w:spacing w:val="-4"/>
          <w:sz w:val="24"/>
          <w:szCs w:val="24"/>
          <w:highlight w:val="none"/>
          <w:lang w:eastAsia="zh-CN"/>
        </w:rPr>
      </w:pPr>
      <w:r>
        <w:rPr>
          <w:rFonts w:hint="eastAsia" w:ascii="仿宋" w:hAnsi="仿宋" w:eastAsia="仿宋" w:cs="仿宋"/>
          <w:color w:val="auto"/>
          <w:spacing w:val="-4"/>
          <w:sz w:val="24"/>
          <w:szCs w:val="24"/>
          <w:highlight w:val="none"/>
          <w:lang w:eastAsia="zh-CN"/>
        </w:rPr>
        <w:t>11.3价格分值见本章“四、评标标准”。</w:t>
      </w:r>
    </w:p>
    <w:p w14:paraId="0C8774D0">
      <w:pPr>
        <w:spacing w:line="360" w:lineRule="auto"/>
        <w:ind w:left="521" w:right="354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12.政府采购政策评审</w:t>
      </w:r>
    </w:p>
    <w:p w14:paraId="4398FA7F">
      <w:pPr>
        <w:spacing w:line="360" w:lineRule="auto"/>
        <w:ind w:left="22" w:right="53" w:firstLine="49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12.1非专门面向中小企业的采购项目或采购包，对符合规定的小微企业（含</w:t>
      </w:r>
      <w:r>
        <w:rPr>
          <w:rFonts w:hint="eastAsia" w:ascii="仿宋" w:hAnsi="仿宋" w:eastAsia="仿宋" w:cs="仿宋"/>
          <w:color w:val="auto"/>
          <w:spacing w:val="-3"/>
          <w:sz w:val="24"/>
          <w:szCs w:val="24"/>
          <w:highlight w:val="none"/>
          <w:lang w:eastAsia="zh-CN"/>
        </w:rPr>
        <w:t>监狱企业、残疾人福利性单位、联合体各方均为小微企业的联合体、符合小微企业划分标准的个体工商户视同小微企业）报价按照本招标文件“投标人须知前附</w:t>
      </w:r>
      <w:r>
        <w:rPr>
          <w:rFonts w:hint="eastAsia" w:ascii="仿宋" w:hAnsi="仿宋" w:eastAsia="仿宋" w:cs="仿宋"/>
          <w:color w:val="auto"/>
          <w:spacing w:val="-4"/>
          <w:sz w:val="24"/>
          <w:szCs w:val="24"/>
          <w:highlight w:val="none"/>
          <w:lang w:eastAsia="zh-CN"/>
        </w:rPr>
        <w:t>表”中的规定扣除，对小微企业中的监狱企业、残疾人福利性单位、采购产品纳</w:t>
      </w:r>
      <w:r>
        <w:rPr>
          <w:rFonts w:hint="eastAsia" w:ascii="仿宋" w:hAnsi="仿宋" w:eastAsia="仿宋" w:cs="仿宋"/>
          <w:color w:val="auto"/>
          <w:spacing w:val="-3"/>
          <w:sz w:val="24"/>
          <w:szCs w:val="24"/>
          <w:highlight w:val="none"/>
          <w:lang w:eastAsia="zh-CN"/>
        </w:rPr>
        <w:t>入创新产品应用示范推荐目录内企业、采购产品获得节能产品或环境标志产品认</w:t>
      </w:r>
      <w:r>
        <w:rPr>
          <w:rFonts w:hint="eastAsia" w:ascii="仿宋" w:hAnsi="仿宋" w:eastAsia="仿宋" w:cs="仿宋"/>
          <w:color w:val="auto"/>
          <w:spacing w:val="-4"/>
          <w:sz w:val="24"/>
          <w:szCs w:val="24"/>
          <w:highlight w:val="none"/>
          <w:lang w:eastAsia="zh-CN"/>
        </w:rPr>
        <w:t>证证书的企业报价按照本招标文件“投标人须知前附表”中的规定扣除，用扣除</w:t>
      </w:r>
      <w:r>
        <w:rPr>
          <w:rFonts w:hint="eastAsia" w:ascii="仿宋" w:hAnsi="仿宋" w:eastAsia="仿宋" w:cs="仿宋"/>
          <w:color w:val="auto"/>
          <w:spacing w:val="-1"/>
          <w:sz w:val="24"/>
          <w:szCs w:val="24"/>
          <w:highlight w:val="none"/>
          <w:lang w:eastAsia="zh-CN"/>
        </w:rPr>
        <w:t>后的价格计算评审基准价。</w:t>
      </w:r>
    </w:p>
    <w:p w14:paraId="5ECEB70C">
      <w:pPr>
        <w:spacing w:line="360" w:lineRule="auto"/>
        <w:ind w:left="22" w:right="53" w:firstLine="498"/>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12.2参加政府采购活动的小微企业（含节能环保、创新产品企业）未提供“中小企业声明函”的；监狱企业未提供“监狱企业证明文件”的；残疾人福利性单位未提供“残疾人福利性单位声明函”的；不得享受相应的价格扣除优惠。组成联合体或者接受分包的小微企业与联合体内其他企业、分包企业之间存在直接控股、管理关系的，不得享受价格扣除优惠。若供应商同时属于小型或微型企业、监狱企业、残疾人福利性单位中的两种及以上，将不重复享受小微企业价格扣减的优惠政策。</w:t>
      </w:r>
    </w:p>
    <w:p w14:paraId="3B512A31">
      <w:pPr>
        <w:spacing w:line="360" w:lineRule="auto"/>
        <w:ind w:left="22" w:right="53" w:firstLine="498"/>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组成联合体或者接受分包的小微企业与联合体内其他企业、分包企业之间存在直接控股、管理关系的，不享受价格扣除优惠政策。</w:t>
      </w:r>
    </w:p>
    <w:p w14:paraId="33CC63AE">
      <w:pPr>
        <w:spacing w:line="360" w:lineRule="auto"/>
        <w:ind w:left="22" w:right="53" w:firstLine="498"/>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价格扣除比例对小型企业和微型企业同等对待，不作区分。</w:t>
      </w:r>
    </w:p>
    <w:p w14:paraId="4318E7CC">
      <w:pPr>
        <w:spacing w:line="360" w:lineRule="auto"/>
        <w:ind w:left="22" w:right="53" w:firstLine="498"/>
        <w:rPr>
          <w:rFonts w:hint="eastAsia" w:ascii="仿宋" w:hAnsi="仿宋" w:eastAsia="仿宋" w:cs="仿宋"/>
          <w:color w:val="auto"/>
          <w:spacing w:val="-6"/>
          <w:sz w:val="24"/>
          <w:szCs w:val="24"/>
          <w:highlight w:val="none"/>
          <w:lang w:eastAsia="zh-CN"/>
        </w:rPr>
      </w:pPr>
      <w:r>
        <w:rPr>
          <w:rFonts w:hint="eastAsia" w:ascii="仿宋" w:hAnsi="仿宋" w:eastAsia="仿宋" w:cs="仿宋"/>
          <w:color w:val="auto"/>
          <w:spacing w:val="-6"/>
          <w:sz w:val="24"/>
          <w:szCs w:val="24"/>
          <w:highlight w:val="none"/>
          <w:lang w:eastAsia="zh-CN"/>
        </w:rPr>
        <w:t>12.3专门面向中小企业、预留部分采购份额面向中小企业采购的项目或采购包，评审时不再进行价格扣除。</w:t>
      </w:r>
    </w:p>
    <w:p w14:paraId="2D8151EE">
      <w:pPr>
        <w:spacing w:line="360" w:lineRule="auto"/>
        <w:ind w:left="22" w:right="13" w:firstLine="498"/>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12.4对于未预留份额专门面向中小企业的政府采购项目，以及预留</w:t>
      </w:r>
      <w:r>
        <w:rPr>
          <w:rFonts w:hint="eastAsia" w:ascii="仿宋" w:hAnsi="仿宋" w:eastAsia="仿宋" w:cs="仿宋"/>
          <w:color w:val="auto"/>
          <w:spacing w:val="-2"/>
          <w:sz w:val="24"/>
          <w:szCs w:val="24"/>
          <w:highlight w:val="none"/>
          <w:lang w:eastAsia="zh-CN"/>
        </w:rPr>
        <w:t>份额政府采购项目中的非预留部分标项，对小型和微型企业的投标报价给予10%-20%的</w:t>
      </w:r>
      <w:r>
        <w:rPr>
          <w:rFonts w:hint="eastAsia" w:ascii="仿宋" w:hAnsi="仿宋" w:eastAsia="仿宋" w:cs="仿宋"/>
          <w:color w:val="auto"/>
          <w:spacing w:val="-3"/>
          <w:sz w:val="24"/>
          <w:szCs w:val="24"/>
          <w:highlight w:val="none"/>
          <w:lang w:eastAsia="zh-CN"/>
        </w:rPr>
        <w:t>扣除，用扣除后的价格参与评审。接受大中型企业与小微企业组成联合体或者允许大中型企业向一家或者多家小微企业分包的政府采购项目，对于联合体协议书</w:t>
      </w:r>
      <w:r>
        <w:rPr>
          <w:rFonts w:hint="eastAsia" w:ascii="仿宋" w:hAnsi="仿宋" w:eastAsia="仿宋" w:cs="仿宋"/>
          <w:color w:val="auto"/>
          <w:spacing w:val="-2"/>
          <w:sz w:val="24"/>
          <w:szCs w:val="24"/>
          <w:highlight w:val="none"/>
          <w:lang w:eastAsia="zh-CN"/>
        </w:rPr>
        <w:t>或者分包意向协议书约定小微企业的合同份额占到合同总金额30%以上的，对联</w:t>
      </w:r>
      <w:r>
        <w:rPr>
          <w:rFonts w:hint="eastAsia" w:ascii="仿宋" w:hAnsi="仿宋" w:eastAsia="仿宋" w:cs="仿宋"/>
          <w:color w:val="auto"/>
          <w:spacing w:val="-1"/>
          <w:sz w:val="24"/>
          <w:szCs w:val="24"/>
          <w:highlight w:val="none"/>
          <w:lang w:eastAsia="zh-CN"/>
        </w:rPr>
        <w:t>合体或者大中型企业的报价给予4%-6%的扣除</w:t>
      </w:r>
      <w:r>
        <w:rPr>
          <w:rFonts w:hint="eastAsia" w:ascii="仿宋" w:hAnsi="仿宋" w:eastAsia="仿宋" w:cs="仿宋"/>
          <w:color w:val="auto"/>
          <w:spacing w:val="-2"/>
          <w:sz w:val="24"/>
          <w:szCs w:val="24"/>
          <w:highlight w:val="none"/>
          <w:lang w:eastAsia="zh-CN"/>
        </w:rPr>
        <w:t>，用扣除后的价格参加评审。组成</w:t>
      </w:r>
      <w:r>
        <w:rPr>
          <w:rFonts w:hint="eastAsia" w:ascii="仿宋" w:hAnsi="仿宋" w:eastAsia="仿宋" w:cs="仿宋"/>
          <w:color w:val="auto"/>
          <w:spacing w:val="-3"/>
          <w:sz w:val="24"/>
          <w:szCs w:val="24"/>
          <w:highlight w:val="none"/>
          <w:lang w:eastAsia="zh-CN"/>
        </w:rPr>
        <w:t>联合体或者接受分包的小微企业与联合体内其他企业、分包企业之间存在直接控</w:t>
      </w:r>
      <w:r>
        <w:rPr>
          <w:rFonts w:hint="eastAsia" w:ascii="仿宋" w:hAnsi="仿宋" w:eastAsia="仿宋" w:cs="仿宋"/>
          <w:color w:val="auto"/>
          <w:spacing w:val="-1"/>
          <w:sz w:val="24"/>
          <w:szCs w:val="24"/>
          <w:highlight w:val="none"/>
          <w:lang w:eastAsia="zh-CN"/>
        </w:rPr>
        <w:t>股、管理关系的，不享受价格扣除优惠政策。</w:t>
      </w:r>
    </w:p>
    <w:p w14:paraId="5530E29D">
      <w:pPr>
        <w:spacing w:line="360" w:lineRule="auto"/>
        <w:ind w:left="38"/>
        <w:outlineLvl w:val="2"/>
        <w:rPr>
          <w:rFonts w:hint="eastAsia" w:ascii="仿宋" w:hAnsi="仿宋" w:eastAsia="仿宋" w:cs="仿宋"/>
          <w:color w:val="auto"/>
          <w:sz w:val="24"/>
          <w:szCs w:val="24"/>
          <w:highlight w:val="none"/>
          <w:lang w:eastAsia="zh-CN"/>
        </w:rPr>
      </w:pPr>
      <w:bookmarkStart w:id="301" w:name="_Toc14638"/>
      <w:bookmarkStart w:id="302" w:name="_Toc186477758"/>
      <w:r>
        <w:rPr>
          <w:rFonts w:hint="eastAsia" w:ascii="仿宋" w:hAnsi="仿宋" w:eastAsia="仿宋" w:cs="仿宋"/>
          <w:b/>
          <w:bCs/>
          <w:color w:val="auto"/>
          <w:spacing w:val="-5"/>
          <w:sz w:val="24"/>
          <w:szCs w:val="24"/>
          <w:highlight w:val="none"/>
          <w:lang w:eastAsia="zh-CN"/>
        </w:rPr>
        <w:t>（五）评标得分及复核</w:t>
      </w:r>
      <w:bookmarkEnd w:id="301"/>
      <w:bookmarkEnd w:id="302"/>
    </w:p>
    <w:p w14:paraId="4F7281FE">
      <w:pPr>
        <w:spacing w:line="360" w:lineRule="auto"/>
        <w:ind w:left="26" w:right="40" w:firstLine="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13.评标过程中，各项分值一般精确到小数点后两位，评标得分应为商务评</w:t>
      </w:r>
      <w:r>
        <w:rPr>
          <w:rFonts w:hint="eastAsia" w:ascii="仿宋" w:hAnsi="仿宋" w:eastAsia="仿宋" w:cs="仿宋"/>
          <w:color w:val="auto"/>
          <w:sz w:val="24"/>
          <w:szCs w:val="24"/>
          <w:highlight w:val="none"/>
          <w:lang w:eastAsia="zh-CN"/>
        </w:rPr>
        <w:t>分、技术评分、报价评分之和。评标委员会各</w:t>
      </w:r>
      <w:r>
        <w:rPr>
          <w:rFonts w:hint="eastAsia" w:ascii="仿宋" w:hAnsi="仿宋" w:eastAsia="仿宋" w:cs="仿宋"/>
          <w:color w:val="auto"/>
          <w:spacing w:val="-1"/>
          <w:sz w:val="24"/>
          <w:szCs w:val="24"/>
          <w:highlight w:val="none"/>
          <w:lang w:eastAsia="zh-CN"/>
        </w:rPr>
        <w:t>成员应汇总每个投标人的得分。</w:t>
      </w:r>
    </w:p>
    <w:p w14:paraId="76F1C8C2">
      <w:pPr>
        <w:widowControl w:val="0"/>
        <w:spacing w:line="360" w:lineRule="auto"/>
        <w:ind w:left="23" w:firstLine="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1</w:t>
      </w:r>
      <w:r>
        <w:rPr>
          <w:rFonts w:hint="eastAsia" w:ascii="仿宋" w:hAnsi="仿宋" w:eastAsia="仿宋" w:cs="仿宋"/>
          <w:color w:val="auto"/>
          <w:spacing w:val="-13"/>
          <w:sz w:val="24"/>
          <w:szCs w:val="24"/>
          <w:highlight w:val="none"/>
          <w:lang w:eastAsia="zh-CN"/>
        </w:rPr>
        <w:t>4.评标结果汇总完成后，采购代理机构应对评标结果进行复核。经复核发</w:t>
      </w:r>
      <w:r>
        <w:rPr>
          <w:rFonts w:hint="eastAsia" w:ascii="仿宋" w:hAnsi="仿宋" w:eastAsia="仿宋" w:cs="仿宋"/>
          <w:color w:val="auto"/>
          <w:spacing w:val="-14"/>
          <w:sz w:val="24"/>
          <w:szCs w:val="24"/>
          <w:highlight w:val="none"/>
          <w:lang w:eastAsia="zh-CN"/>
        </w:rPr>
        <w:t>现</w:t>
      </w:r>
      <w:r>
        <w:rPr>
          <w:rFonts w:hint="eastAsia" w:ascii="仿宋" w:hAnsi="仿宋" w:eastAsia="仿宋" w:cs="仿宋"/>
          <w:color w:val="auto"/>
          <w:spacing w:val="-13"/>
          <w:sz w:val="24"/>
          <w:szCs w:val="24"/>
          <w:highlight w:val="none"/>
          <w:lang w:eastAsia="zh-CN"/>
        </w:rPr>
        <w:t>存</w:t>
      </w:r>
      <w:r>
        <w:rPr>
          <w:rFonts w:hint="eastAsia" w:ascii="仿宋" w:hAnsi="仿宋" w:eastAsia="仿宋" w:cs="仿宋"/>
          <w:color w:val="auto"/>
          <w:spacing w:val="-12"/>
          <w:sz w:val="24"/>
          <w:szCs w:val="24"/>
          <w:highlight w:val="none"/>
          <w:lang w:eastAsia="zh-CN"/>
        </w:rPr>
        <w:t>在以下情形之一的，评标委员会应当当场修改评标结果，并在评标报告中记载：</w:t>
      </w:r>
    </w:p>
    <w:p w14:paraId="34AFB25D">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14.1分值汇总计算错误的；</w:t>
      </w:r>
    </w:p>
    <w:p w14:paraId="535A653D">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14.2分项评分超出评分标准范围的；</w:t>
      </w:r>
    </w:p>
    <w:p w14:paraId="4DEAABA0">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14.3评标委员会成员对客观评审因素评分不一致的；</w:t>
      </w:r>
    </w:p>
    <w:p w14:paraId="3EC70A7E">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14.4经评标委员会认定评分畸高、畸低的。</w:t>
      </w:r>
    </w:p>
    <w:p w14:paraId="74EA56CB">
      <w:pPr>
        <w:spacing w:line="360" w:lineRule="auto"/>
        <w:ind w:left="43" w:right="40"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15.各投标人的最终得分为评标委员会所有成员对各投标人评标得分汇总后</w:t>
      </w:r>
      <w:r>
        <w:rPr>
          <w:rFonts w:hint="eastAsia" w:ascii="仿宋" w:hAnsi="仿宋" w:eastAsia="仿宋" w:cs="仿宋"/>
          <w:color w:val="auto"/>
          <w:spacing w:val="-5"/>
          <w:sz w:val="24"/>
          <w:szCs w:val="24"/>
          <w:highlight w:val="none"/>
          <w:lang w:eastAsia="zh-CN"/>
        </w:rPr>
        <w:t>的算术平均值。</w:t>
      </w:r>
    </w:p>
    <w:p w14:paraId="5D108D79">
      <w:pPr>
        <w:spacing w:line="360" w:lineRule="auto"/>
        <w:ind w:left="21" w:right="13" w:firstLine="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15.1除资格性检查认定错误、分值汇总计算错误、分项评分超出评分标准</w:t>
      </w:r>
      <w:r>
        <w:rPr>
          <w:rFonts w:hint="eastAsia" w:ascii="仿宋" w:hAnsi="仿宋" w:eastAsia="仿宋" w:cs="仿宋"/>
          <w:color w:val="auto"/>
          <w:spacing w:val="-3"/>
          <w:sz w:val="24"/>
          <w:szCs w:val="24"/>
          <w:highlight w:val="none"/>
          <w:lang w:eastAsia="zh-CN"/>
        </w:rPr>
        <w:t>范围、客观分评分不一致、经评标委员会一致认定评分畸高、畸低的情形外，采购人或者采购代理机构不得以任何理由组织重新评审。采购人、采购代理机构发现评标委员会未按照招标文件规定的评审标准进行评审的，应当重新开展采购活</w:t>
      </w:r>
      <w:r>
        <w:rPr>
          <w:rFonts w:hint="eastAsia" w:ascii="仿宋" w:hAnsi="仿宋" w:eastAsia="仿宋" w:cs="仿宋"/>
          <w:color w:val="auto"/>
          <w:spacing w:val="-1"/>
          <w:sz w:val="24"/>
          <w:szCs w:val="24"/>
          <w:highlight w:val="none"/>
          <w:lang w:eastAsia="zh-CN"/>
        </w:rPr>
        <w:t>动，并同时书面报告本级财政部门。</w:t>
      </w:r>
    </w:p>
    <w:p w14:paraId="5F10522B">
      <w:pPr>
        <w:spacing w:line="360" w:lineRule="auto"/>
        <w:ind w:left="26" w:right="100" w:firstLine="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15.2采购人或者采购代理机构不得通过对样品进行检测、对投标人</w:t>
      </w:r>
      <w:r>
        <w:rPr>
          <w:rFonts w:hint="eastAsia" w:ascii="仿宋" w:hAnsi="仿宋" w:eastAsia="仿宋" w:cs="仿宋"/>
          <w:color w:val="auto"/>
          <w:spacing w:val="-2"/>
          <w:sz w:val="24"/>
          <w:szCs w:val="24"/>
          <w:highlight w:val="none"/>
          <w:lang w:eastAsia="zh-CN"/>
        </w:rPr>
        <w:t>进行考察等方式改变评审结果。</w:t>
      </w:r>
    </w:p>
    <w:p w14:paraId="102D1517">
      <w:pPr>
        <w:spacing w:line="360" w:lineRule="auto"/>
        <w:ind w:left="38"/>
        <w:outlineLvl w:val="2"/>
        <w:rPr>
          <w:rFonts w:hint="eastAsia" w:ascii="仿宋" w:hAnsi="仿宋" w:eastAsia="仿宋" w:cs="仿宋"/>
          <w:color w:val="auto"/>
          <w:sz w:val="24"/>
          <w:szCs w:val="24"/>
          <w:highlight w:val="none"/>
          <w:lang w:eastAsia="zh-CN"/>
        </w:rPr>
      </w:pPr>
      <w:bookmarkStart w:id="303" w:name="_Toc6751"/>
      <w:bookmarkStart w:id="304" w:name="_Toc186477759"/>
      <w:r>
        <w:rPr>
          <w:rFonts w:hint="eastAsia" w:ascii="仿宋" w:hAnsi="仿宋" w:eastAsia="仿宋" w:cs="仿宋"/>
          <w:b/>
          <w:bCs/>
          <w:color w:val="auto"/>
          <w:spacing w:val="-6"/>
          <w:sz w:val="24"/>
          <w:szCs w:val="24"/>
          <w:highlight w:val="none"/>
          <w:lang w:eastAsia="zh-CN"/>
        </w:rPr>
        <w:t>（六）排序与推荐</w:t>
      </w:r>
      <w:bookmarkEnd w:id="303"/>
      <w:bookmarkEnd w:id="304"/>
    </w:p>
    <w:p w14:paraId="2C8EC230">
      <w:pPr>
        <w:spacing w:line="360" w:lineRule="auto"/>
        <w:ind w:left="24" w:firstLine="4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16.评标结果按评审后得分由高到低顺序排列。投标文件满足招标文件全部</w:t>
      </w:r>
      <w:r>
        <w:rPr>
          <w:rFonts w:hint="eastAsia" w:ascii="仿宋" w:hAnsi="仿宋" w:eastAsia="仿宋" w:cs="仿宋"/>
          <w:color w:val="auto"/>
          <w:spacing w:val="-3"/>
          <w:sz w:val="24"/>
          <w:szCs w:val="24"/>
          <w:highlight w:val="none"/>
          <w:lang w:eastAsia="zh-CN"/>
        </w:rPr>
        <w:t>实质性要求，且按照评审因素的量化指标评审得分最高的投标人为排名第一的中</w:t>
      </w:r>
      <w:r>
        <w:rPr>
          <w:rFonts w:hint="eastAsia" w:ascii="仿宋" w:hAnsi="仿宋" w:eastAsia="仿宋" w:cs="仿宋"/>
          <w:color w:val="auto"/>
          <w:spacing w:val="-8"/>
          <w:sz w:val="24"/>
          <w:szCs w:val="24"/>
          <w:highlight w:val="none"/>
          <w:lang w:eastAsia="zh-CN"/>
        </w:rPr>
        <w:t>标候选人。得分相同的，按投标报价由低到高顺序排列。得分且投标报价相同的，</w:t>
      </w:r>
      <w:r>
        <w:rPr>
          <w:rFonts w:hint="eastAsia" w:ascii="仿宋" w:hAnsi="仿宋" w:eastAsia="仿宋" w:cs="仿宋"/>
          <w:color w:val="auto"/>
          <w:spacing w:val="-1"/>
          <w:sz w:val="24"/>
          <w:szCs w:val="24"/>
          <w:highlight w:val="none"/>
          <w:lang w:eastAsia="zh-CN"/>
        </w:rPr>
        <w:t>按技术指标优劣顺序排列。</w:t>
      </w:r>
    </w:p>
    <w:p w14:paraId="7BBC7311">
      <w:pPr>
        <w:spacing w:line="360" w:lineRule="auto"/>
        <w:ind w:left="23" w:right="61" w:firstLine="497"/>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17.提供相同品牌产品（单一产品采购项目中的该产品或者非单一产品采购</w:t>
      </w:r>
      <w:r>
        <w:rPr>
          <w:rFonts w:hint="eastAsia" w:ascii="仿宋" w:hAnsi="仿宋" w:eastAsia="仿宋" w:cs="仿宋"/>
          <w:color w:val="auto"/>
          <w:spacing w:val="-3"/>
          <w:sz w:val="24"/>
          <w:szCs w:val="24"/>
          <w:highlight w:val="none"/>
          <w:lang w:eastAsia="zh-CN"/>
        </w:rPr>
        <w:t>项目的核心产品）且通过资格审查、符合性审查的不同投标人参加同一合同项下投标的，按一家投标人计算，评审后得分最高的同品牌投标人获得中标人推荐资格；评审得分相同的，由采购人或者采购人委托评标委员会按照“投标人须知前</w:t>
      </w:r>
      <w:r>
        <w:rPr>
          <w:rFonts w:hint="eastAsia" w:ascii="仿宋" w:hAnsi="仿宋" w:eastAsia="仿宋" w:cs="仿宋"/>
          <w:color w:val="auto"/>
          <w:spacing w:val="-4"/>
          <w:sz w:val="24"/>
          <w:szCs w:val="24"/>
          <w:highlight w:val="none"/>
          <w:lang w:eastAsia="zh-CN"/>
        </w:rPr>
        <w:t>附表”规定的方式确定一个投标人获得中标人推荐资格，招标文件未规定的采取</w:t>
      </w:r>
      <w:r>
        <w:rPr>
          <w:rFonts w:hint="eastAsia" w:ascii="仿宋" w:hAnsi="仿宋" w:eastAsia="仿宋" w:cs="仿宋"/>
          <w:color w:val="auto"/>
          <w:spacing w:val="-1"/>
          <w:sz w:val="24"/>
          <w:szCs w:val="24"/>
          <w:highlight w:val="none"/>
          <w:lang w:eastAsia="zh-CN"/>
        </w:rPr>
        <w:t>随机抽取方式确定，其他同品牌投标人不作为中标候选人。</w:t>
      </w:r>
    </w:p>
    <w:p w14:paraId="079745E5">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18.中标候选人推荐家数详见“投标人须知前附</w:t>
      </w:r>
      <w:r>
        <w:rPr>
          <w:rFonts w:hint="eastAsia" w:ascii="仿宋" w:hAnsi="仿宋" w:eastAsia="仿宋" w:cs="仿宋"/>
          <w:color w:val="auto"/>
          <w:spacing w:val="-2"/>
          <w:sz w:val="24"/>
          <w:szCs w:val="24"/>
          <w:highlight w:val="none"/>
          <w:lang w:eastAsia="zh-CN"/>
        </w:rPr>
        <w:t>表”。</w:t>
      </w:r>
    </w:p>
    <w:p w14:paraId="51611943">
      <w:pPr>
        <w:spacing w:line="360" w:lineRule="auto"/>
        <w:ind w:left="38"/>
        <w:outlineLvl w:val="2"/>
        <w:rPr>
          <w:rFonts w:hint="eastAsia" w:ascii="仿宋" w:hAnsi="仿宋" w:eastAsia="仿宋" w:cs="仿宋"/>
          <w:color w:val="auto"/>
          <w:sz w:val="24"/>
          <w:szCs w:val="24"/>
          <w:highlight w:val="none"/>
          <w:lang w:eastAsia="zh-CN"/>
        </w:rPr>
      </w:pPr>
      <w:bookmarkStart w:id="305" w:name="bookmark177"/>
      <w:bookmarkEnd w:id="305"/>
      <w:bookmarkStart w:id="306" w:name="_Toc186477760"/>
      <w:bookmarkStart w:id="307" w:name="_Toc1659"/>
      <w:r>
        <w:rPr>
          <w:rFonts w:hint="eastAsia" w:ascii="仿宋" w:hAnsi="仿宋" w:eastAsia="仿宋" w:cs="仿宋"/>
          <w:b/>
          <w:bCs/>
          <w:color w:val="auto"/>
          <w:spacing w:val="-5"/>
          <w:sz w:val="24"/>
          <w:szCs w:val="24"/>
          <w:highlight w:val="none"/>
          <w:lang w:eastAsia="zh-CN"/>
        </w:rPr>
        <w:t>（七）编写评标报告</w:t>
      </w:r>
      <w:bookmarkEnd w:id="306"/>
      <w:bookmarkEnd w:id="307"/>
    </w:p>
    <w:p w14:paraId="15130C97">
      <w:pPr>
        <w:spacing w:line="360" w:lineRule="auto"/>
        <w:ind w:left="21" w:right="61" w:firstLine="499"/>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19.评标委员会根据全体评标成员签字的原始评标记录和评标结果编写评标</w:t>
      </w:r>
      <w:r>
        <w:rPr>
          <w:rFonts w:hint="eastAsia" w:ascii="仿宋" w:hAnsi="仿宋" w:eastAsia="仿宋" w:cs="仿宋"/>
          <w:color w:val="auto"/>
          <w:spacing w:val="-3"/>
          <w:sz w:val="24"/>
          <w:szCs w:val="24"/>
          <w:highlight w:val="none"/>
          <w:lang w:eastAsia="zh-CN"/>
        </w:rPr>
        <w:t>报告。评标委员会应当在评标报告上签名，对自己的评审意见承担法律责任。评标委员会成员对需要共同认定的事项存在争议的，应当按照少数服从多数的原则作出结论。持不同意见的评标委员会成员应当在评标报告上签署不同意见，并说</w:t>
      </w:r>
      <w:r>
        <w:rPr>
          <w:rFonts w:hint="eastAsia" w:ascii="仿宋" w:hAnsi="仿宋" w:eastAsia="仿宋" w:cs="仿宋"/>
          <w:color w:val="auto"/>
          <w:spacing w:val="-1"/>
          <w:sz w:val="24"/>
          <w:szCs w:val="24"/>
          <w:highlight w:val="none"/>
          <w:lang w:eastAsia="zh-CN"/>
        </w:rPr>
        <w:t>明理由，否则视为同意评标报告。</w:t>
      </w:r>
    </w:p>
    <w:p w14:paraId="16D6A9E4">
      <w:pPr>
        <w:spacing w:line="360" w:lineRule="auto"/>
        <w:ind w:left="38"/>
        <w:outlineLvl w:val="2"/>
        <w:rPr>
          <w:rFonts w:hint="eastAsia" w:ascii="仿宋" w:hAnsi="仿宋" w:eastAsia="仿宋" w:cs="仿宋"/>
          <w:color w:val="auto"/>
          <w:sz w:val="24"/>
          <w:szCs w:val="24"/>
          <w:highlight w:val="none"/>
          <w:lang w:eastAsia="zh-CN"/>
        </w:rPr>
      </w:pPr>
      <w:bookmarkStart w:id="308" w:name="bookmark208"/>
      <w:bookmarkEnd w:id="308"/>
      <w:bookmarkStart w:id="309" w:name="bookmark180"/>
      <w:bookmarkEnd w:id="309"/>
      <w:bookmarkStart w:id="310" w:name="bookmark178"/>
      <w:bookmarkEnd w:id="310"/>
      <w:bookmarkStart w:id="311" w:name="bookmark204"/>
      <w:bookmarkEnd w:id="311"/>
      <w:bookmarkStart w:id="312" w:name="bookmark174"/>
      <w:bookmarkEnd w:id="312"/>
      <w:bookmarkStart w:id="313" w:name="bookmark176"/>
      <w:bookmarkEnd w:id="313"/>
      <w:bookmarkStart w:id="314" w:name="bookmark206"/>
      <w:bookmarkEnd w:id="314"/>
      <w:bookmarkStart w:id="315" w:name="bookmark179"/>
      <w:bookmarkEnd w:id="315"/>
      <w:bookmarkStart w:id="316" w:name="_Toc186477761"/>
      <w:bookmarkStart w:id="317" w:name="_Toc7184"/>
      <w:r>
        <w:rPr>
          <w:rFonts w:hint="eastAsia" w:ascii="仿宋" w:hAnsi="仿宋" w:eastAsia="仿宋" w:cs="仿宋"/>
          <w:b/>
          <w:bCs/>
          <w:color w:val="auto"/>
          <w:spacing w:val="-4"/>
          <w:sz w:val="24"/>
          <w:szCs w:val="24"/>
          <w:highlight w:val="none"/>
          <w:lang w:eastAsia="zh-CN"/>
        </w:rPr>
        <w:t>（八）投标无效及应予废标的情形</w:t>
      </w:r>
      <w:bookmarkEnd w:id="316"/>
      <w:bookmarkEnd w:id="317"/>
    </w:p>
    <w:p w14:paraId="444049AC">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20.投标人存在下列情形之一的，</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71572E03">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20.1投标人不具备《中华人民共和国政府采购法》第二十二条规定条件；</w:t>
      </w:r>
    </w:p>
    <w:p w14:paraId="388D23D3">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20.2投标文件未按招标文件要求签署、盖</w:t>
      </w:r>
      <w:r>
        <w:rPr>
          <w:rFonts w:hint="eastAsia" w:ascii="仿宋" w:hAnsi="仿宋" w:eastAsia="仿宋" w:cs="仿宋"/>
          <w:color w:val="auto"/>
          <w:spacing w:val="-2"/>
          <w:sz w:val="24"/>
          <w:szCs w:val="24"/>
          <w:highlight w:val="none"/>
          <w:lang w:eastAsia="zh-CN"/>
        </w:rPr>
        <w:t>章的；</w:t>
      </w:r>
    </w:p>
    <w:p w14:paraId="19A41D83">
      <w:pPr>
        <w:spacing w:line="360" w:lineRule="auto"/>
        <w:ind w:left="22"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20.3不具备招标文件中规定的资格要求的（</w:t>
      </w:r>
      <w:r>
        <w:rPr>
          <w:rFonts w:hint="eastAsia" w:ascii="仿宋" w:hAnsi="仿宋" w:eastAsia="仿宋" w:cs="仿宋"/>
          <w:color w:val="auto"/>
          <w:spacing w:val="-4"/>
          <w:sz w:val="24"/>
          <w:szCs w:val="24"/>
          <w:highlight w:val="none"/>
          <w:lang w:eastAsia="zh-CN"/>
        </w:rPr>
        <w:t>投标人未提供有效资格文件的，</w:t>
      </w:r>
      <w:r>
        <w:rPr>
          <w:rFonts w:hint="eastAsia" w:ascii="仿宋" w:hAnsi="仿宋" w:eastAsia="仿宋" w:cs="仿宋"/>
          <w:color w:val="auto"/>
          <w:spacing w:val="-1"/>
          <w:sz w:val="24"/>
          <w:szCs w:val="24"/>
          <w:highlight w:val="none"/>
          <w:lang w:eastAsia="zh-CN"/>
        </w:rPr>
        <w:t>视为投标人不具备招标文件中规定的资格要求</w:t>
      </w:r>
      <w:r>
        <w:rPr>
          <w:rFonts w:hint="eastAsia" w:ascii="仿宋" w:hAnsi="仿宋" w:eastAsia="仿宋" w:cs="仿宋"/>
          <w:color w:val="auto"/>
          <w:spacing w:val="5"/>
          <w:sz w:val="24"/>
          <w:szCs w:val="24"/>
          <w:highlight w:val="none"/>
          <w:lang w:eastAsia="zh-CN"/>
        </w:rPr>
        <w:t>）；</w:t>
      </w:r>
    </w:p>
    <w:p w14:paraId="480CE57C">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20.4投标文件提供虚假材料的；</w:t>
      </w:r>
    </w:p>
    <w:p w14:paraId="31CC970C">
      <w:pPr>
        <w:spacing w:line="360" w:lineRule="auto"/>
        <w:ind w:left="25" w:right="147"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20.5投标文件不满足招标文件中标注“★”号的实质性条款（或指标）要</w:t>
      </w:r>
      <w:r>
        <w:rPr>
          <w:rFonts w:hint="eastAsia" w:ascii="仿宋" w:hAnsi="仿宋" w:eastAsia="仿宋" w:cs="仿宋"/>
          <w:color w:val="auto"/>
          <w:spacing w:val="-4"/>
          <w:sz w:val="24"/>
          <w:szCs w:val="24"/>
          <w:highlight w:val="none"/>
          <w:lang w:eastAsia="zh-CN"/>
        </w:rPr>
        <w:t>求的；</w:t>
      </w:r>
    </w:p>
    <w:p w14:paraId="10CB6866">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20.6投标人报价超过招标文件中规定的最高限价或者预算金额的；</w:t>
      </w:r>
    </w:p>
    <w:p w14:paraId="6670DE01">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20.7联合体的供应商未提交各方共同签署的联合体协议的；</w:t>
      </w:r>
    </w:p>
    <w:p w14:paraId="1301BB1C">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20.8投标人未按招标文件的规定交纳投标保证金的；</w:t>
      </w:r>
    </w:p>
    <w:p w14:paraId="4473E67B">
      <w:pPr>
        <w:spacing w:line="360" w:lineRule="auto"/>
        <w:ind w:left="23" w:right="22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20.9评审期间,投标人没有按评标委员会的要求提交经授权代表签字的澄清、说明、补正或改变了投标文件的实质性内容的；</w:t>
      </w:r>
    </w:p>
    <w:p w14:paraId="2D5DD733">
      <w:pPr>
        <w:spacing w:line="360" w:lineRule="auto"/>
        <w:ind w:left="24" w:right="13"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20.10投标人对采购人、采购代理机构、评标委员会及其工作人员施加影响,</w:t>
      </w:r>
      <w:r>
        <w:rPr>
          <w:rFonts w:hint="eastAsia" w:ascii="仿宋" w:hAnsi="仿宋" w:eastAsia="仿宋" w:cs="仿宋"/>
          <w:color w:val="auto"/>
          <w:spacing w:val="-2"/>
          <w:sz w:val="24"/>
          <w:szCs w:val="24"/>
          <w:highlight w:val="none"/>
          <w:lang w:eastAsia="zh-CN"/>
        </w:rPr>
        <w:t>有碍公平、公正的；</w:t>
      </w:r>
    </w:p>
    <w:p w14:paraId="04158331">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20.11投标文件含有采购人不能接受的附加条件的；</w:t>
      </w:r>
    </w:p>
    <w:p w14:paraId="4856A31A">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20.12法律、法规、规章规定属于投标无效的其他情形。</w:t>
      </w:r>
    </w:p>
    <w:p w14:paraId="3EBBEE0B">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21.有下列情形之一的，视为投标人串通投标，其</w:t>
      </w:r>
      <w:r>
        <w:rPr>
          <w:rFonts w:hint="eastAsia" w:ascii="仿宋" w:hAnsi="仿宋" w:eastAsia="仿宋" w:cs="仿宋"/>
          <w:b/>
          <w:bCs/>
          <w:color w:val="auto"/>
          <w:spacing w:val="-1"/>
          <w:sz w:val="24"/>
          <w:szCs w:val="24"/>
          <w:highlight w:val="none"/>
          <w:lang w:eastAsia="zh-CN"/>
        </w:rPr>
        <w:t>投标无效</w:t>
      </w:r>
      <w:r>
        <w:rPr>
          <w:rFonts w:hint="eastAsia" w:ascii="仿宋" w:hAnsi="仿宋" w:eastAsia="仿宋" w:cs="仿宋"/>
          <w:color w:val="auto"/>
          <w:spacing w:val="-1"/>
          <w:sz w:val="24"/>
          <w:szCs w:val="24"/>
          <w:highlight w:val="none"/>
          <w:lang w:eastAsia="zh-CN"/>
        </w:rPr>
        <w:t>：</w:t>
      </w:r>
    </w:p>
    <w:p w14:paraId="4AA7EE6B">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21.1不同投标人的投标文件由同一单位或者个人编制；</w:t>
      </w:r>
    </w:p>
    <w:p w14:paraId="27725138">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21.2不同投标人委托同一单位或者个人办理投标事宜；</w:t>
      </w:r>
    </w:p>
    <w:p w14:paraId="67A29CB8">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21.3不同投标人的投标文件载明的项目管理成员或者联系人员为同一人；</w:t>
      </w:r>
    </w:p>
    <w:p w14:paraId="646334B4">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21.4不同投标人的投标文件异常一致或者投标报价呈规律性差异；</w:t>
      </w:r>
    </w:p>
    <w:p w14:paraId="4CE9D2E1">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21.5不同投标人的投标文件相互混装；</w:t>
      </w:r>
    </w:p>
    <w:p w14:paraId="414BD462">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21.6不同投标人的投标保证金从同一单位或者个人的账户转出；</w:t>
      </w:r>
    </w:p>
    <w:p w14:paraId="151F9ADB">
      <w:pPr>
        <w:spacing w:line="360" w:lineRule="auto"/>
        <w:ind w:left="46" w:right="100" w:firstLine="45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21.7不同投标人使用同一电脑（机器特征值一致：如MAC地址等）</w:t>
      </w:r>
      <w:r>
        <w:rPr>
          <w:rFonts w:hint="eastAsia" w:ascii="仿宋" w:hAnsi="仿宋" w:eastAsia="仿宋" w:cs="仿宋"/>
          <w:color w:val="auto"/>
          <w:spacing w:val="-2"/>
          <w:sz w:val="24"/>
          <w:szCs w:val="24"/>
          <w:highlight w:val="none"/>
          <w:lang w:eastAsia="zh-CN"/>
        </w:rPr>
        <w:t>或使用同一电子密钥，编制或上传电子投标文件；</w:t>
      </w:r>
    </w:p>
    <w:p w14:paraId="78848292">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21.8法律、法规、规章规定属于投标人串通投标的其他情形。</w:t>
      </w:r>
    </w:p>
    <w:p w14:paraId="0E921207">
      <w:pPr>
        <w:widowControl w:val="0"/>
        <w:spacing w:line="360" w:lineRule="auto"/>
        <w:ind w:left="23" w:right="4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22.根据《中华人民共和国政府采购法》第</w:t>
      </w:r>
      <w:r>
        <w:rPr>
          <w:rFonts w:hint="eastAsia" w:ascii="仿宋" w:hAnsi="仿宋" w:eastAsia="仿宋" w:cs="仿宋"/>
          <w:color w:val="auto"/>
          <w:spacing w:val="-1"/>
          <w:sz w:val="24"/>
          <w:szCs w:val="24"/>
          <w:highlight w:val="none"/>
          <w:lang w:eastAsia="zh-CN"/>
        </w:rPr>
        <w:t>三十六条之规定，在招标采购过程中，出现下列情形之一的，应予</w:t>
      </w:r>
      <w:r>
        <w:rPr>
          <w:rFonts w:hint="eastAsia" w:ascii="仿宋" w:hAnsi="仿宋" w:eastAsia="仿宋" w:cs="仿宋"/>
          <w:b/>
          <w:bCs/>
          <w:color w:val="auto"/>
          <w:spacing w:val="-1"/>
          <w:sz w:val="24"/>
          <w:szCs w:val="24"/>
          <w:highlight w:val="none"/>
          <w:lang w:eastAsia="zh-CN"/>
        </w:rPr>
        <w:t>废标</w:t>
      </w:r>
      <w:r>
        <w:rPr>
          <w:rFonts w:hint="eastAsia" w:ascii="仿宋" w:hAnsi="仿宋" w:eastAsia="仿宋" w:cs="仿宋"/>
          <w:color w:val="auto"/>
          <w:spacing w:val="-1"/>
          <w:sz w:val="24"/>
          <w:szCs w:val="24"/>
          <w:highlight w:val="none"/>
          <w:lang w:eastAsia="zh-CN"/>
        </w:rPr>
        <w:t>：</w:t>
      </w:r>
    </w:p>
    <w:p w14:paraId="14CA5B1B">
      <w:pPr>
        <w:spacing w:line="360" w:lineRule="auto"/>
        <w:ind w:left="43" w:right="100" w:firstLine="46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22.1符合专业条件的供应商或者对招标文件作实质响应的供应商不足3家</w:t>
      </w:r>
      <w:r>
        <w:rPr>
          <w:rFonts w:hint="eastAsia" w:ascii="仿宋" w:hAnsi="仿宋" w:eastAsia="仿宋" w:cs="仿宋"/>
          <w:color w:val="auto"/>
          <w:spacing w:val="-15"/>
          <w:sz w:val="24"/>
          <w:szCs w:val="24"/>
          <w:highlight w:val="none"/>
          <w:lang w:eastAsia="zh-CN"/>
        </w:rPr>
        <w:t>的；</w:t>
      </w:r>
    </w:p>
    <w:p w14:paraId="3215D601">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22.2出现影响采购公正的违法、违规行为的；</w:t>
      </w:r>
    </w:p>
    <w:p w14:paraId="0ABFAAE0">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22.3投标人的报价均超过了采购预算，采购人不能支付的；</w:t>
      </w:r>
    </w:p>
    <w:p w14:paraId="760B03ED">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22.4因重大变故，采购任务取消的；</w:t>
      </w:r>
    </w:p>
    <w:p w14:paraId="1FA28FEA">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22.5 法律、法规、规章规定属于废标的其他情形。</w:t>
      </w:r>
    </w:p>
    <w:p w14:paraId="3A77BE61">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23.废标后，采购人应当将废标理由通知所有投标人。</w:t>
      </w:r>
    </w:p>
    <w:p w14:paraId="1ECF55D3">
      <w:pPr>
        <w:spacing w:line="360" w:lineRule="auto"/>
        <w:ind w:left="38"/>
        <w:outlineLvl w:val="2"/>
        <w:rPr>
          <w:rFonts w:hint="eastAsia" w:ascii="仿宋" w:hAnsi="仿宋" w:eastAsia="仿宋" w:cs="仿宋"/>
          <w:color w:val="auto"/>
          <w:sz w:val="24"/>
          <w:szCs w:val="24"/>
          <w:highlight w:val="none"/>
          <w:lang w:eastAsia="zh-CN"/>
        </w:rPr>
      </w:pPr>
      <w:bookmarkStart w:id="318" w:name="bookmark182"/>
      <w:bookmarkEnd w:id="318"/>
      <w:bookmarkStart w:id="319" w:name="bookmark210"/>
      <w:bookmarkEnd w:id="319"/>
      <w:bookmarkStart w:id="320" w:name="bookmark184"/>
      <w:bookmarkEnd w:id="320"/>
      <w:bookmarkStart w:id="321" w:name="bookmark181"/>
      <w:bookmarkEnd w:id="321"/>
      <w:bookmarkStart w:id="322" w:name="bookmark212"/>
      <w:bookmarkEnd w:id="322"/>
      <w:bookmarkStart w:id="323" w:name="_Toc186477762"/>
      <w:bookmarkStart w:id="324" w:name="_Toc29385"/>
      <w:r>
        <w:rPr>
          <w:rFonts w:hint="eastAsia" w:ascii="仿宋" w:hAnsi="仿宋" w:eastAsia="仿宋" w:cs="仿宋"/>
          <w:b/>
          <w:bCs/>
          <w:color w:val="auto"/>
          <w:spacing w:val="-5"/>
          <w:sz w:val="24"/>
          <w:szCs w:val="24"/>
          <w:highlight w:val="none"/>
          <w:lang w:eastAsia="zh-CN"/>
        </w:rPr>
        <w:t>（九）停止评标的情形</w:t>
      </w:r>
      <w:bookmarkEnd w:id="323"/>
      <w:bookmarkEnd w:id="324"/>
    </w:p>
    <w:p w14:paraId="131C372D">
      <w:pPr>
        <w:spacing w:line="360" w:lineRule="auto"/>
        <w:ind w:left="26" w:right="1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24.评标委员会发现招标文件存在歧义、重大缺陷导致评标工作无法进行，</w:t>
      </w:r>
      <w:r>
        <w:rPr>
          <w:rFonts w:hint="eastAsia" w:ascii="仿宋" w:hAnsi="仿宋" w:eastAsia="仿宋" w:cs="仿宋"/>
          <w:color w:val="auto"/>
          <w:spacing w:val="-3"/>
          <w:sz w:val="24"/>
          <w:szCs w:val="24"/>
          <w:highlight w:val="none"/>
          <w:lang w:eastAsia="zh-CN"/>
        </w:rPr>
        <w:t>或者招标文件内容违反国家有关强制性规定的，应当停止评标工作，与采购</w:t>
      </w:r>
      <w:r>
        <w:rPr>
          <w:rFonts w:hint="eastAsia" w:ascii="仿宋" w:hAnsi="仿宋" w:eastAsia="仿宋" w:cs="仿宋"/>
          <w:color w:val="auto"/>
          <w:spacing w:val="-4"/>
          <w:sz w:val="24"/>
          <w:szCs w:val="24"/>
          <w:highlight w:val="none"/>
          <w:lang w:eastAsia="zh-CN"/>
        </w:rPr>
        <w:t>人或</w:t>
      </w:r>
      <w:r>
        <w:rPr>
          <w:rFonts w:hint="eastAsia" w:ascii="仿宋" w:hAnsi="仿宋" w:eastAsia="仿宋" w:cs="仿宋"/>
          <w:color w:val="auto"/>
          <w:spacing w:val="-3"/>
          <w:sz w:val="24"/>
          <w:szCs w:val="24"/>
          <w:highlight w:val="none"/>
          <w:lang w:eastAsia="zh-CN"/>
        </w:rPr>
        <w:t>者采购代理机构沟通并作书面记录。采购人或者采购代理机构确认后，应当修改</w:t>
      </w:r>
      <w:r>
        <w:rPr>
          <w:rFonts w:hint="eastAsia" w:ascii="仿宋" w:hAnsi="仿宋" w:eastAsia="仿宋" w:cs="仿宋"/>
          <w:color w:val="auto"/>
          <w:spacing w:val="-1"/>
          <w:sz w:val="24"/>
          <w:szCs w:val="24"/>
          <w:highlight w:val="none"/>
          <w:lang w:eastAsia="zh-CN"/>
        </w:rPr>
        <w:t>招标文件，重新组织采购活动。</w:t>
      </w:r>
    </w:p>
    <w:p w14:paraId="3C7D83AD">
      <w:pPr>
        <w:spacing w:line="360" w:lineRule="auto"/>
        <w:ind w:left="38"/>
        <w:outlineLvl w:val="2"/>
        <w:rPr>
          <w:rFonts w:hint="eastAsia" w:ascii="仿宋" w:hAnsi="仿宋" w:eastAsia="仿宋" w:cs="仿宋"/>
          <w:color w:val="auto"/>
          <w:sz w:val="24"/>
          <w:szCs w:val="24"/>
          <w:highlight w:val="none"/>
          <w:lang w:eastAsia="zh-CN"/>
        </w:rPr>
      </w:pPr>
      <w:bookmarkStart w:id="325" w:name="_Toc30882"/>
      <w:bookmarkStart w:id="326" w:name="_Toc186477763"/>
      <w:r>
        <w:rPr>
          <w:rFonts w:hint="eastAsia" w:ascii="仿宋" w:hAnsi="仿宋" w:eastAsia="仿宋" w:cs="仿宋"/>
          <w:b/>
          <w:bCs/>
          <w:color w:val="auto"/>
          <w:spacing w:val="-5"/>
          <w:sz w:val="24"/>
          <w:szCs w:val="24"/>
          <w:highlight w:val="none"/>
          <w:lang w:eastAsia="zh-CN"/>
        </w:rPr>
        <w:t>（十）重新开展采购</w:t>
      </w:r>
      <w:bookmarkEnd w:id="325"/>
      <w:bookmarkEnd w:id="326"/>
    </w:p>
    <w:p w14:paraId="363164E1">
      <w:pPr>
        <w:spacing w:line="360" w:lineRule="auto"/>
        <w:ind w:left="27" w:right="40"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25.有《中华人民共和国政府采购法》第七</w:t>
      </w:r>
      <w:r>
        <w:rPr>
          <w:rFonts w:hint="eastAsia" w:ascii="仿宋" w:hAnsi="仿宋" w:eastAsia="仿宋" w:cs="仿宋"/>
          <w:color w:val="auto"/>
          <w:spacing w:val="-1"/>
          <w:sz w:val="24"/>
          <w:szCs w:val="24"/>
          <w:highlight w:val="none"/>
          <w:lang w:eastAsia="zh-CN"/>
        </w:rPr>
        <w:t>十一条、第七十二条规定的违法行为之一，影响或者可能影响中标结果的，依照下列规定处理：</w:t>
      </w:r>
    </w:p>
    <w:p w14:paraId="1FF7EE32">
      <w:pPr>
        <w:spacing w:line="360" w:lineRule="auto"/>
        <w:ind w:left="24" w:right="100"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25.1未确定中标供应商的，终止本次政府采购活动，重新开展政府采购活</w:t>
      </w:r>
      <w:r>
        <w:rPr>
          <w:rFonts w:hint="eastAsia" w:ascii="仿宋" w:hAnsi="仿宋" w:eastAsia="仿宋" w:cs="仿宋"/>
          <w:color w:val="auto"/>
          <w:spacing w:val="-6"/>
          <w:sz w:val="24"/>
          <w:szCs w:val="24"/>
          <w:highlight w:val="none"/>
          <w:lang w:eastAsia="zh-CN"/>
        </w:rPr>
        <w:t>动。</w:t>
      </w:r>
    </w:p>
    <w:p w14:paraId="0579C192">
      <w:pPr>
        <w:spacing w:line="360" w:lineRule="auto"/>
        <w:ind w:left="22" w:right="13"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25.2已确定中标供应商但尚未签订政府</w:t>
      </w:r>
      <w:r>
        <w:rPr>
          <w:rFonts w:hint="eastAsia" w:ascii="仿宋" w:hAnsi="仿宋" w:eastAsia="仿宋" w:cs="仿宋"/>
          <w:color w:val="auto"/>
          <w:spacing w:val="-2"/>
          <w:sz w:val="24"/>
          <w:szCs w:val="24"/>
          <w:highlight w:val="none"/>
          <w:lang w:eastAsia="zh-CN"/>
        </w:rPr>
        <w:t>采购合同的，中标结果无效，从合</w:t>
      </w:r>
      <w:r>
        <w:rPr>
          <w:rFonts w:hint="eastAsia" w:ascii="仿宋" w:hAnsi="仿宋" w:eastAsia="仿宋" w:cs="仿宋"/>
          <w:color w:val="auto"/>
          <w:spacing w:val="-3"/>
          <w:sz w:val="24"/>
          <w:szCs w:val="24"/>
          <w:highlight w:val="none"/>
          <w:lang w:eastAsia="zh-CN"/>
        </w:rPr>
        <w:t>格的中标候选人中另行确定中标供应商；没有合格的中标候选人的，重新开展政</w:t>
      </w:r>
      <w:r>
        <w:rPr>
          <w:rFonts w:hint="eastAsia" w:ascii="仿宋" w:hAnsi="仿宋" w:eastAsia="仿宋" w:cs="仿宋"/>
          <w:color w:val="auto"/>
          <w:spacing w:val="-2"/>
          <w:sz w:val="24"/>
          <w:szCs w:val="24"/>
          <w:highlight w:val="none"/>
          <w:lang w:eastAsia="zh-CN"/>
        </w:rPr>
        <w:t>府采购活动。</w:t>
      </w:r>
    </w:p>
    <w:p w14:paraId="2B03A381">
      <w:pPr>
        <w:spacing w:line="360" w:lineRule="auto"/>
        <w:ind w:left="46" w:right="100" w:firstLine="46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25.3政府采购合同已签订但尚未履行的，撤销合同，从合格的中标候选人中另行确定中标供应商；没有合格的中标候选人的，重新开展政府采购活动。</w:t>
      </w:r>
    </w:p>
    <w:p w14:paraId="45A45ECF">
      <w:pPr>
        <w:spacing w:line="360" w:lineRule="auto"/>
        <w:ind w:left="24" w:right="100"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25.4政府采购合同已经履行，给采购人、供应商造成损失的，由责任人承</w:t>
      </w:r>
      <w:r>
        <w:rPr>
          <w:rFonts w:hint="eastAsia" w:ascii="仿宋" w:hAnsi="仿宋" w:eastAsia="仿宋" w:cs="仿宋"/>
          <w:color w:val="auto"/>
          <w:spacing w:val="-2"/>
          <w:sz w:val="24"/>
          <w:szCs w:val="24"/>
          <w:highlight w:val="none"/>
          <w:lang w:eastAsia="zh-CN"/>
        </w:rPr>
        <w:t>担赔偿责任。</w:t>
      </w:r>
    </w:p>
    <w:p w14:paraId="4DD607F6">
      <w:pPr>
        <w:spacing w:line="360" w:lineRule="auto"/>
        <w:ind w:left="24" w:right="13"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25.5政府采购当事人有其他违反《中华人民共和国政府采购法》或者《中</w:t>
      </w:r>
      <w:r>
        <w:rPr>
          <w:rFonts w:hint="eastAsia" w:ascii="仿宋" w:hAnsi="仿宋" w:eastAsia="仿宋" w:cs="仿宋"/>
          <w:color w:val="auto"/>
          <w:spacing w:val="-3"/>
          <w:sz w:val="24"/>
          <w:szCs w:val="24"/>
          <w:highlight w:val="none"/>
          <w:lang w:eastAsia="zh-CN"/>
        </w:rPr>
        <w:t>华人民共和国政府采购法实施条例》等法律法规规定的行为，经改正后仍然影响</w:t>
      </w:r>
      <w:r>
        <w:rPr>
          <w:rFonts w:hint="eastAsia" w:ascii="仿宋" w:hAnsi="仿宋" w:eastAsia="仿宋" w:cs="仿宋"/>
          <w:color w:val="auto"/>
          <w:spacing w:val="-1"/>
          <w:sz w:val="24"/>
          <w:szCs w:val="24"/>
          <w:highlight w:val="none"/>
          <w:lang w:eastAsia="zh-CN"/>
        </w:rPr>
        <w:t>或者可能影响中标结果或者依法被认定为中标无效的，依照24.1—24.4规定处</w:t>
      </w:r>
      <w:r>
        <w:rPr>
          <w:rFonts w:hint="eastAsia" w:ascii="仿宋" w:hAnsi="仿宋" w:eastAsia="仿宋" w:cs="仿宋"/>
          <w:color w:val="auto"/>
          <w:spacing w:val="-6"/>
          <w:sz w:val="24"/>
          <w:szCs w:val="24"/>
          <w:highlight w:val="none"/>
          <w:lang w:eastAsia="zh-CN"/>
        </w:rPr>
        <w:t>理。</w:t>
      </w:r>
    </w:p>
    <w:p w14:paraId="26FC3D43">
      <w:pPr>
        <w:spacing w:line="360" w:lineRule="auto"/>
        <w:ind w:left="26"/>
        <w:outlineLvl w:val="1"/>
        <w:rPr>
          <w:rFonts w:hint="eastAsia" w:ascii="仿宋" w:hAnsi="仿宋" w:eastAsia="仿宋" w:cs="仿宋"/>
          <w:color w:val="auto"/>
          <w:sz w:val="24"/>
          <w:szCs w:val="24"/>
          <w:highlight w:val="none"/>
          <w:lang w:eastAsia="zh-CN"/>
        </w:rPr>
      </w:pPr>
      <w:bookmarkStart w:id="327" w:name="bookmark185"/>
      <w:bookmarkEnd w:id="327"/>
      <w:bookmarkStart w:id="328" w:name="bookmark213"/>
      <w:bookmarkEnd w:id="328"/>
      <w:bookmarkStart w:id="329" w:name="_Toc6075"/>
      <w:r>
        <w:rPr>
          <w:rFonts w:hint="eastAsia" w:ascii="仿宋" w:hAnsi="仿宋" w:eastAsia="仿宋" w:cs="仿宋"/>
          <w:b/>
          <w:bCs/>
          <w:color w:val="auto"/>
          <w:spacing w:val="6"/>
          <w:sz w:val="24"/>
          <w:szCs w:val="24"/>
          <w:highlight w:val="none"/>
          <w:lang w:eastAsia="zh-CN"/>
        </w:rPr>
        <w:t>三、评标其他要求：/</w:t>
      </w:r>
      <w:bookmarkEnd w:id="329"/>
    </w:p>
    <w:p w14:paraId="35C70576">
      <w:pPr>
        <w:widowControl w:val="0"/>
        <w:spacing w:line="360" w:lineRule="auto"/>
        <w:ind w:left="57"/>
        <w:outlineLvl w:val="1"/>
        <w:rPr>
          <w:rFonts w:hint="eastAsia" w:ascii="仿宋" w:hAnsi="仿宋" w:eastAsia="仿宋" w:cs="仿宋"/>
          <w:color w:val="auto"/>
          <w:sz w:val="24"/>
          <w:szCs w:val="24"/>
          <w:highlight w:val="none"/>
          <w:lang w:eastAsia="zh-CN"/>
        </w:rPr>
      </w:pPr>
      <w:bookmarkStart w:id="330" w:name="bookmark218"/>
      <w:bookmarkEnd w:id="330"/>
      <w:bookmarkStart w:id="331" w:name="bookmark187"/>
      <w:bookmarkEnd w:id="331"/>
      <w:bookmarkStart w:id="332" w:name="bookmark190"/>
      <w:bookmarkEnd w:id="332"/>
      <w:bookmarkStart w:id="333" w:name="bookmark188"/>
      <w:bookmarkEnd w:id="333"/>
      <w:bookmarkStart w:id="334" w:name="bookmark215"/>
      <w:bookmarkEnd w:id="334"/>
      <w:bookmarkStart w:id="335" w:name="bookmark186"/>
      <w:bookmarkEnd w:id="335"/>
      <w:bookmarkStart w:id="336" w:name="bookmark216"/>
      <w:bookmarkEnd w:id="336"/>
      <w:bookmarkStart w:id="337" w:name="bookmark214"/>
      <w:bookmarkEnd w:id="337"/>
      <w:bookmarkStart w:id="338" w:name="_Toc31859"/>
      <w:r>
        <w:rPr>
          <w:rFonts w:hint="eastAsia" w:ascii="仿宋" w:hAnsi="仿宋" w:eastAsia="仿宋" w:cs="仿宋"/>
          <w:b/>
          <w:bCs/>
          <w:color w:val="auto"/>
          <w:sz w:val="24"/>
          <w:szCs w:val="24"/>
          <w:highlight w:val="none"/>
          <w:lang w:eastAsia="zh-CN"/>
        </w:rPr>
        <w:t>四、评标标准</w:t>
      </w:r>
      <w:bookmarkEnd w:id="338"/>
    </w:p>
    <w:p w14:paraId="2F295CB4">
      <w:pPr>
        <w:pageBreakBefore/>
        <w:widowControl w:val="0"/>
        <w:spacing w:line="360" w:lineRule="auto"/>
        <w:ind w:left="488"/>
        <w:outlineLvl w:val="2"/>
        <w:rPr>
          <w:rFonts w:hint="eastAsia" w:ascii="仿宋" w:hAnsi="仿宋" w:eastAsia="仿宋" w:cs="仿宋"/>
          <w:color w:val="auto"/>
          <w:sz w:val="24"/>
          <w:szCs w:val="24"/>
          <w:highlight w:val="none"/>
          <w:lang w:eastAsia="zh-CN"/>
        </w:rPr>
      </w:pPr>
      <w:bookmarkStart w:id="339" w:name="bookmark217"/>
      <w:bookmarkEnd w:id="339"/>
      <w:bookmarkStart w:id="340" w:name="bookmark189"/>
      <w:bookmarkEnd w:id="340"/>
      <w:bookmarkStart w:id="341" w:name="_Toc19570"/>
      <w:bookmarkStart w:id="342" w:name="_Toc186477766"/>
      <w:r>
        <w:rPr>
          <w:rFonts w:hint="eastAsia" w:ascii="仿宋" w:hAnsi="仿宋" w:eastAsia="仿宋" w:cs="仿宋"/>
          <w:b/>
          <w:bCs/>
          <w:color w:val="auto"/>
          <w:spacing w:val="-5"/>
          <w:sz w:val="24"/>
          <w:szCs w:val="24"/>
          <w:highlight w:val="none"/>
          <w:lang w:eastAsia="zh-CN"/>
        </w:rPr>
        <w:t>（一）符合性审查表</w:t>
      </w:r>
      <w:bookmarkEnd w:id="341"/>
      <w:bookmarkEnd w:id="342"/>
    </w:p>
    <w:tbl>
      <w:tblPr>
        <w:tblStyle w:val="22"/>
        <w:tblW w:w="93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516"/>
        <w:gridCol w:w="1643"/>
        <w:gridCol w:w="5717"/>
        <w:gridCol w:w="669"/>
        <w:gridCol w:w="825"/>
      </w:tblGrid>
      <w:tr w14:paraId="22856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286" w:hRule="atLeast"/>
        </w:trPr>
        <w:tc>
          <w:tcPr>
            <w:tcW w:w="516" w:type="dxa"/>
            <w:vMerge w:val="restart"/>
            <w:tcBorders>
              <w:bottom w:val="nil"/>
            </w:tcBorders>
            <w:shd w:val="clear" w:color="auto" w:fill="D8D8D8"/>
            <w:textDirection w:val="tbRlV"/>
          </w:tcPr>
          <w:p w14:paraId="60D64140">
            <w:pPr>
              <w:pStyle w:val="31"/>
              <w:spacing w:line="218" w:lineRule="auto"/>
              <w:ind w:left="233"/>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5"/>
                <w:sz w:val="21"/>
                <w:szCs w:val="21"/>
                <w:highlight w:val="none"/>
              </w:rPr>
              <w:t>序号</w:t>
            </w:r>
          </w:p>
        </w:tc>
        <w:tc>
          <w:tcPr>
            <w:tcW w:w="1643" w:type="dxa"/>
            <w:vMerge w:val="restart"/>
            <w:tcBorders>
              <w:bottom w:val="nil"/>
            </w:tcBorders>
            <w:shd w:val="clear" w:color="auto" w:fill="D8D8D8"/>
            <w:vAlign w:val="center"/>
          </w:tcPr>
          <w:p w14:paraId="1692289E">
            <w:pPr>
              <w:pStyle w:val="31"/>
              <w:spacing w:before="65" w:line="228"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审查项名称</w:t>
            </w:r>
          </w:p>
        </w:tc>
        <w:tc>
          <w:tcPr>
            <w:tcW w:w="5717" w:type="dxa"/>
            <w:vMerge w:val="restart"/>
            <w:tcBorders>
              <w:bottom w:val="nil"/>
            </w:tcBorders>
            <w:shd w:val="clear" w:color="auto" w:fill="D8D8D8"/>
            <w:vAlign w:val="center"/>
          </w:tcPr>
          <w:p w14:paraId="002CEC40">
            <w:pPr>
              <w:pStyle w:val="31"/>
              <w:spacing w:before="65" w:line="228" w:lineRule="auto"/>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审查内容</w:t>
            </w:r>
          </w:p>
        </w:tc>
        <w:tc>
          <w:tcPr>
            <w:tcW w:w="1494" w:type="dxa"/>
            <w:gridSpan w:val="2"/>
            <w:shd w:val="clear" w:color="auto" w:fill="D8D8D8"/>
            <w:vAlign w:val="center"/>
          </w:tcPr>
          <w:p w14:paraId="5670053A">
            <w:pPr>
              <w:pStyle w:val="31"/>
              <w:spacing w:before="142" w:line="228" w:lineRule="auto"/>
              <w:ind w:left="-63"/>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审查结果</w:t>
            </w:r>
          </w:p>
        </w:tc>
      </w:tr>
      <w:tr w14:paraId="19ACCC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0" w:hRule="atLeast"/>
        </w:trPr>
        <w:tc>
          <w:tcPr>
            <w:tcW w:w="516" w:type="dxa"/>
            <w:vMerge w:val="continue"/>
            <w:tcBorders>
              <w:top w:val="nil"/>
            </w:tcBorders>
            <w:textDirection w:val="tbRlV"/>
          </w:tcPr>
          <w:p w14:paraId="7206EF7C">
            <w:pPr>
              <w:rPr>
                <w:rFonts w:hint="eastAsia" w:ascii="仿宋" w:hAnsi="仿宋" w:eastAsia="仿宋" w:cs="仿宋"/>
                <w:color w:val="auto"/>
                <w:highlight w:val="none"/>
              </w:rPr>
            </w:pPr>
          </w:p>
        </w:tc>
        <w:tc>
          <w:tcPr>
            <w:tcW w:w="1643" w:type="dxa"/>
            <w:vMerge w:val="continue"/>
            <w:tcBorders>
              <w:top w:val="nil"/>
            </w:tcBorders>
            <w:vAlign w:val="center"/>
          </w:tcPr>
          <w:p w14:paraId="0F1E505A">
            <w:pPr>
              <w:jc w:val="center"/>
              <w:rPr>
                <w:rFonts w:hint="eastAsia" w:ascii="仿宋" w:hAnsi="仿宋" w:eastAsia="仿宋" w:cs="仿宋"/>
                <w:color w:val="auto"/>
                <w:highlight w:val="none"/>
              </w:rPr>
            </w:pPr>
          </w:p>
        </w:tc>
        <w:tc>
          <w:tcPr>
            <w:tcW w:w="5717" w:type="dxa"/>
            <w:vMerge w:val="continue"/>
            <w:tcBorders>
              <w:top w:val="nil"/>
            </w:tcBorders>
            <w:vAlign w:val="center"/>
          </w:tcPr>
          <w:p w14:paraId="18FD3A2E">
            <w:pPr>
              <w:jc w:val="center"/>
              <w:rPr>
                <w:rFonts w:hint="eastAsia" w:ascii="仿宋" w:hAnsi="仿宋" w:eastAsia="仿宋" w:cs="仿宋"/>
                <w:color w:val="auto"/>
                <w:highlight w:val="none"/>
              </w:rPr>
            </w:pPr>
          </w:p>
        </w:tc>
        <w:tc>
          <w:tcPr>
            <w:tcW w:w="669" w:type="dxa"/>
            <w:shd w:val="clear" w:color="auto" w:fill="D8D8D8"/>
            <w:vAlign w:val="center"/>
          </w:tcPr>
          <w:p w14:paraId="45ADB401">
            <w:pPr>
              <w:pStyle w:val="31"/>
              <w:spacing w:before="136" w:line="228" w:lineRule="auto"/>
              <w:ind w:left="-63"/>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3"/>
                <w:sz w:val="21"/>
                <w:szCs w:val="21"/>
                <w:highlight w:val="none"/>
              </w:rPr>
              <w:t>符合</w:t>
            </w:r>
          </w:p>
        </w:tc>
        <w:tc>
          <w:tcPr>
            <w:tcW w:w="825" w:type="dxa"/>
            <w:shd w:val="clear" w:color="auto" w:fill="D8D8D8"/>
            <w:vAlign w:val="center"/>
          </w:tcPr>
          <w:p w14:paraId="33DF542B">
            <w:pPr>
              <w:pStyle w:val="31"/>
              <w:spacing w:before="136" w:line="228" w:lineRule="auto"/>
              <w:ind w:left="-108" w:right="-36" w:rightChars="-17"/>
              <w:jc w:val="center"/>
              <w:rPr>
                <w:rFonts w:hint="eastAsia" w:ascii="仿宋" w:hAnsi="仿宋" w:eastAsia="仿宋" w:cs="仿宋"/>
                <w:color w:val="auto"/>
                <w:sz w:val="21"/>
                <w:szCs w:val="21"/>
                <w:highlight w:val="none"/>
              </w:rPr>
            </w:pPr>
            <w:r>
              <w:rPr>
                <w:rFonts w:hint="eastAsia" w:ascii="仿宋" w:hAnsi="仿宋" w:eastAsia="仿宋" w:cs="仿宋"/>
                <w:b/>
                <w:bCs/>
                <w:color w:val="auto"/>
                <w:spacing w:val="4"/>
                <w:sz w:val="21"/>
                <w:szCs w:val="21"/>
                <w:highlight w:val="none"/>
              </w:rPr>
              <w:t>不符合</w:t>
            </w:r>
          </w:p>
        </w:tc>
      </w:tr>
      <w:tr w14:paraId="3A14E4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trPr>
        <w:tc>
          <w:tcPr>
            <w:tcW w:w="516" w:type="dxa"/>
            <w:vAlign w:val="center"/>
          </w:tcPr>
          <w:p w14:paraId="1524191A">
            <w:pPr>
              <w:pStyle w:val="31"/>
              <w:numPr>
                <w:ilvl w:val="0"/>
                <w:numId w:val="5"/>
              </w:numPr>
              <w:spacing w:line="189" w:lineRule="auto"/>
              <w:ind w:right="-124" w:rightChars="-59"/>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643" w:type="dxa"/>
            <w:vAlign w:val="center"/>
          </w:tcPr>
          <w:p w14:paraId="24E3C53A">
            <w:pPr>
              <w:pStyle w:val="31"/>
              <w:spacing w:line="262" w:lineRule="auto"/>
              <w:ind w:left="-92" w:right="-98" w:firstLine="2"/>
              <w:jc w:val="center"/>
              <w:rPr>
                <w:rFonts w:hint="eastAsia" w:ascii="仿宋" w:hAnsi="仿宋" w:eastAsia="仿宋" w:cs="仿宋"/>
                <w:color w:val="auto"/>
                <w:sz w:val="21"/>
                <w:szCs w:val="21"/>
                <w:highlight w:val="none"/>
              </w:rPr>
            </w:pPr>
            <w:r>
              <w:rPr>
                <w:rFonts w:hint="eastAsia" w:ascii="仿宋" w:hAnsi="仿宋" w:eastAsia="仿宋" w:cs="仿宋"/>
                <w:color w:val="auto"/>
                <w:spacing w:val="7"/>
                <w:sz w:val="21"/>
                <w:szCs w:val="21"/>
                <w:highlight w:val="none"/>
              </w:rPr>
              <w:t>投标文件签</w:t>
            </w:r>
            <w:r>
              <w:rPr>
                <w:rFonts w:hint="eastAsia" w:ascii="仿宋" w:hAnsi="仿宋" w:eastAsia="仿宋" w:cs="仿宋"/>
                <w:color w:val="auto"/>
                <w:sz w:val="21"/>
                <w:szCs w:val="21"/>
                <w:highlight w:val="none"/>
              </w:rPr>
              <w:t>署</w:t>
            </w:r>
          </w:p>
        </w:tc>
        <w:tc>
          <w:tcPr>
            <w:tcW w:w="5717" w:type="dxa"/>
            <w:vAlign w:val="center"/>
          </w:tcPr>
          <w:p w14:paraId="5112002F">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投标文件按招标文件要求签署、盖章。</w:t>
            </w:r>
          </w:p>
        </w:tc>
        <w:tc>
          <w:tcPr>
            <w:tcW w:w="669" w:type="dxa"/>
            <w:vAlign w:val="center"/>
          </w:tcPr>
          <w:p w14:paraId="3A9DFB2B">
            <w:pPr>
              <w:jc w:val="center"/>
              <w:rPr>
                <w:rFonts w:hint="eastAsia" w:ascii="仿宋" w:hAnsi="仿宋" w:eastAsia="仿宋" w:cs="仿宋"/>
                <w:color w:val="auto"/>
                <w:highlight w:val="none"/>
                <w:lang w:eastAsia="zh-CN"/>
              </w:rPr>
            </w:pPr>
          </w:p>
        </w:tc>
        <w:tc>
          <w:tcPr>
            <w:tcW w:w="825" w:type="dxa"/>
            <w:vAlign w:val="center"/>
          </w:tcPr>
          <w:p w14:paraId="59B97045">
            <w:pPr>
              <w:jc w:val="center"/>
              <w:rPr>
                <w:rFonts w:hint="eastAsia" w:ascii="仿宋" w:hAnsi="仿宋" w:eastAsia="仿宋" w:cs="仿宋"/>
                <w:color w:val="auto"/>
                <w:highlight w:val="none"/>
                <w:lang w:eastAsia="zh-CN"/>
              </w:rPr>
            </w:pPr>
          </w:p>
        </w:tc>
      </w:tr>
      <w:tr w14:paraId="339DC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04" w:hRule="atLeast"/>
        </w:trPr>
        <w:tc>
          <w:tcPr>
            <w:tcW w:w="516" w:type="dxa"/>
            <w:vAlign w:val="center"/>
          </w:tcPr>
          <w:p w14:paraId="4E809064">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2</w:t>
            </w:r>
          </w:p>
        </w:tc>
        <w:tc>
          <w:tcPr>
            <w:tcW w:w="1643" w:type="dxa"/>
            <w:vAlign w:val="center"/>
          </w:tcPr>
          <w:p w14:paraId="35303454">
            <w:pPr>
              <w:pStyle w:val="31"/>
              <w:spacing w:line="262" w:lineRule="auto"/>
              <w:ind w:left="-92" w:right="-98" w:firstLine="2"/>
              <w:jc w:val="center"/>
              <w:rPr>
                <w:rFonts w:hint="eastAsia"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投标文件格式</w:t>
            </w:r>
          </w:p>
        </w:tc>
        <w:tc>
          <w:tcPr>
            <w:tcW w:w="5717" w:type="dxa"/>
            <w:vAlign w:val="center"/>
          </w:tcPr>
          <w:p w14:paraId="155458DA">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投标文件按照招标文件要求完整提供。</w:t>
            </w:r>
          </w:p>
        </w:tc>
        <w:tc>
          <w:tcPr>
            <w:tcW w:w="669" w:type="dxa"/>
            <w:vAlign w:val="center"/>
          </w:tcPr>
          <w:p w14:paraId="5FE170F8">
            <w:pPr>
              <w:jc w:val="center"/>
              <w:rPr>
                <w:rFonts w:hint="eastAsia" w:ascii="仿宋" w:hAnsi="仿宋" w:eastAsia="仿宋" w:cs="仿宋"/>
                <w:color w:val="auto"/>
                <w:highlight w:val="none"/>
                <w:lang w:eastAsia="zh-CN"/>
              </w:rPr>
            </w:pPr>
          </w:p>
        </w:tc>
        <w:tc>
          <w:tcPr>
            <w:tcW w:w="825" w:type="dxa"/>
            <w:vAlign w:val="center"/>
          </w:tcPr>
          <w:p w14:paraId="66B7C8C3">
            <w:pPr>
              <w:jc w:val="center"/>
              <w:rPr>
                <w:rFonts w:hint="eastAsia" w:ascii="仿宋" w:hAnsi="仿宋" w:eastAsia="仿宋" w:cs="仿宋"/>
                <w:color w:val="auto"/>
                <w:highlight w:val="none"/>
                <w:lang w:eastAsia="zh-CN"/>
              </w:rPr>
            </w:pPr>
          </w:p>
        </w:tc>
      </w:tr>
      <w:tr w14:paraId="2757C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57" w:hRule="atLeast"/>
        </w:trPr>
        <w:tc>
          <w:tcPr>
            <w:tcW w:w="516" w:type="dxa"/>
            <w:vAlign w:val="center"/>
          </w:tcPr>
          <w:p w14:paraId="46B04421">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3</w:t>
            </w:r>
          </w:p>
        </w:tc>
        <w:tc>
          <w:tcPr>
            <w:tcW w:w="1643" w:type="dxa"/>
            <w:vAlign w:val="center"/>
          </w:tcPr>
          <w:p w14:paraId="73328FA2">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实质性要求</w:t>
            </w:r>
          </w:p>
        </w:tc>
        <w:tc>
          <w:tcPr>
            <w:tcW w:w="5717" w:type="dxa"/>
            <w:vAlign w:val="center"/>
          </w:tcPr>
          <w:p w14:paraId="75BD3E66">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投标文件满足招标文件规定的合同履约期限、供货地点、投标有效期。</w:t>
            </w:r>
          </w:p>
        </w:tc>
        <w:tc>
          <w:tcPr>
            <w:tcW w:w="669" w:type="dxa"/>
            <w:vAlign w:val="center"/>
          </w:tcPr>
          <w:p w14:paraId="780FB554">
            <w:pPr>
              <w:jc w:val="center"/>
              <w:rPr>
                <w:rFonts w:hint="eastAsia" w:ascii="仿宋" w:hAnsi="仿宋" w:eastAsia="仿宋" w:cs="仿宋"/>
                <w:color w:val="auto"/>
                <w:highlight w:val="none"/>
                <w:lang w:eastAsia="zh-CN"/>
              </w:rPr>
            </w:pPr>
          </w:p>
        </w:tc>
        <w:tc>
          <w:tcPr>
            <w:tcW w:w="825" w:type="dxa"/>
            <w:vAlign w:val="center"/>
          </w:tcPr>
          <w:p w14:paraId="0DAC5579">
            <w:pPr>
              <w:jc w:val="center"/>
              <w:rPr>
                <w:rFonts w:hint="eastAsia" w:ascii="仿宋" w:hAnsi="仿宋" w:eastAsia="仿宋" w:cs="仿宋"/>
                <w:color w:val="auto"/>
                <w:highlight w:val="none"/>
                <w:lang w:eastAsia="zh-CN"/>
              </w:rPr>
            </w:pPr>
          </w:p>
        </w:tc>
      </w:tr>
      <w:tr w14:paraId="2EB5B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65" w:hRule="atLeast"/>
        </w:trPr>
        <w:tc>
          <w:tcPr>
            <w:tcW w:w="516" w:type="dxa"/>
            <w:vAlign w:val="center"/>
          </w:tcPr>
          <w:p w14:paraId="6CF2BB7E">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4</w:t>
            </w:r>
          </w:p>
        </w:tc>
        <w:tc>
          <w:tcPr>
            <w:tcW w:w="1643" w:type="dxa"/>
            <w:vAlign w:val="center"/>
          </w:tcPr>
          <w:p w14:paraId="370FB601">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投标报价</w:t>
            </w:r>
          </w:p>
        </w:tc>
        <w:tc>
          <w:tcPr>
            <w:tcW w:w="5717" w:type="dxa"/>
            <w:vAlign w:val="center"/>
          </w:tcPr>
          <w:p w14:paraId="70C6071F">
            <w:pPr>
              <w:pStyle w:val="31"/>
              <w:spacing w:line="227" w:lineRule="auto"/>
              <w:ind w:left="24" w:right="-10" w:rightChars="-5"/>
              <w:jc w:val="both"/>
              <w:rPr>
                <w:rFonts w:hint="default" w:ascii="仿宋" w:hAnsi="仿宋" w:eastAsia="仿宋" w:cs="仿宋"/>
                <w:color w:val="auto"/>
                <w:spacing w:val="9"/>
                <w:sz w:val="21"/>
                <w:szCs w:val="21"/>
                <w:highlight w:val="none"/>
                <w:lang w:val="en-US" w:eastAsia="zh-CN"/>
              </w:rPr>
            </w:pPr>
            <w:r>
              <w:rPr>
                <w:rFonts w:hint="eastAsia" w:ascii="仿宋" w:hAnsi="仿宋" w:eastAsia="仿宋" w:cs="仿宋"/>
                <w:color w:val="auto"/>
                <w:spacing w:val="9"/>
                <w:sz w:val="21"/>
                <w:szCs w:val="21"/>
                <w:highlight w:val="none"/>
                <w:lang w:eastAsia="zh-CN"/>
              </w:rPr>
              <w:t>投标人报价未超过招标文件中规定的最高</w:t>
            </w:r>
            <w:r>
              <w:rPr>
                <w:rFonts w:hint="eastAsia" w:ascii="仿宋" w:hAnsi="仿宋" w:eastAsia="仿宋" w:cs="仿宋"/>
                <w:color w:val="auto"/>
                <w:spacing w:val="9"/>
                <w:sz w:val="21"/>
                <w:szCs w:val="21"/>
                <w:highlight w:val="none"/>
                <w:lang w:val="en-US" w:eastAsia="zh-CN"/>
              </w:rPr>
              <w:t>下浮率。</w:t>
            </w:r>
          </w:p>
        </w:tc>
        <w:tc>
          <w:tcPr>
            <w:tcW w:w="669" w:type="dxa"/>
            <w:vAlign w:val="center"/>
          </w:tcPr>
          <w:p w14:paraId="780C2A64">
            <w:pPr>
              <w:jc w:val="center"/>
              <w:rPr>
                <w:rFonts w:hint="eastAsia" w:ascii="仿宋" w:hAnsi="仿宋" w:eastAsia="仿宋" w:cs="仿宋"/>
                <w:color w:val="auto"/>
                <w:highlight w:val="none"/>
                <w:lang w:eastAsia="zh-CN"/>
              </w:rPr>
            </w:pPr>
          </w:p>
        </w:tc>
        <w:tc>
          <w:tcPr>
            <w:tcW w:w="825" w:type="dxa"/>
            <w:vAlign w:val="center"/>
          </w:tcPr>
          <w:p w14:paraId="05C34188">
            <w:pPr>
              <w:jc w:val="center"/>
              <w:rPr>
                <w:rFonts w:hint="eastAsia" w:ascii="仿宋" w:hAnsi="仿宋" w:eastAsia="仿宋" w:cs="仿宋"/>
                <w:color w:val="auto"/>
                <w:highlight w:val="none"/>
                <w:lang w:eastAsia="zh-CN"/>
              </w:rPr>
            </w:pPr>
          </w:p>
        </w:tc>
      </w:tr>
      <w:tr w14:paraId="54C80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1" w:hRule="atLeast"/>
        </w:trPr>
        <w:tc>
          <w:tcPr>
            <w:tcW w:w="516" w:type="dxa"/>
            <w:vAlign w:val="center"/>
          </w:tcPr>
          <w:p w14:paraId="0BC67928">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643" w:type="dxa"/>
            <w:vAlign w:val="center"/>
          </w:tcPr>
          <w:p w14:paraId="5822A642">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投标保证金</w:t>
            </w:r>
          </w:p>
        </w:tc>
        <w:tc>
          <w:tcPr>
            <w:tcW w:w="5717" w:type="dxa"/>
            <w:vAlign w:val="center"/>
          </w:tcPr>
          <w:p w14:paraId="44510AB1">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投标人按招标文件的规定交纳投标保证金的。</w:t>
            </w:r>
          </w:p>
        </w:tc>
        <w:tc>
          <w:tcPr>
            <w:tcW w:w="669" w:type="dxa"/>
            <w:vAlign w:val="center"/>
          </w:tcPr>
          <w:p w14:paraId="74140489">
            <w:pPr>
              <w:jc w:val="center"/>
              <w:rPr>
                <w:rFonts w:hint="eastAsia" w:ascii="仿宋" w:hAnsi="仿宋" w:eastAsia="仿宋" w:cs="仿宋"/>
                <w:color w:val="auto"/>
                <w:highlight w:val="none"/>
                <w:lang w:eastAsia="zh-CN"/>
              </w:rPr>
            </w:pPr>
          </w:p>
        </w:tc>
        <w:tc>
          <w:tcPr>
            <w:tcW w:w="825" w:type="dxa"/>
            <w:vAlign w:val="center"/>
          </w:tcPr>
          <w:p w14:paraId="3EFEEC9D">
            <w:pPr>
              <w:jc w:val="center"/>
              <w:rPr>
                <w:rFonts w:hint="eastAsia" w:ascii="仿宋" w:hAnsi="仿宋" w:eastAsia="仿宋" w:cs="仿宋"/>
                <w:color w:val="auto"/>
                <w:highlight w:val="none"/>
                <w:lang w:eastAsia="zh-CN"/>
              </w:rPr>
            </w:pPr>
          </w:p>
        </w:tc>
      </w:tr>
      <w:tr w14:paraId="6CB8B6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78" w:hRule="atLeast"/>
        </w:trPr>
        <w:tc>
          <w:tcPr>
            <w:tcW w:w="516" w:type="dxa"/>
            <w:vAlign w:val="center"/>
          </w:tcPr>
          <w:p w14:paraId="19792C89">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6</w:t>
            </w:r>
          </w:p>
        </w:tc>
        <w:tc>
          <w:tcPr>
            <w:tcW w:w="1643" w:type="dxa"/>
            <w:vAlign w:val="center"/>
          </w:tcPr>
          <w:p w14:paraId="58AE49AD">
            <w:pPr>
              <w:pStyle w:val="31"/>
              <w:spacing w:before="51" w:line="262" w:lineRule="auto"/>
              <w:ind w:left="-92" w:right="-98" w:firstLine="2"/>
              <w:jc w:val="center"/>
              <w:rPr>
                <w:rFonts w:hint="eastAsia" w:ascii="仿宋" w:hAnsi="仿宋" w:eastAsia="仿宋" w:cs="仿宋"/>
                <w:color w:val="auto"/>
                <w:spacing w:val="7"/>
                <w:sz w:val="21"/>
                <w:szCs w:val="21"/>
                <w:highlight w:val="none"/>
                <w:lang w:eastAsia="zh-CN"/>
              </w:rPr>
            </w:pPr>
            <w:r>
              <w:rPr>
                <w:rFonts w:hint="eastAsia" w:ascii="仿宋" w:hAnsi="仿宋" w:eastAsia="仿宋" w:cs="仿宋"/>
                <w:color w:val="auto"/>
                <w:spacing w:val="7"/>
                <w:sz w:val="21"/>
                <w:szCs w:val="21"/>
                <w:highlight w:val="none"/>
                <w:lang w:eastAsia="zh-CN"/>
              </w:rPr>
              <w:t>投标文件的澄清、说明、补正</w:t>
            </w:r>
          </w:p>
        </w:tc>
        <w:tc>
          <w:tcPr>
            <w:tcW w:w="5717" w:type="dxa"/>
            <w:vAlign w:val="center"/>
          </w:tcPr>
          <w:p w14:paraId="314D5DBF">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评审期间,投标人按评标委员会的要求提交经授权代表签字的澄清、说明、补正或未改变投标文件的实质性内容。</w:t>
            </w:r>
          </w:p>
        </w:tc>
        <w:tc>
          <w:tcPr>
            <w:tcW w:w="669" w:type="dxa"/>
            <w:vAlign w:val="center"/>
          </w:tcPr>
          <w:p w14:paraId="00123172">
            <w:pPr>
              <w:jc w:val="center"/>
              <w:rPr>
                <w:rFonts w:hint="eastAsia" w:ascii="仿宋" w:hAnsi="仿宋" w:eastAsia="仿宋" w:cs="仿宋"/>
                <w:color w:val="auto"/>
                <w:highlight w:val="none"/>
                <w:lang w:eastAsia="zh-CN"/>
              </w:rPr>
            </w:pPr>
          </w:p>
        </w:tc>
        <w:tc>
          <w:tcPr>
            <w:tcW w:w="825" w:type="dxa"/>
            <w:vAlign w:val="center"/>
          </w:tcPr>
          <w:p w14:paraId="54FF99B6">
            <w:pPr>
              <w:jc w:val="center"/>
              <w:rPr>
                <w:rFonts w:hint="eastAsia" w:ascii="仿宋" w:hAnsi="仿宋" w:eastAsia="仿宋" w:cs="仿宋"/>
                <w:color w:val="auto"/>
                <w:highlight w:val="none"/>
                <w:lang w:eastAsia="zh-CN"/>
              </w:rPr>
            </w:pPr>
          </w:p>
        </w:tc>
      </w:tr>
      <w:tr w14:paraId="223D8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0" w:hRule="atLeast"/>
        </w:trPr>
        <w:tc>
          <w:tcPr>
            <w:tcW w:w="516" w:type="dxa"/>
            <w:vAlign w:val="center"/>
          </w:tcPr>
          <w:p w14:paraId="054DB6F4">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7</w:t>
            </w:r>
          </w:p>
        </w:tc>
        <w:tc>
          <w:tcPr>
            <w:tcW w:w="1643" w:type="dxa"/>
            <w:vAlign w:val="center"/>
          </w:tcPr>
          <w:p w14:paraId="11706C03">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围标串标情形</w:t>
            </w:r>
          </w:p>
        </w:tc>
        <w:tc>
          <w:tcPr>
            <w:tcW w:w="5717" w:type="dxa"/>
            <w:vAlign w:val="center"/>
          </w:tcPr>
          <w:p w14:paraId="20EC5980">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没有“第五章 评标方法及标准”第21条情形之一的。</w:t>
            </w:r>
          </w:p>
        </w:tc>
        <w:tc>
          <w:tcPr>
            <w:tcW w:w="669" w:type="dxa"/>
            <w:vAlign w:val="center"/>
          </w:tcPr>
          <w:p w14:paraId="263255FF">
            <w:pPr>
              <w:jc w:val="center"/>
              <w:rPr>
                <w:rFonts w:hint="eastAsia" w:ascii="仿宋" w:hAnsi="仿宋" w:eastAsia="仿宋" w:cs="仿宋"/>
                <w:color w:val="auto"/>
                <w:highlight w:val="none"/>
                <w:lang w:eastAsia="zh-CN"/>
              </w:rPr>
            </w:pPr>
          </w:p>
        </w:tc>
        <w:tc>
          <w:tcPr>
            <w:tcW w:w="825" w:type="dxa"/>
            <w:vAlign w:val="center"/>
          </w:tcPr>
          <w:p w14:paraId="7419F0F3">
            <w:pPr>
              <w:jc w:val="center"/>
              <w:rPr>
                <w:rFonts w:hint="eastAsia" w:ascii="仿宋" w:hAnsi="仿宋" w:eastAsia="仿宋" w:cs="仿宋"/>
                <w:color w:val="auto"/>
                <w:highlight w:val="none"/>
                <w:lang w:eastAsia="zh-CN"/>
              </w:rPr>
            </w:pPr>
          </w:p>
        </w:tc>
      </w:tr>
      <w:tr w14:paraId="638E2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8" w:hRule="atLeast"/>
        </w:trPr>
        <w:tc>
          <w:tcPr>
            <w:tcW w:w="516" w:type="dxa"/>
            <w:vAlign w:val="center"/>
          </w:tcPr>
          <w:p w14:paraId="2D935281">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8</w:t>
            </w:r>
          </w:p>
        </w:tc>
        <w:tc>
          <w:tcPr>
            <w:tcW w:w="1643" w:type="dxa"/>
            <w:vAlign w:val="center"/>
          </w:tcPr>
          <w:p w14:paraId="07D0F170">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附加条件</w:t>
            </w:r>
          </w:p>
        </w:tc>
        <w:tc>
          <w:tcPr>
            <w:tcW w:w="5717" w:type="dxa"/>
            <w:vAlign w:val="center"/>
          </w:tcPr>
          <w:p w14:paraId="75CB0F9B">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投标文件没有采购人不能接受的附加条件的。</w:t>
            </w:r>
          </w:p>
        </w:tc>
        <w:tc>
          <w:tcPr>
            <w:tcW w:w="669" w:type="dxa"/>
            <w:vAlign w:val="center"/>
          </w:tcPr>
          <w:p w14:paraId="0A2296D0">
            <w:pPr>
              <w:jc w:val="center"/>
              <w:rPr>
                <w:rFonts w:hint="eastAsia" w:ascii="仿宋" w:hAnsi="仿宋" w:eastAsia="仿宋" w:cs="仿宋"/>
                <w:color w:val="auto"/>
                <w:highlight w:val="none"/>
                <w:lang w:eastAsia="zh-CN"/>
              </w:rPr>
            </w:pPr>
          </w:p>
        </w:tc>
        <w:tc>
          <w:tcPr>
            <w:tcW w:w="825" w:type="dxa"/>
            <w:vAlign w:val="center"/>
          </w:tcPr>
          <w:p w14:paraId="6C005372">
            <w:pPr>
              <w:jc w:val="center"/>
              <w:rPr>
                <w:rFonts w:hint="eastAsia" w:ascii="仿宋" w:hAnsi="仿宋" w:eastAsia="仿宋" w:cs="仿宋"/>
                <w:color w:val="auto"/>
                <w:highlight w:val="none"/>
                <w:lang w:eastAsia="zh-CN"/>
              </w:rPr>
            </w:pPr>
          </w:p>
        </w:tc>
      </w:tr>
      <w:tr w14:paraId="7AA3F4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19" w:hRule="atLeast"/>
        </w:trPr>
        <w:tc>
          <w:tcPr>
            <w:tcW w:w="516" w:type="dxa"/>
            <w:vAlign w:val="center"/>
          </w:tcPr>
          <w:p w14:paraId="600F09DE">
            <w:pPr>
              <w:pStyle w:val="31"/>
              <w:numPr>
                <w:ilvl w:val="0"/>
                <w:numId w:val="5"/>
              </w:numPr>
              <w:spacing w:line="189" w:lineRule="auto"/>
              <w:ind w:right="-124" w:rightChars="-59"/>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9</w:t>
            </w:r>
          </w:p>
        </w:tc>
        <w:tc>
          <w:tcPr>
            <w:tcW w:w="1643" w:type="dxa"/>
            <w:vAlign w:val="center"/>
          </w:tcPr>
          <w:p w14:paraId="3BFA8295">
            <w:pPr>
              <w:pStyle w:val="31"/>
              <w:spacing w:before="51" w:line="262" w:lineRule="auto"/>
              <w:ind w:left="-92" w:right="-98" w:firstLine="2"/>
              <w:jc w:val="center"/>
              <w:rPr>
                <w:rFonts w:hint="eastAsia" w:ascii="仿宋" w:hAnsi="仿宋" w:eastAsia="仿宋" w:cs="仿宋"/>
                <w:color w:val="auto"/>
                <w:spacing w:val="7"/>
                <w:sz w:val="21"/>
                <w:szCs w:val="21"/>
                <w:highlight w:val="none"/>
              </w:rPr>
            </w:pPr>
            <w:r>
              <w:rPr>
                <w:rFonts w:hint="eastAsia" w:ascii="仿宋" w:hAnsi="仿宋" w:eastAsia="仿宋" w:cs="仿宋"/>
                <w:color w:val="auto"/>
                <w:spacing w:val="7"/>
                <w:sz w:val="21"/>
                <w:szCs w:val="21"/>
                <w:highlight w:val="none"/>
              </w:rPr>
              <w:t>其他无效情形</w:t>
            </w:r>
          </w:p>
        </w:tc>
        <w:tc>
          <w:tcPr>
            <w:tcW w:w="5717" w:type="dxa"/>
            <w:vAlign w:val="center"/>
          </w:tcPr>
          <w:p w14:paraId="14706E6A">
            <w:pPr>
              <w:pStyle w:val="31"/>
              <w:spacing w:line="227" w:lineRule="auto"/>
              <w:ind w:left="24" w:right="-10" w:rightChars="-5"/>
              <w:jc w:val="both"/>
              <w:rPr>
                <w:rFonts w:hint="eastAsia" w:ascii="仿宋" w:hAnsi="仿宋" w:eastAsia="仿宋" w:cs="仿宋"/>
                <w:color w:val="auto"/>
                <w:spacing w:val="9"/>
                <w:sz w:val="21"/>
                <w:szCs w:val="21"/>
                <w:highlight w:val="none"/>
                <w:lang w:eastAsia="zh-CN"/>
              </w:rPr>
            </w:pPr>
            <w:r>
              <w:rPr>
                <w:rFonts w:hint="eastAsia" w:ascii="仿宋" w:hAnsi="仿宋" w:eastAsia="仿宋" w:cs="仿宋"/>
                <w:color w:val="auto"/>
                <w:spacing w:val="9"/>
                <w:sz w:val="21"/>
                <w:szCs w:val="21"/>
                <w:highlight w:val="none"/>
                <w:lang w:eastAsia="zh-CN"/>
              </w:rPr>
              <w:t>没有法律、法规、规章规定属于投标无效的其他情形。</w:t>
            </w:r>
          </w:p>
        </w:tc>
        <w:tc>
          <w:tcPr>
            <w:tcW w:w="669" w:type="dxa"/>
            <w:vAlign w:val="center"/>
          </w:tcPr>
          <w:p w14:paraId="38489BA5">
            <w:pPr>
              <w:jc w:val="center"/>
              <w:rPr>
                <w:rFonts w:hint="eastAsia" w:ascii="仿宋" w:hAnsi="仿宋" w:eastAsia="仿宋" w:cs="仿宋"/>
                <w:color w:val="auto"/>
                <w:highlight w:val="none"/>
                <w:lang w:eastAsia="zh-CN"/>
              </w:rPr>
            </w:pPr>
          </w:p>
        </w:tc>
        <w:tc>
          <w:tcPr>
            <w:tcW w:w="825" w:type="dxa"/>
            <w:vAlign w:val="center"/>
          </w:tcPr>
          <w:p w14:paraId="5487D930">
            <w:pPr>
              <w:jc w:val="center"/>
              <w:rPr>
                <w:rFonts w:hint="eastAsia" w:ascii="仿宋" w:hAnsi="仿宋" w:eastAsia="仿宋" w:cs="仿宋"/>
                <w:color w:val="auto"/>
                <w:highlight w:val="none"/>
                <w:lang w:eastAsia="zh-CN"/>
              </w:rPr>
            </w:pPr>
          </w:p>
        </w:tc>
      </w:tr>
    </w:tbl>
    <w:p w14:paraId="7EF651E6">
      <w:pPr>
        <w:rPr>
          <w:rFonts w:hint="eastAsia" w:ascii="仿宋" w:hAnsi="仿宋" w:eastAsia="仿宋" w:cs="仿宋"/>
          <w:color w:val="auto"/>
          <w:highlight w:val="none"/>
          <w:lang w:eastAsia="zh-CN"/>
        </w:rPr>
      </w:pPr>
    </w:p>
    <w:p w14:paraId="4AB0CFA0">
      <w:pPr>
        <w:pageBreakBefore/>
        <w:widowControl w:val="0"/>
        <w:spacing w:line="300" w:lineRule="exact"/>
        <w:outlineLvl w:val="2"/>
        <w:rPr>
          <w:rFonts w:hint="eastAsia" w:ascii="仿宋" w:hAnsi="仿宋" w:eastAsia="仿宋" w:cs="仿宋"/>
          <w:color w:val="auto"/>
          <w:sz w:val="24"/>
          <w:szCs w:val="24"/>
          <w:highlight w:val="none"/>
          <w:lang w:eastAsia="zh-CN"/>
        </w:rPr>
      </w:pPr>
      <w:bookmarkStart w:id="343" w:name="bookmark191"/>
      <w:bookmarkEnd w:id="343"/>
      <w:bookmarkStart w:id="344" w:name="bookmark221"/>
      <w:bookmarkEnd w:id="344"/>
      <w:bookmarkStart w:id="345" w:name="_Toc186477768"/>
      <w:bookmarkStart w:id="346" w:name="_Toc21875"/>
      <w:r>
        <w:rPr>
          <w:rFonts w:hint="eastAsia" w:ascii="仿宋" w:hAnsi="仿宋" w:eastAsia="仿宋" w:cs="仿宋"/>
          <w:b/>
          <w:bCs/>
          <w:color w:val="auto"/>
          <w:spacing w:val="-6"/>
          <w:sz w:val="24"/>
          <w:szCs w:val="24"/>
          <w:highlight w:val="none"/>
          <w:lang w:eastAsia="zh-CN"/>
        </w:rPr>
        <w:t>（二）评分标准</w:t>
      </w:r>
      <w:bookmarkEnd w:id="345"/>
      <w:bookmarkEnd w:id="346"/>
    </w:p>
    <w:tbl>
      <w:tblPr>
        <w:tblStyle w:val="22"/>
        <w:tblpPr w:leftFromText="180" w:rightFromText="180" w:vertAnchor="text" w:horzAnchor="page" w:tblpX="1153" w:tblpY="479"/>
        <w:tblOverlap w:val="never"/>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34"/>
        <w:gridCol w:w="709"/>
        <w:gridCol w:w="7670"/>
      </w:tblGrid>
      <w:tr w14:paraId="6EF5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noWrap/>
            <w:vAlign w:val="center"/>
          </w:tcPr>
          <w:p w14:paraId="7C1A1CB1">
            <w:pPr>
              <w:ind w:left="-107" w:leftChars="-51" w:right="-107" w:rightChars="-51"/>
              <w:jc w:val="cente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1134" w:type="dxa"/>
            <w:noWrap/>
            <w:vAlign w:val="center"/>
          </w:tcPr>
          <w:p w14:paraId="10CB9DE7">
            <w:pPr>
              <w:jc w:val="center"/>
              <w:rPr>
                <w:rFonts w:hint="eastAsia" w:ascii="仿宋" w:hAnsi="仿宋" w:eastAsia="仿宋" w:cs="仿宋"/>
                <w:color w:val="auto"/>
                <w:highlight w:val="none"/>
              </w:rPr>
            </w:pPr>
            <w:r>
              <w:rPr>
                <w:rFonts w:hint="eastAsia" w:ascii="仿宋" w:hAnsi="仿宋" w:eastAsia="仿宋" w:cs="仿宋"/>
                <w:color w:val="auto"/>
                <w:highlight w:val="none"/>
              </w:rPr>
              <w:t>评分因素</w:t>
            </w:r>
          </w:p>
        </w:tc>
        <w:tc>
          <w:tcPr>
            <w:tcW w:w="709" w:type="dxa"/>
            <w:noWrap/>
            <w:vAlign w:val="center"/>
          </w:tcPr>
          <w:p w14:paraId="6E755419">
            <w:pPr>
              <w:ind w:left="-107" w:leftChars="-51" w:right="-107" w:rightChars="-51"/>
              <w:jc w:val="center"/>
              <w:rPr>
                <w:rFonts w:hint="eastAsia" w:ascii="仿宋" w:hAnsi="仿宋" w:eastAsia="仿宋" w:cs="仿宋"/>
                <w:color w:val="auto"/>
                <w:highlight w:val="none"/>
              </w:rPr>
            </w:pPr>
            <w:r>
              <w:rPr>
                <w:rFonts w:hint="eastAsia" w:ascii="仿宋" w:hAnsi="仿宋" w:eastAsia="仿宋" w:cs="仿宋"/>
                <w:color w:val="auto"/>
                <w:highlight w:val="none"/>
              </w:rPr>
              <w:t>标准分</w:t>
            </w:r>
          </w:p>
        </w:tc>
        <w:tc>
          <w:tcPr>
            <w:tcW w:w="7670" w:type="dxa"/>
            <w:noWrap/>
            <w:vAlign w:val="center"/>
          </w:tcPr>
          <w:p w14:paraId="2628313B">
            <w:pPr>
              <w:jc w:val="center"/>
              <w:rPr>
                <w:rFonts w:hint="eastAsia" w:ascii="仿宋" w:hAnsi="仿宋" w:eastAsia="仿宋" w:cs="仿宋"/>
                <w:color w:val="auto"/>
                <w:highlight w:val="none"/>
              </w:rPr>
            </w:pPr>
            <w:r>
              <w:rPr>
                <w:rFonts w:hint="eastAsia" w:ascii="仿宋" w:hAnsi="仿宋" w:eastAsia="仿宋" w:cs="仿宋"/>
                <w:color w:val="auto"/>
                <w:highlight w:val="none"/>
              </w:rPr>
              <w:t>评分细则</w:t>
            </w:r>
          </w:p>
        </w:tc>
      </w:tr>
      <w:tr w14:paraId="2C67E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gridSpan w:val="4"/>
            <w:noWrap/>
            <w:vAlign w:val="center"/>
          </w:tcPr>
          <w:p w14:paraId="55515648">
            <w:pPr>
              <w:jc w:val="center"/>
              <w:rPr>
                <w:rFonts w:hint="eastAsia" w:ascii="仿宋" w:hAnsi="仿宋" w:eastAsia="仿宋" w:cs="仿宋"/>
                <w:color w:val="auto"/>
                <w:highlight w:val="none"/>
              </w:rPr>
            </w:pPr>
            <w:r>
              <w:rPr>
                <w:rFonts w:hint="eastAsia" w:ascii="仿宋" w:hAnsi="仿宋" w:eastAsia="仿宋" w:cs="仿宋"/>
                <w:b/>
                <w:color w:val="auto"/>
                <w:highlight w:val="none"/>
              </w:rPr>
              <w:t>一、价格部分（30分）</w:t>
            </w:r>
          </w:p>
        </w:tc>
      </w:tr>
      <w:tr w14:paraId="70AF6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1702" w:type="dxa"/>
            <w:gridSpan w:val="2"/>
            <w:noWrap/>
            <w:vAlign w:val="center"/>
          </w:tcPr>
          <w:p w14:paraId="29193C84">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投标报价</w:t>
            </w:r>
          </w:p>
        </w:tc>
        <w:tc>
          <w:tcPr>
            <w:tcW w:w="709" w:type="dxa"/>
            <w:noWrap/>
            <w:vAlign w:val="center"/>
          </w:tcPr>
          <w:p w14:paraId="483361A7">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30分</w:t>
            </w:r>
          </w:p>
        </w:tc>
        <w:tc>
          <w:tcPr>
            <w:tcW w:w="7670" w:type="dxa"/>
            <w:shd w:val="clear" w:color="auto" w:fill="auto"/>
            <w:noWrap/>
            <w:vAlign w:val="center"/>
          </w:tcPr>
          <w:p w14:paraId="6397905D">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综合评分法中的价格分统一采用低价优先法计算，即满足招标文件要求且最后投标下浮后折扣率最低的（</w:t>
            </w:r>
            <w:r>
              <w:rPr>
                <w:rFonts w:hint="eastAsia" w:ascii="仿宋" w:hAnsi="仿宋" w:eastAsia="仿宋" w:cs="仿宋"/>
                <w:color w:val="auto"/>
                <w:sz w:val="24"/>
                <w:szCs w:val="24"/>
                <w:highlight w:val="none"/>
                <w:lang w:val="en-US" w:eastAsia="zh-CN"/>
              </w:rPr>
              <w:t>例如折扣率80%比折扣率85%低</w:t>
            </w:r>
            <w:r>
              <w:rPr>
                <w:rFonts w:hint="eastAsia" w:ascii="仿宋" w:hAnsi="仿宋" w:eastAsia="仿宋" w:cs="仿宋"/>
                <w:color w:val="auto"/>
                <w:sz w:val="24"/>
                <w:szCs w:val="24"/>
                <w:highlight w:val="none"/>
                <w:lang w:val="zh-CN" w:eastAsia="zh-CN"/>
              </w:rPr>
              <w:t>）投标人的报价为评标基准价，其价格分为满分；</w:t>
            </w:r>
          </w:p>
          <w:p w14:paraId="70B8C19B">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其他投标人的价格分统一按照下列公式计算：</w:t>
            </w:r>
          </w:p>
          <w:p w14:paraId="7673477D">
            <w:pPr>
              <w:keepNext w:val="0"/>
              <w:keepLines w:val="0"/>
              <w:suppressLineNumbers w:val="0"/>
              <w:autoSpaceDE w:val="0"/>
              <w:autoSpaceDN w:val="0"/>
              <w:adjustRightInd w:val="0"/>
              <w:spacing w:before="0" w:beforeAutospacing="0" w:after="0" w:afterAutospacing="0" w:line="240" w:lineRule="auto"/>
              <w:ind w:left="0" w:right="0"/>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zh-CN"/>
              </w:rPr>
              <w:t>投标报价得分=（评标基准价/投标下浮后的折扣率）×30</w:t>
            </w:r>
          </w:p>
          <w:p w14:paraId="64496D52">
            <w:pPr>
              <w:keepNext w:val="0"/>
              <w:keepLines w:val="0"/>
              <w:suppressLineNumbers w:val="0"/>
              <w:autoSpaceDE w:val="0"/>
              <w:autoSpaceDN w:val="0"/>
              <w:adjustRightInd w:val="0"/>
              <w:spacing w:before="0" w:beforeAutospacing="0" w:after="0" w:afterAutospacing="0" w:line="240" w:lineRule="auto"/>
              <w:ind w:left="0" w:right="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zh-CN" w:eastAsia="zh-CN"/>
              </w:rPr>
              <w:t>项目评审过程中，不得去掉</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lang w:val="zh-CN" w:eastAsia="zh-CN"/>
              </w:rPr>
              <w:t>报价中的最高报价和最低报价。</w:t>
            </w:r>
          </w:p>
          <w:p w14:paraId="100A911A">
            <w:pPr>
              <w:spacing w:line="276" w:lineRule="auto"/>
              <w:ind w:right="-107" w:rightChars="-51"/>
              <w:rPr>
                <w:rFonts w:hint="eastAsia" w:ascii="仿宋" w:hAnsi="仿宋" w:eastAsia="仿宋" w:cs="仿宋"/>
                <w:color w:val="auto"/>
                <w:highlight w:val="none"/>
              </w:rPr>
            </w:pPr>
            <w:r>
              <w:rPr>
                <w:rFonts w:hint="eastAsia" w:ascii="仿宋" w:hAnsi="仿宋" w:eastAsia="仿宋" w:cs="仿宋"/>
                <w:color w:val="auto"/>
                <w:sz w:val="24"/>
                <w:szCs w:val="24"/>
                <w:highlight w:val="none"/>
                <w:lang w:val="zh-CN" w:eastAsia="zh-CN"/>
              </w:rPr>
              <w:t>根据财库〔2020〕46号及自治区相关的规定对小微企业产品的价格给予10%的扣除，用扣除后的价格参与评审；监狱企业视同中小微型企业，享受同等优惠政策。因落实政府采购政策进行价格调整的，以调整后的价格计算评标基准价和投标报价。（本项目为专门面向中小企业，不执行价格扣除。）</w:t>
            </w:r>
          </w:p>
        </w:tc>
      </w:tr>
      <w:tr w14:paraId="5935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1" w:type="dxa"/>
            <w:gridSpan w:val="4"/>
            <w:noWrap/>
            <w:vAlign w:val="center"/>
          </w:tcPr>
          <w:p w14:paraId="143F3DE3">
            <w:pPr>
              <w:jc w:val="center"/>
              <w:rPr>
                <w:rFonts w:hint="eastAsia" w:ascii="仿宋" w:hAnsi="仿宋" w:eastAsia="仿宋" w:cs="仿宋"/>
                <w:color w:val="auto"/>
                <w:highlight w:val="none"/>
              </w:rPr>
            </w:pPr>
            <w:r>
              <w:rPr>
                <w:rFonts w:hint="eastAsia" w:ascii="仿宋" w:hAnsi="仿宋" w:eastAsia="仿宋" w:cs="仿宋"/>
                <w:b/>
                <w:color w:val="auto"/>
                <w:highlight w:val="none"/>
              </w:rPr>
              <w:t>二、商务部分（</w:t>
            </w:r>
            <w:r>
              <w:rPr>
                <w:rFonts w:hint="eastAsia" w:ascii="仿宋" w:hAnsi="仿宋" w:eastAsia="仿宋" w:cs="仿宋"/>
                <w:b/>
                <w:color w:val="auto"/>
                <w:highlight w:val="none"/>
                <w:lang w:eastAsia="zh-CN"/>
              </w:rPr>
              <w:t>15</w:t>
            </w:r>
            <w:r>
              <w:rPr>
                <w:rFonts w:hint="eastAsia" w:ascii="仿宋" w:hAnsi="仿宋" w:eastAsia="仿宋" w:cs="仿宋"/>
                <w:b/>
                <w:color w:val="auto"/>
                <w:highlight w:val="none"/>
              </w:rPr>
              <w:t>分）</w:t>
            </w:r>
          </w:p>
        </w:tc>
      </w:tr>
      <w:tr w14:paraId="02B0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trPr>
        <w:tc>
          <w:tcPr>
            <w:tcW w:w="568" w:type="dxa"/>
            <w:noWrap/>
            <w:vAlign w:val="center"/>
          </w:tcPr>
          <w:p w14:paraId="0564B3CF">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1134" w:type="dxa"/>
            <w:noWrap/>
            <w:vAlign w:val="center"/>
          </w:tcPr>
          <w:p w14:paraId="0352C7EC">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投标人</w:t>
            </w:r>
            <w:r>
              <w:rPr>
                <w:rFonts w:hint="eastAsia" w:ascii="仿宋" w:hAnsi="仿宋" w:eastAsia="仿宋" w:cs="仿宋"/>
                <w:color w:val="auto"/>
                <w:highlight w:val="none"/>
                <w:lang w:eastAsia="zh-CN"/>
              </w:rPr>
              <w:t>同类</w:t>
            </w:r>
            <w:r>
              <w:rPr>
                <w:rFonts w:hint="eastAsia" w:ascii="仿宋" w:hAnsi="仿宋" w:eastAsia="仿宋" w:cs="仿宋"/>
                <w:color w:val="auto"/>
                <w:highlight w:val="none"/>
              </w:rPr>
              <w:t>业绩</w:t>
            </w:r>
          </w:p>
        </w:tc>
        <w:tc>
          <w:tcPr>
            <w:tcW w:w="709" w:type="dxa"/>
            <w:noWrap/>
            <w:vAlign w:val="center"/>
          </w:tcPr>
          <w:p w14:paraId="19CC534C">
            <w:pPr>
              <w:spacing w:line="276"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6</w:t>
            </w:r>
            <w:r>
              <w:rPr>
                <w:rFonts w:hint="eastAsia" w:ascii="仿宋" w:hAnsi="仿宋" w:eastAsia="仿宋" w:cs="仿宋"/>
                <w:color w:val="auto"/>
                <w:highlight w:val="none"/>
              </w:rPr>
              <w:t>分</w:t>
            </w:r>
          </w:p>
        </w:tc>
        <w:tc>
          <w:tcPr>
            <w:tcW w:w="7670" w:type="dxa"/>
            <w:noWrap/>
            <w:vAlign w:val="center"/>
          </w:tcPr>
          <w:p w14:paraId="4EA444AE">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投标人近三年完成同类项目业绩，每提供一项得3分，最多得6分。</w:t>
            </w:r>
          </w:p>
          <w:p w14:paraId="0EEBAF4A">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注：①如：提交投标文件截止时间为2025年0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lang w:eastAsia="zh-CN"/>
              </w:rPr>
              <w:t>日，则“近三年”是指2022年0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lang w:eastAsia="zh-CN"/>
              </w:rPr>
              <w:t>日至2025年0</w:t>
            </w:r>
            <w:r>
              <w:rPr>
                <w:rFonts w:hint="eastAsia" w:ascii="仿宋" w:hAnsi="仿宋" w:eastAsia="仿宋" w:cs="仿宋"/>
                <w:color w:val="auto"/>
                <w:highlight w:val="none"/>
                <w:lang w:val="en-US" w:eastAsia="zh-CN"/>
              </w:rPr>
              <w:t>7</w:t>
            </w:r>
            <w:r>
              <w:rPr>
                <w:rFonts w:hint="eastAsia" w:ascii="仿宋" w:hAnsi="仿宋" w:eastAsia="仿宋" w:cs="仿宋"/>
                <w:color w:val="auto"/>
                <w:highlight w:val="none"/>
                <w:lang w:eastAsia="zh-CN"/>
              </w:rPr>
              <w:t>月</w:t>
            </w:r>
            <w:r>
              <w:rPr>
                <w:rFonts w:hint="eastAsia" w:ascii="仿宋" w:hAnsi="仿宋" w:eastAsia="仿宋" w:cs="仿宋"/>
                <w:color w:val="auto"/>
                <w:highlight w:val="none"/>
                <w:lang w:val="en-US" w:eastAsia="zh-CN"/>
              </w:rPr>
              <w:t>24</w:t>
            </w:r>
            <w:r>
              <w:rPr>
                <w:rFonts w:hint="eastAsia" w:ascii="仿宋" w:hAnsi="仿宋" w:eastAsia="仿宋" w:cs="仿宋"/>
                <w:color w:val="auto"/>
                <w:highlight w:val="none"/>
                <w:lang w:eastAsia="zh-CN"/>
              </w:rPr>
              <w:t>日。②同类项目业绩附合同，合同须附合同首页、合同金额页、体现标的物页、双方签字盖章页），不提供或提供不清晰导致专家无法判断的不得分。</w:t>
            </w:r>
          </w:p>
        </w:tc>
      </w:tr>
      <w:tr w14:paraId="13106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68" w:type="dxa"/>
            <w:noWrap/>
            <w:vAlign w:val="center"/>
          </w:tcPr>
          <w:p w14:paraId="44B2304F">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1134" w:type="dxa"/>
            <w:noWrap/>
            <w:vAlign w:val="center"/>
          </w:tcPr>
          <w:p w14:paraId="02F40F63">
            <w:pPr>
              <w:spacing w:line="276"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项目负责人</w:t>
            </w:r>
          </w:p>
        </w:tc>
        <w:tc>
          <w:tcPr>
            <w:tcW w:w="709" w:type="dxa"/>
            <w:noWrap/>
            <w:vAlign w:val="center"/>
          </w:tcPr>
          <w:p w14:paraId="67FEF46C">
            <w:pPr>
              <w:spacing w:line="276" w:lineRule="auto"/>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4分</w:t>
            </w:r>
          </w:p>
        </w:tc>
        <w:tc>
          <w:tcPr>
            <w:tcW w:w="7670" w:type="dxa"/>
            <w:noWrap/>
            <w:vAlign w:val="center"/>
          </w:tcPr>
          <w:p w14:paraId="234EA7F9">
            <w:pPr>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根据投标人项目负责人具有相关工作经验得4分。</w:t>
            </w:r>
          </w:p>
          <w:p w14:paraId="2148D6BA">
            <w:pPr>
              <w:spacing w:line="276" w:lineRule="auto"/>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【须同时提供简历表、身份证、健康证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有效期内</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、工资发放证明的得4分，每少1项扣1分</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证明材料未提供的不得分】</w:t>
            </w:r>
          </w:p>
        </w:tc>
      </w:tr>
      <w:tr w14:paraId="3FA43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68" w:type="dxa"/>
            <w:noWrap/>
            <w:vAlign w:val="center"/>
          </w:tcPr>
          <w:p w14:paraId="76E8D5E6">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1134" w:type="dxa"/>
            <w:noWrap/>
            <w:vAlign w:val="center"/>
          </w:tcPr>
          <w:p w14:paraId="5D62DCE0">
            <w:pPr>
              <w:spacing w:line="276"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其他拟配备人员</w:t>
            </w:r>
          </w:p>
        </w:tc>
        <w:tc>
          <w:tcPr>
            <w:tcW w:w="709" w:type="dxa"/>
            <w:noWrap/>
            <w:vAlign w:val="center"/>
          </w:tcPr>
          <w:p w14:paraId="34C07530">
            <w:pPr>
              <w:spacing w:line="276"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5分</w:t>
            </w:r>
          </w:p>
        </w:tc>
        <w:tc>
          <w:tcPr>
            <w:tcW w:w="7670" w:type="dxa"/>
            <w:noWrap/>
            <w:vAlign w:val="center"/>
          </w:tcPr>
          <w:p w14:paraId="53BFF322">
            <w:pPr>
              <w:spacing w:line="276" w:lineRule="auto"/>
              <w:jc w:val="left"/>
              <w:rPr>
                <w:rFonts w:hint="eastAsia" w:ascii="仿宋" w:hAnsi="仿宋" w:eastAsia="仿宋" w:cs="仿宋"/>
                <w:color w:val="auto"/>
                <w:highlight w:val="none"/>
              </w:rPr>
            </w:pPr>
            <w:r>
              <w:rPr>
                <w:rFonts w:hint="eastAsia" w:ascii="仿宋" w:hAnsi="仿宋" w:eastAsia="仿宋" w:cs="仿宋"/>
                <w:color w:val="auto"/>
                <w:highlight w:val="none"/>
              </w:rPr>
              <w:t>根据投标人其他拟配备人员（须明确24小时联络人员1人、固定的送货专员2人），每提供1人得1分，满分5分。</w:t>
            </w:r>
          </w:p>
          <w:p w14:paraId="22565B39">
            <w:pPr>
              <w:spacing w:line="276" w:lineRule="auto"/>
              <w:jc w:val="left"/>
              <w:rPr>
                <w:rFonts w:hint="eastAsia" w:ascii="仿宋" w:hAnsi="仿宋" w:eastAsia="仿宋" w:cs="仿宋"/>
                <w:color w:val="auto"/>
                <w:highlight w:val="none"/>
                <w:lang w:eastAsia="zh-CN"/>
              </w:rPr>
            </w:pPr>
            <w:r>
              <w:rPr>
                <w:rFonts w:hint="eastAsia" w:ascii="仿宋" w:hAnsi="仿宋" w:eastAsia="仿宋" w:cs="仿宋"/>
                <w:color w:val="auto"/>
                <w:highlight w:val="none"/>
              </w:rPr>
              <w:t>【须同时提供身份证、健康证</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有效期内</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、工资发放证明（非本单位</w:t>
            </w:r>
            <w:r>
              <w:rPr>
                <w:rFonts w:hint="eastAsia" w:ascii="仿宋" w:hAnsi="仿宋" w:eastAsia="仿宋" w:cs="仿宋"/>
                <w:color w:val="auto"/>
                <w:highlight w:val="none"/>
                <w:lang w:val="en-US" w:eastAsia="zh-CN"/>
              </w:rPr>
              <w:t>人员</w:t>
            </w:r>
            <w:r>
              <w:rPr>
                <w:rFonts w:hint="eastAsia" w:ascii="仿宋" w:hAnsi="仿宋" w:eastAsia="仿宋" w:cs="仿宋"/>
                <w:color w:val="auto"/>
                <w:highlight w:val="none"/>
              </w:rPr>
              <w:t>不予认可）等证明材料，未提供的不得分】</w:t>
            </w:r>
          </w:p>
        </w:tc>
      </w:tr>
      <w:tr w14:paraId="51A3A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0081" w:type="dxa"/>
            <w:gridSpan w:val="4"/>
            <w:noWrap/>
            <w:vAlign w:val="center"/>
          </w:tcPr>
          <w:p w14:paraId="1A232733">
            <w:pPr>
              <w:jc w:val="center"/>
              <w:rPr>
                <w:rFonts w:hint="eastAsia" w:ascii="仿宋" w:hAnsi="仿宋" w:eastAsia="仿宋" w:cs="仿宋"/>
                <w:color w:val="auto"/>
                <w:highlight w:val="none"/>
              </w:rPr>
            </w:pPr>
            <w:r>
              <w:rPr>
                <w:rFonts w:hint="eastAsia" w:ascii="仿宋" w:hAnsi="仿宋" w:eastAsia="仿宋" w:cs="仿宋"/>
                <w:b/>
                <w:color w:val="auto"/>
                <w:highlight w:val="none"/>
              </w:rPr>
              <w:t>三、技术部分（</w:t>
            </w:r>
            <w:r>
              <w:rPr>
                <w:rFonts w:hint="eastAsia" w:ascii="仿宋" w:hAnsi="仿宋" w:eastAsia="仿宋" w:cs="仿宋"/>
                <w:b/>
                <w:color w:val="auto"/>
                <w:highlight w:val="none"/>
                <w:lang w:eastAsia="zh-CN"/>
              </w:rPr>
              <w:t>55</w:t>
            </w:r>
            <w:r>
              <w:rPr>
                <w:rFonts w:hint="eastAsia" w:ascii="仿宋" w:hAnsi="仿宋" w:eastAsia="仿宋" w:cs="仿宋"/>
                <w:b/>
                <w:color w:val="auto"/>
                <w:highlight w:val="none"/>
              </w:rPr>
              <w:t>分）</w:t>
            </w:r>
          </w:p>
        </w:tc>
      </w:tr>
      <w:tr w14:paraId="08C3E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68" w:type="dxa"/>
            <w:noWrap/>
            <w:vAlign w:val="center"/>
          </w:tcPr>
          <w:p w14:paraId="0D777A67">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1134" w:type="dxa"/>
            <w:shd w:val="clear" w:color="auto" w:fill="auto"/>
            <w:noWrap/>
            <w:vAlign w:val="center"/>
          </w:tcPr>
          <w:p w14:paraId="3B9F7F29">
            <w:pPr>
              <w:spacing w:line="276"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质量保障及技术参数的符合程度</w:t>
            </w:r>
          </w:p>
        </w:tc>
        <w:tc>
          <w:tcPr>
            <w:tcW w:w="709" w:type="dxa"/>
            <w:shd w:val="clear" w:color="auto" w:fill="auto"/>
            <w:noWrap/>
            <w:vAlign w:val="center"/>
          </w:tcPr>
          <w:p w14:paraId="70DE1525">
            <w:pPr>
              <w:spacing w:line="276"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10分</w:t>
            </w:r>
          </w:p>
        </w:tc>
        <w:tc>
          <w:tcPr>
            <w:tcW w:w="7670" w:type="dxa"/>
            <w:shd w:val="clear" w:color="auto" w:fill="auto"/>
            <w:noWrap/>
            <w:vAlign w:val="center"/>
          </w:tcPr>
          <w:p w14:paraId="12DE10B3">
            <w:pPr>
              <w:spacing w:line="276"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根据投标人“</w:t>
            </w:r>
            <w:r>
              <w:rPr>
                <w:rFonts w:hint="eastAsia" w:ascii="仿宋" w:hAnsi="仿宋" w:eastAsia="仿宋" w:cs="仿宋"/>
                <w:color w:val="auto"/>
                <w:highlight w:val="none"/>
                <w:lang w:val="en-US" w:eastAsia="zh-CN"/>
              </w:rPr>
              <w:t>技术要求</w:t>
            </w:r>
            <w:r>
              <w:rPr>
                <w:rFonts w:hint="eastAsia" w:ascii="仿宋" w:hAnsi="仿宋" w:eastAsia="仿宋" w:cs="仿宋"/>
                <w:color w:val="auto"/>
                <w:highlight w:val="none"/>
                <w:lang w:eastAsia="zh-CN"/>
              </w:rPr>
              <w:t>偏离表”进行评分，基础分10分，“负偏离”一项扣1分，扣完为止。</w:t>
            </w:r>
          </w:p>
          <w:p w14:paraId="6C335800">
            <w:pPr>
              <w:spacing w:line="276"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需提供与所投产品或产品技术参数相关的证明材料（如投标人或所投产品制造商出具的产品规格表或产品检测报告或鉴定证书或制造商产品彩页或制造商官网截图或制造商产品说明书、彩色实物图片等证明材料，不提供或不清楚或不准确，不予认可）】</w:t>
            </w:r>
          </w:p>
        </w:tc>
      </w:tr>
      <w:tr w14:paraId="506F4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68" w:type="dxa"/>
            <w:noWrap/>
            <w:vAlign w:val="center"/>
          </w:tcPr>
          <w:p w14:paraId="5DBFFB1F">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p>
        </w:tc>
        <w:tc>
          <w:tcPr>
            <w:tcW w:w="1134" w:type="dxa"/>
            <w:noWrap/>
            <w:vAlign w:val="center"/>
          </w:tcPr>
          <w:p w14:paraId="2911B7EB">
            <w:pPr>
              <w:widowControl w:val="0"/>
              <w:kinsoku/>
              <w:autoSpaceDE/>
              <w:autoSpaceDN/>
              <w:adjustRightInd/>
              <w:snapToGrid/>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配送能力</w:t>
            </w:r>
          </w:p>
        </w:tc>
        <w:tc>
          <w:tcPr>
            <w:tcW w:w="709" w:type="dxa"/>
            <w:noWrap/>
            <w:vAlign w:val="center"/>
          </w:tcPr>
          <w:p w14:paraId="27C97C2D">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6分</w:t>
            </w:r>
          </w:p>
        </w:tc>
        <w:tc>
          <w:tcPr>
            <w:tcW w:w="7670" w:type="dxa"/>
            <w:noWrap/>
            <w:vAlign w:val="center"/>
          </w:tcPr>
          <w:p w14:paraId="77ADA0F6">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根据投标人拟投入的常温箱式运输车数量评比：</w:t>
            </w:r>
          </w:p>
          <w:p w14:paraId="695E1D56">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常温箱式运输车不少于2辆，得基础分2分。每增加1辆，加2分，最多加4分。</w:t>
            </w:r>
          </w:p>
          <w:p w14:paraId="5A9857B0">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【1.自有车辆须提供：有效的《机动车行驶证》、车辆正面图片及保险单，未提供的不得分。</w:t>
            </w:r>
          </w:p>
          <w:p w14:paraId="2168E6E9">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2.租赁车辆须提供：有效的车辆租赁协议、《机动车行驶证》、车辆正面图片及保险单，未提供的不得分。】</w:t>
            </w:r>
          </w:p>
        </w:tc>
      </w:tr>
      <w:tr w14:paraId="1CCF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68" w:type="dxa"/>
            <w:noWrap/>
            <w:vAlign w:val="center"/>
          </w:tcPr>
          <w:p w14:paraId="5843A1A9">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w:t>
            </w:r>
          </w:p>
        </w:tc>
        <w:tc>
          <w:tcPr>
            <w:tcW w:w="1134" w:type="dxa"/>
            <w:noWrap/>
            <w:vAlign w:val="center"/>
          </w:tcPr>
          <w:p w14:paraId="359DAC8F">
            <w:pPr>
              <w:widowControl w:val="0"/>
              <w:kinsoku/>
              <w:autoSpaceDE/>
              <w:autoSpaceDN/>
              <w:adjustRightInd/>
              <w:snapToGrid/>
              <w:jc w:val="center"/>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仓储能力</w:t>
            </w:r>
          </w:p>
        </w:tc>
        <w:tc>
          <w:tcPr>
            <w:tcW w:w="709" w:type="dxa"/>
            <w:noWrap/>
            <w:vAlign w:val="center"/>
          </w:tcPr>
          <w:p w14:paraId="7CF1AD75">
            <w:pPr>
              <w:spacing w:line="360" w:lineRule="auto"/>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4分</w:t>
            </w:r>
          </w:p>
        </w:tc>
        <w:tc>
          <w:tcPr>
            <w:tcW w:w="7670" w:type="dxa"/>
            <w:noWrap/>
            <w:vAlign w:val="center"/>
          </w:tcPr>
          <w:p w14:paraId="5E985498">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根据供应商自有或租赁的仓库面积评比：</w:t>
            </w:r>
          </w:p>
          <w:p w14:paraId="14F22510">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自有或租赁的仓库面积：</w:t>
            </w:r>
          </w:p>
          <w:p w14:paraId="2884821F">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（1）面积500平方米以上的得4分；</w:t>
            </w:r>
          </w:p>
          <w:p w14:paraId="7E80B8A6">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（2）面积499平方米至300平方米的得3分；</w:t>
            </w:r>
          </w:p>
          <w:p w14:paraId="2B38ACE5">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（3）面积299平方米至100平方米得2分；</w:t>
            </w:r>
          </w:p>
          <w:p w14:paraId="384D98F2">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（4）面积100平方米以下得1分。</w:t>
            </w:r>
          </w:p>
          <w:p w14:paraId="13F147E5">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【1、自有的须提供有效的仓库所有权证明材料、仓库图片；</w:t>
            </w:r>
          </w:p>
          <w:p w14:paraId="2A5FD6B6">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2、租赁的须提供租用合同、仓库图片。</w:t>
            </w:r>
          </w:p>
          <w:p w14:paraId="39BCD8A3">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3、同一仓库的多份合同视为1份合同计算。】</w:t>
            </w:r>
          </w:p>
        </w:tc>
      </w:tr>
      <w:tr w14:paraId="2C82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568" w:type="dxa"/>
            <w:noWrap/>
            <w:vAlign w:val="center"/>
          </w:tcPr>
          <w:p w14:paraId="684054FF">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w:t>
            </w:r>
          </w:p>
        </w:tc>
        <w:tc>
          <w:tcPr>
            <w:tcW w:w="1134" w:type="dxa"/>
            <w:noWrap/>
            <w:vAlign w:val="center"/>
          </w:tcPr>
          <w:p w14:paraId="0709BAFE">
            <w:pPr>
              <w:widowControl w:val="0"/>
              <w:kinsoku/>
              <w:autoSpaceDE/>
              <w:autoSpaceDN/>
              <w:adjustRightInd/>
              <w:snapToGrid/>
              <w:jc w:val="center"/>
              <w:textAlignment w:val="auto"/>
              <w:rPr>
                <w:rFonts w:hint="eastAsia" w:ascii="仿宋" w:hAnsi="仿宋" w:eastAsia="仿宋" w:cs="仿宋"/>
                <w:color w:val="auto"/>
                <w:highlight w:val="none"/>
              </w:rPr>
            </w:pPr>
            <w:r>
              <w:rPr>
                <w:rFonts w:hint="eastAsia" w:ascii="仿宋" w:hAnsi="仿宋" w:eastAsia="仿宋" w:cs="仿宋"/>
                <w:color w:val="auto"/>
                <w:highlight w:val="none"/>
                <w:lang w:eastAsia="zh-CN"/>
              </w:rPr>
              <w:t>配送服务方案</w:t>
            </w:r>
          </w:p>
        </w:tc>
        <w:tc>
          <w:tcPr>
            <w:tcW w:w="709" w:type="dxa"/>
            <w:noWrap/>
            <w:vAlign w:val="center"/>
          </w:tcPr>
          <w:p w14:paraId="1B575B85">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12分</w:t>
            </w:r>
          </w:p>
        </w:tc>
        <w:tc>
          <w:tcPr>
            <w:tcW w:w="7670" w:type="dxa"/>
            <w:noWrap/>
            <w:vAlign w:val="center"/>
          </w:tcPr>
          <w:p w14:paraId="015ECE78">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配送服务方案包含：①配送服务组织结构及配送人员管理制度、②货源保障方案、③食材出入库管理制度、④食材溯源保障措施、⑤配送车辆管理制度、⑥不合格食品退换货及销毁制度；6部分要素。</w:t>
            </w:r>
          </w:p>
          <w:p w14:paraId="2D237A35">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所有要素齐全且完全满足项目要求得12分，每缺一个要素扣2分，每个要素里每有一处内容缺陷扣1分（扣完为止）。</w:t>
            </w:r>
          </w:p>
          <w:p w14:paraId="451407F7">
            <w:pPr>
              <w:spacing w:line="276" w:lineRule="auto"/>
              <w:ind w:right="-107" w:rightChars="-51"/>
              <w:rPr>
                <w:color w:val="auto"/>
                <w:highlight w:val="none"/>
                <w:lang w:eastAsia="zh-CN"/>
              </w:rPr>
            </w:pPr>
            <w:r>
              <w:rPr>
                <w:rFonts w:hint="eastAsia" w:ascii="仿宋" w:hAnsi="仿宋" w:eastAsia="仿宋" w:cs="仿宋"/>
                <w:color w:val="auto"/>
                <w:highlight w:val="none"/>
                <w:lang w:eastAsia="zh-CN"/>
              </w:rPr>
              <w:t>说明：本评审内容中“</w:t>
            </w:r>
            <w:r>
              <w:rPr>
                <w:rFonts w:ascii="仿宋" w:hAnsi="仿宋" w:eastAsia="仿宋" w:cs="仿宋"/>
                <w:color w:val="auto"/>
                <w:highlight w:val="none"/>
                <w:lang w:eastAsia="zh-CN"/>
              </w:rPr>
              <w:t>内容缺陷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0BA1B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8" w:type="dxa"/>
            <w:noWrap/>
            <w:vAlign w:val="center"/>
          </w:tcPr>
          <w:p w14:paraId="212AB3AA">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8</w:t>
            </w:r>
          </w:p>
        </w:tc>
        <w:tc>
          <w:tcPr>
            <w:tcW w:w="1134" w:type="dxa"/>
            <w:noWrap/>
            <w:vAlign w:val="center"/>
          </w:tcPr>
          <w:p w14:paraId="7E3B422B">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食材安全及管理方案</w:t>
            </w:r>
          </w:p>
        </w:tc>
        <w:tc>
          <w:tcPr>
            <w:tcW w:w="709" w:type="dxa"/>
            <w:noWrap/>
            <w:vAlign w:val="center"/>
          </w:tcPr>
          <w:p w14:paraId="42665B6A">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15分</w:t>
            </w:r>
          </w:p>
        </w:tc>
        <w:tc>
          <w:tcPr>
            <w:tcW w:w="7670" w:type="dxa"/>
            <w:noWrap/>
            <w:vAlign w:val="center"/>
          </w:tcPr>
          <w:p w14:paraId="6BCDCBA5">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食材安全及管理方案，包含：①食材采购管理制度、②食材贮存管理制度、③食材安全（质量）查验制度、④食材留样措施、⑤食材安全配送制度等。</w:t>
            </w:r>
          </w:p>
          <w:p w14:paraId="510A667C">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所有要素齐全且完全满足项目要求得15分，每缺一个要素扣3分，每个要素里每有一处内容缺陷扣1分（扣完为止）。</w:t>
            </w:r>
          </w:p>
          <w:p w14:paraId="170A9278">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说明：本评审内容中“</w:t>
            </w:r>
            <w:r>
              <w:rPr>
                <w:rFonts w:ascii="仿宋" w:hAnsi="仿宋" w:eastAsia="仿宋" w:cs="仿宋"/>
                <w:color w:val="auto"/>
                <w:highlight w:val="none"/>
                <w:lang w:eastAsia="zh-CN"/>
              </w:rPr>
              <w:t>内容缺陷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71FD3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8" w:type="dxa"/>
            <w:noWrap/>
            <w:vAlign w:val="center"/>
          </w:tcPr>
          <w:p w14:paraId="56D8529D">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9</w:t>
            </w:r>
          </w:p>
        </w:tc>
        <w:tc>
          <w:tcPr>
            <w:tcW w:w="1134" w:type="dxa"/>
            <w:noWrap/>
            <w:vAlign w:val="center"/>
          </w:tcPr>
          <w:p w14:paraId="43E63E6E">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应急措施</w:t>
            </w:r>
          </w:p>
        </w:tc>
        <w:tc>
          <w:tcPr>
            <w:tcW w:w="709" w:type="dxa"/>
            <w:noWrap/>
            <w:vAlign w:val="center"/>
          </w:tcPr>
          <w:p w14:paraId="72F5E34A">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5分</w:t>
            </w:r>
          </w:p>
        </w:tc>
        <w:tc>
          <w:tcPr>
            <w:tcW w:w="7670" w:type="dxa"/>
            <w:noWrap/>
            <w:vAlign w:val="center"/>
          </w:tcPr>
          <w:p w14:paraId="5E1D8C36">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应急措施包含：①食品安全事故应急预案、②自然灾害应急预案、③运输安全应急预案、 ④不合格食材退换处置方案、⑤疾病防控应急预案；5部分要素。</w:t>
            </w:r>
          </w:p>
          <w:p w14:paraId="2E98D70C">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所有要素齐全且完全满足项目要求得10分，每缺一个要素扣2分，每个要素里每有一处内容缺陷扣1分（扣完为止）。</w:t>
            </w:r>
          </w:p>
          <w:p w14:paraId="387EC29F">
            <w:pPr>
              <w:spacing w:line="276" w:lineRule="auto"/>
              <w:ind w:right="-107" w:rightChars="-51"/>
              <w:rPr>
                <w:color w:val="auto"/>
                <w:highlight w:val="none"/>
                <w:lang w:eastAsia="zh-CN"/>
              </w:rPr>
            </w:pPr>
            <w:r>
              <w:rPr>
                <w:rFonts w:hint="eastAsia" w:ascii="仿宋" w:hAnsi="仿宋" w:eastAsia="仿宋" w:cs="仿宋"/>
                <w:color w:val="auto"/>
                <w:highlight w:val="none"/>
                <w:lang w:eastAsia="zh-CN"/>
              </w:rPr>
              <w:t>说明：本评审内容中“</w:t>
            </w:r>
            <w:r>
              <w:rPr>
                <w:rFonts w:ascii="仿宋" w:hAnsi="仿宋" w:eastAsia="仿宋" w:cs="仿宋"/>
                <w:color w:val="auto"/>
                <w:highlight w:val="none"/>
                <w:lang w:eastAsia="zh-CN"/>
              </w:rPr>
              <w:t>内容缺陷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0F65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568" w:type="dxa"/>
            <w:noWrap/>
            <w:vAlign w:val="center"/>
          </w:tcPr>
          <w:p w14:paraId="1943C0D8">
            <w:pPr>
              <w:jc w:val="center"/>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10</w:t>
            </w:r>
          </w:p>
        </w:tc>
        <w:tc>
          <w:tcPr>
            <w:tcW w:w="1134" w:type="dxa"/>
            <w:noWrap/>
            <w:vAlign w:val="center"/>
          </w:tcPr>
          <w:p w14:paraId="5749CD73">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后续服务方案</w:t>
            </w:r>
          </w:p>
        </w:tc>
        <w:tc>
          <w:tcPr>
            <w:tcW w:w="709" w:type="dxa"/>
            <w:noWrap/>
            <w:vAlign w:val="center"/>
          </w:tcPr>
          <w:p w14:paraId="455B8A58">
            <w:pPr>
              <w:spacing w:line="276" w:lineRule="auto"/>
              <w:ind w:right="-107" w:rightChars="-5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3分</w:t>
            </w:r>
          </w:p>
        </w:tc>
        <w:tc>
          <w:tcPr>
            <w:tcW w:w="7670" w:type="dxa"/>
            <w:noWrap/>
            <w:vAlign w:val="center"/>
          </w:tcPr>
          <w:p w14:paraId="63D73C71">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后续服务方案包含但不限于：①后续服务体系、②客户回访措施、③不合格食材召回处理措施；3部分要素。</w:t>
            </w:r>
          </w:p>
          <w:p w14:paraId="53369929">
            <w:pPr>
              <w:spacing w:line="276" w:lineRule="auto"/>
              <w:ind w:right="-107" w:rightChars="-51"/>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所有要素齐全且完全满足项目要求得3分，每缺一个要素扣1分，每个要素里每有一处内容缺陷扣1分（扣完为止）。</w:t>
            </w:r>
          </w:p>
          <w:p w14:paraId="709E9920">
            <w:pPr>
              <w:spacing w:line="276" w:lineRule="auto"/>
              <w:ind w:right="-107" w:rightChars="-51"/>
              <w:rPr>
                <w:color w:val="auto"/>
                <w:highlight w:val="none"/>
                <w:lang w:eastAsia="zh-CN"/>
              </w:rPr>
            </w:pPr>
            <w:r>
              <w:rPr>
                <w:rFonts w:hint="eastAsia" w:ascii="仿宋" w:hAnsi="仿宋" w:eastAsia="仿宋" w:cs="仿宋"/>
                <w:color w:val="auto"/>
                <w:highlight w:val="none"/>
                <w:lang w:eastAsia="zh-CN"/>
              </w:rPr>
              <w:t>说明：本评审内容中“</w:t>
            </w:r>
            <w:r>
              <w:rPr>
                <w:rFonts w:ascii="仿宋" w:hAnsi="仿宋" w:eastAsia="仿宋" w:cs="仿宋"/>
                <w:color w:val="auto"/>
                <w:highlight w:val="none"/>
                <w:lang w:eastAsia="zh-CN"/>
              </w:rPr>
              <w:t>内容缺陷</w:t>
            </w:r>
            <w:r>
              <w:rPr>
                <w:rFonts w:hint="eastAsia" w:ascii="仿宋" w:hAnsi="仿宋" w:eastAsia="仿宋" w:cs="仿宋"/>
                <w:color w:val="auto"/>
                <w:highlight w:val="none"/>
                <w:lang w:eastAsia="zh-CN"/>
              </w:rPr>
              <w:t>”是指：存在不适用本项目实际情况、内容不完整或缺少关键节点、前后矛盾、涉及的规范及标准错误不可能实现的情形等任意一种情形。</w:t>
            </w:r>
          </w:p>
        </w:tc>
      </w:tr>
      <w:tr w14:paraId="1DCC3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702" w:type="dxa"/>
            <w:gridSpan w:val="2"/>
            <w:noWrap/>
            <w:vAlign w:val="center"/>
          </w:tcPr>
          <w:p w14:paraId="3E7A1FC3">
            <w:pPr>
              <w:ind w:left="360"/>
              <w:jc w:val="center"/>
              <w:rPr>
                <w:rFonts w:hint="eastAsia" w:ascii="仿宋" w:hAnsi="仿宋" w:eastAsia="仿宋" w:cs="仿宋"/>
                <w:color w:val="auto"/>
                <w:highlight w:val="none"/>
              </w:rPr>
            </w:pPr>
            <w:r>
              <w:rPr>
                <w:rFonts w:hint="eastAsia" w:ascii="仿宋" w:hAnsi="仿宋" w:eastAsia="仿宋" w:cs="仿宋"/>
                <w:color w:val="auto"/>
                <w:highlight w:val="none"/>
              </w:rPr>
              <w:t>合计</w:t>
            </w:r>
          </w:p>
        </w:tc>
        <w:tc>
          <w:tcPr>
            <w:tcW w:w="709" w:type="dxa"/>
            <w:noWrap/>
            <w:vAlign w:val="center"/>
          </w:tcPr>
          <w:p w14:paraId="6E214C9C">
            <w:pPr>
              <w:ind w:left="-124" w:leftChars="-59" w:right="-90" w:rightChars="-43"/>
              <w:jc w:val="center"/>
              <w:rPr>
                <w:rFonts w:hint="eastAsia" w:ascii="仿宋" w:hAnsi="仿宋" w:eastAsia="仿宋" w:cs="仿宋"/>
                <w:color w:val="auto"/>
                <w:highlight w:val="none"/>
              </w:rPr>
            </w:pPr>
            <w:r>
              <w:rPr>
                <w:rFonts w:hint="eastAsia" w:ascii="仿宋" w:hAnsi="仿宋" w:eastAsia="仿宋" w:cs="仿宋"/>
                <w:color w:val="auto"/>
                <w:highlight w:val="none"/>
              </w:rPr>
              <w:t>100分</w:t>
            </w:r>
          </w:p>
        </w:tc>
        <w:tc>
          <w:tcPr>
            <w:tcW w:w="7670" w:type="dxa"/>
            <w:noWrap/>
            <w:vAlign w:val="center"/>
          </w:tcPr>
          <w:p w14:paraId="0E84F589">
            <w:pPr>
              <w:ind w:left="360"/>
              <w:jc w:val="center"/>
              <w:rPr>
                <w:rFonts w:hint="eastAsia" w:ascii="仿宋" w:hAnsi="仿宋" w:eastAsia="仿宋" w:cs="仿宋"/>
                <w:color w:val="auto"/>
                <w:highlight w:val="none"/>
              </w:rPr>
            </w:pPr>
          </w:p>
        </w:tc>
      </w:tr>
    </w:tbl>
    <w:p w14:paraId="3F1ECF56">
      <w:pPr>
        <w:pStyle w:val="9"/>
        <w:pageBreakBefore/>
        <w:spacing w:before="140" w:line="226" w:lineRule="auto"/>
        <w:jc w:val="center"/>
        <w:outlineLvl w:val="0"/>
        <w:rPr>
          <w:rFonts w:hint="eastAsia" w:ascii="仿宋" w:hAnsi="仿宋" w:eastAsia="仿宋" w:cs="仿宋"/>
          <w:color w:val="auto"/>
          <w:sz w:val="28"/>
          <w:szCs w:val="28"/>
          <w:highlight w:val="none"/>
          <w:lang w:eastAsia="zh-CN"/>
        </w:rPr>
      </w:pPr>
      <w:bookmarkStart w:id="347" w:name="bookmark224"/>
      <w:bookmarkEnd w:id="347"/>
      <w:bookmarkStart w:id="348" w:name="bookmark223"/>
      <w:bookmarkEnd w:id="348"/>
      <w:bookmarkStart w:id="349" w:name="_Toc13607"/>
      <w:r>
        <w:rPr>
          <w:rFonts w:hint="eastAsia" w:ascii="仿宋" w:hAnsi="仿宋" w:eastAsia="仿宋" w:cs="仿宋"/>
          <w:b/>
          <w:bCs/>
          <w:color w:val="auto"/>
          <w:spacing w:val="4"/>
          <w:sz w:val="28"/>
          <w:szCs w:val="28"/>
          <w:highlight w:val="none"/>
          <w:lang w:eastAsia="zh-CN"/>
        </w:rPr>
        <w:t>第六章合同草案</w:t>
      </w:r>
      <w:bookmarkEnd w:id="349"/>
    </w:p>
    <w:p w14:paraId="1C04E1FF">
      <w:pPr>
        <w:spacing w:line="242" w:lineRule="auto"/>
        <w:rPr>
          <w:rFonts w:hint="eastAsia" w:ascii="仿宋" w:hAnsi="仿宋" w:eastAsia="仿宋" w:cs="仿宋"/>
          <w:color w:val="auto"/>
          <w:highlight w:val="none"/>
          <w:lang w:eastAsia="zh-CN"/>
        </w:rPr>
      </w:pPr>
    </w:p>
    <w:p w14:paraId="025EBF9E">
      <w:pPr>
        <w:spacing w:line="242" w:lineRule="auto"/>
        <w:rPr>
          <w:rFonts w:hint="eastAsia" w:ascii="仿宋" w:hAnsi="仿宋" w:eastAsia="仿宋" w:cs="仿宋"/>
          <w:color w:val="auto"/>
          <w:highlight w:val="none"/>
          <w:lang w:eastAsia="zh-CN"/>
        </w:rPr>
      </w:pPr>
    </w:p>
    <w:p w14:paraId="07E9CAEC">
      <w:pPr>
        <w:spacing w:line="360" w:lineRule="auto"/>
        <w:jc w:val="center"/>
        <w:outlineLvl w:val="1"/>
        <w:rPr>
          <w:rFonts w:hint="eastAsia" w:ascii="仿宋" w:hAnsi="仿宋" w:eastAsia="仿宋" w:cs="仿宋"/>
          <w:b/>
          <w:color w:val="auto"/>
          <w:sz w:val="28"/>
          <w:szCs w:val="28"/>
          <w:highlight w:val="none"/>
          <w:lang w:eastAsia="zh-CN"/>
        </w:rPr>
      </w:pPr>
      <w:bookmarkStart w:id="350" w:name="_Toc13525"/>
      <w:bookmarkStart w:id="351" w:name="_Toc23783576"/>
      <w:r>
        <w:rPr>
          <w:rFonts w:hint="eastAsia" w:ascii="仿宋" w:hAnsi="仿宋" w:eastAsia="仿宋" w:cs="仿宋"/>
          <w:b/>
          <w:color w:val="auto"/>
          <w:sz w:val="28"/>
          <w:szCs w:val="28"/>
          <w:highlight w:val="none"/>
          <w:lang w:eastAsia="zh-CN"/>
        </w:rPr>
        <w:t>（提供的采购合同仅供参考，以最终签订的合同为准）</w:t>
      </w:r>
      <w:bookmarkEnd w:id="350"/>
      <w:bookmarkEnd w:id="351"/>
    </w:p>
    <w:p w14:paraId="2F1A6DE5">
      <w:pPr>
        <w:pStyle w:val="9"/>
        <w:tabs>
          <w:tab w:val="left" w:pos="567"/>
        </w:tabs>
        <w:rPr>
          <w:rFonts w:hint="eastAsia" w:ascii="仿宋" w:hAnsi="仿宋" w:eastAsia="仿宋" w:cs="仿宋"/>
          <w:b/>
          <w:bCs/>
          <w:color w:val="auto"/>
          <w:spacing w:val="-20"/>
          <w:kern w:val="44"/>
          <w:sz w:val="44"/>
          <w:szCs w:val="44"/>
          <w:highlight w:val="none"/>
          <w:lang w:eastAsia="zh-CN"/>
        </w:rPr>
      </w:pPr>
      <w:bookmarkStart w:id="352" w:name="_Toc3995"/>
      <w:r>
        <w:rPr>
          <w:rFonts w:ascii="仿宋" w:hAnsi="仿宋" w:eastAsia="仿宋" w:cs="仿宋"/>
          <w:b/>
          <w:bCs/>
          <w:color w:val="auto"/>
          <w:spacing w:val="-20"/>
          <w:kern w:val="44"/>
          <w:sz w:val="44"/>
          <w:szCs w:val="44"/>
          <w:highlight w:val="none"/>
          <w:lang w:eastAsia="zh-CN"/>
        </w:rPr>
        <w:t>合同编号：</w:t>
      </w:r>
    </w:p>
    <w:p w14:paraId="23F6B078">
      <w:pPr>
        <w:pStyle w:val="9"/>
        <w:tabs>
          <w:tab w:val="left" w:pos="567"/>
        </w:tabs>
        <w:jc w:val="center"/>
        <w:rPr>
          <w:rFonts w:hint="eastAsia" w:ascii="仿宋" w:hAnsi="仿宋" w:eastAsia="仿宋" w:cs="仿宋"/>
          <w:b/>
          <w:bCs/>
          <w:color w:val="auto"/>
          <w:spacing w:val="-20"/>
          <w:kern w:val="44"/>
          <w:sz w:val="48"/>
          <w:szCs w:val="48"/>
          <w:highlight w:val="none"/>
          <w:lang w:eastAsia="zh-CN"/>
        </w:rPr>
      </w:pPr>
    </w:p>
    <w:p w14:paraId="49DC9E5B">
      <w:pPr>
        <w:pStyle w:val="9"/>
        <w:tabs>
          <w:tab w:val="left" w:pos="567"/>
        </w:tabs>
        <w:jc w:val="center"/>
        <w:rPr>
          <w:rFonts w:hint="eastAsia" w:ascii="仿宋" w:hAnsi="仿宋" w:eastAsia="仿宋" w:cs="仿宋"/>
          <w:b/>
          <w:bCs/>
          <w:color w:val="auto"/>
          <w:spacing w:val="-20"/>
          <w:kern w:val="44"/>
          <w:sz w:val="48"/>
          <w:szCs w:val="48"/>
          <w:highlight w:val="none"/>
          <w:lang w:eastAsia="zh-CN"/>
        </w:rPr>
      </w:pPr>
    </w:p>
    <w:p w14:paraId="2FB3F871">
      <w:pPr>
        <w:pStyle w:val="9"/>
        <w:tabs>
          <w:tab w:val="left" w:pos="567"/>
        </w:tabs>
        <w:jc w:val="center"/>
        <w:rPr>
          <w:rFonts w:hint="eastAsia" w:ascii="仿宋" w:hAnsi="仿宋" w:eastAsia="仿宋" w:cs="仿宋"/>
          <w:b/>
          <w:bCs/>
          <w:color w:val="auto"/>
          <w:spacing w:val="-20"/>
          <w:kern w:val="44"/>
          <w:sz w:val="48"/>
          <w:szCs w:val="48"/>
          <w:highlight w:val="none"/>
          <w:lang w:eastAsia="zh-CN"/>
        </w:rPr>
      </w:pPr>
    </w:p>
    <w:p w14:paraId="264ECE16">
      <w:pPr>
        <w:pStyle w:val="9"/>
        <w:tabs>
          <w:tab w:val="left" w:pos="567"/>
        </w:tabs>
        <w:jc w:val="center"/>
        <w:rPr>
          <w:rFonts w:hint="eastAsia" w:ascii="仿宋" w:hAnsi="仿宋" w:eastAsia="仿宋" w:cs="仿宋"/>
          <w:b/>
          <w:bCs/>
          <w:color w:val="auto"/>
          <w:spacing w:val="-20"/>
          <w:kern w:val="44"/>
          <w:sz w:val="48"/>
          <w:szCs w:val="48"/>
          <w:highlight w:val="none"/>
          <w:lang w:eastAsia="zh-CN"/>
        </w:rPr>
      </w:pPr>
    </w:p>
    <w:p w14:paraId="3844DCF6">
      <w:pPr>
        <w:pStyle w:val="9"/>
        <w:tabs>
          <w:tab w:val="left" w:pos="567"/>
        </w:tabs>
        <w:jc w:val="center"/>
        <w:rPr>
          <w:rFonts w:hint="eastAsia" w:ascii="仿宋" w:hAnsi="仿宋" w:eastAsia="仿宋" w:cs="仿宋"/>
          <w:b/>
          <w:bCs/>
          <w:color w:val="auto"/>
          <w:spacing w:val="-20"/>
          <w:kern w:val="44"/>
          <w:sz w:val="48"/>
          <w:szCs w:val="48"/>
          <w:highlight w:val="none"/>
          <w:lang w:eastAsia="zh-CN"/>
        </w:rPr>
      </w:pPr>
      <w:r>
        <w:rPr>
          <w:rFonts w:hint="eastAsia" w:ascii="仿宋" w:hAnsi="仿宋" w:eastAsia="仿宋" w:cs="仿宋"/>
          <w:b/>
          <w:bCs/>
          <w:color w:val="auto"/>
          <w:spacing w:val="-20"/>
          <w:kern w:val="44"/>
          <w:sz w:val="48"/>
          <w:szCs w:val="48"/>
          <w:highlight w:val="none"/>
          <w:lang w:eastAsia="zh-CN"/>
        </w:rPr>
        <w:t>政府采购货物买卖合同</w:t>
      </w:r>
    </w:p>
    <w:p w14:paraId="44DDA155">
      <w:pPr>
        <w:rPr>
          <w:rFonts w:hint="eastAsia" w:ascii="仿宋" w:hAnsi="仿宋" w:eastAsia="仿宋" w:cs="仿宋"/>
          <w:b/>
          <w:bCs/>
          <w:color w:val="auto"/>
          <w:spacing w:val="-20"/>
          <w:kern w:val="44"/>
          <w:sz w:val="40"/>
          <w:szCs w:val="40"/>
          <w:highlight w:val="none"/>
          <w:lang w:eastAsia="zh-CN"/>
        </w:rPr>
      </w:pPr>
    </w:p>
    <w:p w14:paraId="05831D2A">
      <w:pPr>
        <w:rPr>
          <w:rFonts w:hint="eastAsia" w:ascii="仿宋" w:hAnsi="仿宋" w:eastAsia="仿宋" w:cs="仿宋"/>
          <w:b/>
          <w:bCs/>
          <w:color w:val="auto"/>
          <w:spacing w:val="-20"/>
          <w:kern w:val="44"/>
          <w:sz w:val="40"/>
          <w:szCs w:val="40"/>
          <w:highlight w:val="none"/>
          <w:lang w:eastAsia="zh-CN"/>
        </w:rPr>
      </w:pPr>
    </w:p>
    <w:p w14:paraId="12027B39">
      <w:pPr>
        <w:rPr>
          <w:rFonts w:hint="eastAsia" w:ascii="仿宋" w:hAnsi="仿宋" w:eastAsia="仿宋" w:cs="仿宋"/>
          <w:b/>
          <w:bCs/>
          <w:color w:val="auto"/>
          <w:spacing w:val="-20"/>
          <w:kern w:val="44"/>
          <w:sz w:val="40"/>
          <w:szCs w:val="40"/>
          <w:highlight w:val="none"/>
          <w:lang w:eastAsia="zh-CN"/>
        </w:rPr>
      </w:pPr>
    </w:p>
    <w:p w14:paraId="043DFE92">
      <w:pPr>
        <w:spacing w:line="360" w:lineRule="auto"/>
        <w:ind w:left="420" w:left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项目名称：</w:t>
      </w:r>
    </w:p>
    <w:p w14:paraId="595BD7BE">
      <w:pPr>
        <w:spacing w:line="360" w:lineRule="auto"/>
        <w:ind w:left="420" w:leftChars="200"/>
        <w:rPr>
          <w:rFonts w:hint="eastAsia"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eastAsia="zh-CN"/>
        </w:rPr>
        <w:t>合同编号：</w:t>
      </w:r>
    </w:p>
    <w:p w14:paraId="33707069">
      <w:pPr>
        <w:spacing w:line="360" w:lineRule="auto"/>
        <w:ind w:left="420" w:left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甲    方：</w:t>
      </w:r>
    </w:p>
    <w:p w14:paraId="7B95448E">
      <w:pPr>
        <w:spacing w:line="360" w:lineRule="auto"/>
        <w:ind w:left="420" w:leftChars="200"/>
        <w:rPr>
          <w:rFonts w:hint="eastAsia"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lang w:eastAsia="zh-CN"/>
        </w:rPr>
        <w:t>乙    方：</w:t>
      </w:r>
    </w:p>
    <w:p w14:paraId="287408AD">
      <w:pPr>
        <w:spacing w:line="360" w:lineRule="auto"/>
        <w:ind w:left="420" w:left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签订时间：</w:t>
      </w:r>
    </w:p>
    <w:p w14:paraId="067DAFE4">
      <w:pPr>
        <w:rPr>
          <w:rFonts w:hint="eastAsia" w:ascii="仿宋" w:hAnsi="仿宋" w:eastAsia="仿宋" w:cs="仿宋"/>
          <w:color w:val="auto"/>
          <w:highlight w:val="none"/>
          <w:lang w:eastAsia="zh-CN"/>
        </w:rPr>
      </w:pPr>
    </w:p>
    <w:p w14:paraId="1ED1658B">
      <w:pP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br w:type="page"/>
      </w:r>
    </w:p>
    <w:p w14:paraId="6231434F">
      <w:pPr>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使 用 说 明</w:t>
      </w:r>
    </w:p>
    <w:p w14:paraId="16F02849">
      <w:pPr>
        <w:spacing w:line="360" w:lineRule="auto"/>
        <w:ind w:firstLine="560" w:firstLineChars="200"/>
        <w:rPr>
          <w:rFonts w:hint="eastAsia" w:ascii="仿宋" w:hAnsi="仿宋" w:eastAsia="仿宋" w:cs="仿宋"/>
          <w:color w:val="auto"/>
          <w:sz w:val="28"/>
          <w:szCs w:val="28"/>
          <w:highlight w:val="none"/>
          <w:lang w:eastAsia="zh-CN"/>
        </w:rPr>
      </w:pPr>
    </w:p>
    <w:p w14:paraId="1646324B">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1.本合同标准文本适用于购买现成货物的采购项目，不包括需要供应商定制开发、创新研发的货物采购项目。</w:t>
      </w:r>
    </w:p>
    <w:p w14:paraId="1E041C73">
      <w:pPr>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 xml:space="preserve">   2.本合同标准文本为政府采购货物买卖合同编制提供参考，可以结合采购项目具体情况，对文本作必要的调整修订后使用。</w:t>
      </w:r>
    </w:p>
    <w:p w14:paraId="1EC419E8">
      <w:pPr>
        <w:spacing w:line="360" w:lineRule="auto"/>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3.本合同标准文本各条款中，如涉及填写多家供应商、制造商，多种采购标的、分包主要内容等信息的，可根据采购项目具体情况添加信息项。</w:t>
      </w:r>
    </w:p>
    <w:p w14:paraId="6422A09C">
      <w:pPr>
        <w:spacing w:line="360" w:lineRule="auto"/>
        <w:ind w:firstLine="560" w:firstLineChars="200"/>
        <w:rPr>
          <w:rFonts w:hint="eastAsia" w:ascii="仿宋" w:hAnsi="仿宋" w:eastAsia="仿宋" w:cs="仿宋"/>
          <w:color w:val="auto"/>
          <w:sz w:val="28"/>
          <w:szCs w:val="28"/>
          <w:highlight w:val="none"/>
          <w:lang w:eastAsia="zh-CN"/>
        </w:rPr>
        <w:sectPr>
          <w:footerReference r:id="rId7" w:type="default"/>
          <w:pgSz w:w="11906" w:h="16838"/>
          <w:pgMar w:top="1440" w:right="1133" w:bottom="1134" w:left="1418" w:header="851" w:footer="907" w:gutter="0"/>
          <w:pgNumType w:fmt="numberInDash" w:start="1"/>
          <w:cols w:space="720" w:num="1"/>
          <w:docGrid w:type="lines" w:linePitch="312" w:charSpace="0"/>
        </w:sectPr>
      </w:pPr>
    </w:p>
    <w:bookmarkEnd w:id="352"/>
    <w:p w14:paraId="1F787DE1">
      <w:pPr>
        <w:pStyle w:val="3"/>
        <w:spacing w:line="400" w:lineRule="exact"/>
        <w:rPr>
          <w:rFonts w:hint="eastAsia" w:ascii="仿宋" w:hAnsi="仿宋" w:eastAsia="仿宋" w:cs="仿宋"/>
          <w:b w:val="0"/>
          <w:color w:val="auto"/>
          <w:sz w:val="28"/>
          <w:szCs w:val="28"/>
          <w:highlight w:val="none"/>
          <w:lang w:eastAsia="zh-CN"/>
        </w:rPr>
      </w:pPr>
      <w:bookmarkStart w:id="353" w:name="_Toc27801"/>
      <w:bookmarkStart w:id="354" w:name="_Toc22209"/>
      <w:r>
        <w:rPr>
          <w:rFonts w:hint="eastAsia" w:ascii="仿宋" w:hAnsi="仿宋" w:eastAsia="仿宋" w:cs="仿宋"/>
          <w:b w:val="0"/>
          <w:color w:val="auto"/>
          <w:sz w:val="28"/>
          <w:szCs w:val="28"/>
          <w:highlight w:val="none"/>
          <w:lang w:eastAsia="zh-CN"/>
        </w:rPr>
        <w:t>第一节 政府采购合同协议书</w:t>
      </w:r>
      <w:bookmarkEnd w:id="353"/>
      <w:bookmarkEnd w:id="354"/>
    </w:p>
    <w:p w14:paraId="6C81E838">
      <w:pPr>
        <w:pStyle w:val="3"/>
        <w:spacing w:line="400" w:lineRule="exact"/>
        <w:rPr>
          <w:rFonts w:hint="eastAsia" w:ascii="仿宋" w:hAnsi="仿宋" w:eastAsia="仿宋" w:cs="仿宋"/>
          <w:b w:val="0"/>
          <w:color w:val="auto"/>
          <w:sz w:val="28"/>
          <w:szCs w:val="28"/>
          <w:highlight w:val="none"/>
          <w:lang w:eastAsia="zh-CN"/>
        </w:rPr>
      </w:pPr>
    </w:p>
    <w:p w14:paraId="4EB6911F">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甲方（全称）：（采购人）</w:t>
      </w:r>
    </w:p>
    <w:p w14:paraId="4CEA37F0">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乙方1（全称）：（供应商）</w:t>
      </w:r>
    </w:p>
    <w:p w14:paraId="5070DEAF">
      <w:pPr>
        <w:pStyle w:val="10"/>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151BBA04">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1.项目信息</w:t>
      </w:r>
    </w:p>
    <w:p w14:paraId="63BBE825">
      <w:pPr>
        <w:pStyle w:val="10"/>
        <w:spacing w:line="440" w:lineRule="exact"/>
        <w:ind w:firstLine="480" w:firstLineChars="200"/>
        <w:rPr>
          <w:rFonts w:hint="eastAsia" w:ascii="仿宋" w:hAnsi="仿宋" w:eastAsia="仿宋" w:cs="仿宋"/>
          <w:color w:val="auto"/>
          <w:highlight w:val="none"/>
          <w:u w:val="single"/>
          <w:lang w:eastAsia="zh-CN"/>
        </w:rPr>
      </w:pPr>
      <w:r>
        <w:rPr>
          <w:rFonts w:hint="eastAsia" w:ascii="仿宋" w:hAnsi="仿宋" w:eastAsia="仿宋" w:cs="仿宋"/>
          <w:color w:val="auto"/>
          <w:highlight w:val="none"/>
          <w:lang w:eastAsia="zh-CN"/>
        </w:rPr>
        <w:t>（1）采购项目名称：</w:t>
      </w:r>
    </w:p>
    <w:p w14:paraId="3AC5B23A">
      <w:pPr>
        <w:pStyle w:val="10"/>
        <w:tabs>
          <w:tab w:val="left" w:pos="999"/>
        </w:tabs>
        <w:spacing w:line="440" w:lineRule="exact"/>
        <w:ind w:firstLine="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         采购项目编号：</w:t>
      </w:r>
    </w:p>
    <w:p w14:paraId="4D532C4B">
      <w:pPr>
        <w:pStyle w:val="10"/>
        <w:spacing w:line="440" w:lineRule="exact"/>
        <w:ind w:firstLine="480" w:firstLineChars="20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（2）采购计划编号：</w:t>
      </w:r>
    </w:p>
    <w:p w14:paraId="0AD70F31">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（3）项目内容：</w:t>
      </w:r>
    </w:p>
    <w:p w14:paraId="776E8B63">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采购标的及数量（台/套/个/架/组等）：</w:t>
      </w:r>
    </w:p>
    <w:p w14:paraId="66E644D5">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品牌：规格型号：</w:t>
      </w:r>
    </w:p>
    <w:p w14:paraId="2AEB8090">
      <w:pPr>
        <w:spacing w:line="440" w:lineRule="exact"/>
        <w:ind w:firstLine="1080" w:firstLineChars="45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采购标的的技术要求、商务要求具体见附件。</w:t>
      </w:r>
    </w:p>
    <w:p w14:paraId="27AFDE58">
      <w:pPr>
        <w:spacing w:line="440" w:lineRule="exact"/>
        <w:ind w:firstLine="1080" w:firstLineChars="45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请填写该产品关键部件的品牌、型号：</w:t>
      </w:r>
    </w:p>
    <w:p w14:paraId="20F19B21">
      <w:pPr>
        <w:spacing w:line="44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标的名称：</w:t>
      </w:r>
    </w:p>
    <w:p w14:paraId="6FD90D90">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品牌： 型号：</w:t>
      </w:r>
    </w:p>
    <w:p w14:paraId="74EA3F93">
      <w:pPr>
        <w:numPr>
          <w:ilvl w:val="0"/>
          <w:numId w:val="6"/>
        </w:num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政府采购组织形式：</w:t>
      </w:r>
    </w:p>
    <w:p w14:paraId="5995EAC1">
      <w:pPr>
        <w:spacing w:line="440" w:lineRule="exact"/>
        <w:ind w:firstLine="1200" w:firstLineChars="5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政府集中采购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部门集中采购  </w:t>
      </w: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lang w:eastAsia="zh-CN"/>
        </w:rPr>
        <w:t>分散采购</w:t>
      </w:r>
    </w:p>
    <w:p w14:paraId="675BCDCB">
      <w:pPr>
        <w:pStyle w:val="38"/>
        <w:numPr>
          <w:ilvl w:val="0"/>
          <w:numId w:val="6"/>
        </w:numPr>
        <w:snapToGrid w:val="0"/>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政府采购方式：</w:t>
      </w:r>
    </w:p>
    <w:p w14:paraId="47F2E33A">
      <w:pPr>
        <w:pStyle w:val="38"/>
        <w:snapToGrid w:val="0"/>
        <w:spacing w:line="440" w:lineRule="exact"/>
        <w:ind w:left="420" w:leftChars="200" w:firstLine="720" w:firstLineChars="300"/>
        <w:rPr>
          <w:rFonts w:hint="eastAsia" w:ascii="仿宋" w:hAnsi="仿宋" w:eastAsia="仿宋" w:cs="仿宋"/>
          <w:sz w:val="24"/>
          <w:szCs w:val="24"/>
          <w:highlight w:val="none"/>
        </w:rPr>
      </w:pPr>
      <w:r>
        <w:rPr>
          <w:rFonts w:hint="eastAsia" w:ascii="仿宋" w:hAnsi="仿宋" w:eastAsia="仿宋" w:cs="仿宋"/>
          <w:sz w:val="24"/>
          <w:szCs w:val="24"/>
          <w:highlight w:val="none"/>
        </w:rPr>
        <w:sym w:font="Wingdings" w:char="00FE"/>
      </w:r>
      <w:r>
        <w:rPr>
          <w:rFonts w:hint="eastAsia" w:ascii="仿宋" w:hAnsi="仿宋" w:eastAsia="仿宋" w:cs="仿宋"/>
          <w:sz w:val="24"/>
          <w:szCs w:val="24"/>
          <w:highlight w:val="none"/>
        </w:rPr>
        <w:t xml:space="preserve">公开招标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邀请招标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竞争性谈判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竞争性磋商</w:t>
      </w:r>
    </w:p>
    <w:p w14:paraId="4C03F2EC">
      <w:pPr>
        <w:pStyle w:val="38"/>
        <w:snapToGrid w:val="0"/>
        <w:spacing w:line="440" w:lineRule="exact"/>
        <w:ind w:firstLine="420" w:firstLineChars="0"/>
        <w:rPr>
          <w:rFonts w:hint="eastAsia" w:ascii="仿宋" w:hAnsi="仿宋" w:eastAsia="仿宋" w:cs="仿宋"/>
          <w:sz w:val="24"/>
          <w:szCs w:val="24"/>
          <w:highlight w:val="none"/>
          <w:u w:val="single"/>
        </w:rPr>
      </w:pP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询价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单一来源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 xml:space="preserve">框架协议 </w:t>
      </w:r>
      <w:r>
        <w:rPr>
          <w:rFonts w:hint="eastAsia" w:ascii="仿宋" w:hAnsi="仿宋" w:eastAsia="仿宋" w:cs="仿宋"/>
          <w:sz w:val="24"/>
          <w:szCs w:val="24"/>
          <w:highlight w:val="none"/>
        </w:rPr>
        <w:sym w:font="Wingdings" w:char="00A8"/>
      </w:r>
      <w:r>
        <w:rPr>
          <w:rFonts w:hint="eastAsia" w:ascii="仿宋" w:hAnsi="仿宋" w:eastAsia="仿宋" w:cs="仿宋"/>
          <w:sz w:val="24"/>
          <w:szCs w:val="24"/>
          <w:highlight w:val="none"/>
        </w:rPr>
        <w:t>其他：</w:t>
      </w:r>
    </w:p>
    <w:p w14:paraId="4E8B332E">
      <w:pPr>
        <w:pStyle w:val="38"/>
        <w:snapToGrid w:val="0"/>
        <w:spacing w:line="440" w:lineRule="exact"/>
        <w:ind w:firstLine="240" w:firstLineChars="100"/>
        <w:rPr>
          <w:rFonts w:hint="eastAsia" w:ascii="仿宋" w:hAnsi="仿宋" w:eastAsia="仿宋" w:cs="仿宋"/>
          <w:kern w:val="2"/>
          <w:sz w:val="24"/>
          <w:szCs w:val="24"/>
          <w:highlight w:val="none"/>
        </w:rPr>
      </w:pPr>
      <w:r>
        <w:rPr>
          <w:rFonts w:hint="eastAsia" w:ascii="仿宋" w:hAnsi="仿宋" w:eastAsia="仿宋" w:cs="仿宋"/>
          <w:sz w:val="24"/>
          <w:szCs w:val="24"/>
          <w:highlight w:val="none"/>
        </w:rPr>
        <w:t xml:space="preserve"> （6）</w:t>
      </w:r>
      <w:r>
        <w:rPr>
          <w:rFonts w:hint="eastAsia" w:ascii="仿宋" w:hAnsi="仿宋" w:eastAsia="仿宋" w:cs="仿宋"/>
          <w:kern w:val="2"/>
          <w:sz w:val="24"/>
          <w:szCs w:val="24"/>
          <w:highlight w:val="none"/>
        </w:rPr>
        <w:t>中标（成交）采购标的制造商是否为中小企业：</w:t>
      </w: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 xml:space="preserve">是      </w:t>
      </w: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否</w:t>
      </w:r>
    </w:p>
    <w:p w14:paraId="4D3757AF">
      <w:pPr>
        <w:spacing w:line="440" w:lineRule="exact"/>
        <w:ind w:firstLine="1024" w:firstLineChars="427"/>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本合同是否为专门面向中小企业的采购合同（中小企业预留合同）：</w:t>
      </w:r>
    </w:p>
    <w:p w14:paraId="5F2BA499">
      <w:pPr>
        <w:spacing w:line="440" w:lineRule="exact"/>
        <w:ind w:firstLine="1024" w:firstLineChars="427"/>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28565B20">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若本项目不专门面向中小企业采购，是否给予小微企业评审优惠：</w:t>
      </w:r>
    </w:p>
    <w:p w14:paraId="13F2906D">
      <w:pPr>
        <w:spacing w:line="440" w:lineRule="exact"/>
        <w:ind w:firstLine="960" w:firstLineChars="400"/>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5B9B691B">
      <w:pPr>
        <w:spacing w:line="440" w:lineRule="exact"/>
        <w:rPr>
          <w:rFonts w:hint="eastAsia" w:ascii="仿宋" w:hAnsi="仿宋" w:eastAsia="仿宋" w:cs="仿宋"/>
          <w:iCs/>
          <w:color w:val="auto"/>
          <w:sz w:val="24"/>
          <w:highlight w:val="none"/>
          <w:lang w:eastAsia="zh-CN"/>
        </w:rPr>
      </w:pPr>
      <w:r>
        <w:rPr>
          <w:rFonts w:hint="eastAsia" w:ascii="仿宋" w:hAnsi="仿宋" w:eastAsia="仿宋" w:cs="仿宋"/>
          <w:color w:val="auto"/>
          <w:sz w:val="24"/>
          <w:highlight w:val="none"/>
          <w:lang w:eastAsia="zh-CN"/>
        </w:rPr>
        <w:t xml:space="preserve">        中标（成交）采购标的制造商是否为残疾人福利性单位：</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741C23E5">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中标（成交）采购标的制造商是否为监狱企业：</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否</w:t>
      </w:r>
    </w:p>
    <w:p w14:paraId="769A0864">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（7）合同是否分包：</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0E40DC71">
      <w:pPr>
        <w:spacing w:line="440" w:lineRule="exact"/>
        <w:ind w:firstLine="960" w:firstLineChars="4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分包主要内容：</w:t>
      </w:r>
    </w:p>
    <w:p w14:paraId="6955951E">
      <w:pPr>
        <w:spacing w:line="440" w:lineRule="exact"/>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分包供应商/制造商名称（如供应商和制造商不同，请分别填写）：</w:t>
      </w:r>
    </w:p>
    <w:p w14:paraId="13469756">
      <w:pPr>
        <w:spacing w:line="440" w:lineRule="exact"/>
        <w:ind w:firstLine="960" w:firstLineChars="4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分包供应商/制造商类型（如果供应商和制造商不同，只填写制造商类型）：</w:t>
      </w:r>
    </w:p>
    <w:p w14:paraId="16288640">
      <w:pPr>
        <w:spacing w:line="440" w:lineRule="exact"/>
        <w:ind w:firstLine="960" w:firstLineChars="400"/>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大型企业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中型企业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小微型企业  </w:t>
      </w:r>
    </w:p>
    <w:p w14:paraId="2BB30E15">
      <w:pPr>
        <w:spacing w:line="440" w:lineRule="exact"/>
        <w:ind w:firstLine="960" w:firstLineChars="400"/>
        <w:rPr>
          <w:rFonts w:hint="eastAsia" w:ascii="仿宋" w:hAnsi="仿宋" w:eastAsia="仿宋" w:cs="仿宋"/>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残疾人福利性单位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监狱企业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其他</w:t>
      </w:r>
    </w:p>
    <w:p w14:paraId="0F300463">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（8）是否涉及节能产品：</w:t>
      </w:r>
    </w:p>
    <w:p w14:paraId="40250BC1">
      <w:pPr>
        <w:tabs>
          <w:tab w:val="left" w:pos="740"/>
        </w:tabs>
        <w:spacing w:line="440" w:lineRule="exact"/>
        <w:rPr>
          <w:rFonts w:hint="eastAsia" w:ascii="仿宋" w:hAnsi="仿宋" w:eastAsia="仿宋" w:cs="仿宋"/>
          <w:i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是，《节能产品政府采购品目清单》的底级品目名称：</w:t>
      </w:r>
    </w:p>
    <w:p w14:paraId="6840B105">
      <w:pPr>
        <w:tabs>
          <w:tab w:val="left" w:pos="740"/>
        </w:tabs>
        <w:spacing w:line="440" w:lineRule="exact"/>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14D3F8B7">
      <w:pPr>
        <w:tabs>
          <w:tab w:val="left" w:pos="740"/>
        </w:tabs>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22F94D8A">
      <w:pPr>
        <w:tabs>
          <w:tab w:val="left" w:pos="740"/>
        </w:tabs>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是否涉及环境标志产品：</w:t>
      </w:r>
    </w:p>
    <w:p w14:paraId="51205E6E">
      <w:pPr>
        <w:tabs>
          <w:tab w:val="left" w:pos="740"/>
        </w:tabs>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是，《环境标志产品政府采购品目清单》的底级品目名称：</w:t>
      </w:r>
    </w:p>
    <w:p w14:paraId="61D37DBF">
      <w:pPr>
        <w:tabs>
          <w:tab w:val="left" w:pos="740"/>
        </w:tabs>
        <w:spacing w:line="440" w:lineRule="exact"/>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098BF5C9">
      <w:pPr>
        <w:tabs>
          <w:tab w:val="left" w:pos="740"/>
        </w:tabs>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5960DAFD">
      <w:pPr>
        <w:pStyle w:val="38"/>
        <w:snapToGrid w:val="0"/>
        <w:spacing w:line="440" w:lineRule="exact"/>
        <w:ind w:firstLine="0" w:firstLineChars="0"/>
        <w:rPr>
          <w:rFonts w:hint="eastAsia" w:ascii="仿宋" w:hAnsi="仿宋" w:eastAsia="仿宋" w:cs="仿宋"/>
          <w:kern w:val="2"/>
          <w:sz w:val="24"/>
          <w:szCs w:val="24"/>
          <w:highlight w:val="none"/>
        </w:rPr>
      </w:pPr>
      <w:r>
        <w:rPr>
          <w:rFonts w:hint="eastAsia" w:ascii="仿宋" w:hAnsi="仿宋" w:eastAsia="仿宋" w:cs="仿宋"/>
          <w:kern w:val="2"/>
          <w:sz w:val="24"/>
          <w:szCs w:val="24"/>
          <w:highlight w:val="none"/>
        </w:rPr>
        <w:t xml:space="preserve">是否涉及绿色产品： </w:t>
      </w:r>
    </w:p>
    <w:p w14:paraId="73BDF3E0">
      <w:pPr>
        <w:pStyle w:val="38"/>
        <w:spacing w:line="440" w:lineRule="exact"/>
        <w:ind w:firstLine="420" w:firstLineChars="0"/>
        <w:rPr>
          <w:rFonts w:hint="eastAsia" w:ascii="仿宋" w:hAnsi="仿宋" w:eastAsia="仿宋" w:cs="仿宋"/>
          <w:sz w:val="24"/>
          <w:szCs w:val="24"/>
          <w:highlight w:val="none"/>
          <w:u w:val="single"/>
        </w:rPr>
      </w:pP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是，绿色产品政府采购相关政策确定的底级品目名称：</w:t>
      </w:r>
    </w:p>
    <w:p w14:paraId="5941BBA7">
      <w:pPr>
        <w:tabs>
          <w:tab w:val="left" w:pos="740"/>
        </w:tabs>
        <w:spacing w:line="440" w:lineRule="exact"/>
        <w:rPr>
          <w:rFonts w:hint="eastAsia" w:ascii="仿宋" w:hAnsi="仿宋" w:eastAsia="仿宋" w:cs="仿宋"/>
          <w:iCs/>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优先采购    </w:t>
      </w:r>
    </w:p>
    <w:p w14:paraId="49C8E96F">
      <w:pPr>
        <w:pStyle w:val="38"/>
        <w:spacing w:line="440" w:lineRule="exact"/>
        <w:ind w:firstLine="420" w:firstLineChars="0"/>
        <w:rPr>
          <w:rFonts w:hint="eastAsia" w:ascii="仿宋" w:hAnsi="仿宋" w:eastAsia="仿宋" w:cs="仿宋"/>
          <w:sz w:val="24"/>
          <w:szCs w:val="24"/>
          <w:highlight w:val="none"/>
        </w:rPr>
      </w:pPr>
      <w:r>
        <w:rPr>
          <w:rFonts w:hint="eastAsia" w:ascii="仿宋" w:hAnsi="仿宋" w:eastAsia="仿宋" w:cs="仿宋"/>
          <w:kern w:val="2"/>
          <w:sz w:val="24"/>
          <w:szCs w:val="24"/>
          <w:highlight w:val="none"/>
        </w:rPr>
        <w:sym w:font="Wingdings" w:char="00A8"/>
      </w:r>
      <w:r>
        <w:rPr>
          <w:rFonts w:hint="eastAsia" w:ascii="仿宋" w:hAnsi="仿宋" w:eastAsia="仿宋" w:cs="仿宋"/>
          <w:kern w:val="2"/>
          <w:sz w:val="24"/>
          <w:szCs w:val="24"/>
          <w:highlight w:val="none"/>
        </w:rPr>
        <w:t>否</w:t>
      </w:r>
    </w:p>
    <w:p w14:paraId="3BB01327">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（9）涉及商品包装和快递包装的，是否参考《商品包装政府采购需求标准（试行）》、《快递包装政府采购需求标准（试行）》明确产品及相关快递服务的具体包装要求：</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否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不涉及</w:t>
      </w:r>
    </w:p>
    <w:p w14:paraId="6CDB921C">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2.合同金额</w:t>
      </w:r>
    </w:p>
    <w:p w14:paraId="3E813F4C">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（1）合同金额小写：</w:t>
      </w:r>
    </w:p>
    <w:p w14:paraId="7F661BA6">
      <w:pPr>
        <w:spacing w:line="440" w:lineRule="exac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大写：</w:t>
      </w:r>
    </w:p>
    <w:p w14:paraId="0B3FB5BB">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分包金额（如有）小写：</w:t>
      </w:r>
    </w:p>
    <w:p w14:paraId="262B7551">
      <w:pPr>
        <w:spacing w:line="440" w:lineRule="exac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 xml:space="preserve">                     大写：</w:t>
      </w:r>
    </w:p>
    <w:p w14:paraId="6C40689C">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（注：固定单价合同应填写单价和最高限价）</w:t>
      </w:r>
    </w:p>
    <w:p w14:paraId="7DFA0DBF">
      <w:pPr>
        <w:spacing w:line="44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（2）合同定价方式（采用组合定价方式的，可以勾选多项）：</w:t>
      </w:r>
    </w:p>
    <w:p w14:paraId="7CEE59EF">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固定总价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固定单价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固定费率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成本补偿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 xml:space="preserve">绩效激励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lang w:eastAsia="zh-CN"/>
        </w:rPr>
        <w:t>其他</w:t>
      </w:r>
    </w:p>
    <w:p w14:paraId="5EFD2846">
      <w:pPr>
        <w:pStyle w:val="39"/>
        <w:spacing w:line="440" w:lineRule="exact"/>
        <w:ind w:firstLine="48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（3）付款方式（按项目实际勾选填写）：</w:t>
      </w:r>
    </w:p>
    <w:p w14:paraId="30FEE869">
      <w:pPr>
        <w:spacing w:line="440" w:lineRule="exact"/>
        <w:ind w:firstLine="720" w:firstLineChars="3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全额付款：</w:t>
      </w:r>
      <w:r>
        <w:rPr>
          <w:rFonts w:hint="eastAsia" w:ascii="仿宋" w:hAnsi="仿宋" w:eastAsia="仿宋" w:cs="仿宋"/>
          <w:color w:val="auto"/>
          <w:sz w:val="24"/>
          <w:highlight w:val="none"/>
          <w:u w:val="single"/>
          <w:lang w:eastAsia="zh-CN"/>
        </w:rPr>
        <w:t xml:space="preserve">     （应明确一次性支付合同款项的条件）                    </w:t>
      </w:r>
    </w:p>
    <w:p w14:paraId="3E26DBF6">
      <w:pPr>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分期付款：</w:t>
      </w:r>
      <w:r>
        <w:rPr>
          <w:rFonts w:hint="eastAsia" w:ascii="仿宋" w:hAnsi="仿宋" w:eastAsia="仿宋" w:cs="仿宋"/>
          <w:color w:val="auto"/>
          <w:sz w:val="24"/>
          <w:highlight w:val="none"/>
          <w:u w:val="single"/>
          <w:lang w:eastAsia="zh-CN"/>
        </w:rPr>
        <w:t xml:space="preserve">  （应明确分期支付合同款项的各期比例和支付条件，各期支付条件应与分期履约验收情况挂钩） </w:t>
      </w:r>
      <w:r>
        <w:rPr>
          <w:rFonts w:hint="eastAsia" w:ascii="仿宋" w:hAnsi="仿宋" w:eastAsia="仿宋" w:cs="仿宋"/>
          <w:color w:val="auto"/>
          <w:sz w:val="24"/>
          <w:highlight w:val="none"/>
          <w:lang w:eastAsia="zh-CN"/>
        </w:rPr>
        <w:t>，其中涉及预付款的：</w:t>
      </w:r>
      <w:r>
        <w:rPr>
          <w:rFonts w:hint="eastAsia" w:ascii="仿宋" w:hAnsi="仿宋" w:eastAsia="仿宋" w:cs="仿宋"/>
          <w:color w:val="auto"/>
          <w:sz w:val="24"/>
          <w:highlight w:val="none"/>
          <w:u w:val="single"/>
          <w:lang w:eastAsia="zh-CN"/>
        </w:rPr>
        <w:t xml:space="preserve"> （应明确预付款的支付比例和支付条件） </w:t>
      </w:r>
    </w:p>
    <w:p w14:paraId="73D141B5">
      <w:pPr>
        <w:spacing w:line="440" w:lineRule="exact"/>
        <w:ind w:firstLine="720" w:firstLineChars="3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成本补偿：</w:t>
      </w:r>
      <w:r>
        <w:rPr>
          <w:rFonts w:hint="eastAsia" w:ascii="仿宋" w:hAnsi="仿宋" w:eastAsia="仿宋" w:cs="仿宋"/>
          <w:color w:val="auto"/>
          <w:sz w:val="24"/>
          <w:highlight w:val="none"/>
          <w:u w:val="single"/>
          <w:lang w:eastAsia="zh-CN"/>
        </w:rPr>
        <w:t xml:space="preserve">      （应明确按照成本补偿方式的支付方式和支付条件）   </w:t>
      </w:r>
    </w:p>
    <w:p w14:paraId="3DD2B8B0">
      <w:pPr>
        <w:spacing w:line="440" w:lineRule="exact"/>
        <w:ind w:firstLine="720" w:firstLineChars="3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绩效激励：</w:t>
      </w:r>
      <w:r>
        <w:rPr>
          <w:rFonts w:hint="eastAsia" w:ascii="仿宋" w:hAnsi="仿宋" w:eastAsia="仿宋" w:cs="仿宋"/>
          <w:color w:val="auto"/>
          <w:sz w:val="24"/>
          <w:highlight w:val="none"/>
          <w:u w:val="single"/>
          <w:lang w:eastAsia="zh-CN"/>
        </w:rPr>
        <w:t xml:space="preserve">      （应明确按照绩效激励方式的支付方式和支付条件）   </w:t>
      </w:r>
    </w:p>
    <w:p w14:paraId="5803FC32">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3.合同履行</w:t>
      </w:r>
    </w:p>
    <w:p w14:paraId="2BEEF636">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（1）起始日期：年月日，完成日期：年月日。</w:t>
      </w:r>
    </w:p>
    <w:p w14:paraId="09684C9D">
      <w:pPr>
        <w:spacing w:line="44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lang w:eastAsia="zh-CN"/>
        </w:rPr>
        <w:t>（2）履约地点</w:t>
      </w:r>
      <w:r>
        <w:rPr>
          <w:rFonts w:hint="eastAsia" w:ascii="仿宋" w:hAnsi="仿宋" w:eastAsia="仿宋" w:cs="仿宋"/>
          <w:bCs/>
          <w:color w:val="auto"/>
          <w:sz w:val="24"/>
          <w:highlight w:val="none"/>
          <w:lang w:eastAsia="zh-CN"/>
        </w:rPr>
        <w:t>：</w:t>
      </w:r>
    </w:p>
    <w:p w14:paraId="014FD218">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（3）履约担保：</w:t>
      </w:r>
      <w:r>
        <w:rPr>
          <w:rFonts w:hint="eastAsia" w:ascii="仿宋" w:hAnsi="仿宋" w:eastAsia="仿宋" w:cs="仿宋"/>
          <w:color w:val="auto"/>
          <w:sz w:val="24"/>
          <w:highlight w:val="none"/>
          <w:lang w:eastAsia="zh-CN"/>
        </w:rPr>
        <w:t>是否收取履约保证金：</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lang w:eastAsia="zh-CN"/>
        </w:rPr>
        <w:t>否</w:t>
      </w:r>
    </w:p>
    <w:p w14:paraId="6E3B98E4">
      <w:pPr>
        <w:pStyle w:val="38"/>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收取履约保证金形式：</w:t>
      </w:r>
    </w:p>
    <w:p w14:paraId="7F65492E">
      <w:pPr>
        <w:pStyle w:val="38"/>
        <w:spacing w:line="440" w:lineRule="exact"/>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收取履约保证金金额：</w:t>
      </w:r>
    </w:p>
    <w:p w14:paraId="6BB553BB">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 xml:space="preserve">    履约担保期限：</w:t>
      </w:r>
    </w:p>
    <w:p w14:paraId="265A2E09">
      <w:p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（4）分期履行要求：</w:t>
      </w:r>
    </w:p>
    <w:p w14:paraId="6CA4E7E8">
      <w:pPr>
        <w:spacing w:line="440" w:lineRule="exact"/>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bCs/>
          <w:color w:val="auto"/>
          <w:sz w:val="24"/>
          <w:highlight w:val="none"/>
          <w:lang w:eastAsia="zh-CN"/>
        </w:rPr>
        <w:t>（5）风险处置措施和替代方案：</w:t>
      </w:r>
    </w:p>
    <w:p w14:paraId="0D61AAEB">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4.合同验收</w:t>
      </w:r>
    </w:p>
    <w:p w14:paraId="76E6A1C1">
      <w:pPr>
        <w:numPr>
          <w:ilvl w:val="0"/>
          <w:numId w:val="7"/>
        </w:num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验收组织方式：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自行组织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委托第三方组织</w:t>
      </w:r>
    </w:p>
    <w:p w14:paraId="08D865A6">
      <w:pPr>
        <w:spacing w:line="440" w:lineRule="exac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 xml:space="preserve">         验收主体：</w:t>
      </w:r>
    </w:p>
    <w:p w14:paraId="70C04095">
      <w:pPr>
        <w:spacing w:line="440" w:lineRule="exac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 xml:space="preserve">        是否邀请本项目的其他供应商参加验收：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1A7A8593">
      <w:pPr>
        <w:spacing w:line="44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是否邀请专家参加验收：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69630C2D">
      <w:pPr>
        <w:spacing w:line="44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是否邀请服务对象参加验收：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17D707E5">
      <w:pPr>
        <w:spacing w:line="44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是否邀请第三方检测机构参加验收：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2F56A519">
      <w:pPr>
        <w:spacing w:line="44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是否进行抽查检测：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是，抽查比例：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2A087FCF">
      <w:pPr>
        <w:spacing w:line="440" w:lineRule="exact"/>
        <w:ind w:firstLine="960" w:firstLineChars="4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是否存在破坏性检测：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是，</w:t>
      </w:r>
      <w:r>
        <w:rPr>
          <w:rFonts w:hint="eastAsia" w:ascii="仿宋" w:hAnsi="仿宋" w:eastAsia="仿宋" w:cs="仿宋"/>
          <w:bCs/>
          <w:color w:val="auto"/>
          <w:sz w:val="24"/>
          <w:highlight w:val="none"/>
          <w:u w:val="single"/>
          <w:lang w:eastAsia="zh-CN"/>
        </w:rPr>
        <w:t>（应明确对被破坏的检测产品的处理方式）</w:t>
      </w:r>
    </w:p>
    <w:p w14:paraId="231BE5DE">
      <w:pPr>
        <w:spacing w:line="440" w:lineRule="exact"/>
        <w:ind w:firstLine="960" w:firstLineChars="400"/>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否</w:t>
      </w:r>
    </w:p>
    <w:p w14:paraId="004E3BEF">
      <w:pPr>
        <w:spacing w:line="440" w:lineRule="exact"/>
        <w:ind w:firstLine="960" w:firstLineChars="4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验收组织的其他事项：</w:t>
      </w:r>
    </w:p>
    <w:p w14:paraId="545E01D6">
      <w:pPr>
        <w:spacing w:line="440" w:lineRule="exact"/>
        <w:ind w:firstLine="480" w:firstLineChars="2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（2）履约验收时间：</w:t>
      </w:r>
      <w:r>
        <w:rPr>
          <w:rFonts w:hint="eastAsia" w:ascii="仿宋" w:hAnsi="仿宋" w:eastAsia="仿宋" w:cs="仿宋"/>
          <w:bCs/>
          <w:color w:val="auto"/>
          <w:sz w:val="24"/>
          <w:highlight w:val="none"/>
          <w:u w:val="single"/>
          <w:lang w:eastAsia="zh-CN"/>
        </w:rPr>
        <w:t xml:space="preserve">（计划于何时验收/供应商提出验收申请之日起   日内组织验收） </w:t>
      </w:r>
    </w:p>
    <w:p w14:paraId="3579498F">
      <w:p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（3）履约验收方式：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 xml:space="preserve">一次性验收         </w:t>
      </w:r>
    </w:p>
    <w:p w14:paraId="0907BA82">
      <w:pPr>
        <w:spacing w:line="440" w:lineRule="exact"/>
        <w:rPr>
          <w:rFonts w:hint="eastAsia" w:ascii="仿宋" w:hAnsi="仿宋" w:eastAsia="仿宋" w:cs="仿宋"/>
          <w:bCs/>
          <w:color w:val="auto"/>
          <w:sz w:val="24"/>
          <w:highlight w:val="none"/>
          <w:lang w:eastAsia="zh-CN"/>
        </w:rPr>
      </w:pP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lang w:eastAsia="zh-CN"/>
        </w:rPr>
        <w:t>分期/分项验收：</w:t>
      </w:r>
      <w:r>
        <w:rPr>
          <w:rFonts w:hint="eastAsia" w:ascii="仿宋" w:hAnsi="仿宋" w:eastAsia="仿宋" w:cs="仿宋"/>
          <w:bCs/>
          <w:color w:val="auto"/>
          <w:sz w:val="24"/>
          <w:highlight w:val="none"/>
          <w:u w:val="single"/>
          <w:lang w:eastAsia="zh-CN"/>
        </w:rPr>
        <w:t xml:space="preserve"> （应明确分期/分项验收的工作安排）  </w:t>
      </w:r>
    </w:p>
    <w:p w14:paraId="088AD29D">
      <w:pPr>
        <w:spacing w:line="44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（4）履约验收程序：</w:t>
      </w:r>
    </w:p>
    <w:p w14:paraId="50BE8C27">
      <w:pPr>
        <w:spacing w:line="440" w:lineRule="exact"/>
        <w:ind w:firstLine="480" w:firstLineChars="2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（5）履约验收的内容：</w:t>
      </w:r>
      <w:r>
        <w:rPr>
          <w:rFonts w:hint="eastAsia" w:ascii="仿宋" w:hAnsi="仿宋" w:eastAsia="仿宋" w:cs="仿宋"/>
          <w:bCs/>
          <w:color w:val="auto"/>
          <w:sz w:val="24"/>
          <w:highlight w:val="none"/>
          <w:u w:val="single"/>
          <w:lang w:eastAsia="zh-CN"/>
        </w:rPr>
        <w:t xml:space="preserve"> （应当包括每一项技术和商务要求的履约情况，特别是落实政府采购扶持中小企业，支持绿色发展和乡村振兴等政策情况）                                      </w:t>
      </w:r>
    </w:p>
    <w:p w14:paraId="39139A12">
      <w:pPr>
        <w:spacing w:line="440" w:lineRule="exact"/>
        <w:ind w:firstLine="480" w:firstLineChars="2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（6）履约验收标准：</w:t>
      </w:r>
    </w:p>
    <w:p w14:paraId="400A7F94">
      <w:pPr>
        <w:pStyle w:val="38"/>
        <w:spacing w:line="440" w:lineRule="exact"/>
        <w:ind w:firstLine="480"/>
        <w:rPr>
          <w:rFonts w:hint="eastAsia" w:ascii="仿宋" w:hAnsi="仿宋" w:eastAsia="仿宋" w:cs="仿宋"/>
          <w:sz w:val="24"/>
          <w:szCs w:val="24"/>
          <w:highlight w:val="none"/>
        </w:rPr>
      </w:pPr>
      <w:r>
        <w:rPr>
          <w:rFonts w:hint="eastAsia" w:ascii="仿宋" w:hAnsi="仿宋" w:eastAsia="仿宋" w:cs="仿宋"/>
          <w:bCs/>
          <w:sz w:val="24"/>
          <w:szCs w:val="24"/>
          <w:highlight w:val="none"/>
        </w:rPr>
        <w:t>（7）是否以采购活动中供应商提供的样品作为参考：</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 xml:space="preserve">是  </w:t>
      </w:r>
      <w:r>
        <w:rPr>
          <w:rFonts w:hint="eastAsia" w:ascii="仿宋" w:hAnsi="仿宋" w:eastAsia="仿宋" w:cs="仿宋"/>
          <w:sz w:val="24"/>
          <w:szCs w:val="24"/>
          <w:highlight w:val="none"/>
        </w:rPr>
        <w:sym w:font="Wingdings" w:char="00A8"/>
      </w:r>
      <w:r>
        <w:rPr>
          <w:rFonts w:hint="eastAsia" w:ascii="仿宋" w:hAnsi="仿宋" w:eastAsia="仿宋" w:cs="仿宋"/>
          <w:bCs/>
          <w:sz w:val="24"/>
          <w:szCs w:val="24"/>
          <w:highlight w:val="none"/>
        </w:rPr>
        <w:t>否</w:t>
      </w:r>
    </w:p>
    <w:p w14:paraId="6DCD1ED7">
      <w:pPr>
        <w:spacing w:line="440" w:lineRule="exact"/>
        <w:ind w:firstLine="480" w:firstLineChars="200"/>
        <w:rPr>
          <w:rFonts w:hint="eastAsia" w:ascii="仿宋" w:hAnsi="仿宋" w:eastAsia="仿宋" w:cs="仿宋"/>
          <w:bCs/>
          <w:color w:val="auto"/>
          <w:sz w:val="24"/>
          <w:highlight w:val="none"/>
          <w:u w:val="single"/>
          <w:lang w:eastAsia="zh-CN"/>
        </w:rPr>
      </w:pPr>
      <w:r>
        <w:rPr>
          <w:rFonts w:hint="eastAsia" w:ascii="仿宋" w:hAnsi="仿宋" w:eastAsia="仿宋" w:cs="仿宋"/>
          <w:bCs/>
          <w:color w:val="auto"/>
          <w:sz w:val="24"/>
          <w:highlight w:val="none"/>
          <w:lang w:eastAsia="zh-CN"/>
        </w:rPr>
        <w:t>（8）履约验收其他事项：</w:t>
      </w:r>
      <w:r>
        <w:rPr>
          <w:rFonts w:hint="eastAsia" w:ascii="仿宋" w:hAnsi="仿宋" w:eastAsia="仿宋" w:cs="仿宋"/>
          <w:bCs/>
          <w:color w:val="auto"/>
          <w:sz w:val="24"/>
          <w:highlight w:val="none"/>
          <w:u w:val="single"/>
          <w:lang w:eastAsia="zh-CN"/>
        </w:rPr>
        <w:t xml:space="preserve">      （产权过户登记等）          </w:t>
      </w:r>
    </w:p>
    <w:p w14:paraId="71250248">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5.组成合同的文件</w:t>
      </w:r>
    </w:p>
    <w:p w14:paraId="33D57ED1">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本协议书与下列文件一起构成合同文件，如下述文件之间有任何抵触、矛盾或歧义，应按以下顺序解释：</w:t>
      </w:r>
    </w:p>
    <w:p w14:paraId="206ED8BE">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（1）政府采购合同协议书及其变更、补充协议</w:t>
      </w:r>
    </w:p>
    <w:p w14:paraId="577DA912">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（2）政府采购合同专用条款</w:t>
      </w:r>
    </w:p>
    <w:p w14:paraId="0ACBEC49">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（3）政府采购合同通用条款</w:t>
      </w:r>
    </w:p>
    <w:p w14:paraId="4C3470B4">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（4）中标（成交）通知书</w:t>
      </w:r>
    </w:p>
    <w:p w14:paraId="12D48E79">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（5）投标（响应）文件</w:t>
      </w:r>
    </w:p>
    <w:p w14:paraId="7F6A6CB4">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（6）采购文件</w:t>
      </w:r>
    </w:p>
    <w:p w14:paraId="30D930CC">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（7）有关技术文件，图纸</w:t>
      </w:r>
    </w:p>
    <w:p w14:paraId="1731E23F">
      <w:pPr>
        <w:pStyle w:val="38"/>
        <w:spacing w:line="440" w:lineRule="exact"/>
        <w:ind w:firstLine="480"/>
        <w:rPr>
          <w:rFonts w:hint="eastAsia" w:ascii="仿宋" w:hAnsi="仿宋" w:eastAsia="仿宋" w:cs="仿宋"/>
          <w:kern w:val="2"/>
          <w:sz w:val="24"/>
          <w:szCs w:val="24"/>
          <w:highlight w:val="none"/>
        </w:rPr>
      </w:pPr>
      <w:r>
        <w:rPr>
          <w:rFonts w:hint="eastAsia" w:ascii="仿宋" w:hAnsi="仿宋" w:eastAsia="仿宋" w:cs="仿宋"/>
          <w:sz w:val="24"/>
          <w:szCs w:val="24"/>
          <w:highlight w:val="none"/>
        </w:rPr>
        <w:t>（8）</w:t>
      </w:r>
      <w:r>
        <w:rPr>
          <w:rFonts w:hint="eastAsia" w:ascii="仿宋" w:hAnsi="仿宋" w:eastAsia="仿宋" w:cs="仿宋"/>
          <w:kern w:val="2"/>
          <w:sz w:val="24"/>
          <w:szCs w:val="24"/>
          <w:highlight w:val="none"/>
        </w:rPr>
        <w:t>国家法律、行政法规和规章制度规定或合同约定的作为合同组成部分的其他文件</w:t>
      </w:r>
    </w:p>
    <w:p w14:paraId="6FC14015">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6.合同生效</w:t>
      </w:r>
    </w:p>
    <w:p w14:paraId="63C4647B">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本合同自生效。</w:t>
      </w:r>
    </w:p>
    <w:p w14:paraId="004FB075">
      <w:pPr>
        <w:spacing w:line="440" w:lineRule="exact"/>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7.合同份数</w:t>
      </w:r>
    </w:p>
    <w:p w14:paraId="0C312FF4">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本合同一式份，甲方执份，乙方执份，均具有同等法律效力。</w:t>
      </w:r>
    </w:p>
    <w:p w14:paraId="56096700">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合同订立时间：年月日</w:t>
      </w:r>
    </w:p>
    <w:p w14:paraId="41C15E88">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合同订立地点：</w:t>
      </w:r>
    </w:p>
    <w:p w14:paraId="32545568">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附件：具体标的及其技术要求和商务要求、联合协议、分包意向协议等。</w:t>
      </w:r>
    </w:p>
    <w:p w14:paraId="685D53FD">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br w:type="page"/>
      </w:r>
    </w:p>
    <w:p w14:paraId="5F6C0F9D">
      <w:pPr>
        <w:pStyle w:val="39"/>
        <w:ind w:firstLine="480"/>
        <w:rPr>
          <w:rFonts w:hint="eastAsia" w:ascii="仿宋" w:hAnsi="仿宋" w:eastAsia="仿宋" w:cs="仿宋"/>
          <w:color w:val="auto"/>
          <w:highlight w:val="none"/>
          <w:lang w:eastAsia="zh-CN"/>
        </w:rPr>
      </w:pPr>
    </w:p>
    <w:tbl>
      <w:tblPr>
        <w:tblStyle w:val="22"/>
        <w:tblW w:w="5305" w:type="pct"/>
        <w:tblInd w:w="-176"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2582"/>
        <w:gridCol w:w="2121"/>
        <w:gridCol w:w="3218"/>
        <w:gridCol w:w="1783"/>
      </w:tblGrid>
      <w:tr w14:paraId="5598F51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423" w:type="pct"/>
            <w:gridSpan w:val="2"/>
            <w:tcBorders>
              <w:bottom w:val="single" w:color="auto" w:sz="2" w:space="0"/>
              <w:right w:val="single" w:color="auto" w:sz="2" w:space="0"/>
            </w:tcBorders>
            <w:noWrap/>
            <w:vAlign w:val="center"/>
          </w:tcPr>
          <w:p w14:paraId="4F9FD9CB">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甲方（采购人、受采购人委托签订合同的单位或采购文件约定的合同甲方）</w:t>
            </w:r>
          </w:p>
        </w:tc>
        <w:tc>
          <w:tcPr>
            <w:tcW w:w="2577" w:type="pct"/>
            <w:gridSpan w:val="2"/>
            <w:tcBorders>
              <w:left w:val="single" w:color="auto" w:sz="2" w:space="0"/>
              <w:bottom w:val="single" w:color="auto" w:sz="2" w:space="0"/>
            </w:tcBorders>
            <w:noWrap/>
            <w:vAlign w:val="center"/>
          </w:tcPr>
          <w:p w14:paraId="42731FD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乙方（供应商）</w:t>
            </w:r>
          </w:p>
        </w:tc>
      </w:tr>
      <w:tr w14:paraId="2E450BB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330" w:type="pct"/>
            <w:tcBorders>
              <w:top w:val="single" w:color="auto" w:sz="2" w:space="0"/>
              <w:bottom w:val="single" w:color="auto" w:sz="2" w:space="0"/>
              <w:right w:val="single" w:color="auto" w:sz="2" w:space="0"/>
            </w:tcBorders>
            <w:noWrap/>
            <w:vAlign w:val="center"/>
          </w:tcPr>
          <w:p w14:paraId="68001EFE">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单位名称（公章或合同章）</w:t>
            </w:r>
          </w:p>
        </w:tc>
        <w:tc>
          <w:tcPr>
            <w:tcW w:w="1093" w:type="pct"/>
            <w:tcBorders>
              <w:top w:val="single" w:color="auto" w:sz="2" w:space="0"/>
              <w:left w:val="single" w:color="auto" w:sz="2" w:space="0"/>
              <w:bottom w:val="single" w:color="auto" w:sz="2" w:space="0"/>
              <w:right w:val="single" w:color="auto" w:sz="2" w:space="0"/>
            </w:tcBorders>
            <w:noWrap/>
            <w:vAlign w:val="center"/>
          </w:tcPr>
          <w:p w14:paraId="67B1DEB9">
            <w:pPr>
              <w:spacing w:line="300" w:lineRule="exact"/>
              <w:jc w:val="center"/>
              <w:rPr>
                <w:rFonts w:hint="eastAsia" w:ascii="仿宋" w:hAnsi="仿宋" w:eastAsia="仿宋" w:cs="仿宋"/>
                <w:color w:val="auto"/>
                <w:sz w:val="24"/>
                <w:highlight w:val="none"/>
                <w:lang w:eastAsia="zh-CN"/>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DBA40FD">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单位名称（公章或合同章）</w:t>
            </w:r>
          </w:p>
        </w:tc>
        <w:tc>
          <w:tcPr>
            <w:tcW w:w="919" w:type="pct"/>
            <w:tcBorders>
              <w:top w:val="single" w:color="auto" w:sz="2" w:space="0"/>
              <w:left w:val="single" w:color="auto" w:sz="2" w:space="0"/>
              <w:bottom w:val="single" w:color="auto" w:sz="2" w:space="0"/>
            </w:tcBorders>
            <w:noWrap/>
            <w:vAlign w:val="center"/>
          </w:tcPr>
          <w:p w14:paraId="5D5C0552">
            <w:pPr>
              <w:spacing w:line="300" w:lineRule="exact"/>
              <w:jc w:val="center"/>
              <w:rPr>
                <w:rFonts w:hint="eastAsia" w:ascii="仿宋" w:hAnsi="仿宋" w:eastAsia="仿宋" w:cs="仿宋"/>
                <w:color w:val="auto"/>
                <w:spacing w:val="20"/>
                <w:sz w:val="24"/>
                <w:highlight w:val="none"/>
                <w:lang w:eastAsia="zh-CN"/>
              </w:rPr>
            </w:pPr>
          </w:p>
        </w:tc>
      </w:tr>
      <w:tr w14:paraId="5571F9E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330" w:type="pct"/>
            <w:vMerge w:val="restart"/>
            <w:tcBorders>
              <w:top w:val="single" w:color="auto" w:sz="2" w:space="0"/>
              <w:right w:val="single" w:color="auto" w:sz="2" w:space="0"/>
            </w:tcBorders>
            <w:noWrap/>
            <w:vAlign w:val="center"/>
          </w:tcPr>
          <w:p w14:paraId="29DEEE54">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w:t>
            </w:r>
          </w:p>
          <w:p w14:paraId="6869E29B">
            <w:pPr>
              <w:spacing w:line="300" w:lineRule="exact"/>
              <w:ind w:firstLine="115" w:firstLineChars="48"/>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或其委托代理人（签章）</w:t>
            </w:r>
          </w:p>
        </w:tc>
        <w:tc>
          <w:tcPr>
            <w:tcW w:w="1093" w:type="pct"/>
            <w:vMerge w:val="restart"/>
            <w:tcBorders>
              <w:top w:val="single" w:color="auto" w:sz="2" w:space="0"/>
              <w:left w:val="single" w:color="auto" w:sz="2" w:space="0"/>
              <w:right w:val="single" w:color="auto" w:sz="2" w:space="0"/>
            </w:tcBorders>
            <w:noWrap/>
            <w:vAlign w:val="center"/>
          </w:tcPr>
          <w:p w14:paraId="41274932">
            <w:pPr>
              <w:spacing w:line="300" w:lineRule="exact"/>
              <w:jc w:val="center"/>
              <w:rPr>
                <w:rFonts w:hint="eastAsia" w:ascii="仿宋" w:hAnsi="仿宋" w:eastAsia="仿宋" w:cs="仿宋"/>
                <w:color w:val="auto"/>
                <w:sz w:val="24"/>
                <w:highlight w:val="none"/>
                <w:lang w:eastAsia="zh-CN"/>
              </w:rPr>
            </w:pPr>
          </w:p>
        </w:tc>
        <w:tc>
          <w:tcPr>
            <w:tcW w:w="1658" w:type="pct"/>
            <w:tcBorders>
              <w:top w:val="single" w:color="auto" w:sz="2" w:space="0"/>
              <w:left w:val="single" w:color="auto" w:sz="2" w:space="0"/>
              <w:right w:val="single" w:color="auto" w:sz="2" w:space="0"/>
            </w:tcBorders>
            <w:noWrap/>
            <w:vAlign w:val="center"/>
          </w:tcPr>
          <w:p w14:paraId="1B2FEACB">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法定代表人</w:t>
            </w:r>
          </w:p>
          <w:p w14:paraId="184F293E">
            <w:pPr>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或其委托代理人（签章）</w:t>
            </w:r>
          </w:p>
        </w:tc>
        <w:tc>
          <w:tcPr>
            <w:tcW w:w="919" w:type="pct"/>
            <w:tcBorders>
              <w:top w:val="single" w:color="auto" w:sz="2" w:space="0"/>
              <w:left w:val="single" w:color="auto" w:sz="2" w:space="0"/>
              <w:bottom w:val="single" w:color="auto" w:sz="2" w:space="0"/>
            </w:tcBorders>
            <w:noWrap/>
            <w:vAlign w:val="center"/>
          </w:tcPr>
          <w:p w14:paraId="2FEDEB8B">
            <w:pPr>
              <w:spacing w:line="300" w:lineRule="exact"/>
              <w:jc w:val="center"/>
              <w:rPr>
                <w:rFonts w:hint="eastAsia" w:ascii="仿宋" w:hAnsi="仿宋" w:eastAsia="仿宋" w:cs="仿宋"/>
                <w:color w:val="auto"/>
                <w:sz w:val="24"/>
                <w:highlight w:val="none"/>
                <w:lang w:eastAsia="zh-CN"/>
              </w:rPr>
            </w:pPr>
          </w:p>
        </w:tc>
      </w:tr>
      <w:tr w14:paraId="60BBC4D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vMerge w:val="continue"/>
            <w:tcBorders>
              <w:bottom w:val="single" w:color="auto" w:sz="2" w:space="0"/>
              <w:right w:val="single" w:color="auto" w:sz="2" w:space="0"/>
            </w:tcBorders>
            <w:noWrap/>
            <w:vAlign w:val="center"/>
          </w:tcPr>
          <w:p w14:paraId="108DEF6A">
            <w:pPr>
              <w:spacing w:line="300" w:lineRule="exact"/>
              <w:jc w:val="center"/>
              <w:rPr>
                <w:rFonts w:hint="eastAsia" w:ascii="仿宋" w:hAnsi="仿宋" w:eastAsia="仿宋" w:cs="仿宋"/>
                <w:color w:val="auto"/>
                <w:sz w:val="24"/>
                <w:highlight w:val="none"/>
                <w:lang w:eastAsia="zh-CN"/>
              </w:rPr>
            </w:pPr>
          </w:p>
        </w:tc>
        <w:tc>
          <w:tcPr>
            <w:tcW w:w="1093" w:type="pct"/>
            <w:vMerge w:val="continue"/>
            <w:tcBorders>
              <w:left w:val="single" w:color="auto" w:sz="2" w:space="0"/>
              <w:bottom w:val="single" w:color="auto" w:sz="2" w:space="0"/>
              <w:right w:val="single" w:color="auto" w:sz="2" w:space="0"/>
            </w:tcBorders>
            <w:noWrap/>
            <w:vAlign w:val="center"/>
          </w:tcPr>
          <w:p w14:paraId="302661B8">
            <w:pPr>
              <w:spacing w:line="300" w:lineRule="exact"/>
              <w:jc w:val="center"/>
              <w:rPr>
                <w:rFonts w:hint="eastAsia" w:ascii="仿宋" w:hAnsi="仿宋" w:eastAsia="仿宋" w:cs="仿宋"/>
                <w:color w:val="auto"/>
                <w:sz w:val="24"/>
                <w:highlight w:val="none"/>
                <w:lang w:eastAsia="zh-CN"/>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4B7F89C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拥有者性别</w:t>
            </w:r>
          </w:p>
        </w:tc>
        <w:tc>
          <w:tcPr>
            <w:tcW w:w="919" w:type="pct"/>
            <w:tcBorders>
              <w:top w:val="single" w:color="auto" w:sz="2" w:space="0"/>
              <w:left w:val="single" w:color="auto" w:sz="2" w:space="0"/>
              <w:bottom w:val="single" w:color="auto" w:sz="2" w:space="0"/>
            </w:tcBorders>
            <w:noWrap/>
            <w:vAlign w:val="center"/>
          </w:tcPr>
          <w:p w14:paraId="76D4E756">
            <w:pPr>
              <w:spacing w:line="300" w:lineRule="exact"/>
              <w:jc w:val="center"/>
              <w:rPr>
                <w:rFonts w:hint="eastAsia" w:ascii="仿宋" w:hAnsi="仿宋" w:eastAsia="仿宋" w:cs="仿宋"/>
                <w:color w:val="auto"/>
                <w:spacing w:val="20"/>
                <w:sz w:val="24"/>
                <w:highlight w:val="none"/>
              </w:rPr>
            </w:pPr>
          </w:p>
        </w:tc>
      </w:tr>
      <w:tr w14:paraId="6DD12F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1E7BCDB8">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1093" w:type="pct"/>
            <w:tcBorders>
              <w:top w:val="single" w:color="auto" w:sz="2" w:space="0"/>
              <w:left w:val="single" w:color="auto" w:sz="2" w:space="0"/>
              <w:bottom w:val="single" w:color="auto" w:sz="2" w:space="0"/>
              <w:right w:val="single" w:color="auto" w:sz="2" w:space="0"/>
            </w:tcBorders>
            <w:noWrap/>
            <w:vAlign w:val="center"/>
          </w:tcPr>
          <w:p w14:paraId="0E8FBC40">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3B35A3C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919" w:type="pct"/>
            <w:tcBorders>
              <w:top w:val="single" w:color="auto" w:sz="2" w:space="0"/>
              <w:left w:val="single" w:color="auto" w:sz="2" w:space="0"/>
              <w:bottom w:val="single" w:color="auto" w:sz="2" w:space="0"/>
            </w:tcBorders>
            <w:noWrap/>
            <w:vAlign w:val="center"/>
          </w:tcPr>
          <w:p w14:paraId="13D858BE">
            <w:pPr>
              <w:spacing w:line="300" w:lineRule="exact"/>
              <w:jc w:val="center"/>
              <w:rPr>
                <w:rFonts w:hint="eastAsia" w:ascii="仿宋" w:hAnsi="仿宋" w:eastAsia="仿宋" w:cs="仿宋"/>
                <w:color w:val="auto"/>
                <w:spacing w:val="20"/>
                <w:sz w:val="24"/>
                <w:highlight w:val="none"/>
              </w:rPr>
            </w:pPr>
          </w:p>
        </w:tc>
      </w:tr>
      <w:tr w14:paraId="711919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0D27008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1093" w:type="pct"/>
            <w:tcBorders>
              <w:top w:val="single" w:color="auto" w:sz="2" w:space="0"/>
              <w:left w:val="single" w:color="auto" w:sz="2" w:space="0"/>
              <w:bottom w:val="single" w:color="auto" w:sz="2" w:space="0"/>
              <w:right w:val="single" w:color="auto" w:sz="2" w:space="0"/>
            </w:tcBorders>
            <w:noWrap/>
            <w:vAlign w:val="center"/>
          </w:tcPr>
          <w:p w14:paraId="2C4B94E8">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6A9C50A9">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919" w:type="pct"/>
            <w:tcBorders>
              <w:top w:val="single" w:color="auto" w:sz="2" w:space="0"/>
              <w:left w:val="single" w:color="auto" w:sz="2" w:space="0"/>
              <w:bottom w:val="single" w:color="auto" w:sz="2" w:space="0"/>
            </w:tcBorders>
            <w:noWrap/>
            <w:vAlign w:val="center"/>
          </w:tcPr>
          <w:p w14:paraId="09CF4F12">
            <w:pPr>
              <w:spacing w:line="300" w:lineRule="exact"/>
              <w:jc w:val="center"/>
              <w:rPr>
                <w:rFonts w:hint="eastAsia" w:ascii="仿宋" w:hAnsi="仿宋" w:eastAsia="仿宋" w:cs="仿宋"/>
                <w:color w:val="auto"/>
                <w:spacing w:val="20"/>
                <w:sz w:val="24"/>
                <w:highlight w:val="none"/>
              </w:rPr>
            </w:pPr>
          </w:p>
        </w:tc>
      </w:tr>
      <w:tr w14:paraId="01DA21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6AFB5EF5">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093" w:type="pct"/>
            <w:tcBorders>
              <w:top w:val="single" w:color="auto" w:sz="2" w:space="0"/>
              <w:left w:val="single" w:color="auto" w:sz="2" w:space="0"/>
              <w:bottom w:val="single" w:color="auto" w:sz="2" w:space="0"/>
              <w:right w:val="single" w:color="auto" w:sz="2" w:space="0"/>
            </w:tcBorders>
            <w:noWrap/>
            <w:vAlign w:val="center"/>
          </w:tcPr>
          <w:p w14:paraId="4876DE1B">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13338A7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919" w:type="pct"/>
            <w:tcBorders>
              <w:top w:val="single" w:color="auto" w:sz="2" w:space="0"/>
              <w:left w:val="single" w:color="auto" w:sz="2" w:space="0"/>
              <w:bottom w:val="single" w:color="auto" w:sz="2" w:space="0"/>
            </w:tcBorders>
            <w:noWrap/>
            <w:vAlign w:val="center"/>
          </w:tcPr>
          <w:p w14:paraId="3B53330C">
            <w:pPr>
              <w:spacing w:line="300" w:lineRule="exact"/>
              <w:jc w:val="center"/>
              <w:rPr>
                <w:rFonts w:hint="eastAsia" w:ascii="仿宋" w:hAnsi="仿宋" w:eastAsia="仿宋" w:cs="仿宋"/>
                <w:color w:val="auto"/>
                <w:spacing w:val="20"/>
                <w:sz w:val="24"/>
                <w:highlight w:val="none"/>
              </w:rPr>
            </w:pPr>
          </w:p>
        </w:tc>
      </w:tr>
      <w:tr w14:paraId="4BBBE98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2855A29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1093" w:type="pct"/>
            <w:tcBorders>
              <w:top w:val="single" w:color="auto" w:sz="2" w:space="0"/>
              <w:left w:val="single" w:color="auto" w:sz="2" w:space="0"/>
              <w:bottom w:val="single" w:color="auto" w:sz="2" w:space="0"/>
              <w:right w:val="single" w:color="auto" w:sz="2" w:space="0"/>
            </w:tcBorders>
            <w:noWrap/>
            <w:vAlign w:val="center"/>
          </w:tcPr>
          <w:p w14:paraId="784BA551">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09120E30">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919" w:type="pct"/>
            <w:tcBorders>
              <w:top w:val="single" w:color="auto" w:sz="2" w:space="0"/>
              <w:left w:val="single" w:color="auto" w:sz="2" w:space="0"/>
              <w:bottom w:val="single" w:color="auto" w:sz="2" w:space="0"/>
            </w:tcBorders>
            <w:noWrap/>
            <w:vAlign w:val="center"/>
          </w:tcPr>
          <w:p w14:paraId="14B7015C">
            <w:pPr>
              <w:spacing w:line="300" w:lineRule="exact"/>
              <w:jc w:val="center"/>
              <w:rPr>
                <w:rFonts w:hint="eastAsia" w:ascii="仿宋" w:hAnsi="仿宋" w:eastAsia="仿宋" w:cs="仿宋"/>
                <w:color w:val="auto"/>
                <w:spacing w:val="20"/>
                <w:sz w:val="24"/>
                <w:highlight w:val="none"/>
              </w:rPr>
            </w:pPr>
          </w:p>
        </w:tc>
      </w:tr>
      <w:tr w14:paraId="0D8CAEA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02FBE33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093" w:type="pct"/>
            <w:tcBorders>
              <w:top w:val="single" w:color="auto" w:sz="2" w:space="0"/>
              <w:left w:val="single" w:color="auto" w:sz="2" w:space="0"/>
              <w:bottom w:val="single" w:color="auto" w:sz="2" w:space="0"/>
              <w:right w:val="single" w:color="auto" w:sz="2" w:space="0"/>
            </w:tcBorders>
            <w:noWrap/>
            <w:vAlign w:val="center"/>
          </w:tcPr>
          <w:p w14:paraId="1447E39D">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24F3A77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919" w:type="pct"/>
            <w:tcBorders>
              <w:top w:val="single" w:color="auto" w:sz="2" w:space="0"/>
              <w:left w:val="single" w:color="auto" w:sz="2" w:space="0"/>
              <w:bottom w:val="single" w:color="auto" w:sz="2" w:space="0"/>
            </w:tcBorders>
            <w:noWrap/>
            <w:vAlign w:val="center"/>
          </w:tcPr>
          <w:p w14:paraId="326CA898">
            <w:pPr>
              <w:spacing w:line="300" w:lineRule="exact"/>
              <w:jc w:val="center"/>
              <w:rPr>
                <w:rFonts w:hint="eastAsia" w:ascii="仿宋" w:hAnsi="仿宋" w:eastAsia="仿宋" w:cs="仿宋"/>
                <w:color w:val="auto"/>
                <w:spacing w:val="20"/>
                <w:sz w:val="24"/>
                <w:highlight w:val="none"/>
              </w:rPr>
            </w:pPr>
          </w:p>
        </w:tc>
      </w:tr>
      <w:tr w14:paraId="21E315E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69160C6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1093" w:type="pct"/>
            <w:tcBorders>
              <w:top w:val="single" w:color="auto" w:sz="2" w:space="0"/>
              <w:left w:val="single" w:color="auto" w:sz="2" w:space="0"/>
              <w:bottom w:val="single" w:color="auto" w:sz="2" w:space="0"/>
              <w:right w:val="single" w:color="auto" w:sz="2" w:space="0"/>
            </w:tcBorders>
            <w:noWrap/>
            <w:vAlign w:val="center"/>
          </w:tcPr>
          <w:p w14:paraId="0DE76274">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00B8C01B">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919" w:type="pct"/>
            <w:tcBorders>
              <w:top w:val="single" w:color="auto" w:sz="2" w:space="0"/>
              <w:left w:val="single" w:color="auto" w:sz="2" w:space="0"/>
              <w:bottom w:val="single" w:color="auto" w:sz="2" w:space="0"/>
            </w:tcBorders>
            <w:noWrap/>
            <w:vAlign w:val="center"/>
          </w:tcPr>
          <w:p w14:paraId="4AAE759E">
            <w:pPr>
              <w:spacing w:line="300" w:lineRule="exact"/>
              <w:jc w:val="center"/>
              <w:rPr>
                <w:rFonts w:hint="eastAsia" w:ascii="仿宋" w:hAnsi="仿宋" w:eastAsia="仿宋" w:cs="仿宋"/>
                <w:color w:val="auto"/>
                <w:spacing w:val="20"/>
                <w:sz w:val="24"/>
                <w:highlight w:val="none"/>
              </w:rPr>
            </w:pPr>
          </w:p>
        </w:tc>
      </w:tr>
      <w:tr w14:paraId="7BE1A9E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1FCB11C3">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1093" w:type="pct"/>
            <w:tcBorders>
              <w:top w:val="single" w:color="auto" w:sz="2" w:space="0"/>
              <w:left w:val="single" w:color="auto" w:sz="2" w:space="0"/>
              <w:bottom w:val="single" w:color="auto" w:sz="2" w:space="0"/>
              <w:right w:val="single" w:color="auto" w:sz="2" w:space="0"/>
            </w:tcBorders>
            <w:noWrap/>
            <w:vAlign w:val="center"/>
          </w:tcPr>
          <w:p w14:paraId="4C752215">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44A95AF7">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919" w:type="pct"/>
            <w:tcBorders>
              <w:top w:val="single" w:color="auto" w:sz="2" w:space="0"/>
              <w:left w:val="single" w:color="auto" w:sz="2" w:space="0"/>
              <w:bottom w:val="single" w:color="auto" w:sz="2" w:space="0"/>
            </w:tcBorders>
            <w:noWrap/>
            <w:vAlign w:val="center"/>
          </w:tcPr>
          <w:p w14:paraId="30139FAE">
            <w:pPr>
              <w:spacing w:line="300" w:lineRule="exact"/>
              <w:jc w:val="center"/>
              <w:rPr>
                <w:rFonts w:hint="eastAsia" w:ascii="仿宋" w:hAnsi="仿宋" w:eastAsia="仿宋" w:cs="仿宋"/>
                <w:color w:val="auto"/>
                <w:spacing w:val="20"/>
                <w:sz w:val="24"/>
                <w:highlight w:val="none"/>
              </w:rPr>
            </w:pPr>
          </w:p>
        </w:tc>
      </w:tr>
      <w:tr w14:paraId="0FAA1A2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1B3FFF00">
            <w:pPr>
              <w:spacing w:line="300" w:lineRule="exact"/>
              <w:jc w:val="center"/>
              <w:rPr>
                <w:rFonts w:hint="eastAsia"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0126750D">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3B65233A">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w:t>
            </w:r>
          </w:p>
        </w:tc>
        <w:tc>
          <w:tcPr>
            <w:tcW w:w="919" w:type="pct"/>
            <w:tcBorders>
              <w:top w:val="single" w:color="auto" w:sz="2" w:space="0"/>
              <w:left w:val="single" w:color="auto" w:sz="2" w:space="0"/>
              <w:bottom w:val="single" w:color="auto" w:sz="2" w:space="0"/>
            </w:tcBorders>
            <w:noWrap/>
            <w:vAlign w:val="center"/>
          </w:tcPr>
          <w:p w14:paraId="3205480E">
            <w:pPr>
              <w:spacing w:line="300" w:lineRule="exact"/>
              <w:jc w:val="center"/>
              <w:rPr>
                <w:rFonts w:hint="eastAsia" w:ascii="仿宋" w:hAnsi="仿宋" w:eastAsia="仿宋" w:cs="仿宋"/>
                <w:color w:val="auto"/>
                <w:spacing w:val="20"/>
                <w:sz w:val="24"/>
                <w:highlight w:val="none"/>
              </w:rPr>
            </w:pPr>
          </w:p>
        </w:tc>
      </w:tr>
      <w:tr w14:paraId="6FB4515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0BBB0911">
            <w:pPr>
              <w:spacing w:line="300" w:lineRule="exact"/>
              <w:jc w:val="center"/>
              <w:rPr>
                <w:rFonts w:hint="eastAsia"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2157870D">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35E4C834">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919" w:type="pct"/>
            <w:tcBorders>
              <w:top w:val="single" w:color="auto" w:sz="2" w:space="0"/>
              <w:left w:val="single" w:color="auto" w:sz="2" w:space="0"/>
              <w:bottom w:val="single" w:color="auto" w:sz="2" w:space="0"/>
            </w:tcBorders>
            <w:noWrap/>
            <w:vAlign w:val="center"/>
          </w:tcPr>
          <w:p w14:paraId="24E13B80">
            <w:pPr>
              <w:spacing w:line="300" w:lineRule="exact"/>
              <w:jc w:val="center"/>
              <w:rPr>
                <w:rFonts w:hint="eastAsia" w:ascii="仿宋" w:hAnsi="仿宋" w:eastAsia="仿宋" w:cs="仿宋"/>
                <w:color w:val="auto"/>
                <w:spacing w:val="20"/>
                <w:sz w:val="24"/>
                <w:highlight w:val="none"/>
              </w:rPr>
            </w:pPr>
          </w:p>
        </w:tc>
      </w:tr>
      <w:tr w14:paraId="12408D1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330" w:type="pct"/>
            <w:tcBorders>
              <w:top w:val="single" w:color="auto" w:sz="2" w:space="0"/>
              <w:bottom w:val="single" w:color="auto" w:sz="2" w:space="0"/>
              <w:right w:val="single" w:color="auto" w:sz="2" w:space="0"/>
            </w:tcBorders>
            <w:noWrap/>
            <w:vAlign w:val="center"/>
          </w:tcPr>
          <w:p w14:paraId="73A1B7D8">
            <w:pPr>
              <w:spacing w:line="300" w:lineRule="exact"/>
              <w:jc w:val="center"/>
              <w:rPr>
                <w:rFonts w:hint="eastAsia" w:ascii="仿宋" w:hAnsi="仿宋" w:eastAsia="仿宋" w:cs="仿宋"/>
                <w:color w:val="auto"/>
                <w:sz w:val="24"/>
                <w:highlight w:val="none"/>
              </w:rPr>
            </w:pPr>
          </w:p>
        </w:tc>
        <w:tc>
          <w:tcPr>
            <w:tcW w:w="1093" w:type="pct"/>
            <w:tcBorders>
              <w:top w:val="single" w:color="auto" w:sz="2" w:space="0"/>
              <w:left w:val="single" w:color="auto" w:sz="2" w:space="0"/>
              <w:bottom w:val="single" w:color="auto" w:sz="2" w:space="0"/>
              <w:right w:val="single" w:color="auto" w:sz="2" w:space="0"/>
            </w:tcBorders>
            <w:noWrap/>
            <w:vAlign w:val="center"/>
          </w:tcPr>
          <w:p w14:paraId="1E16C4B2">
            <w:pPr>
              <w:spacing w:line="300" w:lineRule="exact"/>
              <w:jc w:val="center"/>
              <w:rPr>
                <w:rFonts w:hint="eastAsia" w:ascii="仿宋" w:hAnsi="仿宋" w:eastAsia="仿宋" w:cs="仿宋"/>
                <w:color w:val="auto"/>
                <w:sz w:val="24"/>
                <w:highlight w:val="none"/>
              </w:rPr>
            </w:pPr>
          </w:p>
        </w:tc>
        <w:tc>
          <w:tcPr>
            <w:tcW w:w="1658" w:type="pct"/>
            <w:tcBorders>
              <w:top w:val="single" w:color="auto" w:sz="2" w:space="0"/>
              <w:left w:val="single" w:color="auto" w:sz="2" w:space="0"/>
              <w:bottom w:val="single" w:color="auto" w:sz="2" w:space="0"/>
              <w:right w:val="single" w:color="auto" w:sz="2" w:space="0"/>
            </w:tcBorders>
            <w:noWrap/>
            <w:vAlign w:val="center"/>
          </w:tcPr>
          <w:p w14:paraId="6A849171">
            <w:pPr>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p>
        </w:tc>
        <w:tc>
          <w:tcPr>
            <w:tcW w:w="919" w:type="pct"/>
            <w:tcBorders>
              <w:top w:val="single" w:color="auto" w:sz="2" w:space="0"/>
              <w:left w:val="single" w:color="auto" w:sz="2" w:space="0"/>
              <w:bottom w:val="single" w:color="auto" w:sz="2" w:space="0"/>
            </w:tcBorders>
            <w:noWrap/>
            <w:vAlign w:val="center"/>
          </w:tcPr>
          <w:p w14:paraId="7ACC7F67">
            <w:pPr>
              <w:spacing w:line="300" w:lineRule="exact"/>
              <w:jc w:val="center"/>
              <w:rPr>
                <w:rFonts w:hint="eastAsia" w:ascii="仿宋" w:hAnsi="仿宋" w:eastAsia="仿宋" w:cs="仿宋"/>
                <w:color w:val="auto"/>
                <w:spacing w:val="20"/>
                <w:sz w:val="24"/>
                <w:highlight w:val="none"/>
              </w:rPr>
            </w:pPr>
          </w:p>
        </w:tc>
      </w:tr>
      <w:tr w14:paraId="761052A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ign w:val="center"/>
          </w:tcPr>
          <w:p w14:paraId="5170F914">
            <w:pPr>
              <w:pStyle w:val="10"/>
              <w:spacing w:before="120" w:beforeLines="50"/>
              <w:rPr>
                <w:rFonts w:hint="eastAsia" w:ascii="仿宋" w:hAnsi="仿宋" w:eastAsia="仿宋" w:cs="仿宋"/>
                <w:color w:val="auto"/>
                <w:spacing w:val="20"/>
                <w:highlight w:val="none"/>
                <w:lang w:eastAsia="zh-CN"/>
              </w:rPr>
            </w:pPr>
            <w:r>
              <w:rPr>
                <w:rFonts w:hint="eastAsia" w:ascii="仿宋" w:hAnsi="仿宋" w:eastAsia="仿宋" w:cs="仿宋"/>
                <w:color w:val="auto"/>
                <w:highlight w:val="none"/>
                <w:lang w:eastAsia="zh-CN"/>
              </w:rPr>
              <w:t>注：涉及联合体或其他合同主体的信息应按上表格式加列。</w:t>
            </w:r>
          </w:p>
        </w:tc>
      </w:tr>
    </w:tbl>
    <w:p w14:paraId="6B408B97">
      <w:pPr>
        <w:pStyle w:val="3"/>
        <w:spacing w:beforeLines="50"/>
        <w:rPr>
          <w:rFonts w:hint="eastAsia" w:ascii="仿宋" w:hAnsi="仿宋" w:eastAsia="仿宋" w:cs="仿宋"/>
          <w:color w:val="auto"/>
          <w:sz w:val="28"/>
          <w:szCs w:val="28"/>
          <w:highlight w:val="none"/>
          <w:lang w:eastAsia="zh-CN"/>
        </w:rPr>
      </w:pPr>
      <w:r>
        <w:rPr>
          <w:rFonts w:hint="eastAsia" w:ascii="仿宋" w:hAnsi="仿宋" w:eastAsia="仿宋" w:cs="仿宋"/>
          <w:color w:val="auto"/>
          <w:sz w:val="21"/>
          <w:szCs w:val="21"/>
          <w:highlight w:val="none"/>
          <w:u w:val="single"/>
          <w:lang w:eastAsia="zh-CN"/>
        </w:rPr>
        <w:br w:type="page"/>
      </w:r>
      <w:bookmarkStart w:id="355" w:name="_Toc27624"/>
      <w:bookmarkStart w:id="356" w:name="_Toc10065"/>
      <w:r>
        <w:rPr>
          <w:rFonts w:hint="eastAsia" w:ascii="仿宋" w:hAnsi="仿宋" w:eastAsia="仿宋" w:cs="仿宋"/>
          <w:b w:val="0"/>
          <w:color w:val="auto"/>
          <w:sz w:val="28"/>
          <w:szCs w:val="28"/>
          <w:highlight w:val="none"/>
          <w:lang w:eastAsia="zh-CN"/>
        </w:rPr>
        <w:t>第二节 政府采购合同通用条款</w:t>
      </w:r>
      <w:bookmarkEnd w:id="355"/>
      <w:bookmarkEnd w:id="356"/>
    </w:p>
    <w:p w14:paraId="26380A7B">
      <w:pPr>
        <w:tabs>
          <w:tab w:val="left" w:pos="8820"/>
          <w:tab w:val="left" w:pos="9345"/>
          <w:tab w:val="left" w:pos="9765"/>
        </w:tabs>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color w:val="auto"/>
          <w:sz w:val="24"/>
          <w:highlight w:val="none"/>
          <w:lang w:eastAsia="zh-CN"/>
        </w:rPr>
        <w:t xml:space="preserve">1. </w:t>
      </w:r>
      <w:r>
        <w:rPr>
          <w:rFonts w:hint="eastAsia" w:ascii="仿宋" w:hAnsi="仿宋" w:eastAsia="仿宋" w:cs="仿宋"/>
          <w:b/>
          <w:bCs/>
          <w:color w:val="auto"/>
          <w:sz w:val="24"/>
          <w:highlight w:val="none"/>
          <w:lang w:eastAsia="zh-CN"/>
        </w:rPr>
        <w:t>定义</w:t>
      </w:r>
    </w:p>
    <w:p w14:paraId="4EF6D671">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1.1合同当事人</w:t>
      </w:r>
    </w:p>
    <w:p w14:paraId="6E8D8B0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（1）采购人（以下称甲方）是指使用财政性资金，通过政府采购方式向供应商购买货物及其相关服务的国家机关、事业单位、团体组织。</w:t>
      </w:r>
    </w:p>
    <w:p w14:paraId="471AC36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（2）供应商（以下称乙方）是指参加政府采购活动并且中标（成交），向采购人提供合同约定的货物及其相关服务的法人、非法人组织或者自然人。</w:t>
      </w:r>
    </w:p>
    <w:p w14:paraId="68C689F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（3）其他合同主体是指除采购人和供应商以外，</w:t>
      </w:r>
      <w:r>
        <w:rPr>
          <w:rFonts w:hint="eastAsia" w:ascii="仿宋" w:hAnsi="仿宋" w:eastAsia="仿宋" w:cs="仿宋"/>
          <w:bCs/>
          <w:color w:val="auto"/>
          <w:sz w:val="24"/>
          <w:highlight w:val="none"/>
          <w:lang w:eastAsia="zh-CN"/>
        </w:rPr>
        <w:t>依法参与合同缔结或履行，享有权利、承担义务的合同当事人</w:t>
      </w:r>
      <w:r>
        <w:rPr>
          <w:rFonts w:hint="eastAsia" w:ascii="仿宋" w:hAnsi="仿宋" w:eastAsia="仿宋" w:cs="仿宋"/>
          <w:color w:val="auto"/>
          <w:sz w:val="24"/>
          <w:highlight w:val="none"/>
          <w:lang w:eastAsia="zh-CN"/>
        </w:rPr>
        <w:t>。</w:t>
      </w:r>
    </w:p>
    <w:p w14:paraId="23A71914">
      <w:pPr>
        <w:tabs>
          <w:tab w:val="left" w:pos="570"/>
          <w:tab w:val="left" w:pos="9240"/>
          <w:tab w:val="left" w:pos="9555"/>
        </w:tabs>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1.2本合同下列术语应解释为：</w:t>
      </w:r>
    </w:p>
    <w:p w14:paraId="5C79DA06">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（1）“合同”系指</w:t>
      </w:r>
      <w:r>
        <w:rPr>
          <w:rFonts w:hint="eastAsia" w:ascii="仿宋" w:hAnsi="仿宋" w:eastAsia="仿宋" w:cs="仿宋"/>
          <w:bCs/>
          <w:color w:val="auto"/>
          <w:sz w:val="24"/>
          <w:highlight w:val="none"/>
          <w:lang w:eastAsia="zh-CN"/>
        </w:rPr>
        <w:t>合同当事人意思表示达成一致的任何协议，包括签署的</w:t>
      </w:r>
      <w:r>
        <w:rPr>
          <w:rFonts w:hint="eastAsia" w:ascii="仿宋" w:hAnsi="仿宋" w:eastAsia="仿宋" w:cs="仿宋"/>
          <w:color w:val="auto"/>
          <w:sz w:val="24"/>
          <w:highlight w:val="none"/>
          <w:lang w:eastAsia="zh-CN"/>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49ADF624">
      <w:pPr>
        <w:tabs>
          <w:tab w:val="left" w:pos="570"/>
          <w:tab w:val="left" w:pos="9240"/>
          <w:tab w:val="left" w:pos="9555"/>
        </w:tabs>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（2）“合同价款”系指根据本合同规定乙方在全面履行合同义务后甲方应支付给乙方的价款。</w:t>
      </w:r>
    </w:p>
    <w:p w14:paraId="31C89460">
      <w:pPr>
        <w:tabs>
          <w:tab w:val="left" w:pos="570"/>
          <w:tab w:val="left" w:pos="9240"/>
          <w:tab w:val="left" w:pos="9555"/>
        </w:tabs>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（3）“货物”系指乙方根据本合同规定须向甲方提供的各种形态和种类的物品，包括原材料、设备、产品（包括软件）及相关的其备品备件、工具、手册及其他技术资料和材料等。</w:t>
      </w:r>
    </w:p>
    <w:p w14:paraId="76F103C8">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172B18DA">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（5）“分包”系指中标（成交）供应商按采购文件、投标（响应）文件的规定，根据分包意向协议，将中标（成交）项目中的部分履约内容，分给具有相应资质条件的供应商履行合同的行为。</w:t>
      </w:r>
    </w:p>
    <w:p w14:paraId="6B652D26">
      <w:pPr>
        <w:tabs>
          <w:tab w:val="left" w:pos="570"/>
          <w:tab w:val="left" w:pos="9240"/>
          <w:tab w:val="left" w:pos="9555"/>
        </w:tabs>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w:t>
      </w:r>
    </w:p>
    <w:p w14:paraId="2381EF5C">
      <w:pPr>
        <w:tabs>
          <w:tab w:val="left" w:pos="570"/>
          <w:tab w:val="left" w:pos="9240"/>
          <w:tab w:val="left" w:pos="9555"/>
        </w:tabs>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（7）其他术语解释，见【</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w:t>
      </w:r>
    </w:p>
    <w:p w14:paraId="4AC86D45">
      <w:pPr>
        <w:numPr>
          <w:ilvl w:val="0"/>
          <w:numId w:val="8"/>
        </w:numPr>
        <w:spacing w:line="400" w:lineRule="exac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0614C989">
      <w:pPr>
        <w:spacing w:line="400" w:lineRule="exact"/>
        <w:ind w:firstLine="480" w:firstLineChars="200"/>
        <w:rPr>
          <w:rFonts w:hint="eastAsia" w:ascii="仿宋" w:hAnsi="仿宋" w:eastAsia="仿宋" w:cs="仿宋"/>
          <w:b/>
          <w:bCs/>
          <w:i/>
          <w:iCs/>
          <w:color w:val="auto"/>
          <w:sz w:val="24"/>
          <w:highlight w:val="none"/>
          <w:lang w:eastAsia="zh-CN"/>
        </w:rPr>
      </w:pPr>
      <w:r>
        <w:rPr>
          <w:rFonts w:hint="eastAsia" w:ascii="仿宋" w:hAnsi="仿宋" w:eastAsia="仿宋" w:cs="仿宋"/>
          <w:color w:val="auto"/>
          <w:sz w:val="24"/>
          <w:highlight w:val="none"/>
          <w:lang w:eastAsia="zh-CN"/>
        </w:rPr>
        <w:t>2.1 合同标的及金额应与中标（成交）结果一致。乙方为履行本合同而发生的所有费用均应包含在合同价款中，甲方不再另行支付其他任何费用。</w:t>
      </w:r>
    </w:p>
    <w:p w14:paraId="66843B99">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3. 履行合同的时间、地点和方式</w:t>
      </w:r>
    </w:p>
    <w:p w14:paraId="79EF4A9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3.1 乙方应当在约定的时间、地点，按照约定方式履行合同。</w:t>
      </w:r>
    </w:p>
    <w:p w14:paraId="6C0CDC1D">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4. 甲方的权利和义务</w:t>
      </w:r>
    </w:p>
    <w:p w14:paraId="44654856">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4.1 签署合同后，甲方应确定项目负责人（或项目联系人），负责与本合同有关的事务。甲方有权对乙方的履约行为进行检查，并及时确认乙方提交的事项。甲方应当配合乙方完成相关项目实施工作。</w:t>
      </w:r>
    </w:p>
    <w:p w14:paraId="7C94D23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4.2 甲方有权要求乙方按时提交各阶段有关安排计划，并有权定期核对乙方提供货物数量、规格、质量等内容。甲方有权督促乙方工作并要求乙方更换不符合要求的货物。</w:t>
      </w:r>
    </w:p>
    <w:p w14:paraId="7450C8E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4.3 甲方有权要求乙方对缺陷部分予以修复，并按合同约定享有货物保修及其他合同约定的权利。</w:t>
      </w:r>
    </w:p>
    <w:p w14:paraId="5A37AF1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4.4 甲方应当按照合同约定及时对交付的货物进行验收，未在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约定的期限内对乙方履约提出任何异议或者向乙方作出任何说明的，视为验收通过。</w:t>
      </w:r>
    </w:p>
    <w:p w14:paraId="2543E9B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4.5 甲方应当根据合同约定及时向乙方支付合同价款，不得以内部人员变更、履行内部付款流程等为由，拒绝或迟延支付。</w:t>
      </w:r>
    </w:p>
    <w:p w14:paraId="396A7A8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4.6 国家法律法规规定及</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约定应由甲方承担的其他义务和责任。</w:t>
      </w:r>
    </w:p>
    <w:p w14:paraId="44EAA352">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5. 乙方的权利和义务</w:t>
      </w:r>
    </w:p>
    <w:p w14:paraId="78884F5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5.1 签署合同后，乙方应确定项目负责人（或项目联系人），负责与本合同有关的事务。</w:t>
      </w:r>
    </w:p>
    <w:p w14:paraId="205797B1">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5B631CDE">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5.3乙方有权根据合同约定向甲方收取合同价款。</w:t>
      </w:r>
    </w:p>
    <w:p w14:paraId="04575A0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5.4国家法律法规规定及【政府采购合同专用条款】约定应由乙方承担的其他义务和责任。</w:t>
      </w:r>
    </w:p>
    <w:p w14:paraId="26247450">
      <w:pPr>
        <w:numPr>
          <w:ilvl w:val="0"/>
          <w:numId w:val="9"/>
        </w:numPr>
        <w:spacing w:line="40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合同履行</w:t>
      </w:r>
    </w:p>
    <w:p w14:paraId="5F8EF16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6.1 甲乙双方应当按照</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约定顺序履行合同义务；如果没有先后顺序的，应当同时履行。</w:t>
      </w:r>
    </w:p>
    <w:p w14:paraId="09CF3205">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6.2 甲乙双方按照合同约定顺序履行合同义务时，应当先履行一方未履行的，后履行一方有权拒绝其履行请求。先履行一方履行不符合约定的，后履行一方有权拒绝其相应的履行请求。</w:t>
      </w:r>
    </w:p>
    <w:p w14:paraId="6CBE8F21">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7. 货物包装、运输、保险和交付要求</w:t>
      </w:r>
    </w:p>
    <w:p w14:paraId="6585D05C">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7.1 本合同</w:t>
      </w:r>
      <w:r>
        <w:rPr>
          <w:rFonts w:hint="eastAsia" w:ascii="仿宋" w:hAnsi="仿宋" w:eastAsia="仿宋" w:cs="仿宋"/>
          <w:bCs/>
          <w:color w:val="auto"/>
          <w:sz w:val="24"/>
          <w:highlight w:val="none"/>
          <w:lang w:eastAsia="zh-CN"/>
        </w:rPr>
        <w:t>涉及商品包装、快递包装的，</w:t>
      </w:r>
      <w:r>
        <w:rPr>
          <w:rFonts w:hint="eastAsia" w:ascii="仿宋" w:hAnsi="仿宋" w:eastAsia="仿宋" w:cs="仿宋"/>
          <w:color w:val="auto"/>
          <w:sz w:val="24"/>
          <w:highlight w:val="none"/>
          <w:lang w:eastAsia="zh-CN"/>
        </w:rPr>
        <w:t>除</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另有约定外，</w:t>
      </w:r>
      <w:r>
        <w:rPr>
          <w:rFonts w:hint="eastAsia" w:ascii="仿宋" w:hAnsi="仿宋" w:eastAsia="仿宋" w:cs="仿宋"/>
          <w:color w:val="auto"/>
          <w:sz w:val="24"/>
          <w:highlight w:val="none"/>
          <w:lang w:eastAsia="zh-CN"/>
        </w:rPr>
        <w:t>包装应适应远距离运输、防潮、防震、防锈和防野蛮装卸等要求，确保货物安全无损地运抵</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约定的</w:t>
      </w:r>
      <w:r>
        <w:rPr>
          <w:rFonts w:hint="eastAsia" w:ascii="仿宋" w:hAnsi="仿宋" w:eastAsia="仿宋" w:cs="仿宋"/>
          <w:color w:val="auto"/>
          <w:sz w:val="24"/>
          <w:highlight w:val="none"/>
          <w:lang w:eastAsia="zh-CN"/>
        </w:rPr>
        <w:t>指定现场。</w:t>
      </w:r>
    </w:p>
    <w:p w14:paraId="59973E8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7.2 除</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另有约定外，</w:t>
      </w:r>
      <w:r>
        <w:rPr>
          <w:rFonts w:hint="eastAsia" w:ascii="仿宋" w:hAnsi="仿宋" w:eastAsia="仿宋" w:cs="仿宋"/>
          <w:color w:val="auto"/>
          <w:sz w:val="24"/>
          <w:highlight w:val="none"/>
          <w:lang w:eastAsia="zh-CN"/>
        </w:rPr>
        <w:t>乙方负责办理将货物运抵本合同规定的供货地点，并装卸、交付至甲方的一切运输事项，相关费用应包含在合同价款中。</w:t>
      </w:r>
    </w:p>
    <w:p w14:paraId="1A458F9E">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7.3 货物保险要求按</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规定执行</w:t>
      </w:r>
      <w:r>
        <w:rPr>
          <w:rFonts w:hint="eastAsia" w:ascii="仿宋" w:hAnsi="仿宋" w:eastAsia="仿宋" w:cs="仿宋"/>
          <w:color w:val="auto"/>
          <w:sz w:val="24"/>
          <w:highlight w:val="none"/>
          <w:lang w:eastAsia="zh-CN"/>
        </w:rPr>
        <w:t>。</w:t>
      </w:r>
    </w:p>
    <w:p w14:paraId="79A34F1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91D9254">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7.5 乙方在运输到达之前应提前通知甲方，并提示货物运输装卸的注意事项，甲方配合乙方做好货物的接收工作。</w:t>
      </w:r>
    </w:p>
    <w:p w14:paraId="4E834EE5">
      <w:pPr>
        <w:pStyle w:val="38"/>
        <w:ind w:firstLine="480"/>
        <w:rPr>
          <w:rFonts w:hint="eastAsia" w:ascii="仿宋" w:hAnsi="仿宋" w:eastAsia="仿宋" w:cs="仿宋"/>
          <w:sz w:val="24"/>
          <w:szCs w:val="24"/>
          <w:highlight w:val="none"/>
        </w:rPr>
      </w:pPr>
      <w:r>
        <w:rPr>
          <w:rFonts w:hint="eastAsia" w:ascii="仿宋" w:hAnsi="仿宋" w:eastAsia="仿宋" w:cs="仿宋"/>
          <w:kern w:val="2"/>
          <w:sz w:val="24"/>
          <w:szCs w:val="24"/>
          <w:highlight w:val="none"/>
        </w:rPr>
        <w:t>7.6 如因包装、运输问题导致货物损毁、丢失或者品质下降，甲方有权要求降价、换货、拒收部分或整批货物，由此产生的费用和损失，均由乙方承担。</w:t>
      </w:r>
    </w:p>
    <w:p w14:paraId="1E7691BE">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8. 质量标准和保证</w:t>
      </w:r>
    </w:p>
    <w:p w14:paraId="45C1E4BD">
      <w:pPr>
        <w:pStyle w:val="12"/>
        <w:spacing w:line="400" w:lineRule="exact"/>
        <w:ind w:firstLine="480" w:firstLineChars="200"/>
        <w:rPr>
          <w:rFonts w:hint="eastAsia" w:ascii="仿宋" w:hAnsi="仿宋" w:eastAsia="仿宋" w:cs="仿宋"/>
          <w:b/>
          <w:color w:val="auto"/>
          <w:sz w:val="24"/>
          <w:szCs w:val="24"/>
          <w:highlight w:val="none"/>
          <w:lang w:eastAsia="zh-CN"/>
        </w:rPr>
      </w:pPr>
      <w:r>
        <w:rPr>
          <w:rFonts w:hint="eastAsia" w:ascii="仿宋" w:hAnsi="仿宋" w:eastAsia="仿宋" w:cs="仿宋"/>
          <w:color w:val="auto"/>
          <w:sz w:val="24"/>
          <w:szCs w:val="24"/>
          <w:highlight w:val="none"/>
          <w:lang w:eastAsia="zh-CN"/>
        </w:rPr>
        <w:t>8.1 质量标准</w:t>
      </w:r>
    </w:p>
    <w:p w14:paraId="3A7101C6">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1C5DDDFA">
      <w:pPr>
        <w:pStyle w:val="12"/>
        <w:spacing w:line="40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（2）采用中华人民共和国法定计量单位。</w:t>
      </w:r>
    </w:p>
    <w:p w14:paraId="58197984">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（3）乙方所提供的货物应符合国家有关安全、环保、卫生的规定。</w:t>
      </w:r>
    </w:p>
    <w:p w14:paraId="6457918C">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（4）乙方应向甲方提交所提供货物的技术文件，包括相应的中文技术文件，如：产品目录、图纸、操作手册、使用说明、维护手册或服务指南等。上述文件应包装好随货物一同发运。</w:t>
      </w:r>
    </w:p>
    <w:p w14:paraId="0E778479">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8.2 保证</w:t>
      </w:r>
    </w:p>
    <w:p w14:paraId="1A21DCE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规定或乙方书面承诺（两者以较长的为准）的质量保证期内，本保证保持有效。</w:t>
      </w:r>
    </w:p>
    <w:p w14:paraId="2024D76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（2）在质量保证期内所发现的缺陷，甲方应尽快以书面形式通知乙方。</w:t>
      </w:r>
    </w:p>
    <w:p w14:paraId="40673399">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（3）乙方收到通知后，应在</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规定的响应时间内以合理的速度免费维修或更换有缺陷的货物或部件。</w:t>
      </w:r>
    </w:p>
    <w:p w14:paraId="5233577D">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（4）在质量保证期内，如果货物的质量或规格与合同不符，或证实货物是有缺陷的，包括潜在的缺陷或使用不符合要求的材料等，甲方可以根据本合同第15.1条规定以书面形式追究乙方的违约责任。</w:t>
      </w:r>
    </w:p>
    <w:p w14:paraId="16B02743">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（5）乙方在约定的时间内未能弥补缺陷，甲方可采取必要的补救措施，但其风险和费用将由乙方承担，甲方根据合同约定对乙方行使的其他权利不受影响。</w:t>
      </w:r>
    </w:p>
    <w:p w14:paraId="7EDEE870">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9. 权利瑕疵担保</w:t>
      </w:r>
    </w:p>
    <w:p w14:paraId="48880C3E">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9.1 乙方保证对其出售的货物享有合法的权利。</w:t>
      </w:r>
    </w:p>
    <w:p w14:paraId="264A9498">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9.2 乙方保证在交付的货物上不存在抵押权等担保物权。</w:t>
      </w:r>
    </w:p>
    <w:p w14:paraId="16335E8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9.3 如甲方使用上述货物构成对第三人侵权的，则由乙方承担全部责任。</w:t>
      </w:r>
    </w:p>
    <w:p w14:paraId="4BBEAD5F">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10. 知识产权保护</w:t>
      </w:r>
    </w:p>
    <w:p w14:paraId="6D0DFC29">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10.1 乙方对其所销售的货物应当享有知识产权或经权利人合法授权，保证没有侵犯任何第三人的知识产权等权利。</w:t>
      </w:r>
      <w:bookmarkStart w:id="357" w:name="_Hlk163047038"/>
      <w:r>
        <w:rPr>
          <w:rFonts w:hint="eastAsia" w:ascii="仿宋" w:hAnsi="仿宋" w:eastAsia="仿宋" w:cs="仿宋"/>
          <w:color w:val="auto"/>
          <w:sz w:val="24"/>
          <w:highlight w:val="none"/>
          <w:lang w:eastAsia="zh-CN"/>
        </w:rPr>
        <w:t>因违反前述约定对第三人构成侵权的，应当由乙方向第三人承担法律责任；甲方依法向第三人赔偿后，有权向乙方追偿。甲方有其他损失的，乙方应当赔偿</w:t>
      </w:r>
      <w:bookmarkEnd w:id="357"/>
      <w:r>
        <w:rPr>
          <w:rFonts w:hint="eastAsia" w:ascii="仿宋" w:hAnsi="仿宋" w:eastAsia="仿宋" w:cs="仿宋"/>
          <w:color w:val="auto"/>
          <w:sz w:val="24"/>
          <w:highlight w:val="none"/>
          <w:lang w:eastAsia="zh-CN"/>
        </w:rPr>
        <w:t>。</w:t>
      </w:r>
    </w:p>
    <w:p w14:paraId="4C8FAB41">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11. 保密义务</w:t>
      </w:r>
    </w:p>
    <w:p w14:paraId="3EA9A7E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中约定。</w:t>
      </w:r>
    </w:p>
    <w:p w14:paraId="0D9BAAE8">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12. 合同价款支付</w:t>
      </w:r>
    </w:p>
    <w:p w14:paraId="27F8332A">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12.1 合同价款支付按照国库集中支付制度及财政管理相关规定执行。</w:t>
      </w:r>
    </w:p>
    <w:p w14:paraId="77CFA487">
      <w:pPr>
        <w:pStyle w:val="3"/>
        <w:spacing w:line="400" w:lineRule="exact"/>
        <w:ind w:firstLine="480" w:firstLineChars="200"/>
        <w:rPr>
          <w:rFonts w:hint="eastAsia" w:ascii="仿宋" w:hAnsi="仿宋" w:eastAsia="仿宋" w:cs="仿宋"/>
          <w:color w:val="auto"/>
          <w:sz w:val="24"/>
          <w:szCs w:val="24"/>
          <w:highlight w:val="none"/>
          <w:lang w:eastAsia="zh-CN"/>
        </w:rPr>
      </w:pPr>
      <w:bookmarkStart w:id="358" w:name="_Toc32208"/>
      <w:r>
        <w:rPr>
          <w:rFonts w:hint="eastAsia" w:ascii="仿宋" w:hAnsi="仿宋" w:eastAsia="仿宋" w:cs="仿宋"/>
          <w:b w:val="0"/>
          <w:color w:val="auto"/>
          <w:sz w:val="24"/>
          <w:szCs w:val="24"/>
          <w:highlight w:val="none"/>
          <w:lang w:eastAsia="zh-CN"/>
        </w:rPr>
        <w:t xml:space="preserve">12.2 </w:t>
      </w:r>
      <w:r>
        <w:rPr>
          <w:rFonts w:hint="eastAsia" w:ascii="仿宋" w:hAnsi="仿宋" w:eastAsia="仿宋" w:cs="仿宋"/>
          <w:b w:val="0"/>
          <w:color w:val="auto"/>
          <w:kern w:val="2"/>
          <w:sz w:val="24"/>
          <w:szCs w:val="24"/>
          <w:highlight w:val="none"/>
          <w:lang w:eastAsia="zh-CN"/>
        </w:rPr>
        <w:t>对于满足合同约定支付条件的，甲方</w:t>
      </w:r>
      <w:r>
        <w:rPr>
          <w:rFonts w:hint="eastAsia" w:ascii="仿宋" w:hAnsi="仿宋" w:eastAsia="仿宋" w:cs="仿宋"/>
          <w:b w:val="0"/>
          <w:color w:val="auto"/>
          <w:sz w:val="24"/>
          <w:szCs w:val="24"/>
          <w:highlight w:val="none"/>
          <w:lang w:eastAsia="zh-CN"/>
        </w:rPr>
        <w:t>原则上应当自收到发票后10个工作日内</w:t>
      </w:r>
      <w:r>
        <w:rPr>
          <w:rFonts w:hint="eastAsia" w:ascii="仿宋" w:hAnsi="仿宋" w:eastAsia="仿宋" w:cs="仿宋"/>
          <w:b w:val="0"/>
          <w:color w:val="auto"/>
          <w:kern w:val="2"/>
          <w:sz w:val="24"/>
          <w:szCs w:val="24"/>
          <w:highlight w:val="none"/>
          <w:lang w:eastAsia="zh-CN"/>
        </w:rPr>
        <w:t>将资金支付到合同约定的乙方账户，不得以机构变动、人员更替、政策调整等为由迟延付款，不得将采购文件和合同中未规定的义务作为向乙方付款的条件。具体合同价款支付时间在【</w:t>
      </w:r>
      <w:r>
        <w:rPr>
          <w:rFonts w:hint="eastAsia" w:ascii="仿宋" w:hAnsi="仿宋" w:eastAsia="仿宋" w:cs="仿宋"/>
          <w:bCs/>
          <w:color w:val="auto"/>
          <w:kern w:val="2"/>
          <w:sz w:val="24"/>
          <w:szCs w:val="24"/>
          <w:highlight w:val="none"/>
          <w:lang w:eastAsia="zh-CN"/>
        </w:rPr>
        <w:t>政府采购合同专用条款</w:t>
      </w:r>
      <w:r>
        <w:rPr>
          <w:rFonts w:hint="eastAsia" w:ascii="仿宋" w:hAnsi="仿宋" w:eastAsia="仿宋" w:cs="仿宋"/>
          <w:b w:val="0"/>
          <w:color w:val="auto"/>
          <w:kern w:val="2"/>
          <w:sz w:val="24"/>
          <w:szCs w:val="24"/>
          <w:highlight w:val="none"/>
          <w:lang w:eastAsia="zh-CN"/>
        </w:rPr>
        <w:t>】中约定。</w:t>
      </w:r>
      <w:bookmarkEnd w:id="358"/>
    </w:p>
    <w:p w14:paraId="73E7B9D0">
      <w:pPr>
        <w:pStyle w:val="9"/>
        <w:tabs>
          <w:tab w:val="left" w:pos="567"/>
        </w:tabs>
        <w:spacing w:line="400" w:lineRule="exact"/>
        <w:rPr>
          <w:rFonts w:hint="eastAsia" w:ascii="仿宋" w:hAnsi="仿宋" w:eastAsia="仿宋" w:cs="仿宋"/>
          <w:b/>
          <w:bCs/>
          <w:color w:val="auto"/>
          <w:highlight w:val="none"/>
          <w:lang w:eastAsia="zh-CN"/>
        </w:rPr>
      </w:pPr>
      <w:r>
        <w:rPr>
          <w:rFonts w:hint="eastAsia" w:ascii="仿宋" w:hAnsi="仿宋" w:eastAsia="仿宋" w:cs="仿宋"/>
          <w:b/>
          <w:bCs/>
          <w:color w:val="auto"/>
          <w:highlight w:val="none"/>
          <w:lang w:eastAsia="zh-CN"/>
        </w:rPr>
        <w:t>13. 履约保证金</w:t>
      </w:r>
    </w:p>
    <w:p w14:paraId="1BD05AA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13.1 乙方应当以支票、汇票、本票或者金融机构、担保机构出具的保函等非现金形式提交。</w:t>
      </w:r>
    </w:p>
    <w:p w14:paraId="23315B8F">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13.2 如果乙方出现</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约定情形的，履约保证金不予退还；如果乙方未能按合同约定全面履行义务，甲方有权从履约保证金中取得补偿或赔偿，且不影响甲方要求乙方承担合同约定的超过履约保证金的违约责任的权利。</w:t>
      </w:r>
    </w:p>
    <w:p w14:paraId="37922F9A">
      <w:pPr>
        <w:widowControl w:val="0"/>
        <w:spacing w:line="400" w:lineRule="exact"/>
        <w:ind w:firstLine="42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13.3 甲方在项目通过验收后按照</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规定的时间内将履约保证金退还乙方；逾期退还的，乙方可要求甲方支付违约金，违约金按照</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规定支付。</w:t>
      </w:r>
    </w:p>
    <w:p w14:paraId="7E38F8B0">
      <w:pPr>
        <w:spacing w:line="400" w:lineRule="exact"/>
        <w:rPr>
          <w:rFonts w:hint="eastAsia" w:ascii="仿宋" w:hAnsi="仿宋" w:eastAsia="仿宋" w:cs="仿宋"/>
          <w:b/>
          <w:color w:val="auto"/>
          <w:sz w:val="24"/>
          <w:highlight w:val="none"/>
          <w:lang w:eastAsia="zh-CN"/>
        </w:rPr>
      </w:pPr>
      <w:r>
        <w:rPr>
          <w:rFonts w:hint="eastAsia" w:ascii="仿宋" w:hAnsi="仿宋" w:eastAsia="仿宋" w:cs="仿宋"/>
          <w:b/>
          <w:bCs/>
          <w:color w:val="auto"/>
          <w:sz w:val="24"/>
          <w:highlight w:val="none"/>
          <w:lang w:eastAsia="zh-CN"/>
        </w:rPr>
        <w:t xml:space="preserve">14. </w:t>
      </w:r>
      <w:r>
        <w:rPr>
          <w:rFonts w:hint="eastAsia" w:ascii="仿宋" w:hAnsi="仿宋" w:eastAsia="仿宋" w:cs="仿宋"/>
          <w:b/>
          <w:color w:val="auto"/>
          <w:sz w:val="24"/>
          <w:highlight w:val="none"/>
          <w:lang w:eastAsia="zh-CN"/>
        </w:rPr>
        <w:t>售后服务</w:t>
      </w:r>
    </w:p>
    <w:p w14:paraId="6AA97EA8">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14.1 除项目不涉及或采购活动中明确约定无须承担外，乙方还应提供下列服务：</w:t>
      </w:r>
    </w:p>
    <w:p w14:paraId="036CE3A7">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（1）货物的现场移动、安装、调试、启动监督及技术支持；</w:t>
      </w:r>
    </w:p>
    <w:p w14:paraId="0366315F">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（2）提供货物组装和维修所需的专用工具和辅助材料；</w:t>
      </w:r>
    </w:p>
    <w:p w14:paraId="0280C9B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（3）在</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约定的期限内对所有的货物实施运行监督、维修，但前提条件是该服务并不能免除乙方在质量保证期内所承担的义务；</w:t>
      </w:r>
    </w:p>
    <w:p w14:paraId="21C7B199">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（4）在制造商所在地或指定现场就货物的安装、启动、运营、维护、废弃处置等对甲方操作人员进行培训；</w:t>
      </w:r>
    </w:p>
    <w:p w14:paraId="04F509F0">
      <w:pPr>
        <w:pStyle w:val="38"/>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（5）依照法律、行政法规的规定或者按照</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约定，货物在有效使用年限届满后应予回收的，乙方负有自行或者委托第三人对货物予以回收的义务；</w:t>
      </w:r>
    </w:p>
    <w:p w14:paraId="478AEE04">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（6）</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规定由乙方提供的其他服务。</w:t>
      </w:r>
    </w:p>
    <w:p w14:paraId="37D9E147">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14.2 乙方提供的售后服务的费用已包含在合同价款中，甲方不再另行支付。</w:t>
      </w:r>
    </w:p>
    <w:p w14:paraId="3CA421C2">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15. 违约责任</w:t>
      </w:r>
    </w:p>
    <w:p w14:paraId="7FAFD575">
      <w:pPr>
        <w:spacing w:line="40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15.1质量瑕疵的违约责任</w:t>
      </w:r>
    </w:p>
    <w:p w14:paraId="179CDC5F">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乙方提供的产品不符合合同约定的质量标准或存在产品质量缺陷，甲方有权要求乙方根据</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要求</w:t>
      </w:r>
      <w:r>
        <w:rPr>
          <w:rFonts w:hint="eastAsia" w:ascii="仿宋" w:hAnsi="仿宋" w:eastAsia="仿宋" w:cs="仿宋"/>
          <w:color w:val="auto"/>
          <w:sz w:val="24"/>
          <w:highlight w:val="none"/>
          <w:lang w:eastAsia="zh-CN"/>
        </w:rPr>
        <w:t>及时修理、重作、更换，并承担由此给甲方造成的损失。</w:t>
      </w:r>
    </w:p>
    <w:p w14:paraId="77BEED85">
      <w:pPr>
        <w:spacing w:line="40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15.2 迟延交货的违约责任</w:t>
      </w:r>
    </w:p>
    <w:p w14:paraId="72AAEC51">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238D9F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color w:val="auto"/>
          <w:sz w:val="24"/>
          <w:highlight w:val="none"/>
          <w:lang w:eastAsia="zh-CN"/>
        </w:rPr>
        <w:t>规定执行。如果涉及公共利益，且赔偿金额无法弥补公共利益损失，甲方可要求继续履行或者采取其他补救措施。</w:t>
      </w:r>
    </w:p>
    <w:p w14:paraId="7A0D7F1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15.3 迟延支付的违约责任</w:t>
      </w:r>
    </w:p>
    <w:p w14:paraId="72D06F76">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甲方存在迟延支付乙方合同款项的，应当承担</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规定的逾期付款利息。</w:t>
      </w:r>
    </w:p>
    <w:p w14:paraId="4150FC60">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15.4其他违约责任根据项目实际需要按</w:t>
      </w:r>
      <w:r>
        <w:rPr>
          <w:rFonts w:hint="eastAsia" w:ascii="仿宋" w:hAnsi="仿宋" w:eastAsia="仿宋" w:cs="仿宋"/>
          <w:b/>
          <w:bCs/>
          <w:color w:val="auto"/>
          <w:sz w:val="24"/>
          <w:highlight w:val="none"/>
          <w:lang w:eastAsia="zh-CN"/>
        </w:rPr>
        <w:t>【政府采购合同专用条款】</w:t>
      </w:r>
      <w:r>
        <w:rPr>
          <w:rFonts w:hint="eastAsia" w:ascii="仿宋" w:hAnsi="仿宋" w:eastAsia="仿宋" w:cs="仿宋"/>
          <w:color w:val="auto"/>
          <w:sz w:val="24"/>
          <w:highlight w:val="none"/>
          <w:lang w:eastAsia="zh-CN"/>
        </w:rPr>
        <w:t>规定执行。</w:t>
      </w:r>
    </w:p>
    <w:p w14:paraId="5AEEC81D">
      <w:pPr>
        <w:numPr>
          <w:ilvl w:val="0"/>
          <w:numId w:val="10"/>
        </w:numPr>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合同变更、中止与终止</w:t>
      </w:r>
    </w:p>
    <w:p w14:paraId="157FE731">
      <w:pPr>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16.1合同的变更</w:t>
      </w:r>
    </w:p>
    <w:p w14:paraId="66D4F06E">
      <w:pPr>
        <w:widowControl w:val="0"/>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政府采购合同履行中，在不改变合同其他条款的前提下，甲方可以在合同价款10%的范围内追加与合同标的相同的货物，并就此与乙方协商一致后签订补充协议。</w:t>
      </w:r>
    </w:p>
    <w:p w14:paraId="12189D8E">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16.2合同的中止</w:t>
      </w:r>
    </w:p>
    <w:p w14:paraId="55611226">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（1）合同履行过程中因供应商就采购文件、采购过程或结果提起投诉的，甲方认为有必要的，可以中止合同的履行。</w:t>
      </w:r>
    </w:p>
    <w:p w14:paraId="0802132D">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52A650E1">
      <w:pPr>
        <w:pStyle w:val="38"/>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5179B608">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（4）甲方不得以行政区划调整、政府换届、机构或者职能调整以及相关责任人更替为由中止合同。</w:t>
      </w:r>
    </w:p>
    <w:p w14:paraId="4549392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16.3合同的终止</w:t>
      </w:r>
    </w:p>
    <w:p w14:paraId="25219A3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（1）合同因有效期限届满而终止；</w:t>
      </w:r>
    </w:p>
    <w:p w14:paraId="15268AD9">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（2）乙方未按合同约定履行，构成根本性违约的，甲方有权终止合同，并追究乙方的违约责任。</w:t>
      </w:r>
    </w:p>
    <w:p w14:paraId="02A97044">
      <w:pPr>
        <w:pStyle w:val="38"/>
        <w:ind w:firstLine="48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16.4 </w:t>
      </w:r>
      <w:r>
        <w:rPr>
          <w:rFonts w:hint="eastAsia" w:ascii="仿宋" w:hAnsi="仿宋" w:eastAsia="仿宋" w:cs="仿宋"/>
          <w:kern w:val="2"/>
          <w:sz w:val="24"/>
          <w:szCs w:val="24"/>
          <w:highlight w:val="none"/>
        </w:rPr>
        <w:t>涉及国家利益、社会公共利益的情形</w:t>
      </w:r>
    </w:p>
    <w:p w14:paraId="3944947B">
      <w:pPr>
        <w:pStyle w:val="38"/>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1700F9DF">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17. 合同分包</w:t>
      </w:r>
    </w:p>
    <w:p w14:paraId="1B7E998F">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17.1 乙方不得将合同转包给其他供应商。涉及合同分包的，乙方应根据采购文件和投标（响应）文件规定进行合同分包。</w:t>
      </w:r>
    </w:p>
    <w:p w14:paraId="62D5C99B">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17.2 乙方执行政府采购政策向中小企业依法分包的，乙方应当按采购文件和投标（响应）文件签订分包意向协议，分包意向协议属于本合同组成部分。</w:t>
      </w:r>
    </w:p>
    <w:p w14:paraId="3EA4242A">
      <w:pPr>
        <w:spacing w:line="40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18. 不可抗力</w:t>
      </w:r>
    </w:p>
    <w:p w14:paraId="3A0C2577">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18.1 不可抗力是指合同双方不能预见、不能避免且不能克服的客观情况。</w:t>
      </w:r>
    </w:p>
    <w:p w14:paraId="7F0627A2">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18.2 任何一方对由于不可抗力造成的部分或全部不能履行合同不承担违约责任。但迟延履行后发生不可抗力的，不能免除责任。</w:t>
      </w:r>
    </w:p>
    <w:p w14:paraId="2A2B7727">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086CC09">
      <w:pPr>
        <w:spacing w:line="380" w:lineRule="exact"/>
        <w:rPr>
          <w:rFonts w:hint="eastAsia" w:ascii="仿宋" w:hAnsi="仿宋" w:eastAsia="仿宋" w:cs="仿宋"/>
          <w:b/>
          <w:bCs/>
          <w:color w:val="auto"/>
          <w:sz w:val="24"/>
          <w:highlight w:val="none"/>
          <w:lang w:eastAsia="zh-CN"/>
        </w:rPr>
      </w:pPr>
      <w:r>
        <w:rPr>
          <w:rFonts w:hint="eastAsia" w:ascii="仿宋" w:hAnsi="仿宋" w:eastAsia="仿宋" w:cs="仿宋"/>
          <w:b/>
          <w:bCs/>
          <w:color w:val="auto"/>
          <w:sz w:val="24"/>
          <w:highlight w:val="none"/>
          <w:lang w:eastAsia="zh-CN"/>
        </w:rPr>
        <w:t>19. 解决争议的方法</w:t>
      </w:r>
    </w:p>
    <w:p w14:paraId="2E4E704E">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2371D8E">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19.2 选择仲裁的，应在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中明确仲裁机构及仲裁地；通过诉讼方式解决的，可以在</w:t>
      </w:r>
      <w:r>
        <w:rPr>
          <w:rFonts w:hint="eastAsia" w:ascii="仿宋" w:hAnsi="仿宋" w:eastAsia="仿宋" w:cs="仿宋"/>
          <w:b/>
          <w:bCs/>
          <w:sz w:val="24"/>
          <w:szCs w:val="24"/>
          <w:highlight w:val="none"/>
        </w:rPr>
        <w:t>【政府采购合同专用条款】</w:t>
      </w:r>
      <w:r>
        <w:rPr>
          <w:rFonts w:hint="eastAsia" w:ascii="仿宋" w:hAnsi="仿宋" w:eastAsia="仿宋" w:cs="仿宋"/>
          <w:sz w:val="24"/>
          <w:szCs w:val="24"/>
          <w:highlight w:val="none"/>
        </w:rPr>
        <w:t>中进一步约定选择与争议有实际联系的地点的人民法院管辖，但管辖法院的约定不得违反级别管辖和专属管辖的规定。</w:t>
      </w:r>
    </w:p>
    <w:p w14:paraId="6775936B">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19.3 如甲乙双方有争议的事项不影响合同其他部分的履行，在争议解决期间，合同其他部分应当继续履行。</w:t>
      </w:r>
    </w:p>
    <w:p w14:paraId="24A570F9">
      <w:pPr>
        <w:spacing w:line="380" w:lineRule="exact"/>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lang w:eastAsia="zh-CN"/>
        </w:rPr>
        <w:t>20. 政府采购政策</w:t>
      </w:r>
    </w:p>
    <w:p w14:paraId="79EBD905">
      <w:pPr>
        <w:spacing w:line="3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20.1 </w:t>
      </w:r>
      <w:r>
        <w:rPr>
          <w:rFonts w:hint="eastAsia" w:ascii="仿宋" w:hAnsi="仿宋" w:eastAsia="仿宋" w:cs="仿宋"/>
          <w:color w:val="auto"/>
          <w:sz w:val="24"/>
          <w:highlight w:val="none"/>
          <w:lang w:val="en-GB" w:eastAsia="zh-CN"/>
        </w:rPr>
        <w:t>本合同应当按照规定执行政府采购政策。</w:t>
      </w:r>
    </w:p>
    <w:p w14:paraId="67F1897A">
      <w:pPr>
        <w:spacing w:line="3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20.2 本合同依法执行政府采购政策的方式和内容，属于合同履约验收的范围。甲乙双方</w:t>
      </w:r>
      <w:r>
        <w:rPr>
          <w:rFonts w:hint="eastAsia" w:ascii="仿宋" w:hAnsi="仿宋" w:eastAsia="仿宋" w:cs="仿宋"/>
          <w:color w:val="auto"/>
          <w:sz w:val="24"/>
          <w:highlight w:val="none"/>
          <w:lang w:val="en-GB" w:eastAsia="zh-CN"/>
        </w:rPr>
        <w:t>未按规定要求执行政府采购政策造成损失的</w:t>
      </w:r>
      <w:r>
        <w:rPr>
          <w:rFonts w:hint="eastAsia" w:ascii="仿宋" w:hAnsi="仿宋" w:eastAsia="仿宋" w:cs="仿宋"/>
          <w:color w:val="auto"/>
          <w:sz w:val="24"/>
          <w:highlight w:val="none"/>
          <w:lang w:eastAsia="zh-CN"/>
        </w:rPr>
        <w:t>，有过错的一方应当承担赔偿责任，双方都有过错的，各自承担相应的责任。</w:t>
      </w:r>
    </w:p>
    <w:p w14:paraId="3834067B">
      <w:pPr>
        <w:spacing w:line="3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EE96B82">
      <w:pPr>
        <w:spacing w:line="380" w:lineRule="exac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21. 法律适用</w:t>
      </w:r>
    </w:p>
    <w:p w14:paraId="1BCE375D">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21.1 本合同的订立、生效、解释、履行及与本合同有关的争议解决，均适用法律、行政法规。</w:t>
      </w:r>
    </w:p>
    <w:p w14:paraId="512EBC28">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21.2 本合同条款与法律、行政法规的强制性规定不一致的，双方当事人应按照法律、行政法规的强制性规定修改本合同的相关条款。</w:t>
      </w:r>
    </w:p>
    <w:p w14:paraId="08F52E6A">
      <w:pPr>
        <w:spacing w:line="380" w:lineRule="exact"/>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22. 通知</w:t>
      </w:r>
    </w:p>
    <w:p w14:paraId="410250DB">
      <w:pPr>
        <w:pStyle w:val="38"/>
        <w:spacing w:line="380" w:lineRule="exact"/>
        <w:ind w:firstLine="48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22.1 本合同任何一方向对方发出的通知、信件、数据电文等，应当发送至本合同第一部分《政府采购合同协议书》所约定的通讯地址、联系人、联系电话或电子邮箱。</w:t>
      </w:r>
    </w:p>
    <w:p w14:paraId="10E4ABD1">
      <w:pPr>
        <w:pStyle w:val="38"/>
        <w:spacing w:line="380" w:lineRule="exact"/>
        <w:ind w:firstLine="0" w:firstLineChars="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2FA024A1">
      <w:pPr>
        <w:spacing w:line="3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22.3本合同一方给另一方的通知均应采用书面形式，传真或快递送到本合同中规定的对方的地址和办理签收手续。</w:t>
      </w:r>
    </w:p>
    <w:p w14:paraId="2DA9F4B4">
      <w:pPr>
        <w:spacing w:line="38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22.4通知以送达之日或通知书中规定的生效之日起生效，两者中以较迟之日为准。</w:t>
      </w:r>
    </w:p>
    <w:p w14:paraId="6C1D6A6A">
      <w:pPr>
        <w:numPr>
          <w:ilvl w:val="0"/>
          <w:numId w:val="11"/>
        </w:numPr>
        <w:spacing w:line="380" w:lineRule="exac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3F885A38">
      <w:pPr>
        <w:spacing w:line="380" w:lineRule="exact"/>
        <w:ind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eastAsia="zh-CN"/>
        </w:rPr>
        <w:t>23.1合同未尽事项见</w:t>
      </w:r>
      <w:r>
        <w:rPr>
          <w:rFonts w:hint="eastAsia" w:ascii="仿宋" w:hAnsi="仿宋" w:eastAsia="仿宋" w:cs="仿宋"/>
          <w:b/>
          <w:color w:val="auto"/>
          <w:sz w:val="24"/>
          <w:highlight w:val="none"/>
          <w:lang w:eastAsia="zh-CN"/>
        </w:rPr>
        <w:t>【政府采购合同专用条款】</w:t>
      </w:r>
      <w:r>
        <w:rPr>
          <w:rFonts w:hint="eastAsia" w:ascii="仿宋" w:hAnsi="仿宋" w:eastAsia="仿宋" w:cs="仿宋"/>
          <w:bCs/>
          <w:color w:val="auto"/>
          <w:sz w:val="24"/>
          <w:highlight w:val="none"/>
          <w:lang w:eastAsia="zh-CN"/>
        </w:rPr>
        <w:t>。</w:t>
      </w:r>
    </w:p>
    <w:p w14:paraId="6CF9FDF8">
      <w:pPr>
        <w:spacing w:line="380" w:lineRule="exact"/>
        <w:rPr>
          <w:rFonts w:hint="eastAsia" w:ascii="仿宋" w:hAnsi="仿宋" w:eastAsia="仿宋" w:cs="仿宋"/>
          <w:color w:val="auto"/>
          <w:sz w:val="24"/>
          <w:highlight w:val="none"/>
          <w:lang w:eastAsia="zh-CN"/>
        </w:rPr>
      </w:pPr>
      <w:r>
        <w:rPr>
          <w:rFonts w:hint="eastAsia" w:ascii="仿宋" w:hAnsi="仿宋" w:eastAsia="仿宋" w:cs="仿宋"/>
          <w:bCs/>
          <w:color w:val="auto"/>
          <w:sz w:val="24"/>
          <w:highlight w:val="none"/>
          <w:lang w:eastAsia="zh-CN"/>
        </w:rPr>
        <w:t xml:space="preserve">    23.2 合同附件与合同正文具有同等的法律效力。</w:t>
      </w:r>
      <w:bookmarkStart w:id="359" w:name="_Toc20313"/>
    </w:p>
    <w:p w14:paraId="4D90F4F3">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br w:type="page"/>
      </w:r>
    </w:p>
    <w:p w14:paraId="4D11F0CF">
      <w:pPr>
        <w:pStyle w:val="3"/>
        <w:rPr>
          <w:rFonts w:hint="eastAsia" w:ascii="仿宋" w:hAnsi="仿宋" w:eastAsia="仿宋" w:cs="仿宋"/>
          <w:b w:val="0"/>
          <w:color w:val="auto"/>
          <w:sz w:val="28"/>
          <w:szCs w:val="28"/>
          <w:highlight w:val="none"/>
          <w:lang w:eastAsia="zh-CN"/>
        </w:rPr>
      </w:pPr>
      <w:bookmarkStart w:id="360" w:name="_Toc8274"/>
      <w:r>
        <w:rPr>
          <w:rFonts w:hint="eastAsia" w:ascii="仿宋" w:hAnsi="仿宋" w:eastAsia="仿宋" w:cs="仿宋"/>
          <w:b w:val="0"/>
          <w:color w:val="auto"/>
          <w:sz w:val="28"/>
          <w:szCs w:val="28"/>
          <w:highlight w:val="none"/>
          <w:lang w:eastAsia="zh-CN"/>
        </w:rPr>
        <w:t>第三节 政府采购合同专用条款</w:t>
      </w:r>
      <w:bookmarkEnd w:id="359"/>
      <w:bookmarkEnd w:id="360"/>
    </w:p>
    <w:tbl>
      <w:tblPr>
        <w:tblStyle w:val="2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0E2031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4500992">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4D8BEDBF">
            <w:pPr>
              <w:jc w:val="center"/>
              <w:rPr>
                <w:rFonts w:hint="eastAsia" w:ascii="仿宋" w:hAnsi="仿宋" w:eastAsia="仿宋" w:cs="仿宋"/>
                <w:color w:val="auto"/>
                <w:highlight w:val="none"/>
              </w:rPr>
            </w:pPr>
            <w:r>
              <w:rPr>
                <w:rFonts w:hint="eastAsia" w:ascii="仿宋" w:hAnsi="仿宋" w:eastAsia="仿宋" w:cs="仿宋"/>
                <w:color w:val="auto"/>
                <w:highlight w:val="none"/>
              </w:rPr>
              <w:t>第1.2（6）项</w:t>
            </w:r>
          </w:p>
        </w:tc>
        <w:tc>
          <w:tcPr>
            <w:tcW w:w="1742" w:type="dxa"/>
            <w:noWrap/>
            <w:vAlign w:val="center"/>
          </w:tcPr>
          <w:p w14:paraId="0C2C8BB6">
            <w:pPr>
              <w:rPr>
                <w:rFonts w:hint="eastAsia" w:ascii="仿宋" w:hAnsi="仿宋" w:eastAsia="仿宋" w:cs="仿宋"/>
                <w:color w:val="auto"/>
                <w:highlight w:val="none"/>
              </w:rPr>
            </w:pPr>
            <w:r>
              <w:rPr>
                <w:rFonts w:hint="eastAsia" w:ascii="仿宋" w:hAnsi="仿宋" w:eastAsia="仿宋" w:cs="仿宋"/>
                <w:color w:val="auto"/>
                <w:highlight w:val="none"/>
              </w:rPr>
              <w:t>联合体具体要求</w:t>
            </w:r>
          </w:p>
        </w:tc>
        <w:tc>
          <w:tcPr>
            <w:tcW w:w="5170" w:type="dxa"/>
            <w:noWrap/>
            <w:vAlign w:val="center"/>
          </w:tcPr>
          <w:p w14:paraId="23F877FF">
            <w:pPr>
              <w:rPr>
                <w:rFonts w:hint="eastAsia" w:ascii="仿宋" w:hAnsi="仿宋" w:eastAsia="仿宋" w:cs="仿宋"/>
                <w:color w:val="auto"/>
                <w:highlight w:val="none"/>
              </w:rPr>
            </w:pPr>
          </w:p>
        </w:tc>
      </w:tr>
      <w:tr w14:paraId="7F644DD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ign w:val="center"/>
          </w:tcPr>
          <w:p w14:paraId="04282519">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1323D4F3">
            <w:pPr>
              <w:jc w:val="center"/>
              <w:rPr>
                <w:rFonts w:hint="eastAsia" w:ascii="仿宋" w:hAnsi="仿宋" w:eastAsia="仿宋" w:cs="仿宋"/>
                <w:color w:val="auto"/>
                <w:highlight w:val="none"/>
              </w:rPr>
            </w:pPr>
            <w:r>
              <w:rPr>
                <w:rFonts w:hint="eastAsia" w:ascii="仿宋" w:hAnsi="仿宋" w:eastAsia="仿宋" w:cs="仿宋"/>
                <w:color w:val="auto"/>
                <w:highlight w:val="none"/>
              </w:rPr>
              <w:t>第1.2（7）项</w:t>
            </w:r>
          </w:p>
        </w:tc>
        <w:tc>
          <w:tcPr>
            <w:tcW w:w="1742" w:type="dxa"/>
            <w:noWrap/>
            <w:vAlign w:val="center"/>
          </w:tcPr>
          <w:p w14:paraId="60AD2FD7">
            <w:pPr>
              <w:rPr>
                <w:rFonts w:hint="eastAsia" w:ascii="仿宋" w:hAnsi="仿宋" w:eastAsia="仿宋" w:cs="仿宋"/>
                <w:color w:val="auto"/>
                <w:highlight w:val="none"/>
              </w:rPr>
            </w:pPr>
            <w:r>
              <w:rPr>
                <w:rFonts w:hint="eastAsia" w:ascii="仿宋" w:hAnsi="仿宋" w:eastAsia="仿宋" w:cs="仿宋"/>
                <w:color w:val="auto"/>
                <w:highlight w:val="none"/>
              </w:rPr>
              <w:t>其他术语解释</w:t>
            </w:r>
          </w:p>
        </w:tc>
        <w:tc>
          <w:tcPr>
            <w:tcW w:w="5170" w:type="dxa"/>
            <w:noWrap/>
            <w:vAlign w:val="center"/>
          </w:tcPr>
          <w:p w14:paraId="6F112278">
            <w:pPr>
              <w:rPr>
                <w:rFonts w:hint="eastAsia" w:ascii="仿宋" w:hAnsi="仿宋" w:eastAsia="仿宋" w:cs="仿宋"/>
                <w:color w:val="auto"/>
                <w:highlight w:val="none"/>
              </w:rPr>
            </w:pPr>
          </w:p>
        </w:tc>
      </w:tr>
      <w:tr w14:paraId="287EA6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60B9291">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45028D95">
            <w:pPr>
              <w:jc w:val="center"/>
              <w:rPr>
                <w:rFonts w:hint="eastAsia" w:ascii="仿宋" w:hAnsi="仿宋" w:eastAsia="仿宋" w:cs="仿宋"/>
                <w:color w:val="auto"/>
                <w:highlight w:val="none"/>
              </w:rPr>
            </w:pPr>
            <w:r>
              <w:rPr>
                <w:rFonts w:hint="eastAsia" w:ascii="仿宋" w:hAnsi="仿宋" w:eastAsia="仿宋" w:cs="仿宋"/>
                <w:color w:val="auto"/>
                <w:highlight w:val="none"/>
              </w:rPr>
              <w:t>第4.4款</w:t>
            </w:r>
          </w:p>
        </w:tc>
        <w:tc>
          <w:tcPr>
            <w:tcW w:w="1742" w:type="dxa"/>
            <w:noWrap/>
            <w:vAlign w:val="center"/>
          </w:tcPr>
          <w:p w14:paraId="0DFE5CDB">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履约验收中甲方提出异议或作出说明的期限</w:t>
            </w:r>
          </w:p>
        </w:tc>
        <w:tc>
          <w:tcPr>
            <w:tcW w:w="5170" w:type="dxa"/>
            <w:noWrap/>
            <w:vAlign w:val="center"/>
          </w:tcPr>
          <w:p w14:paraId="723CFB39">
            <w:pPr>
              <w:rPr>
                <w:rFonts w:hint="eastAsia" w:ascii="仿宋" w:hAnsi="仿宋" w:eastAsia="仿宋" w:cs="仿宋"/>
                <w:color w:val="auto"/>
                <w:highlight w:val="none"/>
                <w:lang w:eastAsia="zh-CN"/>
              </w:rPr>
            </w:pPr>
          </w:p>
        </w:tc>
      </w:tr>
      <w:tr w14:paraId="2D92A5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DC0B339">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04A85419">
            <w:pPr>
              <w:jc w:val="center"/>
              <w:rPr>
                <w:rFonts w:hint="eastAsia" w:ascii="仿宋" w:hAnsi="仿宋" w:eastAsia="仿宋" w:cs="仿宋"/>
                <w:color w:val="auto"/>
                <w:highlight w:val="none"/>
              </w:rPr>
            </w:pPr>
            <w:r>
              <w:rPr>
                <w:rFonts w:hint="eastAsia" w:ascii="仿宋" w:hAnsi="仿宋" w:eastAsia="仿宋" w:cs="仿宋"/>
                <w:color w:val="auto"/>
                <w:highlight w:val="none"/>
              </w:rPr>
              <w:t>第4.6款</w:t>
            </w:r>
          </w:p>
        </w:tc>
        <w:tc>
          <w:tcPr>
            <w:tcW w:w="1742" w:type="dxa"/>
            <w:noWrap/>
            <w:vAlign w:val="center"/>
          </w:tcPr>
          <w:p w14:paraId="48AEF403">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约定甲方承担的其他义务和责任</w:t>
            </w:r>
          </w:p>
        </w:tc>
        <w:tc>
          <w:tcPr>
            <w:tcW w:w="5170" w:type="dxa"/>
            <w:noWrap/>
            <w:vAlign w:val="center"/>
          </w:tcPr>
          <w:p w14:paraId="7AD3E204">
            <w:pPr>
              <w:rPr>
                <w:rFonts w:hint="eastAsia" w:ascii="仿宋" w:hAnsi="仿宋" w:eastAsia="仿宋" w:cs="仿宋"/>
                <w:color w:val="auto"/>
                <w:highlight w:val="none"/>
                <w:lang w:eastAsia="zh-CN"/>
              </w:rPr>
            </w:pPr>
          </w:p>
        </w:tc>
      </w:tr>
      <w:tr w14:paraId="67FC1B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6DF21D92">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7C6567C4">
            <w:pPr>
              <w:jc w:val="center"/>
              <w:rPr>
                <w:rFonts w:hint="eastAsia" w:ascii="仿宋" w:hAnsi="仿宋" w:eastAsia="仿宋" w:cs="仿宋"/>
                <w:color w:val="auto"/>
                <w:highlight w:val="none"/>
              </w:rPr>
            </w:pPr>
            <w:r>
              <w:rPr>
                <w:rFonts w:hint="eastAsia" w:ascii="仿宋" w:hAnsi="仿宋" w:eastAsia="仿宋" w:cs="仿宋"/>
                <w:color w:val="auto"/>
                <w:highlight w:val="none"/>
              </w:rPr>
              <w:t>第5.4款</w:t>
            </w:r>
          </w:p>
        </w:tc>
        <w:tc>
          <w:tcPr>
            <w:tcW w:w="1742" w:type="dxa"/>
            <w:noWrap/>
            <w:vAlign w:val="center"/>
          </w:tcPr>
          <w:p w14:paraId="594AC29D">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约定乙方承担的其他义务和责任</w:t>
            </w:r>
          </w:p>
        </w:tc>
        <w:tc>
          <w:tcPr>
            <w:tcW w:w="5170" w:type="dxa"/>
            <w:noWrap/>
            <w:vAlign w:val="center"/>
          </w:tcPr>
          <w:p w14:paraId="2418D6FB">
            <w:pPr>
              <w:rPr>
                <w:rFonts w:hint="eastAsia" w:ascii="仿宋" w:hAnsi="仿宋" w:eastAsia="仿宋" w:cs="仿宋"/>
                <w:color w:val="auto"/>
                <w:highlight w:val="none"/>
                <w:lang w:eastAsia="zh-CN"/>
              </w:rPr>
            </w:pPr>
          </w:p>
        </w:tc>
      </w:tr>
      <w:tr w14:paraId="1A3F60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4DC2446F">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30C8376F">
            <w:pPr>
              <w:jc w:val="center"/>
              <w:rPr>
                <w:rFonts w:hint="eastAsia" w:ascii="仿宋" w:hAnsi="仿宋" w:eastAsia="仿宋" w:cs="仿宋"/>
                <w:color w:val="auto"/>
                <w:highlight w:val="none"/>
              </w:rPr>
            </w:pPr>
            <w:r>
              <w:rPr>
                <w:rFonts w:hint="eastAsia" w:ascii="仿宋" w:hAnsi="仿宋" w:eastAsia="仿宋" w:cs="仿宋"/>
                <w:color w:val="auto"/>
                <w:highlight w:val="none"/>
              </w:rPr>
              <w:t>第6.1款</w:t>
            </w:r>
          </w:p>
        </w:tc>
        <w:tc>
          <w:tcPr>
            <w:tcW w:w="1742" w:type="dxa"/>
            <w:noWrap/>
            <w:vAlign w:val="center"/>
          </w:tcPr>
          <w:p w14:paraId="0C036063">
            <w:pPr>
              <w:rPr>
                <w:rFonts w:hint="eastAsia" w:ascii="仿宋" w:hAnsi="仿宋" w:eastAsia="仿宋" w:cs="仿宋"/>
                <w:color w:val="auto"/>
                <w:highlight w:val="none"/>
              </w:rPr>
            </w:pPr>
            <w:r>
              <w:rPr>
                <w:rFonts w:hint="eastAsia" w:ascii="仿宋" w:hAnsi="仿宋" w:eastAsia="仿宋" w:cs="仿宋"/>
                <w:color w:val="auto"/>
                <w:highlight w:val="none"/>
              </w:rPr>
              <w:t>履行合同义务的顺序</w:t>
            </w:r>
          </w:p>
        </w:tc>
        <w:tc>
          <w:tcPr>
            <w:tcW w:w="5170" w:type="dxa"/>
            <w:noWrap/>
            <w:vAlign w:val="center"/>
          </w:tcPr>
          <w:p w14:paraId="78957F3E">
            <w:pPr>
              <w:rPr>
                <w:rFonts w:hint="eastAsia" w:ascii="仿宋" w:hAnsi="仿宋" w:eastAsia="仿宋" w:cs="仿宋"/>
                <w:color w:val="auto"/>
                <w:highlight w:val="none"/>
              </w:rPr>
            </w:pPr>
          </w:p>
        </w:tc>
      </w:tr>
      <w:tr w14:paraId="1B0268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ign w:val="center"/>
          </w:tcPr>
          <w:p w14:paraId="0C5621DC">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F5D9DAE">
            <w:pPr>
              <w:jc w:val="center"/>
              <w:rPr>
                <w:rFonts w:hint="eastAsia" w:ascii="仿宋" w:hAnsi="仿宋" w:eastAsia="仿宋" w:cs="仿宋"/>
                <w:color w:val="auto"/>
                <w:highlight w:val="none"/>
              </w:rPr>
            </w:pPr>
            <w:r>
              <w:rPr>
                <w:rFonts w:hint="eastAsia" w:ascii="仿宋" w:hAnsi="仿宋" w:eastAsia="仿宋" w:cs="仿宋"/>
                <w:color w:val="auto"/>
                <w:highlight w:val="none"/>
              </w:rPr>
              <w:t>第7.1款</w:t>
            </w:r>
          </w:p>
        </w:tc>
        <w:tc>
          <w:tcPr>
            <w:tcW w:w="1742" w:type="dxa"/>
            <w:noWrap/>
            <w:vAlign w:val="center"/>
          </w:tcPr>
          <w:p w14:paraId="25771539">
            <w:pPr>
              <w:rPr>
                <w:rFonts w:hint="eastAsia" w:ascii="仿宋" w:hAnsi="仿宋" w:eastAsia="仿宋" w:cs="仿宋"/>
                <w:color w:val="auto"/>
                <w:highlight w:val="none"/>
              </w:rPr>
            </w:pPr>
            <w:r>
              <w:rPr>
                <w:rFonts w:hint="eastAsia" w:ascii="仿宋" w:hAnsi="仿宋" w:eastAsia="仿宋" w:cs="仿宋"/>
                <w:color w:val="auto"/>
                <w:highlight w:val="none"/>
              </w:rPr>
              <w:t>包装特殊要求</w:t>
            </w:r>
          </w:p>
        </w:tc>
        <w:tc>
          <w:tcPr>
            <w:tcW w:w="5170" w:type="dxa"/>
            <w:noWrap/>
            <w:vAlign w:val="center"/>
          </w:tcPr>
          <w:p w14:paraId="6475EC98">
            <w:pPr>
              <w:rPr>
                <w:rFonts w:hint="eastAsia" w:ascii="仿宋" w:hAnsi="仿宋" w:eastAsia="仿宋" w:cs="仿宋"/>
                <w:color w:val="auto"/>
                <w:highlight w:val="none"/>
              </w:rPr>
            </w:pPr>
          </w:p>
        </w:tc>
      </w:tr>
      <w:tr w14:paraId="2ED4DFC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ign w:val="center"/>
          </w:tcPr>
          <w:p w14:paraId="46738634">
            <w:pPr>
              <w:jc w:val="center"/>
              <w:rPr>
                <w:rFonts w:hint="eastAsia" w:ascii="仿宋" w:hAnsi="仿宋" w:eastAsia="仿宋" w:cs="仿宋"/>
                <w:color w:val="auto"/>
                <w:highlight w:val="none"/>
              </w:rPr>
            </w:pPr>
          </w:p>
        </w:tc>
        <w:tc>
          <w:tcPr>
            <w:tcW w:w="1742" w:type="dxa"/>
            <w:noWrap/>
            <w:vAlign w:val="center"/>
          </w:tcPr>
          <w:p w14:paraId="58F063D0">
            <w:pPr>
              <w:rPr>
                <w:rFonts w:hint="eastAsia" w:ascii="仿宋" w:hAnsi="仿宋" w:eastAsia="仿宋" w:cs="仿宋"/>
                <w:color w:val="auto"/>
                <w:highlight w:val="none"/>
              </w:rPr>
            </w:pPr>
            <w:r>
              <w:rPr>
                <w:rFonts w:hint="eastAsia" w:ascii="仿宋" w:hAnsi="仿宋" w:eastAsia="仿宋" w:cs="仿宋"/>
                <w:color w:val="auto"/>
                <w:highlight w:val="none"/>
              </w:rPr>
              <w:t>指定现场</w:t>
            </w:r>
          </w:p>
        </w:tc>
        <w:tc>
          <w:tcPr>
            <w:tcW w:w="5170" w:type="dxa"/>
            <w:noWrap/>
            <w:vAlign w:val="center"/>
          </w:tcPr>
          <w:p w14:paraId="1932041F">
            <w:pPr>
              <w:rPr>
                <w:rFonts w:hint="eastAsia" w:ascii="仿宋" w:hAnsi="仿宋" w:eastAsia="仿宋" w:cs="仿宋"/>
                <w:color w:val="auto"/>
                <w:highlight w:val="none"/>
              </w:rPr>
            </w:pPr>
          </w:p>
        </w:tc>
      </w:tr>
      <w:tr w14:paraId="79A4AE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ign w:val="center"/>
          </w:tcPr>
          <w:p w14:paraId="37995F7C">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11F0E680">
            <w:pPr>
              <w:jc w:val="center"/>
              <w:rPr>
                <w:rFonts w:hint="eastAsia" w:ascii="仿宋" w:hAnsi="仿宋" w:eastAsia="仿宋" w:cs="仿宋"/>
                <w:color w:val="auto"/>
                <w:highlight w:val="none"/>
              </w:rPr>
            </w:pPr>
            <w:r>
              <w:rPr>
                <w:rFonts w:hint="eastAsia" w:ascii="仿宋" w:hAnsi="仿宋" w:eastAsia="仿宋" w:cs="仿宋"/>
                <w:color w:val="auto"/>
                <w:highlight w:val="none"/>
              </w:rPr>
              <w:t>第7.2款</w:t>
            </w:r>
          </w:p>
        </w:tc>
        <w:tc>
          <w:tcPr>
            <w:tcW w:w="1742" w:type="dxa"/>
            <w:noWrap/>
            <w:vAlign w:val="center"/>
          </w:tcPr>
          <w:p w14:paraId="61C776CB">
            <w:pPr>
              <w:rPr>
                <w:rFonts w:hint="eastAsia" w:ascii="仿宋" w:hAnsi="仿宋" w:eastAsia="仿宋" w:cs="仿宋"/>
                <w:color w:val="auto"/>
                <w:highlight w:val="none"/>
              </w:rPr>
            </w:pPr>
            <w:r>
              <w:rPr>
                <w:rFonts w:hint="eastAsia" w:ascii="仿宋" w:hAnsi="仿宋" w:eastAsia="仿宋" w:cs="仿宋"/>
                <w:color w:val="auto"/>
                <w:highlight w:val="none"/>
              </w:rPr>
              <w:t>运输特殊要求</w:t>
            </w:r>
          </w:p>
        </w:tc>
        <w:tc>
          <w:tcPr>
            <w:tcW w:w="5170" w:type="dxa"/>
            <w:noWrap/>
            <w:vAlign w:val="center"/>
          </w:tcPr>
          <w:p w14:paraId="3C252FB9">
            <w:pPr>
              <w:rPr>
                <w:rFonts w:hint="eastAsia" w:ascii="仿宋" w:hAnsi="仿宋" w:eastAsia="仿宋" w:cs="仿宋"/>
                <w:color w:val="auto"/>
                <w:highlight w:val="none"/>
              </w:rPr>
            </w:pPr>
          </w:p>
        </w:tc>
      </w:tr>
      <w:tr w14:paraId="23BF0AD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ign w:val="center"/>
          </w:tcPr>
          <w:p w14:paraId="3DBC3DEF">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79A0DE73">
            <w:pPr>
              <w:jc w:val="center"/>
              <w:rPr>
                <w:rFonts w:hint="eastAsia" w:ascii="仿宋" w:hAnsi="仿宋" w:eastAsia="仿宋" w:cs="仿宋"/>
                <w:color w:val="auto"/>
                <w:highlight w:val="none"/>
              </w:rPr>
            </w:pPr>
            <w:r>
              <w:rPr>
                <w:rFonts w:hint="eastAsia" w:ascii="仿宋" w:hAnsi="仿宋" w:eastAsia="仿宋" w:cs="仿宋"/>
                <w:color w:val="auto"/>
                <w:highlight w:val="none"/>
              </w:rPr>
              <w:t>第7.3款</w:t>
            </w:r>
          </w:p>
        </w:tc>
        <w:tc>
          <w:tcPr>
            <w:tcW w:w="1742" w:type="dxa"/>
            <w:noWrap/>
            <w:vAlign w:val="center"/>
          </w:tcPr>
          <w:p w14:paraId="2B82DFCF">
            <w:pPr>
              <w:rPr>
                <w:rFonts w:hint="eastAsia" w:ascii="仿宋" w:hAnsi="仿宋" w:eastAsia="仿宋" w:cs="仿宋"/>
                <w:color w:val="auto"/>
                <w:highlight w:val="none"/>
              </w:rPr>
            </w:pPr>
            <w:r>
              <w:rPr>
                <w:rFonts w:hint="eastAsia" w:ascii="仿宋" w:hAnsi="仿宋" w:eastAsia="仿宋" w:cs="仿宋"/>
                <w:color w:val="auto"/>
                <w:highlight w:val="none"/>
              </w:rPr>
              <w:t>保险要求</w:t>
            </w:r>
          </w:p>
        </w:tc>
        <w:tc>
          <w:tcPr>
            <w:tcW w:w="5170" w:type="dxa"/>
            <w:noWrap/>
            <w:vAlign w:val="center"/>
          </w:tcPr>
          <w:p w14:paraId="56D0CFC1">
            <w:pPr>
              <w:rPr>
                <w:rFonts w:hint="eastAsia" w:ascii="仿宋" w:hAnsi="仿宋" w:eastAsia="仿宋" w:cs="仿宋"/>
                <w:color w:val="auto"/>
                <w:highlight w:val="none"/>
              </w:rPr>
            </w:pPr>
          </w:p>
        </w:tc>
      </w:tr>
      <w:tr w14:paraId="754C15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3107B67">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A5B0452">
            <w:pPr>
              <w:jc w:val="center"/>
              <w:rPr>
                <w:rFonts w:hint="eastAsia" w:ascii="仿宋" w:hAnsi="仿宋" w:eastAsia="仿宋" w:cs="仿宋"/>
                <w:color w:val="auto"/>
                <w:highlight w:val="none"/>
              </w:rPr>
            </w:pPr>
            <w:r>
              <w:rPr>
                <w:rFonts w:hint="eastAsia" w:ascii="仿宋" w:hAnsi="仿宋" w:eastAsia="仿宋" w:cs="仿宋"/>
                <w:color w:val="auto"/>
                <w:highlight w:val="none"/>
              </w:rPr>
              <w:t>第8.2（1）项</w:t>
            </w:r>
          </w:p>
        </w:tc>
        <w:tc>
          <w:tcPr>
            <w:tcW w:w="1742" w:type="dxa"/>
            <w:noWrap/>
            <w:vAlign w:val="center"/>
          </w:tcPr>
          <w:p w14:paraId="70C198D3">
            <w:pPr>
              <w:rPr>
                <w:rFonts w:hint="eastAsia" w:ascii="仿宋" w:hAnsi="仿宋" w:eastAsia="仿宋" w:cs="仿宋"/>
                <w:color w:val="auto"/>
                <w:highlight w:val="none"/>
              </w:rPr>
            </w:pPr>
            <w:r>
              <w:rPr>
                <w:rFonts w:hint="eastAsia" w:ascii="仿宋" w:hAnsi="仿宋" w:eastAsia="仿宋" w:cs="仿宋"/>
                <w:color w:val="auto"/>
                <w:highlight w:val="none"/>
              </w:rPr>
              <w:t>质量保证期</w:t>
            </w:r>
          </w:p>
        </w:tc>
        <w:tc>
          <w:tcPr>
            <w:tcW w:w="5170" w:type="dxa"/>
            <w:noWrap/>
            <w:vAlign w:val="center"/>
          </w:tcPr>
          <w:p w14:paraId="4E10CB17">
            <w:pPr>
              <w:ind w:firstLine="420" w:firstLineChars="200"/>
              <w:rPr>
                <w:rFonts w:hint="eastAsia" w:ascii="仿宋" w:hAnsi="仿宋" w:eastAsia="仿宋" w:cs="仿宋"/>
                <w:color w:val="auto"/>
                <w:highlight w:val="none"/>
              </w:rPr>
            </w:pPr>
          </w:p>
        </w:tc>
      </w:tr>
      <w:tr w14:paraId="2D5E80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2E8BCBC">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359D29FA">
            <w:pPr>
              <w:jc w:val="center"/>
              <w:rPr>
                <w:rFonts w:hint="eastAsia" w:ascii="仿宋" w:hAnsi="仿宋" w:eastAsia="仿宋" w:cs="仿宋"/>
                <w:color w:val="auto"/>
                <w:highlight w:val="none"/>
              </w:rPr>
            </w:pPr>
            <w:r>
              <w:rPr>
                <w:rFonts w:hint="eastAsia" w:ascii="仿宋" w:hAnsi="仿宋" w:eastAsia="仿宋" w:cs="仿宋"/>
                <w:color w:val="auto"/>
                <w:highlight w:val="none"/>
              </w:rPr>
              <w:t>第8.2（3）项</w:t>
            </w:r>
          </w:p>
        </w:tc>
        <w:tc>
          <w:tcPr>
            <w:tcW w:w="1742" w:type="dxa"/>
            <w:noWrap/>
            <w:vAlign w:val="center"/>
          </w:tcPr>
          <w:p w14:paraId="69601FB5">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货物质量缺陷</w:t>
            </w:r>
          </w:p>
          <w:p w14:paraId="27AD42F7">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响应时间</w:t>
            </w:r>
          </w:p>
        </w:tc>
        <w:tc>
          <w:tcPr>
            <w:tcW w:w="5170" w:type="dxa"/>
            <w:noWrap/>
            <w:vAlign w:val="center"/>
          </w:tcPr>
          <w:p w14:paraId="3CEEB9E6">
            <w:pPr>
              <w:rPr>
                <w:rFonts w:hint="eastAsia" w:ascii="仿宋" w:hAnsi="仿宋" w:eastAsia="仿宋" w:cs="仿宋"/>
                <w:color w:val="auto"/>
                <w:highlight w:val="none"/>
                <w:lang w:eastAsia="zh-CN"/>
              </w:rPr>
            </w:pPr>
          </w:p>
        </w:tc>
      </w:tr>
      <w:tr w14:paraId="210D785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D84CBCE">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0A8B7129">
            <w:pPr>
              <w:pStyle w:val="38"/>
              <w:ind w:firstLine="0" w:firstLineChars="0"/>
              <w:jc w:val="center"/>
              <w:rPr>
                <w:rFonts w:hint="eastAsia" w:ascii="仿宋" w:hAnsi="仿宋" w:eastAsia="仿宋" w:cs="仿宋"/>
                <w:highlight w:val="none"/>
              </w:rPr>
            </w:pPr>
            <w:r>
              <w:rPr>
                <w:rFonts w:hint="eastAsia" w:ascii="仿宋" w:hAnsi="仿宋" w:eastAsia="仿宋" w:cs="仿宋"/>
                <w:highlight w:val="none"/>
              </w:rPr>
              <w:t>第11.1款</w:t>
            </w:r>
          </w:p>
        </w:tc>
        <w:tc>
          <w:tcPr>
            <w:tcW w:w="1742" w:type="dxa"/>
            <w:noWrap/>
            <w:vAlign w:val="center"/>
          </w:tcPr>
          <w:p w14:paraId="2280E4C6">
            <w:pPr>
              <w:rPr>
                <w:rFonts w:hint="eastAsia" w:ascii="仿宋" w:hAnsi="仿宋" w:eastAsia="仿宋" w:cs="仿宋"/>
                <w:color w:val="auto"/>
                <w:highlight w:val="none"/>
              </w:rPr>
            </w:pPr>
            <w:r>
              <w:rPr>
                <w:rFonts w:hint="eastAsia" w:ascii="仿宋" w:hAnsi="仿宋" w:eastAsia="仿宋" w:cs="仿宋"/>
                <w:color w:val="auto"/>
                <w:highlight w:val="none"/>
              </w:rPr>
              <w:t>其他应当保密的信息</w:t>
            </w:r>
          </w:p>
        </w:tc>
        <w:tc>
          <w:tcPr>
            <w:tcW w:w="5170" w:type="dxa"/>
            <w:noWrap/>
            <w:vAlign w:val="center"/>
          </w:tcPr>
          <w:p w14:paraId="45D54038">
            <w:pPr>
              <w:rPr>
                <w:rFonts w:hint="eastAsia" w:ascii="仿宋" w:hAnsi="仿宋" w:eastAsia="仿宋" w:cs="仿宋"/>
                <w:color w:val="auto"/>
                <w:highlight w:val="none"/>
              </w:rPr>
            </w:pPr>
          </w:p>
        </w:tc>
      </w:tr>
      <w:tr w14:paraId="034DE7D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1CCE6CD6">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36320F4E">
            <w:pPr>
              <w:jc w:val="center"/>
              <w:rPr>
                <w:rFonts w:hint="eastAsia" w:ascii="仿宋" w:hAnsi="仿宋" w:eastAsia="仿宋" w:cs="仿宋"/>
                <w:color w:val="auto"/>
                <w:highlight w:val="none"/>
              </w:rPr>
            </w:pPr>
            <w:r>
              <w:rPr>
                <w:rFonts w:hint="eastAsia" w:ascii="仿宋" w:hAnsi="仿宋" w:eastAsia="仿宋" w:cs="仿宋"/>
                <w:color w:val="auto"/>
                <w:highlight w:val="none"/>
              </w:rPr>
              <w:t>第12.2款</w:t>
            </w:r>
          </w:p>
        </w:tc>
        <w:tc>
          <w:tcPr>
            <w:tcW w:w="1742" w:type="dxa"/>
            <w:noWrap/>
            <w:vAlign w:val="center"/>
          </w:tcPr>
          <w:p w14:paraId="3981FAB4">
            <w:pPr>
              <w:rPr>
                <w:rFonts w:hint="eastAsia" w:ascii="仿宋" w:hAnsi="仿宋" w:eastAsia="仿宋" w:cs="仿宋"/>
                <w:color w:val="auto"/>
                <w:highlight w:val="none"/>
              </w:rPr>
            </w:pPr>
            <w:r>
              <w:rPr>
                <w:rFonts w:hint="eastAsia" w:ascii="仿宋" w:hAnsi="仿宋" w:eastAsia="仿宋" w:cs="仿宋"/>
                <w:color w:val="auto"/>
                <w:highlight w:val="none"/>
              </w:rPr>
              <w:t>合同价款支付时间</w:t>
            </w:r>
          </w:p>
        </w:tc>
        <w:tc>
          <w:tcPr>
            <w:tcW w:w="5170" w:type="dxa"/>
            <w:noWrap/>
            <w:vAlign w:val="center"/>
          </w:tcPr>
          <w:p w14:paraId="4A7B9D49">
            <w:pPr>
              <w:rPr>
                <w:rFonts w:hint="eastAsia" w:ascii="仿宋" w:hAnsi="仿宋" w:eastAsia="仿宋" w:cs="仿宋"/>
                <w:color w:val="auto"/>
                <w:highlight w:val="none"/>
              </w:rPr>
            </w:pPr>
          </w:p>
        </w:tc>
      </w:tr>
      <w:tr w14:paraId="0BA687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ign w:val="center"/>
          </w:tcPr>
          <w:p w14:paraId="5EC2FEC9">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79B55842">
            <w:pPr>
              <w:jc w:val="center"/>
              <w:rPr>
                <w:rFonts w:hint="eastAsia" w:ascii="仿宋" w:hAnsi="仿宋" w:eastAsia="仿宋" w:cs="仿宋"/>
                <w:color w:val="auto"/>
                <w:highlight w:val="none"/>
              </w:rPr>
            </w:pPr>
            <w:r>
              <w:rPr>
                <w:rFonts w:hint="eastAsia" w:ascii="仿宋" w:hAnsi="仿宋" w:eastAsia="仿宋" w:cs="仿宋"/>
                <w:color w:val="auto"/>
                <w:highlight w:val="none"/>
              </w:rPr>
              <w:t>第13.2款</w:t>
            </w:r>
          </w:p>
        </w:tc>
        <w:tc>
          <w:tcPr>
            <w:tcW w:w="1742" w:type="dxa"/>
            <w:noWrap/>
            <w:vAlign w:val="center"/>
          </w:tcPr>
          <w:p w14:paraId="3D07DAC1">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履约保证金不予退还的情形</w:t>
            </w:r>
          </w:p>
        </w:tc>
        <w:tc>
          <w:tcPr>
            <w:tcW w:w="5170" w:type="dxa"/>
            <w:noWrap/>
            <w:vAlign w:val="center"/>
          </w:tcPr>
          <w:p w14:paraId="716004D6">
            <w:pPr>
              <w:rPr>
                <w:rFonts w:hint="eastAsia" w:ascii="仿宋" w:hAnsi="仿宋" w:eastAsia="仿宋" w:cs="仿宋"/>
                <w:color w:val="auto"/>
                <w:highlight w:val="none"/>
                <w:lang w:eastAsia="zh-CN"/>
              </w:rPr>
            </w:pPr>
          </w:p>
        </w:tc>
      </w:tr>
      <w:tr w14:paraId="389F48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0E9884CD">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0C2B55FD">
            <w:pPr>
              <w:jc w:val="center"/>
              <w:rPr>
                <w:rFonts w:hint="eastAsia" w:ascii="仿宋" w:hAnsi="仿宋" w:eastAsia="仿宋" w:cs="仿宋"/>
                <w:color w:val="auto"/>
                <w:highlight w:val="none"/>
              </w:rPr>
            </w:pPr>
            <w:r>
              <w:rPr>
                <w:rFonts w:hint="eastAsia" w:ascii="仿宋" w:hAnsi="仿宋" w:eastAsia="仿宋" w:cs="仿宋"/>
                <w:color w:val="auto"/>
                <w:highlight w:val="none"/>
              </w:rPr>
              <w:t>第13.3款</w:t>
            </w:r>
          </w:p>
        </w:tc>
        <w:tc>
          <w:tcPr>
            <w:tcW w:w="1742" w:type="dxa"/>
            <w:noWrap/>
            <w:vAlign w:val="center"/>
          </w:tcPr>
          <w:p w14:paraId="758E7026">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履约保证金退还时间及逾期退还的违约金</w:t>
            </w:r>
          </w:p>
        </w:tc>
        <w:tc>
          <w:tcPr>
            <w:tcW w:w="5170" w:type="dxa"/>
            <w:noWrap/>
            <w:vAlign w:val="center"/>
          </w:tcPr>
          <w:p w14:paraId="74714635">
            <w:pPr>
              <w:rPr>
                <w:rFonts w:hint="eastAsia" w:ascii="仿宋" w:hAnsi="仿宋" w:eastAsia="仿宋" w:cs="仿宋"/>
                <w:color w:val="auto"/>
                <w:highlight w:val="none"/>
                <w:lang w:eastAsia="zh-CN"/>
              </w:rPr>
            </w:pPr>
          </w:p>
        </w:tc>
      </w:tr>
      <w:tr w14:paraId="551F98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51A88515">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49065A49">
            <w:pPr>
              <w:jc w:val="center"/>
              <w:rPr>
                <w:rFonts w:hint="eastAsia" w:ascii="仿宋" w:hAnsi="仿宋" w:eastAsia="仿宋" w:cs="仿宋"/>
                <w:color w:val="auto"/>
                <w:highlight w:val="none"/>
              </w:rPr>
            </w:pPr>
            <w:r>
              <w:rPr>
                <w:rFonts w:hint="eastAsia" w:ascii="仿宋" w:hAnsi="仿宋" w:eastAsia="仿宋" w:cs="仿宋"/>
                <w:color w:val="auto"/>
                <w:highlight w:val="none"/>
              </w:rPr>
              <w:t>第14.1（3）项</w:t>
            </w:r>
          </w:p>
        </w:tc>
        <w:tc>
          <w:tcPr>
            <w:tcW w:w="1742" w:type="dxa"/>
            <w:noWrap/>
            <w:vAlign w:val="center"/>
          </w:tcPr>
          <w:p w14:paraId="13C26C54">
            <w:pPr>
              <w:rPr>
                <w:rFonts w:hint="eastAsia" w:ascii="仿宋" w:hAnsi="仿宋" w:eastAsia="仿宋" w:cs="仿宋"/>
                <w:color w:val="auto"/>
                <w:highlight w:val="none"/>
              </w:rPr>
            </w:pPr>
            <w:r>
              <w:rPr>
                <w:rFonts w:hint="eastAsia" w:ascii="仿宋" w:hAnsi="仿宋" w:eastAsia="仿宋" w:cs="仿宋"/>
                <w:color w:val="auto"/>
                <w:highlight w:val="none"/>
              </w:rPr>
              <w:t>运行监督、维修期限</w:t>
            </w:r>
          </w:p>
        </w:tc>
        <w:tc>
          <w:tcPr>
            <w:tcW w:w="5170" w:type="dxa"/>
            <w:noWrap/>
            <w:vAlign w:val="center"/>
          </w:tcPr>
          <w:p w14:paraId="24C282C5">
            <w:pPr>
              <w:rPr>
                <w:rFonts w:hint="eastAsia" w:ascii="仿宋" w:hAnsi="仿宋" w:eastAsia="仿宋" w:cs="仿宋"/>
                <w:color w:val="auto"/>
                <w:highlight w:val="none"/>
              </w:rPr>
            </w:pPr>
          </w:p>
        </w:tc>
      </w:tr>
      <w:tr w14:paraId="282A376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ign w:val="center"/>
          </w:tcPr>
          <w:p w14:paraId="382A7E01">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130D0D7">
            <w:pPr>
              <w:jc w:val="center"/>
              <w:rPr>
                <w:rFonts w:hint="eastAsia" w:ascii="仿宋" w:hAnsi="仿宋" w:eastAsia="仿宋" w:cs="仿宋"/>
                <w:color w:val="auto"/>
                <w:highlight w:val="none"/>
              </w:rPr>
            </w:pPr>
            <w:r>
              <w:rPr>
                <w:rFonts w:hint="eastAsia" w:ascii="仿宋" w:hAnsi="仿宋" w:eastAsia="仿宋" w:cs="仿宋"/>
                <w:color w:val="auto"/>
                <w:highlight w:val="none"/>
              </w:rPr>
              <w:t>第14.1（5）项</w:t>
            </w:r>
          </w:p>
        </w:tc>
        <w:tc>
          <w:tcPr>
            <w:tcW w:w="1742" w:type="dxa"/>
            <w:noWrap/>
            <w:vAlign w:val="center"/>
          </w:tcPr>
          <w:p w14:paraId="58C8B832">
            <w:pPr>
              <w:rPr>
                <w:rFonts w:hint="eastAsia" w:ascii="仿宋" w:hAnsi="仿宋" w:eastAsia="仿宋" w:cs="仿宋"/>
                <w:color w:val="auto"/>
                <w:highlight w:val="none"/>
              </w:rPr>
            </w:pPr>
            <w:r>
              <w:rPr>
                <w:rFonts w:hint="eastAsia" w:ascii="仿宋" w:hAnsi="仿宋" w:eastAsia="仿宋" w:cs="仿宋"/>
                <w:color w:val="auto"/>
                <w:highlight w:val="none"/>
              </w:rPr>
              <w:t>货物回收的约定</w:t>
            </w:r>
          </w:p>
        </w:tc>
        <w:tc>
          <w:tcPr>
            <w:tcW w:w="5170" w:type="dxa"/>
            <w:noWrap/>
            <w:vAlign w:val="center"/>
          </w:tcPr>
          <w:p w14:paraId="274F4C2E">
            <w:pPr>
              <w:rPr>
                <w:rFonts w:hint="eastAsia" w:ascii="仿宋" w:hAnsi="仿宋" w:eastAsia="仿宋" w:cs="仿宋"/>
                <w:color w:val="auto"/>
                <w:highlight w:val="none"/>
              </w:rPr>
            </w:pPr>
          </w:p>
        </w:tc>
      </w:tr>
      <w:tr w14:paraId="5C91A2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769C818C">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6D22BFDB">
            <w:pPr>
              <w:jc w:val="center"/>
              <w:rPr>
                <w:rFonts w:hint="eastAsia" w:ascii="仿宋" w:hAnsi="仿宋" w:eastAsia="仿宋" w:cs="仿宋"/>
                <w:color w:val="auto"/>
                <w:highlight w:val="none"/>
              </w:rPr>
            </w:pPr>
            <w:r>
              <w:rPr>
                <w:rFonts w:hint="eastAsia" w:ascii="仿宋" w:hAnsi="仿宋" w:eastAsia="仿宋" w:cs="仿宋"/>
                <w:color w:val="auto"/>
                <w:highlight w:val="none"/>
              </w:rPr>
              <w:t>第14.1（6）项</w:t>
            </w:r>
          </w:p>
        </w:tc>
        <w:tc>
          <w:tcPr>
            <w:tcW w:w="1742" w:type="dxa"/>
            <w:noWrap/>
            <w:vAlign w:val="center"/>
          </w:tcPr>
          <w:p w14:paraId="69273941">
            <w:pPr>
              <w:rPr>
                <w:rFonts w:hint="eastAsia" w:ascii="仿宋" w:hAnsi="仿宋" w:eastAsia="仿宋" w:cs="仿宋"/>
                <w:color w:val="auto"/>
                <w:highlight w:val="none"/>
              </w:rPr>
            </w:pPr>
            <w:r>
              <w:rPr>
                <w:rFonts w:hint="eastAsia" w:ascii="仿宋" w:hAnsi="仿宋" w:eastAsia="仿宋" w:cs="仿宋"/>
                <w:color w:val="auto"/>
                <w:highlight w:val="none"/>
              </w:rPr>
              <w:t>乙方提供的其他服务</w:t>
            </w:r>
          </w:p>
        </w:tc>
        <w:tc>
          <w:tcPr>
            <w:tcW w:w="5170" w:type="dxa"/>
            <w:noWrap/>
            <w:vAlign w:val="center"/>
          </w:tcPr>
          <w:p w14:paraId="20CC66D4">
            <w:pPr>
              <w:rPr>
                <w:rFonts w:hint="eastAsia" w:ascii="仿宋" w:hAnsi="仿宋" w:eastAsia="仿宋" w:cs="仿宋"/>
                <w:color w:val="auto"/>
                <w:highlight w:val="none"/>
              </w:rPr>
            </w:pPr>
          </w:p>
        </w:tc>
      </w:tr>
      <w:tr w14:paraId="42B0F5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5A0BD177">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126FA13E">
            <w:pPr>
              <w:jc w:val="center"/>
              <w:rPr>
                <w:rFonts w:hint="eastAsia" w:ascii="仿宋" w:hAnsi="仿宋" w:eastAsia="仿宋" w:cs="仿宋"/>
                <w:color w:val="auto"/>
                <w:highlight w:val="none"/>
              </w:rPr>
            </w:pPr>
            <w:r>
              <w:rPr>
                <w:rFonts w:hint="eastAsia" w:ascii="仿宋" w:hAnsi="仿宋" w:eastAsia="仿宋" w:cs="仿宋"/>
                <w:color w:val="auto"/>
                <w:highlight w:val="none"/>
              </w:rPr>
              <w:t>第15.1款</w:t>
            </w:r>
          </w:p>
        </w:tc>
        <w:tc>
          <w:tcPr>
            <w:tcW w:w="1742" w:type="dxa"/>
            <w:noWrap/>
            <w:vAlign w:val="center"/>
          </w:tcPr>
          <w:p w14:paraId="5F898749">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修理、重作、更换相关具体规定</w:t>
            </w:r>
          </w:p>
        </w:tc>
        <w:tc>
          <w:tcPr>
            <w:tcW w:w="5170" w:type="dxa"/>
            <w:noWrap/>
            <w:vAlign w:val="center"/>
          </w:tcPr>
          <w:p w14:paraId="3A17EB77">
            <w:pPr>
              <w:rPr>
                <w:rFonts w:hint="eastAsia" w:ascii="仿宋" w:hAnsi="仿宋" w:eastAsia="仿宋" w:cs="仿宋"/>
                <w:color w:val="auto"/>
                <w:highlight w:val="none"/>
                <w:lang w:eastAsia="zh-CN"/>
              </w:rPr>
            </w:pPr>
          </w:p>
        </w:tc>
      </w:tr>
      <w:tr w14:paraId="33370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19D803DB">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0F18B237">
            <w:pPr>
              <w:jc w:val="center"/>
              <w:rPr>
                <w:rFonts w:hint="eastAsia" w:ascii="仿宋" w:hAnsi="仿宋" w:eastAsia="仿宋" w:cs="仿宋"/>
                <w:color w:val="auto"/>
                <w:highlight w:val="none"/>
              </w:rPr>
            </w:pPr>
            <w:r>
              <w:rPr>
                <w:rFonts w:hint="eastAsia" w:ascii="仿宋" w:hAnsi="仿宋" w:eastAsia="仿宋" w:cs="仿宋"/>
                <w:color w:val="auto"/>
                <w:highlight w:val="none"/>
              </w:rPr>
              <w:t>第15.2（2）项</w:t>
            </w:r>
          </w:p>
        </w:tc>
        <w:tc>
          <w:tcPr>
            <w:tcW w:w="1742" w:type="dxa"/>
            <w:noWrap/>
            <w:vAlign w:val="center"/>
          </w:tcPr>
          <w:p w14:paraId="4179B0A9">
            <w:pPr>
              <w:rPr>
                <w:rFonts w:hint="eastAsia" w:ascii="仿宋" w:hAnsi="仿宋" w:eastAsia="仿宋" w:cs="仿宋"/>
                <w:color w:val="auto"/>
                <w:highlight w:val="none"/>
              </w:rPr>
            </w:pPr>
            <w:r>
              <w:rPr>
                <w:rFonts w:hint="eastAsia" w:ascii="仿宋" w:hAnsi="仿宋" w:eastAsia="仿宋" w:cs="仿宋"/>
                <w:color w:val="auto"/>
                <w:highlight w:val="none"/>
              </w:rPr>
              <w:t>迟延交货赔偿费</w:t>
            </w:r>
          </w:p>
        </w:tc>
        <w:tc>
          <w:tcPr>
            <w:tcW w:w="5170" w:type="dxa"/>
            <w:noWrap/>
            <w:vAlign w:val="center"/>
          </w:tcPr>
          <w:p w14:paraId="747B2493">
            <w:pPr>
              <w:rPr>
                <w:rFonts w:hint="eastAsia" w:ascii="仿宋" w:hAnsi="仿宋" w:eastAsia="仿宋" w:cs="仿宋"/>
                <w:color w:val="auto"/>
                <w:highlight w:val="none"/>
                <w:u w:val="single"/>
              </w:rPr>
            </w:pPr>
          </w:p>
        </w:tc>
      </w:tr>
      <w:tr w14:paraId="31BA121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ign w:val="center"/>
          </w:tcPr>
          <w:p w14:paraId="61CC5644">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771661A4">
            <w:pPr>
              <w:jc w:val="center"/>
              <w:rPr>
                <w:rFonts w:hint="eastAsia" w:ascii="仿宋" w:hAnsi="仿宋" w:eastAsia="仿宋" w:cs="仿宋"/>
                <w:color w:val="auto"/>
                <w:highlight w:val="none"/>
              </w:rPr>
            </w:pPr>
            <w:r>
              <w:rPr>
                <w:rFonts w:hint="eastAsia" w:ascii="仿宋" w:hAnsi="仿宋" w:eastAsia="仿宋" w:cs="仿宋"/>
                <w:color w:val="auto"/>
                <w:highlight w:val="none"/>
              </w:rPr>
              <w:t>第15.3款</w:t>
            </w:r>
          </w:p>
        </w:tc>
        <w:tc>
          <w:tcPr>
            <w:tcW w:w="1742" w:type="dxa"/>
            <w:noWrap/>
            <w:vAlign w:val="center"/>
          </w:tcPr>
          <w:p w14:paraId="30ACC2D8">
            <w:pPr>
              <w:rPr>
                <w:rFonts w:hint="eastAsia" w:ascii="仿宋" w:hAnsi="仿宋" w:eastAsia="仿宋" w:cs="仿宋"/>
                <w:color w:val="auto"/>
                <w:highlight w:val="none"/>
              </w:rPr>
            </w:pPr>
            <w:r>
              <w:rPr>
                <w:rFonts w:hint="eastAsia" w:ascii="仿宋" w:hAnsi="仿宋" w:eastAsia="仿宋" w:cs="仿宋"/>
                <w:color w:val="auto"/>
                <w:highlight w:val="none"/>
              </w:rPr>
              <w:t>逾期付款利息</w:t>
            </w:r>
          </w:p>
        </w:tc>
        <w:tc>
          <w:tcPr>
            <w:tcW w:w="5170" w:type="dxa"/>
            <w:noWrap/>
            <w:vAlign w:val="center"/>
          </w:tcPr>
          <w:p w14:paraId="6EBBB275">
            <w:pPr>
              <w:rPr>
                <w:rFonts w:hint="eastAsia" w:ascii="仿宋" w:hAnsi="仿宋" w:eastAsia="仿宋" w:cs="仿宋"/>
                <w:color w:val="auto"/>
                <w:highlight w:val="none"/>
                <w:u w:val="single"/>
              </w:rPr>
            </w:pPr>
          </w:p>
        </w:tc>
      </w:tr>
      <w:tr w14:paraId="0A3C22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ign w:val="center"/>
          </w:tcPr>
          <w:p w14:paraId="4A55B3AF">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54DB0F8C">
            <w:pPr>
              <w:jc w:val="center"/>
              <w:rPr>
                <w:rFonts w:hint="eastAsia" w:ascii="仿宋" w:hAnsi="仿宋" w:eastAsia="仿宋" w:cs="仿宋"/>
                <w:color w:val="auto"/>
                <w:highlight w:val="none"/>
              </w:rPr>
            </w:pPr>
            <w:r>
              <w:rPr>
                <w:rFonts w:hint="eastAsia" w:ascii="仿宋" w:hAnsi="仿宋" w:eastAsia="仿宋" w:cs="仿宋"/>
                <w:color w:val="auto"/>
                <w:highlight w:val="none"/>
              </w:rPr>
              <w:t>第15.4款</w:t>
            </w:r>
          </w:p>
        </w:tc>
        <w:tc>
          <w:tcPr>
            <w:tcW w:w="1742" w:type="dxa"/>
            <w:tcBorders>
              <w:left w:val="single" w:color="auto" w:sz="2" w:space="0"/>
              <w:bottom w:val="single" w:color="auto" w:sz="2" w:space="0"/>
              <w:right w:val="single" w:color="auto" w:sz="2" w:space="0"/>
            </w:tcBorders>
            <w:noWrap/>
            <w:vAlign w:val="center"/>
          </w:tcPr>
          <w:p w14:paraId="72F058EE">
            <w:pPr>
              <w:rPr>
                <w:rFonts w:hint="eastAsia" w:ascii="仿宋" w:hAnsi="仿宋" w:eastAsia="仿宋" w:cs="仿宋"/>
                <w:color w:val="auto"/>
                <w:highlight w:val="none"/>
              </w:rPr>
            </w:pPr>
            <w:r>
              <w:rPr>
                <w:rFonts w:hint="eastAsia" w:ascii="仿宋" w:hAnsi="仿宋" w:eastAsia="仿宋" w:cs="仿宋"/>
                <w:color w:val="auto"/>
                <w:highlight w:val="none"/>
              </w:rPr>
              <w:t>其他违约责任</w:t>
            </w:r>
          </w:p>
        </w:tc>
        <w:tc>
          <w:tcPr>
            <w:tcW w:w="5170" w:type="dxa"/>
            <w:tcBorders>
              <w:left w:val="single" w:color="auto" w:sz="2" w:space="0"/>
              <w:bottom w:val="single" w:color="auto" w:sz="2" w:space="0"/>
            </w:tcBorders>
            <w:noWrap/>
            <w:vAlign w:val="center"/>
          </w:tcPr>
          <w:p w14:paraId="099091F5">
            <w:pPr>
              <w:rPr>
                <w:rFonts w:hint="eastAsia" w:ascii="仿宋" w:hAnsi="仿宋" w:eastAsia="仿宋" w:cs="仿宋"/>
                <w:color w:val="auto"/>
                <w:highlight w:val="none"/>
                <w:u w:val="single"/>
              </w:rPr>
            </w:pPr>
          </w:p>
        </w:tc>
      </w:tr>
      <w:tr w14:paraId="53B4BE5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ign w:val="center"/>
          </w:tcPr>
          <w:p w14:paraId="3FFB88BC">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2FB95BB4">
            <w:pPr>
              <w:jc w:val="center"/>
              <w:rPr>
                <w:rFonts w:hint="eastAsia" w:ascii="仿宋" w:hAnsi="仿宋" w:eastAsia="仿宋" w:cs="仿宋"/>
                <w:color w:val="auto"/>
                <w:highlight w:val="none"/>
              </w:rPr>
            </w:pPr>
            <w:r>
              <w:rPr>
                <w:rFonts w:hint="eastAsia" w:ascii="仿宋" w:hAnsi="仿宋" w:eastAsia="仿宋" w:cs="仿宋"/>
                <w:color w:val="auto"/>
                <w:highlight w:val="none"/>
              </w:rPr>
              <w:t>第19.2款</w:t>
            </w:r>
          </w:p>
        </w:tc>
        <w:tc>
          <w:tcPr>
            <w:tcW w:w="1742" w:type="dxa"/>
            <w:tcBorders>
              <w:top w:val="single" w:color="auto" w:sz="2" w:space="0"/>
              <w:left w:val="single" w:color="auto" w:sz="2" w:space="0"/>
              <w:right w:val="single" w:color="auto" w:sz="2" w:space="0"/>
            </w:tcBorders>
            <w:noWrap/>
            <w:vAlign w:val="center"/>
          </w:tcPr>
          <w:p w14:paraId="74FFE633">
            <w:pPr>
              <w:rPr>
                <w:rFonts w:hint="eastAsia" w:ascii="仿宋" w:hAnsi="仿宋" w:eastAsia="仿宋" w:cs="仿宋"/>
                <w:color w:val="auto"/>
                <w:highlight w:val="none"/>
              </w:rPr>
            </w:pPr>
            <w:r>
              <w:rPr>
                <w:rFonts w:hint="eastAsia" w:ascii="仿宋" w:hAnsi="仿宋" w:eastAsia="仿宋" w:cs="仿宋"/>
                <w:color w:val="auto"/>
                <w:highlight w:val="none"/>
              </w:rPr>
              <w:t>解决争议的方法</w:t>
            </w:r>
          </w:p>
        </w:tc>
        <w:tc>
          <w:tcPr>
            <w:tcW w:w="5170" w:type="dxa"/>
            <w:tcBorders>
              <w:top w:val="single" w:color="auto" w:sz="2" w:space="0"/>
              <w:left w:val="single" w:color="auto" w:sz="2" w:space="0"/>
            </w:tcBorders>
            <w:noWrap/>
            <w:vAlign w:val="center"/>
          </w:tcPr>
          <w:p w14:paraId="182F1C41">
            <w:pPr>
              <w:spacing w:line="400" w:lineRule="exact"/>
              <w:rPr>
                <w:rFonts w:hint="eastAsia" w:ascii="仿宋" w:hAnsi="仿宋" w:eastAsia="仿宋" w:cs="仿宋"/>
                <w:iCs/>
                <w:color w:val="auto"/>
                <w:highlight w:val="none"/>
                <w:lang w:eastAsia="zh-CN"/>
              </w:rPr>
            </w:pPr>
            <w:r>
              <w:rPr>
                <w:rFonts w:hint="eastAsia" w:ascii="仿宋" w:hAnsi="仿宋" w:eastAsia="仿宋" w:cs="仿宋"/>
                <w:iCs/>
                <w:color w:val="auto"/>
                <w:highlight w:val="none"/>
                <w:lang w:eastAsia="zh-CN"/>
              </w:rPr>
              <w:t>因本合同及合同有关事项发生的争议，按下列第种方式解决：</w:t>
            </w:r>
          </w:p>
          <w:p w14:paraId="625BA87A">
            <w:pPr>
              <w:spacing w:line="400" w:lineRule="exact"/>
              <w:rPr>
                <w:rFonts w:hint="eastAsia" w:ascii="仿宋" w:hAnsi="仿宋" w:eastAsia="仿宋" w:cs="仿宋"/>
                <w:iCs/>
                <w:color w:val="auto"/>
                <w:highlight w:val="none"/>
                <w:lang w:eastAsia="zh-CN"/>
              </w:rPr>
            </w:pPr>
            <w:r>
              <w:rPr>
                <w:rFonts w:hint="eastAsia" w:ascii="仿宋" w:hAnsi="仿宋" w:eastAsia="仿宋" w:cs="仿宋"/>
                <w:iCs/>
                <w:color w:val="auto"/>
                <w:highlight w:val="none"/>
                <w:lang w:eastAsia="zh-CN"/>
              </w:rPr>
              <w:t>（1）向仲裁委员会申请仲裁，仲裁地点为；</w:t>
            </w:r>
          </w:p>
          <w:p w14:paraId="715B395E">
            <w:pPr>
              <w:rPr>
                <w:rFonts w:hint="eastAsia" w:ascii="仿宋" w:hAnsi="仿宋" w:eastAsia="仿宋" w:cs="仿宋"/>
                <w:color w:val="auto"/>
                <w:highlight w:val="none"/>
                <w:u w:val="single"/>
                <w:lang w:eastAsia="zh-CN"/>
              </w:rPr>
            </w:pPr>
            <w:r>
              <w:rPr>
                <w:rFonts w:hint="eastAsia" w:ascii="仿宋" w:hAnsi="仿宋" w:eastAsia="仿宋" w:cs="仿宋"/>
                <w:iCs/>
                <w:color w:val="auto"/>
                <w:highlight w:val="none"/>
                <w:lang w:eastAsia="zh-CN"/>
              </w:rPr>
              <w:t>（2）向人民法院起诉。</w:t>
            </w:r>
          </w:p>
        </w:tc>
      </w:tr>
      <w:tr w14:paraId="035DAC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ign w:val="center"/>
          </w:tcPr>
          <w:p w14:paraId="57F5E3F2">
            <w:pPr>
              <w:jc w:val="center"/>
              <w:rPr>
                <w:rFonts w:hint="eastAsia" w:ascii="仿宋" w:hAnsi="仿宋" w:eastAsia="仿宋" w:cs="仿宋"/>
                <w:color w:val="auto"/>
                <w:highlight w:val="none"/>
              </w:rPr>
            </w:pPr>
            <w:r>
              <w:rPr>
                <w:rFonts w:hint="eastAsia" w:ascii="仿宋" w:hAnsi="仿宋" w:eastAsia="仿宋" w:cs="仿宋"/>
                <w:color w:val="auto"/>
                <w:highlight w:val="none"/>
              </w:rPr>
              <w:t>第二节</w:t>
            </w:r>
          </w:p>
          <w:p w14:paraId="0F368F70">
            <w:pPr>
              <w:jc w:val="center"/>
              <w:rPr>
                <w:rFonts w:hint="eastAsia" w:ascii="仿宋" w:hAnsi="仿宋" w:eastAsia="仿宋" w:cs="仿宋"/>
                <w:color w:val="auto"/>
                <w:highlight w:val="none"/>
              </w:rPr>
            </w:pPr>
            <w:r>
              <w:rPr>
                <w:rFonts w:hint="eastAsia" w:ascii="仿宋" w:hAnsi="仿宋" w:eastAsia="仿宋" w:cs="仿宋"/>
                <w:color w:val="auto"/>
                <w:highlight w:val="none"/>
              </w:rPr>
              <w:t>第23.1款</w:t>
            </w:r>
          </w:p>
        </w:tc>
        <w:tc>
          <w:tcPr>
            <w:tcW w:w="1742" w:type="dxa"/>
            <w:noWrap/>
            <w:vAlign w:val="center"/>
          </w:tcPr>
          <w:p w14:paraId="3B296AF8">
            <w:pPr>
              <w:rPr>
                <w:rFonts w:hint="eastAsia" w:ascii="仿宋" w:hAnsi="仿宋" w:eastAsia="仿宋" w:cs="仿宋"/>
                <w:color w:val="auto"/>
                <w:highlight w:val="none"/>
              </w:rPr>
            </w:pPr>
            <w:r>
              <w:rPr>
                <w:rFonts w:hint="eastAsia" w:ascii="仿宋" w:hAnsi="仿宋" w:eastAsia="仿宋" w:cs="仿宋"/>
                <w:bCs/>
                <w:color w:val="auto"/>
                <w:highlight w:val="none"/>
              </w:rPr>
              <w:t>其他专用条款</w:t>
            </w:r>
          </w:p>
        </w:tc>
        <w:tc>
          <w:tcPr>
            <w:tcW w:w="5170" w:type="dxa"/>
            <w:noWrap/>
            <w:vAlign w:val="center"/>
          </w:tcPr>
          <w:p w14:paraId="3EF9772C">
            <w:pPr>
              <w:rPr>
                <w:rFonts w:hint="eastAsia" w:ascii="仿宋" w:hAnsi="仿宋" w:eastAsia="仿宋" w:cs="仿宋"/>
                <w:color w:val="auto"/>
                <w:highlight w:val="none"/>
              </w:rPr>
            </w:pPr>
          </w:p>
        </w:tc>
      </w:tr>
    </w:tbl>
    <w:p w14:paraId="3BC1AC11">
      <w:pPr>
        <w:rPr>
          <w:rFonts w:hint="eastAsia" w:ascii="仿宋" w:hAnsi="仿宋" w:eastAsia="仿宋" w:cs="仿宋"/>
          <w:color w:val="auto"/>
          <w:highlight w:val="none"/>
        </w:rPr>
      </w:pPr>
    </w:p>
    <w:p w14:paraId="0FF2D954">
      <w:pPr>
        <w:rPr>
          <w:rFonts w:hint="eastAsia" w:ascii="仿宋" w:hAnsi="仿宋" w:eastAsia="仿宋" w:cs="仿宋"/>
          <w:color w:val="auto"/>
          <w:highlight w:val="none"/>
        </w:rPr>
      </w:pPr>
    </w:p>
    <w:p w14:paraId="72881420">
      <w:pPr>
        <w:spacing w:line="360" w:lineRule="auto"/>
        <w:jc w:val="center"/>
        <w:outlineLvl w:val="1"/>
        <w:rPr>
          <w:rFonts w:hint="eastAsia" w:ascii="仿宋" w:hAnsi="仿宋" w:eastAsia="仿宋" w:cs="仿宋"/>
          <w:b/>
          <w:color w:val="auto"/>
          <w:sz w:val="28"/>
          <w:szCs w:val="28"/>
          <w:highlight w:val="none"/>
        </w:rPr>
      </w:pPr>
    </w:p>
    <w:p w14:paraId="6978FAB2">
      <w:pPr>
        <w:spacing w:line="262" w:lineRule="auto"/>
        <w:rPr>
          <w:rFonts w:hint="eastAsia" w:ascii="仿宋" w:hAnsi="仿宋" w:eastAsia="仿宋" w:cs="仿宋"/>
          <w:color w:val="auto"/>
          <w:highlight w:val="none"/>
          <w:lang w:eastAsia="zh-CN"/>
        </w:rPr>
      </w:pPr>
    </w:p>
    <w:p w14:paraId="61366E3B">
      <w:pPr>
        <w:pStyle w:val="9"/>
        <w:pageBreakBefore/>
        <w:spacing w:before="140" w:line="226" w:lineRule="auto"/>
        <w:jc w:val="center"/>
        <w:outlineLvl w:val="0"/>
        <w:rPr>
          <w:rFonts w:hint="eastAsia" w:ascii="仿宋" w:hAnsi="仿宋" w:eastAsia="仿宋" w:cs="仿宋"/>
          <w:b/>
          <w:bCs/>
          <w:color w:val="auto"/>
          <w:spacing w:val="4"/>
          <w:sz w:val="30"/>
          <w:szCs w:val="30"/>
          <w:highlight w:val="none"/>
          <w:lang w:eastAsia="zh-CN"/>
        </w:rPr>
      </w:pPr>
      <w:bookmarkStart w:id="361" w:name="bookmark225"/>
      <w:bookmarkEnd w:id="361"/>
      <w:bookmarkStart w:id="362" w:name="bookmark226"/>
      <w:bookmarkEnd w:id="362"/>
      <w:bookmarkStart w:id="363" w:name="bookmark238"/>
      <w:bookmarkEnd w:id="363"/>
      <w:bookmarkStart w:id="364" w:name="_Toc22784"/>
      <w:r>
        <w:rPr>
          <w:rFonts w:hint="eastAsia" w:ascii="仿宋" w:hAnsi="仿宋" w:eastAsia="仿宋" w:cs="仿宋"/>
          <w:b/>
          <w:bCs/>
          <w:color w:val="auto"/>
          <w:spacing w:val="4"/>
          <w:sz w:val="30"/>
          <w:szCs w:val="30"/>
          <w:highlight w:val="none"/>
          <w:lang w:eastAsia="zh-CN"/>
        </w:rPr>
        <w:t>第七章投标文件格式</w:t>
      </w:r>
      <w:bookmarkEnd w:id="364"/>
    </w:p>
    <w:p w14:paraId="002FB909">
      <w:pPr>
        <w:spacing w:line="256" w:lineRule="auto"/>
        <w:rPr>
          <w:rFonts w:hint="eastAsia" w:ascii="仿宋" w:hAnsi="仿宋" w:eastAsia="仿宋" w:cs="仿宋"/>
          <w:color w:val="auto"/>
          <w:highlight w:val="none"/>
          <w:lang w:eastAsia="zh-CN"/>
        </w:rPr>
      </w:pPr>
    </w:p>
    <w:p w14:paraId="41DA3B74">
      <w:pPr>
        <w:spacing w:before="78" w:line="221" w:lineRule="auto"/>
        <w:ind w:left="50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6C2798EC">
      <w:pPr>
        <w:spacing w:line="278" w:lineRule="auto"/>
        <w:rPr>
          <w:rFonts w:hint="eastAsia" w:ascii="仿宋" w:hAnsi="仿宋" w:eastAsia="仿宋" w:cs="仿宋"/>
          <w:color w:val="auto"/>
          <w:highlight w:val="none"/>
          <w:lang w:eastAsia="zh-CN"/>
        </w:rPr>
      </w:pPr>
    </w:p>
    <w:p w14:paraId="46227E69">
      <w:pPr>
        <w:spacing w:line="279" w:lineRule="auto"/>
        <w:rPr>
          <w:rFonts w:hint="eastAsia" w:ascii="仿宋" w:hAnsi="仿宋" w:eastAsia="仿宋" w:cs="仿宋"/>
          <w:color w:val="auto"/>
          <w:highlight w:val="none"/>
          <w:lang w:eastAsia="zh-CN"/>
        </w:rPr>
      </w:pPr>
    </w:p>
    <w:p w14:paraId="3458528B">
      <w:pPr>
        <w:spacing w:line="279" w:lineRule="auto"/>
        <w:rPr>
          <w:rFonts w:hint="eastAsia" w:ascii="仿宋" w:hAnsi="仿宋" w:eastAsia="仿宋" w:cs="仿宋"/>
          <w:color w:val="auto"/>
          <w:highlight w:val="none"/>
          <w:lang w:eastAsia="zh-CN"/>
        </w:rPr>
      </w:pPr>
    </w:p>
    <w:p w14:paraId="3B637484">
      <w:pPr>
        <w:spacing w:line="279" w:lineRule="auto"/>
        <w:rPr>
          <w:rFonts w:hint="eastAsia" w:ascii="仿宋" w:hAnsi="仿宋" w:eastAsia="仿宋" w:cs="仿宋"/>
          <w:color w:val="auto"/>
          <w:highlight w:val="none"/>
          <w:lang w:eastAsia="zh-CN"/>
        </w:rPr>
      </w:pPr>
    </w:p>
    <w:p w14:paraId="7179B382">
      <w:pPr>
        <w:spacing w:line="279" w:lineRule="auto"/>
        <w:rPr>
          <w:rFonts w:hint="eastAsia" w:ascii="仿宋" w:hAnsi="仿宋" w:eastAsia="仿宋" w:cs="仿宋"/>
          <w:color w:val="auto"/>
          <w:highlight w:val="none"/>
          <w:lang w:eastAsia="zh-CN"/>
        </w:rPr>
      </w:pPr>
    </w:p>
    <w:p w14:paraId="64E86DF9">
      <w:pPr>
        <w:spacing w:before="270" w:line="268" w:lineRule="auto"/>
        <w:ind w:right="-1"/>
        <w:jc w:val="center"/>
        <w:rPr>
          <w:rFonts w:hint="eastAsia" w:ascii="仿宋" w:hAnsi="仿宋" w:eastAsia="仿宋" w:cs="仿宋"/>
          <w:b/>
          <w:bCs/>
          <w:color w:val="auto"/>
          <w:spacing w:val="-36"/>
          <w:sz w:val="83"/>
          <w:szCs w:val="83"/>
          <w:highlight w:val="none"/>
          <w:lang w:eastAsia="zh-CN"/>
        </w:rPr>
      </w:pPr>
      <w:r>
        <w:rPr>
          <w:rFonts w:hint="eastAsia" w:ascii="仿宋" w:hAnsi="仿宋" w:eastAsia="仿宋" w:cs="仿宋"/>
          <w:b/>
          <w:bCs/>
          <w:color w:val="auto"/>
          <w:spacing w:val="-36"/>
          <w:sz w:val="83"/>
          <w:szCs w:val="83"/>
          <w:highlight w:val="none"/>
          <w:lang w:eastAsia="zh-CN"/>
        </w:rPr>
        <w:t>投标文件</w:t>
      </w:r>
    </w:p>
    <w:p w14:paraId="43CFCB17">
      <w:pPr>
        <w:spacing w:before="270" w:line="268" w:lineRule="auto"/>
        <w:ind w:right="-1"/>
        <w:jc w:val="center"/>
        <w:rPr>
          <w:rFonts w:hint="eastAsia" w:ascii="仿宋" w:hAnsi="仿宋" w:eastAsia="仿宋" w:cs="仿宋"/>
          <w:b/>
          <w:bCs/>
          <w:color w:val="auto"/>
          <w:spacing w:val="-36"/>
          <w:sz w:val="56"/>
          <w:szCs w:val="56"/>
          <w:highlight w:val="none"/>
          <w:lang w:eastAsia="zh-CN"/>
        </w:rPr>
      </w:pPr>
      <w:r>
        <w:rPr>
          <w:rFonts w:hint="eastAsia" w:ascii="仿宋" w:hAnsi="仿宋" w:eastAsia="仿宋" w:cs="仿宋"/>
          <w:b/>
          <w:bCs/>
          <w:color w:val="auto"/>
          <w:spacing w:val="-36"/>
          <w:sz w:val="56"/>
          <w:szCs w:val="56"/>
          <w:highlight w:val="none"/>
          <w:lang w:eastAsia="zh-CN"/>
        </w:rPr>
        <w:t>资格证明文件</w:t>
      </w:r>
    </w:p>
    <w:p w14:paraId="15AEFED6">
      <w:pPr>
        <w:spacing w:line="460" w:lineRule="auto"/>
        <w:rPr>
          <w:rFonts w:hint="eastAsia" w:ascii="仿宋" w:hAnsi="仿宋" w:eastAsia="仿宋" w:cs="仿宋"/>
          <w:color w:val="auto"/>
          <w:highlight w:val="none"/>
          <w:lang w:eastAsia="zh-CN"/>
        </w:rPr>
      </w:pPr>
    </w:p>
    <w:p w14:paraId="7573042C">
      <w:pPr>
        <w:spacing w:before="114" w:line="224" w:lineRule="auto"/>
        <w:ind w:left="1134"/>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5874012C">
      <w:pPr>
        <w:spacing w:line="241" w:lineRule="auto"/>
        <w:rPr>
          <w:rFonts w:hint="eastAsia" w:ascii="仿宋" w:hAnsi="仿宋" w:eastAsia="仿宋" w:cs="仿宋"/>
          <w:color w:val="auto"/>
          <w:highlight w:val="none"/>
          <w:lang w:eastAsia="zh-CN"/>
        </w:rPr>
      </w:pPr>
    </w:p>
    <w:p w14:paraId="755DD21E">
      <w:pPr>
        <w:spacing w:line="241" w:lineRule="auto"/>
        <w:rPr>
          <w:rFonts w:hint="eastAsia" w:ascii="仿宋" w:hAnsi="仿宋" w:eastAsia="仿宋" w:cs="仿宋"/>
          <w:color w:val="auto"/>
          <w:highlight w:val="none"/>
          <w:lang w:eastAsia="zh-CN"/>
        </w:rPr>
      </w:pPr>
    </w:p>
    <w:p w14:paraId="2B52C0A3">
      <w:pPr>
        <w:spacing w:line="241" w:lineRule="auto"/>
        <w:rPr>
          <w:rFonts w:hint="eastAsia" w:ascii="仿宋" w:hAnsi="仿宋" w:eastAsia="仿宋" w:cs="仿宋"/>
          <w:color w:val="auto"/>
          <w:highlight w:val="none"/>
          <w:lang w:eastAsia="zh-CN"/>
        </w:rPr>
      </w:pPr>
    </w:p>
    <w:p w14:paraId="20B4EAE2">
      <w:pPr>
        <w:spacing w:line="241" w:lineRule="auto"/>
        <w:rPr>
          <w:rFonts w:hint="eastAsia" w:ascii="仿宋" w:hAnsi="仿宋" w:eastAsia="仿宋" w:cs="仿宋"/>
          <w:color w:val="auto"/>
          <w:highlight w:val="none"/>
          <w:lang w:eastAsia="zh-CN"/>
        </w:rPr>
      </w:pPr>
    </w:p>
    <w:p w14:paraId="57A3A662">
      <w:pPr>
        <w:spacing w:line="241" w:lineRule="auto"/>
        <w:rPr>
          <w:rFonts w:hint="eastAsia" w:ascii="仿宋" w:hAnsi="仿宋" w:eastAsia="仿宋" w:cs="仿宋"/>
          <w:color w:val="auto"/>
          <w:highlight w:val="none"/>
          <w:lang w:eastAsia="zh-CN"/>
        </w:rPr>
      </w:pPr>
    </w:p>
    <w:p w14:paraId="3C32E5FA">
      <w:pPr>
        <w:spacing w:line="241" w:lineRule="auto"/>
        <w:rPr>
          <w:rFonts w:hint="eastAsia" w:ascii="仿宋" w:hAnsi="仿宋" w:eastAsia="仿宋" w:cs="仿宋"/>
          <w:color w:val="auto"/>
          <w:highlight w:val="none"/>
          <w:lang w:eastAsia="zh-CN"/>
        </w:rPr>
      </w:pPr>
    </w:p>
    <w:p w14:paraId="07AD82A3">
      <w:pPr>
        <w:spacing w:line="241" w:lineRule="auto"/>
        <w:rPr>
          <w:rFonts w:hint="eastAsia" w:ascii="仿宋" w:hAnsi="仿宋" w:eastAsia="仿宋" w:cs="仿宋"/>
          <w:color w:val="auto"/>
          <w:highlight w:val="none"/>
          <w:lang w:eastAsia="zh-CN"/>
        </w:rPr>
      </w:pPr>
    </w:p>
    <w:p w14:paraId="26796063">
      <w:pPr>
        <w:spacing w:line="242" w:lineRule="auto"/>
        <w:rPr>
          <w:rFonts w:hint="eastAsia" w:ascii="仿宋" w:hAnsi="仿宋" w:eastAsia="仿宋" w:cs="仿宋"/>
          <w:color w:val="auto"/>
          <w:highlight w:val="none"/>
          <w:lang w:eastAsia="zh-CN"/>
        </w:rPr>
      </w:pPr>
    </w:p>
    <w:p w14:paraId="19738026">
      <w:pPr>
        <w:pStyle w:val="9"/>
        <w:tabs>
          <w:tab w:val="left" w:pos="8364"/>
        </w:tabs>
        <w:spacing w:before="101"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7F07DE89">
      <w:pPr>
        <w:pStyle w:val="9"/>
        <w:tabs>
          <w:tab w:val="left" w:pos="8364"/>
        </w:tabs>
        <w:spacing w:before="101"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6BF11877">
      <w:pPr>
        <w:pStyle w:val="9"/>
        <w:tabs>
          <w:tab w:val="left" w:pos="8364"/>
        </w:tabs>
        <w:spacing w:before="101" w:line="362" w:lineRule="auto"/>
        <w:ind w:left="443" w:right="14" w:firstLine="2"/>
        <w:jc w:val="both"/>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1B44803F">
      <w:pPr>
        <w:spacing w:line="258" w:lineRule="auto"/>
        <w:rPr>
          <w:rFonts w:hint="eastAsia" w:ascii="仿宋" w:hAnsi="仿宋" w:eastAsia="仿宋" w:cs="仿宋"/>
          <w:color w:val="auto"/>
          <w:highlight w:val="none"/>
          <w:lang w:eastAsia="zh-CN"/>
        </w:rPr>
      </w:pPr>
    </w:p>
    <w:p w14:paraId="2DF8C3D5">
      <w:pPr>
        <w:spacing w:line="258" w:lineRule="auto"/>
        <w:rPr>
          <w:rFonts w:hint="eastAsia" w:ascii="仿宋" w:hAnsi="仿宋" w:eastAsia="仿宋" w:cs="仿宋"/>
          <w:color w:val="auto"/>
          <w:highlight w:val="none"/>
          <w:lang w:eastAsia="zh-CN"/>
        </w:rPr>
      </w:pPr>
    </w:p>
    <w:p w14:paraId="3B7D9F24">
      <w:pPr>
        <w:spacing w:line="258" w:lineRule="auto"/>
        <w:rPr>
          <w:rFonts w:hint="eastAsia" w:ascii="仿宋" w:hAnsi="仿宋" w:eastAsia="仿宋" w:cs="仿宋"/>
          <w:color w:val="auto"/>
          <w:highlight w:val="none"/>
          <w:lang w:eastAsia="zh-CN"/>
        </w:rPr>
      </w:pPr>
    </w:p>
    <w:p w14:paraId="5D4EFCF8">
      <w:pPr>
        <w:spacing w:line="259" w:lineRule="auto"/>
        <w:rPr>
          <w:rFonts w:hint="eastAsia" w:ascii="仿宋" w:hAnsi="仿宋" w:eastAsia="仿宋" w:cs="仿宋"/>
          <w:color w:val="auto"/>
          <w:highlight w:val="none"/>
          <w:lang w:eastAsia="zh-CN"/>
        </w:rPr>
      </w:pPr>
    </w:p>
    <w:p w14:paraId="3A4BAE94">
      <w:pPr>
        <w:spacing w:line="259" w:lineRule="auto"/>
        <w:rPr>
          <w:rFonts w:hint="eastAsia" w:ascii="仿宋" w:hAnsi="仿宋" w:eastAsia="仿宋" w:cs="仿宋"/>
          <w:color w:val="auto"/>
          <w:highlight w:val="none"/>
          <w:lang w:eastAsia="zh-CN"/>
        </w:rPr>
      </w:pPr>
    </w:p>
    <w:p w14:paraId="0475409B">
      <w:pPr>
        <w:pStyle w:val="9"/>
        <w:spacing w:before="100" w:line="228" w:lineRule="auto"/>
        <w:ind w:left="3140" w:firstLine="298" w:firstLineChars="100"/>
        <w:rPr>
          <w:rFonts w:hint="eastAsia"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  月  日</w:t>
      </w:r>
    </w:p>
    <w:p w14:paraId="213C2FCF">
      <w:pPr>
        <w:spacing w:line="279" w:lineRule="auto"/>
        <w:rPr>
          <w:rFonts w:hint="eastAsia" w:ascii="仿宋" w:hAnsi="仿宋" w:eastAsia="仿宋" w:cs="仿宋"/>
          <w:color w:val="auto"/>
          <w:highlight w:val="none"/>
          <w:lang w:eastAsia="zh-CN"/>
        </w:rPr>
      </w:pPr>
    </w:p>
    <w:p w14:paraId="1D02E634">
      <w:pPr>
        <w:pageBreakBefore/>
        <w:spacing w:line="360" w:lineRule="auto"/>
        <w:ind w:left="28"/>
        <w:outlineLvl w:val="1"/>
        <w:rPr>
          <w:rFonts w:hint="eastAsia" w:ascii="仿宋" w:hAnsi="仿宋" w:eastAsia="仿宋" w:cs="仿宋"/>
          <w:color w:val="auto"/>
          <w:sz w:val="31"/>
          <w:szCs w:val="31"/>
          <w:highlight w:val="none"/>
          <w:lang w:eastAsia="zh-CN"/>
        </w:rPr>
      </w:pPr>
      <w:bookmarkStart w:id="365" w:name="bookmark231"/>
      <w:bookmarkEnd w:id="365"/>
      <w:bookmarkStart w:id="366" w:name="bookmark229"/>
      <w:bookmarkEnd w:id="366"/>
      <w:bookmarkStart w:id="367" w:name="bookmark237"/>
      <w:bookmarkEnd w:id="367"/>
      <w:bookmarkStart w:id="368" w:name="bookmark228"/>
      <w:bookmarkEnd w:id="368"/>
      <w:bookmarkStart w:id="369" w:name="_Toc22475"/>
      <w:bookmarkStart w:id="370" w:name="_Toc186477791"/>
      <w:r>
        <w:rPr>
          <w:rFonts w:hint="eastAsia" w:ascii="仿宋" w:hAnsi="仿宋" w:eastAsia="仿宋" w:cs="仿宋"/>
          <w:b/>
          <w:bCs/>
          <w:color w:val="auto"/>
          <w:spacing w:val="7"/>
          <w:sz w:val="31"/>
          <w:szCs w:val="31"/>
          <w:highlight w:val="none"/>
          <w:lang w:eastAsia="zh-CN"/>
        </w:rPr>
        <w:t>一、满足《中华人民共和国政府采购法》第二十二条规定</w:t>
      </w:r>
      <w:bookmarkEnd w:id="369"/>
      <w:bookmarkEnd w:id="370"/>
    </w:p>
    <w:p w14:paraId="13460FBE">
      <w:pPr>
        <w:spacing w:line="360" w:lineRule="auto"/>
        <w:rPr>
          <w:rFonts w:hint="eastAsia" w:ascii="仿宋" w:hAnsi="仿宋" w:eastAsia="仿宋" w:cs="仿宋"/>
          <w:color w:val="auto"/>
          <w:highlight w:val="none"/>
          <w:lang w:eastAsia="zh-CN"/>
        </w:rPr>
      </w:pPr>
    </w:p>
    <w:p w14:paraId="01D69E01">
      <w:pPr>
        <w:spacing w:line="360" w:lineRule="auto"/>
        <w:ind w:left="39"/>
        <w:outlineLvl w:val="2"/>
        <w:rPr>
          <w:rFonts w:hint="eastAsia" w:ascii="仿宋" w:hAnsi="仿宋" w:eastAsia="仿宋" w:cs="仿宋"/>
          <w:color w:val="auto"/>
          <w:sz w:val="31"/>
          <w:szCs w:val="31"/>
          <w:highlight w:val="none"/>
          <w:lang w:eastAsia="zh-CN"/>
        </w:rPr>
      </w:pPr>
      <w:bookmarkStart w:id="371" w:name="bookmark230"/>
      <w:bookmarkEnd w:id="371"/>
      <w:bookmarkStart w:id="372" w:name="bookmark232"/>
      <w:bookmarkEnd w:id="372"/>
      <w:bookmarkStart w:id="373" w:name="_Toc186477792"/>
      <w:bookmarkStart w:id="374" w:name="_Toc1178"/>
      <w:r>
        <w:rPr>
          <w:rFonts w:hint="eastAsia" w:ascii="仿宋" w:hAnsi="仿宋" w:eastAsia="仿宋" w:cs="仿宋"/>
          <w:b/>
          <w:bCs/>
          <w:color w:val="auto"/>
          <w:spacing w:val="6"/>
          <w:sz w:val="31"/>
          <w:szCs w:val="31"/>
          <w:highlight w:val="none"/>
          <w:lang w:eastAsia="zh-CN"/>
        </w:rPr>
        <w:t>（一）法人、其他组织或者自然人的证明文件</w:t>
      </w:r>
      <w:bookmarkEnd w:id="373"/>
      <w:bookmarkEnd w:id="374"/>
    </w:p>
    <w:p w14:paraId="217845C3">
      <w:pPr>
        <w:spacing w:line="360" w:lineRule="auto"/>
        <w:ind w:left="5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1、投标人为企业（包括合伙企业）的，应提供有效的“营业执照”；</w:t>
      </w:r>
    </w:p>
    <w:p w14:paraId="1E190291">
      <w:pPr>
        <w:spacing w:line="360"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2、投标人为事业单位的，应提供有效的“事业单位法人证书”；</w:t>
      </w:r>
    </w:p>
    <w:p w14:paraId="40842C0C">
      <w:pPr>
        <w:spacing w:line="360" w:lineRule="auto"/>
        <w:ind w:left="25"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3、投标人为非企业机构的，应提供有效的“执业许可证”、“登记证书”</w:t>
      </w:r>
      <w:r>
        <w:rPr>
          <w:rFonts w:hint="eastAsia" w:ascii="仿宋" w:hAnsi="仿宋" w:eastAsia="仿宋" w:cs="仿宋"/>
          <w:color w:val="auto"/>
          <w:spacing w:val="-2"/>
          <w:sz w:val="24"/>
          <w:szCs w:val="24"/>
          <w:highlight w:val="none"/>
          <w:lang w:eastAsia="zh-CN"/>
        </w:rPr>
        <w:t>等证明文件；</w:t>
      </w:r>
    </w:p>
    <w:p w14:paraId="299AAB1E">
      <w:pPr>
        <w:spacing w:line="360" w:lineRule="auto"/>
        <w:ind w:left="50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4、投标人是个体工商户的，应提供有效的</w:t>
      </w:r>
      <w:r>
        <w:rPr>
          <w:rFonts w:hint="eastAsia" w:ascii="仿宋" w:hAnsi="仿宋" w:eastAsia="仿宋" w:cs="仿宋"/>
          <w:color w:val="auto"/>
          <w:spacing w:val="-1"/>
          <w:sz w:val="24"/>
          <w:szCs w:val="24"/>
          <w:highlight w:val="none"/>
          <w:lang w:eastAsia="zh-CN"/>
        </w:rPr>
        <w:t>“个体工商户营业执照”；</w:t>
      </w:r>
    </w:p>
    <w:p w14:paraId="2DA360D0">
      <w:pPr>
        <w:spacing w:line="360" w:lineRule="auto"/>
        <w:ind w:left="5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5、投标人是自然人的，应提供有效的自然人身份证明。</w:t>
      </w:r>
    </w:p>
    <w:p w14:paraId="6FC5C6E7">
      <w:pPr>
        <w:pageBreakBefore/>
        <w:widowControl w:val="0"/>
        <w:spacing w:line="274" w:lineRule="auto"/>
        <w:rPr>
          <w:rFonts w:hint="eastAsia" w:ascii="仿宋" w:hAnsi="仿宋" w:eastAsia="仿宋" w:cs="仿宋"/>
          <w:color w:val="auto"/>
          <w:highlight w:val="none"/>
          <w:lang w:eastAsia="zh-CN"/>
        </w:rPr>
      </w:pPr>
    </w:p>
    <w:p w14:paraId="116C86BB">
      <w:pPr>
        <w:spacing w:line="360" w:lineRule="auto"/>
        <w:ind w:left="39"/>
        <w:outlineLvl w:val="2"/>
        <w:rPr>
          <w:rFonts w:hint="eastAsia" w:ascii="仿宋" w:hAnsi="仿宋" w:eastAsia="仿宋" w:cs="仿宋"/>
          <w:b/>
          <w:bCs/>
          <w:color w:val="auto"/>
          <w:spacing w:val="6"/>
          <w:sz w:val="31"/>
          <w:szCs w:val="31"/>
          <w:highlight w:val="none"/>
          <w:lang w:eastAsia="zh-CN"/>
        </w:rPr>
      </w:pPr>
      <w:bookmarkStart w:id="375" w:name="_Toc186477793"/>
      <w:bookmarkStart w:id="376" w:name="_Toc22412"/>
      <w:r>
        <w:rPr>
          <w:rFonts w:hint="eastAsia" w:ascii="仿宋" w:hAnsi="仿宋" w:eastAsia="仿宋" w:cs="仿宋"/>
          <w:b/>
          <w:bCs/>
          <w:color w:val="auto"/>
          <w:spacing w:val="6"/>
          <w:sz w:val="31"/>
          <w:szCs w:val="31"/>
          <w:highlight w:val="none"/>
          <w:lang w:eastAsia="zh-CN"/>
        </w:rPr>
        <w:t>（二）政府采购供应商信用承诺函</w:t>
      </w:r>
      <w:bookmarkEnd w:id="375"/>
      <w:bookmarkEnd w:id="376"/>
    </w:p>
    <w:p w14:paraId="0B795C53">
      <w:pPr>
        <w:spacing w:line="300" w:lineRule="auto"/>
        <w:ind w:left="3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单位名称（自然人姓名</w:t>
      </w:r>
      <w:r>
        <w:rPr>
          <w:rFonts w:hint="eastAsia" w:ascii="仿宋" w:hAnsi="仿宋" w:eastAsia="仿宋" w:cs="仿宋"/>
          <w:color w:val="auto"/>
          <w:spacing w:val="3"/>
          <w:sz w:val="24"/>
          <w:szCs w:val="24"/>
          <w:highlight w:val="none"/>
          <w:lang w:eastAsia="zh-CN"/>
        </w:rPr>
        <w:t>）：</w:t>
      </w:r>
    </w:p>
    <w:p w14:paraId="49D78BF5">
      <w:pPr>
        <w:spacing w:line="300" w:lineRule="auto"/>
        <w:ind w:left="39" w:right="4708"/>
        <w:rPr>
          <w:rFonts w:hint="eastAsia" w:ascii="仿宋" w:hAnsi="仿宋" w:eastAsia="仿宋" w:cs="仿宋"/>
          <w:color w:val="auto"/>
          <w:spacing w:val="-25"/>
          <w:sz w:val="24"/>
          <w:szCs w:val="24"/>
          <w:highlight w:val="none"/>
          <w:lang w:eastAsia="zh-CN"/>
        </w:rPr>
      </w:pPr>
      <w:r>
        <w:rPr>
          <w:rFonts w:hint="eastAsia" w:ascii="仿宋" w:hAnsi="仿宋" w:eastAsia="仿宋" w:cs="仿宋"/>
          <w:color w:val="auto"/>
          <w:spacing w:val="-2"/>
          <w:sz w:val="24"/>
          <w:szCs w:val="24"/>
          <w:highlight w:val="none"/>
          <w:lang w:eastAsia="zh-CN"/>
        </w:rPr>
        <w:t>统一社会信用代码（身份证号码</w:t>
      </w:r>
      <w:r>
        <w:rPr>
          <w:rFonts w:hint="eastAsia" w:ascii="仿宋" w:hAnsi="仿宋" w:eastAsia="仿宋" w:cs="仿宋"/>
          <w:color w:val="auto"/>
          <w:spacing w:val="-25"/>
          <w:sz w:val="24"/>
          <w:szCs w:val="24"/>
          <w:highlight w:val="none"/>
          <w:lang w:eastAsia="zh-CN"/>
        </w:rPr>
        <w:t>）：</w:t>
      </w:r>
    </w:p>
    <w:p w14:paraId="6D210B7F">
      <w:pPr>
        <w:spacing w:line="300" w:lineRule="auto"/>
        <w:ind w:left="39" w:right="47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法定代表人（负责人</w:t>
      </w:r>
      <w:r>
        <w:rPr>
          <w:rFonts w:hint="eastAsia" w:ascii="仿宋" w:hAnsi="仿宋" w:eastAsia="仿宋" w:cs="仿宋"/>
          <w:color w:val="auto"/>
          <w:spacing w:val="3"/>
          <w:sz w:val="24"/>
          <w:szCs w:val="24"/>
          <w:highlight w:val="none"/>
          <w:lang w:eastAsia="zh-CN"/>
        </w:rPr>
        <w:t>）：</w:t>
      </w:r>
    </w:p>
    <w:p w14:paraId="27C2EAA5">
      <w:pPr>
        <w:spacing w:before="78" w:line="300" w:lineRule="auto"/>
        <w:ind w:left="40" w:leftChars="19" w:right="181" w:firstLine="458" w:firstLineChars="196"/>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我单位（本人）自愿参加本次政府采购活动，严格遵守《中</w:t>
      </w:r>
      <w:r>
        <w:rPr>
          <w:rFonts w:hint="eastAsia" w:ascii="仿宋" w:hAnsi="仿宋" w:eastAsia="仿宋" w:cs="仿宋"/>
          <w:color w:val="auto"/>
          <w:spacing w:val="-4"/>
          <w:sz w:val="24"/>
          <w:szCs w:val="24"/>
          <w:highlight w:val="none"/>
          <w:lang w:eastAsia="zh-CN"/>
        </w:rPr>
        <w:t>华人民共和国政</w:t>
      </w:r>
      <w:r>
        <w:rPr>
          <w:rFonts w:hint="eastAsia" w:ascii="仿宋" w:hAnsi="仿宋" w:eastAsia="仿宋" w:cs="仿宋"/>
          <w:color w:val="auto"/>
          <w:spacing w:val="-3"/>
          <w:sz w:val="24"/>
          <w:szCs w:val="24"/>
          <w:highlight w:val="none"/>
          <w:lang w:eastAsia="zh-CN"/>
        </w:rPr>
        <w:t>府采购法》及相关法律法规，坚守公开、公平、公正和诚实信用等原则，依法诚</w:t>
      </w:r>
      <w:r>
        <w:rPr>
          <w:rFonts w:hint="eastAsia" w:ascii="仿宋" w:hAnsi="仿宋" w:eastAsia="仿宋" w:cs="仿宋"/>
          <w:color w:val="auto"/>
          <w:spacing w:val="-1"/>
          <w:sz w:val="24"/>
          <w:szCs w:val="24"/>
          <w:highlight w:val="none"/>
          <w:lang w:eastAsia="zh-CN"/>
        </w:rPr>
        <w:t>信经营，并郑重承诺：</w:t>
      </w:r>
    </w:p>
    <w:p w14:paraId="7BB077CE">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一、我单位（本人）符合《中华人民共和国政府采购法》第二十二条规定：</w:t>
      </w:r>
    </w:p>
    <w:p w14:paraId="3BF11F0F">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（一）具有独立承担民事责任的能力;</w:t>
      </w:r>
    </w:p>
    <w:p w14:paraId="2C415ACB">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（二）具有良好的商业信誉和健全的财务会计制度;</w:t>
      </w:r>
    </w:p>
    <w:p w14:paraId="6244D724">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（三）具有履行合同所必需的设备和专业技术能力;</w:t>
      </w:r>
    </w:p>
    <w:p w14:paraId="05FE5F2A">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（四）有依法缴纳税收和社会保障资金的良好记录;</w:t>
      </w:r>
    </w:p>
    <w:p w14:paraId="0A9594FE">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（五）参加政府采购活动前三年内，在经营活动中没有重大违法记录;</w:t>
      </w:r>
    </w:p>
    <w:p w14:paraId="278199BC">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（六）符合法律、行政法规规定的其他条件。</w:t>
      </w:r>
    </w:p>
    <w:p w14:paraId="31F38363">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二、我单位（本人）未被列入严重违法失信名单、失信被执行人名单、重大税收违法失信主体、政府采购严重违法失信行为记录名单。</w:t>
      </w:r>
    </w:p>
    <w:p w14:paraId="66042862">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三、如果本公司（本人）有幸中标（成交），在合同签订之前，采购单位有权要求本公司（本人）提供资格证明材料原件进行核验。</w:t>
      </w:r>
    </w:p>
    <w:p w14:paraId="488E1304">
      <w:pPr>
        <w:spacing w:line="300" w:lineRule="auto"/>
        <w:ind w:left="39"/>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四、我单位（本人）保证上述承诺事项的真实性。如有弄虚作假或其他违法违规行为，自愿按照规定将违背承诺行为作为失信行为记录到社会信用信息平台，并视同为“提供虚假材料谋取中标、成交”按照《中华人民共和国政府采购法》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0D7C4B03">
      <w:pPr>
        <w:spacing w:line="300" w:lineRule="auto"/>
        <w:ind w:left="39"/>
        <w:rPr>
          <w:rFonts w:hint="eastAsia" w:ascii="仿宋" w:hAnsi="仿宋" w:eastAsia="仿宋" w:cs="仿宋"/>
          <w:color w:val="auto"/>
          <w:sz w:val="24"/>
          <w:szCs w:val="24"/>
          <w:highlight w:val="none"/>
          <w:lang w:eastAsia="zh-CN"/>
        </w:rPr>
      </w:pPr>
    </w:p>
    <w:p w14:paraId="74565B4C">
      <w:pPr>
        <w:spacing w:before="78" w:line="300" w:lineRule="auto"/>
        <w:ind w:left="3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供应商名称（公章</w:t>
      </w:r>
      <w:r>
        <w:rPr>
          <w:rFonts w:hint="eastAsia" w:ascii="仿宋" w:hAnsi="仿宋" w:eastAsia="仿宋" w:cs="仿宋"/>
          <w:color w:val="auto"/>
          <w:spacing w:val="2"/>
          <w:sz w:val="24"/>
          <w:szCs w:val="24"/>
          <w:highlight w:val="none"/>
          <w:lang w:eastAsia="zh-CN"/>
        </w:rPr>
        <w:t>）：</w:t>
      </w:r>
    </w:p>
    <w:p w14:paraId="2FF96F11">
      <w:pPr>
        <w:spacing w:line="300" w:lineRule="auto"/>
        <w:ind w:left="39" w:right="2206"/>
        <w:rPr>
          <w:rFonts w:hint="eastAsia" w:ascii="仿宋" w:hAnsi="仿宋" w:eastAsia="仿宋" w:cs="仿宋"/>
          <w:color w:val="auto"/>
          <w:spacing w:val="-24"/>
          <w:sz w:val="24"/>
          <w:szCs w:val="24"/>
          <w:highlight w:val="none"/>
          <w:lang w:eastAsia="zh-CN"/>
        </w:rPr>
      </w:pPr>
      <w:r>
        <w:rPr>
          <w:rFonts w:hint="eastAsia" w:ascii="仿宋" w:hAnsi="仿宋" w:eastAsia="仿宋" w:cs="仿宋"/>
          <w:color w:val="auto"/>
          <w:spacing w:val="-1"/>
          <w:sz w:val="24"/>
          <w:szCs w:val="24"/>
          <w:highlight w:val="none"/>
          <w:lang w:eastAsia="zh-CN"/>
        </w:rPr>
        <w:t>法定代表人、负责人、本人、或授权代表（签字或盖章</w:t>
      </w:r>
      <w:r>
        <w:rPr>
          <w:rFonts w:hint="eastAsia" w:ascii="仿宋" w:hAnsi="仿宋" w:eastAsia="仿宋" w:cs="仿宋"/>
          <w:color w:val="auto"/>
          <w:spacing w:val="-24"/>
          <w:sz w:val="24"/>
          <w:szCs w:val="24"/>
          <w:highlight w:val="none"/>
          <w:lang w:eastAsia="zh-CN"/>
        </w:rPr>
        <w:t>）：</w:t>
      </w:r>
    </w:p>
    <w:p w14:paraId="0F26ADC7">
      <w:pPr>
        <w:spacing w:line="300" w:lineRule="auto"/>
        <w:ind w:left="39" w:right="22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59E57386">
      <w:pPr>
        <w:spacing w:line="360" w:lineRule="auto"/>
        <w:rPr>
          <w:rFonts w:hint="eastAsia" w:ascii="仿宋" w:hAnsi="仿宋" w:eastAsia="仿宋" w:cs="仿宋"/>
          <w:color w:val="auto"/>
          <w:sz w:val="24"/>
          <w:szCs w:val="24"/>
          <w:highlight w:val="none"/>
          <w:lang w:eastAsia="zh-CN"/>
        </w:rPr>
      </w:pPr>
    </w:p>
    <w:p w14:paraId="528DB96A">
      <w:pPr>
        <w:spacing w:line="360" w:lineRule="auto"/>
        <w:rPr>
          <w:rFonts w:hint="eastAsia" w:ascii="仿宋" w:hAnsi="仿宋" w:eastAsia="仿宋" w:cs="仿宋"/>
          <w:color w:val="auto"/>
          <w:sz w:val="24"/>
          <w:szCs w:val="24"/>
          <w:highlight w:val="none"/>
          <w:lang w:eastAsia="zh-CN"/>
        </w:rPr>
      </w:pPr>
    </w:p>
    <w:p w14:paraId="220EFA44">
      <w:pPr>
        <w:spacing w:line="273" w:lineRule="auto"/>
        <w:rPr>
          <w:rFonts w:hint="eastAsia" w:ascii="仿宋" w:hAnsi="仿宋" w:eastAsia="仿宋" w:cs="仿宋"/>
          <w:color w:val="auto"/>
          <w:highlight w:val="none"/>
          <w:lang w:eastAsia="zh-CN"/>
        </w:rPr>
      </w:pPr>
    </w:p>
    <w:p w14:paraId="33A3C59D">
      <w:pPr>
        <w:pageBreakBefore/>
        <w:spacing w:line="360" w:lineRule="auto"/>
        <w:ind w:left="28"/>
        <w:jc w:val="both"/>
        <w:outlineLvl w:val="1"/>
        <w:rPr>
          <w:rFonts w:hint="eastAsia" w:ascii="仿宋" w:hAnsi="仿宋" w:eastAsia="仿宋" w:cs="仿宋"/>
          <w:b/>
          <w:bCs/>
          <w:color w:val="auto"/>
          <w:spacing w:val="7"/>
          <w:sz w:val="31"/>
          <w:szCs w:val="31"/>
          <w:highlight w:val="none"/>
          <w:lang w:eastAsia="zh-CN"/>
        </w:rPr>
      </w:pPr>
      <w:bookmarkStart w:id="377" w:name="bookmark235"/>
      <w:bookmarkEnd w:id="377"/>
      <w:bookmarkStart w:id="378" w:name="bookmark240"/>
      <w:bookmarkEnd w:id="378"/>
      <w:bookmarkStart w:id="379" w:name="_Toc186477799"/>
      <w:bookmarkStart w:id="380" w:name="_Toc24591"/>
      <w:r>
        <w:rPr>
          <w:rFonts w:hint="eastAsia" w:ascii="仿宋" w:hAnsi="仿宋" w:eastAsia="仿宋" w:cs="仿宋"/>
          <w:b/>
          <w:bCs/>
          <w:color w:val="auto"/>
          <w:spacing w:val="7"/>
          <w:sz w:val="31"/>
          <w:szCs w:val="31"/>
          <w:highlight w:val="none"/>
          <w:lang w:eastAsia="zh-CN"/>
        </w:rPr>
        <w:t>二、落实政府采购政策相关证明文件</w:t>
      </w:r>
      <w:bookmarkEnd w:id="379"/>
      <w:bookmarkEnd w:id="380"/>
    </w:p>
    <w:p w14:paraId="2CE0F9BE">
      <w:pPr>
        <w:spacing w:line="360" w:lineRule="auto"/>
        <w:ind w:left="137"/>
        <w:outlineLvl w:val="2"/>
        <w:rPr>
          <w:rFonts w:hint="eastAsia" w:ascii="仿宋" w:hAnsi="仿宋" w:eastAsia="仿宋" w:cs="仿宋"/>
          <w:color w:val="auto"/>
          <w:sz w:val="24"/>
          <w:szCs w:val="24"/>
          <w:highlight w:val="none"/>
          <w:lang w:eastAsia="zh-CN"/>
        </w:rPr>
      </w:pPr>
      <w:bookmarkStart w:id="381" w:name="bookmark239"/>
      <w:bookmarkEnd w:id="381"/>
      <w:bookmarkStart w:id="382" w:name="_Toc26953"/>
      <w:bookmarkStart w:id="383" w:name="_Toc186477800"/>
      <w:r>
        <w:rPr>
          <w:rFonts w:hint="eastAsia" w:ascii="仿宋" w:hAnsi="仿宋" w:eastAsia="仿宋" w:cs="仿宋"/>
          <w:b/>
          <w:bCs/>
          <w:color w:val="auto"/>
          <w:spacing w:val="-3"/>
          <w:sz w:val="24"/>
          <w:szCs w:val="24"/>
          <w:highlight w:val="none"/>
          <w:lang w:eastAsia="zh-CN"/>
        </w:rPr>
        <w:t>（一）节能环保产品清单及证明材料</w:t>
      </w:r>
      <w:r>
        <w:rPr>
          <w:rFonts w:hint="eastAsia" w:ascii="仿宋" w:hAnsi="仿宋" w:eastAsia="仿宋" w:cs="仿宋"/>
          <w:color w:val="auto"/>
          <w:spacing w:val="-3"/>
          <w:sz w:val="24"/>
          <w:szCs w:val="24"/>
          <w:highlight w:val="none"/>
          <w:lang w:eastAsia="zh-CN"/>
        </w:rPr>
        <w:t>【如适用】</w:t>
      </w:r>
      <w:bookmarkEnd w:id="382"/>
      <w:bookmarkEnd w:id="383"/>
    </w:p>
    <w:p w14:paraId="4DD9C278">
      <w:pPr>
        <w:spacing w:line="360" w:lineRule="auto"/>
        <w:ind w:left="1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项目名称：项目编号：包号：</w:t>
      </w:r>
    </w:p>
    <w:p w14:paraId="36064445">
      <w:pPr>
        <w:spacing w:line="360" w:lineRule="auto"/>
        <w:ind w:left="138"/>
        <w:rPr>
          <w:rFonts w:hint="eastAsia" w:ascii="仿宋" w:hAnsi="仿宋" w:eastAsia="仿宋" w:cs="仿宋"/>
          <w:color w:val="auto"/>
          <w:sz w:val="24"/>
          <w:szCs w:val="24"/>
          <w:highlight w:val="none"/>
        </w:rPr>
      </w:pPr>
      <w:r>
        <w:rPr>
          <w:rFonts w:hint="eastAsia" w:ascii="仿宋" w:hAnsi="仿宋" w:eastAsia="仿宋" w:cs="仿宋"/>
          <w:color w:val="auto"/>
          <w:spacing w:val="-11"/>
          <w:sz w:val="24"/>
          <w:szCs w:val="24"/>
          <w:highlight w:val="none"/>
        </w:rPr>
        <w:t>1）节能产品</w:t>
      </w:r>
    </w:p>
    <w:p w14:paraId="2975DA44">
      <w:pPr>
        <w:spacing w:line="28" w:lineRule="exact"/>
        <w:rPr>
          <w:rFonts w:hint="eastAsia" w:ascii="仿宋" w:hAnsi="仿宋" w:eastAsia="仿宋" w:cs="仿宋"/>
          <w:color w:val="auto"/>
          <w:highlight w:val="none"/>
        </w:rPr>
      </w:pPr>
    </w:p>
    <w:tbl>
      <w:tblPr>
        <w:tblStyle w:val="22"/>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61"/>
        <w:gridCol w:w="1517"/>
        <w:gridCol w:w="992"/>
        <w:gridCol w:w="991"/>
        <w:gridCol w:w="698"/>
        <w:gridCol w:w="708"/>
        <w:gridCol w:w="1133"/>
        <w:gridCol w:w="1096"/>
        <w:gridCol w:w="1054"/>
      </w:tblGrid>
      <w:tr w14:paraId="6F052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1369" w:hRule="atLeast"/>
        </w:trPr>
        <w:tc>
          <w:tcPr>
            <w:tcW w:w="761" w:type="dxa"/>
          </w:tcPr>
          <w:p w14:paraId="29433C52">
            <w:pPr>
              <w:pStyle w:val="31"/>
              <w:spacing w:before="78" w:line="221" w:lineRule="auto"/>
              <w:ind w:left="116"/>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1517" w:type="dxa"/>
          </w:tcPr>
          <w:p w14:paraId="136DD28F">
            <w:pPr>
              <w:pStyle w:val="31"/>
              <w:spacing w:before="78" w:line="221" w:lineRule="auto"/>
              <w:ind w:left="116"/>
              <w:rPr>
                <w:rFonts w:hint="eastAsia" w:ascii="仿宋" w:hAnsi="仿宋" w:eastAsia="仿宋" w:cs="仿宋"/>
                <w:color w:val="auto"/>
                <w:highlight w:val="none"/>
              </w:rPr>
            </w:pPr>
            <w:r>
              <w:rPr>
                <w:rFonts w:hint="eastAsia" w:ascii="仿宋" w:hAnsi="仿宋" w:eastAsia="仿宋" w:cs="仿宋"/>
                <w:color w:val="auto"/>
                <w:spacing w:val="-4"/>
                <w:highlight w:val="none"/>
              </w:rPr>
              <w:t>设备名称</w:t>
            </w:r>
          </w:p>
        </w:tc>
        <w:tc>
          <w:tcPr>
            <w:tcW w:w="992" w:type="dxa"/>
          </w:tcPr>
          <w:p w14:paraId="77337756">
            <w:pPr>
              <w:pStyle w:val="31"/>
              <w:spacing w:before="78" w:line="231" w:lineRule="auto"/>
              <w:ind w:left="116" w:right="162" w:hanging="1"/>
              <w:rPr>
                <w:rFonts w:hint="eastAsia" w:ascii="仿宋" w:hAnsi="仿宋" w:eastAsia="仿宋" w:cs="仿宋"/>
                <w:color w:val="auto"/>
                <w:highlight w:val="none"/>
              </w:rPr>
            </w:pPr>
            <w:r>
              <w:rPr>
                <w:rFonts w:hint="eastAsia" w:ascii="仿宋" w:hAnsi="仿宋" w:eastAsia="仿宋" w:cs="仿宋"/>
                <w:color w:val="auto"/>
                <w:spacing w:val="-4"/>
                <w:highlight w:val="none"/>
              </w:rPr>
              <w:t>制造商</w:t>
            </w:r>
            <w:r>
              <w:rPr>
                <w:rFonts w:hint="eastAsia" w:ascii="仿宋" w:hAnsi="仿宋" w:eastAsia="仿宋" w:cs="仿宋"/>
                <w:color w:val="auto"/>
                <w:spacing w:val="-7"/>
                <w:highlight w:val="none"/>
              </w:rPr>
              <w:t>名称</w:t>
            </w:r>
          </w:p>
        </w:tc>
        <w:tc>
          <w:tcPr>
            <w:tcW w:w="991" w:type="dxa"/>
          </w:tcPr>
          <w:p w14:paraId="0C7611B6">
            <w:pPr>
              <w:pStyle w:val="31"/>
              <w:spacing w:before="78" w:line="219" w:lineRule="auto"/>
              <w:ind w:left="135"/>
              <w:rPr>
                <w:rFonts w:hint="eastAsia" w:ascii="仿宋" w:hAnsi="仿宋" w:eastAsia="仿宋" w:cs="仿宋"/>
                <w:color w:val="auto"/>
                <w:highlight w:val="none"/>
              </w:rPr>
            </w:pPr>
            <w:r>
              <w:rPr>
                <w:rFonts w:hint="eastAsia" w:ascii="仿宋" w:hAnsi="仿宋" w:eastAsia="仿宋" w:cs="仿宋"/>
                <w:color w:val="auto"/>
                <w:spacing w:val="-15"/>
                <w:highlight w:val="none"/>
              </w:rPr>
              <w:t>品牌</w:t>
            </w:r>
          </w:p>
        </w:tc>
        <w:tc>
          <w:tcPr>
            <w:tcW w:w="698" w:type="dxa"/>
          </w:tcPr>
          <w:p w14:paraId="28922326">
            <w:pPr>
              <w:pStyle w:val="31"/>
              <w:spacing w:before="78" w:line="221" w:lineRule="auto"/>
              <w:ind w:left="123"/>
              <w:rPr>
                <w:rFonts w:hint="eastAsia" w:ascii="仿宋" w:hAnsi="仿宋" w:eastAsia="仿宋" w:cs="仿宋"/>
                <w:color w:val="auto"/>
                <w:highlight w:val="none"/>
              </w:rPr>
            </w:pPr>
            <w:r>
              <w:rPr>
                <w:rFonts w:hint="eastAsia" w:ascii="仿宋" w:hAnsi="仿宋" w:eastAsia="仿宋" w:cs="仿宋"/>
                <w:color w:val="auto"/>
                <w:spacing w:val="-9"/>
                <w:highlight w:val="none"/>
              </w:rPr>
              <w:t>型号</w:t>
            </w:r>
          </w:p>
        </w:tc>
        <w:tc>
          <w:tcPr>
            <w:tcW w:w="708" w:type="dxa"/>
          </w:tcPr>
          <w:p w14:paraId="095B2CD8">
            <w:pPr>
              <w:pStyle w:val="31"/>
              <w:spacing w:before="78" w:line="219" w:lineRule="auto"/>
              <w:ind w:left="116"/>
              <w:rPr>
                <w:rFonts w:hint="eastAsia" w:ascii="仿宋" w:hAnsi="仿宋" w:eastAsia="仿宋" w:cs="仿宋"/>
                <w:color w:val="auto"/>
                <w:highlight w:val="none"/>
              </w:rPr>
            </w:pPr>
            <w:r>
              <w:rPr>
                <w:rFonts w:hint="eastAsia" w:ascii="仿宋" w:hAnsi="仿宋" w:eastAsia="仿宋" w:cs="仿宋"/>
                <w:color w:val="auto"/>
                <w:spacing w:val="-6"/>
                <w:highlight w:val="none"/>
              </w:rPr>
              <w:t>数量</w:t>
            </w:r>
          </w:p>
        </w:tc>
        <w:tc>
          <w:tcPr>
            <w:tcW w:w="1133" w:type="dxa"/>
          </w:tcPr>
          <w:p w14:paraId="09D40B40">
            <w:pPr>
              <w:pStyle w:val="31"/>
              <w:spacing w:before="78" w:line="218" w:lineRule="auto"/>
              <w:ind w:left="116"/>
              <w:rPr>
                <w:rFonts w:hint="eastAsia" w:ascii="仿宋" w:hAnsi="仿宋" w:eastAsia="仿宋" w:cs="仿宋"/>
                <w:color w:val="auto"/>
                <w:highlight w:val="none"/>
              </w:rPr>
            </w:pPr>
            <w:r>
              <w:rPr>
                <w:rFonts w:hint="eastAsia" w:ascii="仿宋" w:hAnsi="仿宋" w:eastAsia="仿宋" w:cs="仿宋"/>
                <w:color w:val="auto"/>
                <w:spacing w:val="-6"/>
                <w:highlight w:val="none"/>
              </w:rPr>
              <w:t>单价</w:t>
            </w:r>
          </w:p>
          <w:p w14:paraId="26C0533E">
            <w:pPr>
              <w:pStyle w:val="31"/>
              <w:spacing w:before="28" w:line="220" w:lineRule="auto"/>
              <w:ind w:left="125"/>
              <w:rPr>
                <w:rFonts w:hint="eastAsia" w:ascii="仿宋" w:hAnsi="仿宋" w:eastAsia="仿宋" w:cs="仿宋"/>
                <w:color w:val="auto"/>
                <w:highlight w:val="none"/>
              </w:rPr>
            </w:pPr>
            <w:r>
              <w:rPr>
                <w:rFonts w:hint="eastAsia" w:ascii="仿宋" w:hAnsi="仿宋" w:eastAsia="仿宋" w:cs="仿宋"/>
                <w:color w:val="auto"/>
                <w:spacing w:val="-6"/>
                <w:highlight w:val="none"/>
              </w:rPr>
              <w:t>（万元）</w:t>
            </w:r>
          </w:p>
        </w:tc>
        <w:tc>
          <w:tcPr>
            <w:tcW w:w="1096" w:type="dxa"/>
          </w:tcPr>
          <w:p w14:paraId="3B4645D2">
            <w:pPr>
              <w:pStyle w:val="31"/>
              <w:spacing w:before="78" w:line="218" w:lineRule="auto"/>
              <w:ind w:left="122"/>
              <w:rPr>
                <w:rFonts w:hint="eastAsia" w:ascii="仿宋" w:hAnsi="仿宋" w:eastAsia="仿宋" w:cs="仿宋"/>
                <w:color w:val="auto"/>
                <w:highlight w:val="none"/>
              </w:rPr>
            </w:pPr>
            <w:r>
              <w:rPr>
                <w:rFonts w:hint="eastAsia" w:ascii="仿宋" w:hAnsi="仿宋" w:eastAsia="仿宋" w:cs="仿宋"/>
                <w:color w:val="auto"/>
                <w:spacing w:val="-8"/>
                <w:highlight w:val="none"/>
              </w:rPr>
              <w:t>总价</w:t>
            </w:r>
          </w:p>
          <w:p w14:paraId="11F14A08">
            <w:pPr>
              <w:pStyle w:val="31"/>
              <w:spacing w:before="28" w:line="220" w:lineRule="auto"/>
              <w:ind w:left="127"/>
              <w:rPr>
                <w:rFonts w:hint="eastAsia" w:ascii="仿宋" w:hAnsi="仿宋" w:eastAsia="仿宋" w:cs="仿宋"/>
                <w:color w:val="auto"/>
                <w:highlight w:val="none"/>
              </w:rPr>
            </w:pPr>
            <w:r>
              <w:rPr>
                <w:rFonts w:hint="eastAsia" w:ascii="仿宋" w:hAnsi="仿宋" w:eastAsia="仿宋" w:cs="仿宋"/>
                <w:color w:val="auto"/>
                <w:spacing w:val="-6"/>
                <w:highlight w:val="none"/>
              </w:rPr>
              <w:t>（万元）</w:t>
            </w:r>
          </w:p>
        </w:tc>
        <w:tc>
          <w:tcPr>
            <w:tcW w:w="1054" w:type="dxa"/>
          </w:tcPr>
          <w:p w14:paraId="70B1C5FB">
            <w:pPr>
              <w:pStyle w:val="31"/>
              <w:spacing w:before="99" w:line="235" w:lineRule="auto"/>
              <w:ind w:left="115" w:right="221" w:firstLine="3"/>
              <w:jc w:val="both"/>
              <w:rPr>
                <w:rFonts w:hint="eastAsia" w:ascii="仿宋" w:hAnsi="仿宋" w:eastAsia="仿宋" w:cs="仿宋"/>
                <w:color w:val="auto"/>
                <w:highlight w:val="none"/>
                <w:lang w:eastAsia="zh-CN"/>
              </w:rPr>
            </w:pPr>
            <w:r>
              <w:rPr>
                <w:rFonts w:hint="eastAsia" w:ascii="仿宋" w:hAnsi="仿宋" w:eastAsia="仿宋" w:cs="仿宋"/>
                <w:color w:val="auto"/>
                <w:spacing w:val="-4"/>
                <w:highlight w:val="none"/>
                <w:lang w:eastAsia="zh-CN"/>
              </w:rPr>
              <w:t>属强制</w:t>
            </w:r>
            <w:r>
              <w:rPr>
                <w:rFonts w:hint="eastAsia" w:ascii="仿宋" w:hAnsi="仿宋" w:eastAsia="仿宋" w:cs="仿宋"/>
                <w:color w:val="auto"/>
                <w:spacing w:val="-3"/>
                <w:highlight w:val="none"/>
                <w:lang w:eastAsia="zh-CN"/>
              </w:rPr>
              <w:t>采购或优先采</w:t>
            </w:r>
            <w:r>
              <w:rPr>
                <w:rFonts w:hint="eastAsia" w:ascii="仿宋" w:hAnsi="仿宋" w:eastAsia="仿宋" w:cs="仿宋"/>
                <w:color w:val="auto"/>
                <w:highlight w:val="none"/>
                <w:lang w:eastAsia="zh-CN"/>
              </w:rPr>
              <w:t>购</w:t>
            </w:r>
          </w:p>
        </w:tc>
      </w:tr>
      <w:tr w14:paraId="2244C2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61" w:type="dxa"/>
          </w:tcPr>
          <w:p w14:paraId="34ABFF78">
            <w:pPr>
              <w:pStyle w:val="31"/>
              <w:spacing w:before="204" w:line="184" w:lineRule="auto"/>
              <w:ind w:left="134"/>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517" w:type="dxa"/>
          </w:tcPr>
          <w:p w14:paraId="45746ED8">
            <w:pPr>
              <w:rPr>
                <w:rFonts w:hint="eastAsia" w:ascii="仿宋" w:hAnsi="仿宋" w:eastAsia="仿宋" w:cs="仿宋"/>
                <w:color w:val="auto"/>
                <w:highlight w:val="none"/>
              </w:rPr>
            </w:pPr>
          </w:p>
        </w:tc>
        <w:tc>
          <w:tcPr>
            <w:tcW w:w="992" w:type="dxa"/>
          </w:tcPr>
          <w:p w14:paraId="1ECD1C8D">
            <w:pPr>
              <w:rPr>
                <w:rFonts w:hint="eastAsia" w:ascii="仿宋" w:hAnsi="仿宋" w:eastAsia="仿宋" w:cs="仿宋"/>
                <w:color w:val="auto"/>
                <w:highlight w:val="none"/>
              </w:rPr>
            </w:pPr>
          </w:p>
        </w:tc>
        <w:tc>
          <w:tcPr>
            <w:tcW w:w="991" w:type="dxa"/>
          </w:tcPr>
          <w:p w14:paraId="3DCD1D06">
            <w:pPr>
              <w:rPr>
                <w:rFonts w:hint="eastAsia" w:ascii="仿宋" w:hAnsi="仿宋" w:eastAsia="仿宋" w:cs="仿宋"/>
                <w:color w:val="auto"/>
                <w:highlight w:val="none"/>
              </w:rPr>
            </w:pPr>
          </w:p>
        </w:tc>
        <w:tc>
          <w:tcPr>
            <w:tcW w:w="698" w:type="dxa"/>
          </w:tcPr>
          <w:p w14:paraId="00DF33D1">
            <w:pPr>
              <w:rPr>
                <w:rFonts w:hint="eastAsia" w:ascii="仿宋" w:hAnsi="仿宋" w:eastAsia="仿宋" w:cs="仿宋"/>
                <w:color w:val="auto"/>
                <w:highlight w:val="none"/>
              </w:rPr>
            </w:pPr>
          </w:p>
        </w:tc>
        <w:tc>
          <w:tcPr>
            <w:tcW w:w="708" w:type="dxa"/>
          </w:tcPr>
          <w:p w14:paraId="0DD39B17">
            <w:pPr>
              <w:rPr>
                <w:rFonts w:hint="eastAsia" w:ascii="仿宋" w:hAnsi="仿宋" w:eastAsia="仿宋" w:cs="仿宋"/>
                <w:color w:val="auto"/>
                <w:highlight w:val="none"/>
              </w:rPr>
            </w:pPr>
          </w:p>
        </w:tc>
        <w:tc>
          <w:tcPr>
            <w:tcW w:w="1133" w:type="dxa"/>
          </w:tcPr>
          <w:p w14:paraId="09F183BF">
            <w:pPr>
              <w:rPr>
                <w:rFonts w:hint="eastAsia" w:ascii="仿宋" w:hAnsi="仿宋" w:eastAsia="仿宋" w:cs="仿宋"/>
                <w:color w:val="auto"/>
                <w:highlight w:val="none"/>
              </w:rPr>
            </w:pPr>
          </w:p>
        </w:tc>
        <w:tc>
          <w:tcPr>
            <w:tcW w:w="1096" w:type="dxa"/>
          </w:tcPr>
          <w:p w14:paraId="1157F2D2">
            <w:pPr>
              <w:rPr>
                <w:rFonts w:hint="eastAsia" w:ascii="仿宋" w:hAnsi="仿宋" w:eastAsia="仿宋" w:cs="仿宋"/>
                <w:color w:val="auto"/>
                <w:highlight w:val="none"/>
              </w:rPr>
            </w:pPr>
          </w:p>
        </w:tc>
        <w:tc>
          <w:tcPr>
            <w:tcW w:w="1054" w:type="dxa"/>
          </w:tcPr>
          <w:p w14:paraId="760B1580">
            <w:pPr>
              <w:rPr>
                <w:rFonts w:hint="eastAsia" w:ascii="仿宋" w:hAnsi="仿宋" w:eastAsia="仿宋" w:cs="仿宋"/>
                <w:color w:val="auto"/>
                <w:highlight w:val="none"/>
              </w:rPr>
            </w:pPr>
          </w:p>
        </w:tc>
      </w:tr>
      <w:tr w14:paraId="5B607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61" w:type="dxa"/>
          </w:tcPr>
          <w:p w14:paraId="42DFE542">
            <w:pPr>
              <w:pStyle w:val="31"/>
              <w:spacing w:before="207" w:line="183" w:lineRule="auto"/>
              <w:ind w:left="12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517" w:type="dxa"/>
          </w:tcPr>
          <w:p w14:paraId="226AFF87">
            <w:pPr>
              <w:rPr>
                <w:rFonts w:hint="eastAsia" w:ascii="仿宋" w:hAnsi="仿宋" w:eastAsia="仿宋" w:cs="仿宋"/>
                <w:color w:val="auto"/>
                <w:highlight w:val="none"/>
              </w:rPr>
            </w:pPr>
          </w:p>
        </w:tc>
        <w:tc>
          <w:tcPr>
            <w:tcW w:w="992" w:type="dxa"/>
          </w:tcPr>
          <w:p w14:paraId="7DD99CC1">
            <w:pPr>
              <w:rPr>
                <w:rFonts w:hint="eastAsia" w:ascii="仿宋" w:hAnsi="仿宋" w:eastAsia="仿宋" w:cs="仿宋"/>
                <w:color w:val="auto"/>
                <w:highlight w:val="none"/>
              </w:rPr>
            </w:pPr>
          </w:p>
        </w:tc>
        <w:tc>
          <w:tcPr>
            <w:tcW w:w="991" w:type="dxa"/>
          </w:tcPr>
          <w:p w14:paraId="205F9997">
            <w:pPr>
              <w:rPr>
                <w:rFonts w:hint="eastAsia" w:ascii="仿宋" w:hAnsi="仿宋" w:eastAsia="仿宋" w:cs="仿宋"/>
                <w:color w:val="auto"/>
                <w:highlight w:val="none"/>
              </w:rPr>
            </w:pPr>
          </w:p>
        </w:tc>
        <w:tc>
          <w:tcPr>
            <w:tcW w:w="698" w:type="dxa"/>
          </w:tcPr>
          <w:p w14:paraId="0E940AE7">
            <w:pPr>
              <w:rPr>
                <w:rFonts w:hint="eastAsia" w:ascii="仿宋" w:hAnsi="仿宋" w:eastAsia="仿宋" w:cs="仿宋"/>
                <w:color w:val="auto"/>
                <w:highlight w:val="none"/>
              </w:rPr>
            </w:pPr>
          </w:p>
        </w:tc>
        <w:tc>
          <w:tcPr>
            <w:tcW w:w="708" w:type="dxa"/>
          </w:tcPr>
          <w:p w14:paraId="6072F99C">
            <w:pPr>
              <w:rPr>
                <w:rFonts w:hint="eastAsia" w:ascii="仿宋" w:hAnsi="仿宋" w:eastAsia="仿宋" w:cs="仿宋"/>
                <w:color w:val="auto"/>
                <w:highlight w:val="none"/>
              </w:rPr>
            </w:pPr>
          </w:p>
        </w:tc>
        <w:tc>
          <w:tcPr>
            <w:tcW w:w="1133" w:type="dxa"/>
          </w:tcPr>
          <w:p w14:paraId="35DED0A1">
            <w:pPr>
              <w:rPr>
                <w:rFonts w:hint="eastAsia" w:ascii="仿宋" w:hAnsi="仿宋" w:eastAsia="仿宋" w:cs="仿宋"/>
                <w:color w:val="auto"/>
                <w:highlight w:val="none"/>
              </w:rPr>
            </w:pPr>
          </w:p>
        </w:tc>
        <w:tc>
          <w:tcPr>
            <w:tcW w:w="1096" w:type="dxa"/>
          </w:tcPr>
          <w:p w14:paraId="3FF68D1A">
            <w:pPr>
              <w:rPr>
                <w:rFonts w:hint="eastAsia" w:ascii="仿宋" w:hAnsi="仿宋" w:eastAsia="仿宋" w:cs="仿宋"/>
                <w:color w:val="auto"/>
                <w:highlight w:val="none"/>
              </w:rPr>
            </w:pPr>
          </w:p>
        </w:tc>
        <w:tc>
          <w:tcPr>
            <w:tcW w:w="1054" w:type="dxa"/>
          </w:tcPr>
          <w:p w14:paraId="708FE566">
            <w:pPr>
              <w:rPr>
                <w:rFonts w:hint="eastAsia" w:ascii="仿宋" w:hAnsi="仿宋" w:eastAsia="仿宋" w:cs="仿宋"/>
                <w:color w:val="auto"/>
                <w:highlight w:val="none"/>
              </w:rPr>
            </w:pPr>
          </w:p>
        </w:tc>
      </w:tr>
      <w:tr w14:paraId="0A911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7" w:hRule="atLeast"/>
        </w:trPr>
        <w:tc>
          <w:tcPr>
            <w:tcW w:w="761" w:type="dxa"/>
          </w:tcPr>
          <w:p w14:paraId="1F5326E5">
            <w:pPr>
              <w:pStyle w:val="31"/>
              <w:spacing w:before="208" w:line="183" w:lineRule="auto"/>
              <w:ind w:left="121"/>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517" w:type="dxa"/>
          </w:tcPr>
          <w:p w14:paraId="5407E9AB">
            <w:pPr>
              <w:pStyle w:val="31"/>
              <w:spacing w:before="170" w:line="378" w:lineRule="exact"/>
              <w:ind w:left="127"/>
              <w:rPr>
                <w:rFonts w:hint="eastAsia"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992" w:type="dxa"/>
          </w:tcPr>
          <w:p w14:paraId="4E9C3417">
            <w:pPr>
              <w:rPr>
                <w:rFonts w:hint="eastAsia" w:ascii="仿宋" w:hAnsi="仿宋" w:eastAsia="仿宋" w:cs="仿宋"/>
                <w:color w:val="auto"/>
                <w:highlight w:val="none"/>
              </w:rPr>
            </w:pPr>
          </w:p>
        </w:tc>
        <w:tc>
          <w:tcPr>
            <w:tcW w:w="991" w:type="dxa"/>
          </w:tcPr>
          <w:p w14:paraId="59873091">
            <w:pPr>
              <w:rPr>
                <w:rFonts w:hint="eastAsia" w:ascii="仿宋" w:hAnsi="仿宋" w:eastAsia="仿宋" w:cs="仿宋"/>
                <w:color w:val="auto"/>
                <w:highlight w:val="none"/>
              </w:rPr>
            </w:pPr>
          </w:p>
        </w:tc>
        <w:tc>
          <w:tcPr>
            <w:tcW w:w="698" w:type="dxa"/>
          </w:tcPr>
          <w:p w14:paraId="325F1F31">
            <w:pPr>
              <w:rPr>
                <w:rFonts w:hint="eastAsia" w:ascii="仿宋" w:hAnsi="仿宋" w:eastAsia="仿宋" w:cs="仿宋"/>
                <w:color w:val="auto"/>
                <w:highlight w:val="none"/>
              </w:rPr>
            </w:pPr>
          </w:p>
        </w:tc>
        <w:tc>
          <w:tcPr>
            <w:tcW w:w="708" w:type="dxa"/>
          </w:tcPr>
          <w:p w14:paraId="063C5F97">
            <w:pPr>
              <w:rPr>
                <w:rFonts w:hint="eastAsia" w:ascii="仿宋" w:hAnsi="仿宋" w:eastAsia="仿宋" w:cs="仿宋"/>
                <w:color w:val="auto"/>
                <w:highlight w:val="none"/>
              </w:rPr>
            </w:pPr>
          </w:p>
        </w:tc>
        <w:tc>
          <w:tcPr>
            <w:tcW w:w="1133" w:type="dxa"/>
          </w:tcPr>
          <w:p w14:paraId="552BCD97">
            <w:pPr>
              <w:rPr>
                <w:rFonts w:hint="eastAsia" w:ascii="仿宋" w:hAnsi="仿宋" w:eastAsia="仿宋" w:cs="仿宋"/>
                <w:color w:val="auto"/>
                <w:highlight w:val="none"/>
              </w:rPr>
            </w:pPr>
          </w:p>
        </w:tc>
        <w:tc>
          <w:tcPr>
            <w:tcW w:w="1096" w:type="dxa"/>
          </w:tcPr>
          <w:p w14:paraId="0C7AFA5E">
            <w:pPr>
              <w:rPr>
                <w:rFonts w:hint="eastAsia" w:ascii="仿宋" w:hAnsi="仿宋" w:eastAsia="仿宋" w:cs="仿宋"/>
                <w:color w:val="auto"/>
                <w:highlight w:val="none"/>
              </w:rPr>
            </w:pPr>
          </w:p>
        </w:tc>
        <w:tc>
          <w:tcPr>
            <w:tcW w:w="1054" w:type="dxa"/>
          </w:tcPr>
          <w:p w14:paraId="64E399D3">
            <w:pPr>
              <w:rPr>
                <w:rFonts w:hint="eastAsia" w:ascii="仿宋" w:hAnsi="仿宋" w:eastAsia="仿宋" w:cs="仿宋"/>
                <w:color w:val="auto"/>
                <w:highlight w:val="none"/>
              </w:rPr>
            </w:pPr>
          </w:p>
        </w:tc>
      </w:tr>
    </w:tbl>
    <w:p w14:paraId="7C34F01F">
      <w:pPr>
        <w:spacing w:line="386" w:lineRule="auto"/>
        <w:rPr>
          <w:rFonts w:hint="eastAsia" w:ascii="仿宋" w:hAnsi="仿宋" w:eastAsia="仿宋" w:cs="仿宋"/>
          <w:color w:val="auto"/>
          <w:highlight w:val="none"/>
        </w:rPr>
      </w:pPr>
    </w:p>
    <w:p w14:paraId="15ECC0DD">
      <w:pPr>
        <w:spacing w:before="78" w:line="219" w:lineRule="auto"/>
        <w:ind w:left="119"/>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2）环保产品</w:t>
      </w:r>
    </w:p>
    <w:p w14:paraId="36AF8B78">
      <w:pPr>
        <w:spacing w:line="28" w:lineRule="exact"/>
        <w:rPr>
          <w:rFonts w:hint="eastAsia" w:ascii="仿宋" w:hAnsi="仿宋" w:eastAsia="仿宋" w:cs="仿宋"/>
          <w:color w:val="auto"/>
          <w:highlight w:val="none"/>
        </w:rPr>
      </w:pPr>
    </w:p>
    <w:tbl>
      <w:tblPr>
        <w:tblStyle w:val="22"/>
        <w:tblW w:w="89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80"/>
        <w:gridCol w:w="1727"/>
        <w:gridCol w:w="1185"/>
        <w:gridCol w:w="848"/>
        <w:gridCol w:w="848"/>
        <w:gridCol w:w="944"/>
        <w:gridCol w:w="1449"/>
        <w:gridCol w:w="1169"/>
      </w:tblGrid>
      <w:tr w14:paraId="76B8E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46" w:hRule="atLeast"/>
        </w:trPr>
        <w:tc>
          <w:tcPr>
            <w:tcW w:w="780" w:type="dxa"/>
          </w:tcPr>
          <w:p w14:paraId="07864261">
            <w:pPr>
              <w:pStyle w:val="31"/>
              <w:spacing w:before="254" w:line="221" w:lineRule="auto"/>
              <w:ind w:left="116"/>
              <w:rPr>
                <w:rFonts w:hint="eastAsia" w:ascii="仿宋" w:hAnsi="仿宋" w:eastAsia="仿宋" w:cs="仿宋"/>
                <w:color w:val="auto"/>
                <w:highlight w:val="none"/>
              </w:rPr>
            </w:pPr>
            <w:r>
              <w:rPr>
                <w:rFonts w:hint="eastAsia" w:ascii="仿宋" w:hAnsi="仿宋" w:eastAsia="仿宋" w:cs="仿宋"/>
                <w:color w:val="auto"/>
                <w:spacing w:val="-5"/>
                <w:highlight w:val="none"/>
              </w:rPr>
              <w:t>序号</w:t>
            </w:r>
          </w:p>
        </w:tc>
        <w:tc>
          <w:tcPr>
            <w:tcW w:w="1727" w:type="dxa"/>
          </w:tcPr>
          <w:p w14:paraId="44AD372A">
            <w:pPr>
              <w:pStyle w:val="31"/>
              <w:spacing w:before="254" w:line="221" w:lineRule="auto"/>
              <w:ind w:left="116"/>
              <w:rPr>
                <w:rFonts w:hint="eastAsia" w:ascii="仿宋" w:hAnsi="仿宋" w:eastAsia="仿宋" w:cs="仿宋"/>
                <w:color w:val="auto"/>
                <w:highlight w:val="none"/>
              </w:rPr>
            </w:pPr>
            <w:r>
              <w:rPr>
                <w:rFonts w:hint="eastAsia" w:ascii="仿宋" w:hAnsi="仿宋" w:eastAsia="仿宋" w:cs="仿宋"/>
                <w:color w:val="auto"/>
                <w:spacing w:val="-4"/>
                <w:highlight w:val="none"/>
              </w:rPr>
              <w:t>设备名称</w:t>
            </w:r>
          </w:p>
        </w:tc>
        <w:tc>
          <w:tcPr>
            <w:tcW w:w="1185" w:type="dxa"/>
          </w:tcPr>
          <w:p w14:paraId="442A1B60">
            <w:pPr>
              <w:pStyle w:val="31"/>
              <w:spacing w:before="97" w:line="231" w:lineRule="auto"/>
              <w:ind w:left="115" w:right="356" w:hanging="1"/>
              <w:rPr>
                <w:rFonts w:hint="eastAsia" w:ascii="仿宋" w:hAnsi="仿宋" w:eastAsia="仿宋" w:cs="仿宋"/>
                <w:color w:val="auto"/>
                <w:highlight w:val="none"/>
              </w:rPr>
            </w:pPr>
            <w:r>
              <w:rPr>
                <w:rFonts w:hint="eastAsia" w:ascii="仿宋" w:hAnsi="仿宋" w:eastAsia="仿宋" w:cs="仿宋"/>
                <w:color w:val="auto"/>
                <w:spacing w:val="-4"/>
                <w:highlight w:val="none"/>
              </w:rPr>
              <w:t>制造商</w:t>
            </w:r>
            <w:r>
              <w:rPr>
                <w:rFonts w:hint="eastAsia" w:ascii="仿宋" w:hAnsi="仿宋" w:eastAsia="仿宋" w:cs="仿宋"/>
                <w:color w:val="auto"/>
                <w:spacing w:val="-7"/>
                <w:highlight w:val="none"/>
              </w:rPr>
              <w:t>名称</w:t>
            </w:r>
          </w:p>
        </w:tc>
        <w:tc>
          <w:tcPr>
            <w:tcW w:w="848" w:type="dxa"/>
          </w:tcPr>
          <w:p w14:paraId="1E6918E7">
            <w:pPr>
              <w:pStyle w:val="31"/>
              <w:spacing w:before="255" w:line="219" w:lineRule="auto"/>
              <w:ind w:left="133"/>
              <w:rPr>
                <w:rFonts w:hint="eastAsia" w:ascii="仿宋" w:hAnsi="仿宋" w:eastAsia="仿宋" w:cs="仿宋"/>
                <w:color w:val="auto"/>
                <w:highlight w:val="none"/>
              </w:rPr>
            </w:pPr>
            <w:r>
              <w:rPr>
                <w:rFonts w:hint="eastAsia" w:ascii="仿宋" w:hAnsi="仿宋" w:eastAsia="仿宋" w:cs="仿宋"/>
                <w:color w:val="auto"/>
                <w:spacing w:val="-15"/>
                <w:highlight w:val="none"/>
              </w:rPr>
              <w:t>品牌</w:t>
            </w:r>
          </w:p>
        </w:tc>
        <w:tc>
          <w:tcPr>
            <w:tcW w:w="848" w:type="dxa"/>
          </w:tcPr>
          <w:p w14:paraId="40ED2664">
            <w:pPr>
              <w:pStyle w:val="31"/>
              <w:spacing w:before="254" w:line="221" w:lineRule="auto"/>
              <w:ind w:left="122"/>
              <w:rPr>
                <w:rFonts w:hint="eastAsia" w:ascii="仿宋" w:hAnsi="仿宋" w:eastAsia="仿宋" w:cs="仿宋"/>
                <w:color w:val="auto"/>
                <w:highlight w:val="none"/>
              </w:rPr>
            </w:pPr>
            <w:r>
              <w:rPr>
                <w:rFonts w:hint="eastAsia" w:ascii="仿宋" w:hAnsi="仿宋" w:eastAsia="仿宋" w:cs="仿宋"/>
                <w:color w:val="auto"/>
                <w:spacing w:val="-9"/>
                <w:highlight w:val="none"/>
              </w:rPr>
              <w:t>型号</w:t>
            </w:r>
          </w:p>
        </w:tc>
        <w:tc>
          <w:tcPr>
            <w:tcW w:w="944" w:type="dxa"/>
          </w:tcPr>
          <w:p w14:paraId="64E6A750">
            <w:pPr>
              <w:pStyle w:val="31"/>
              <w:spacing w:before="255" w:line="219" w:lineRule="auto"/>
              <w:ind w:left="116"/>
              <w:rPr>
                <w:rFonts w:hint="eastAsia" w:ascii="仿宋" w:hAnsi="仿宋" w:eastAsia="仿宋" w:cs="仿宋"/>
                <w:color w:val="auto"/>
                <w:highlight w:val="none"/>
              </w:rPr>
            </w:pPr>
            <w:r>
              <w:rPr>
                <w:rFonts w:hint="eastAsia" w:ascii="仿宋" w:hAnsi="仿宋" w:eastAsia="仿宋" w:cs="仿宋"/>
                <w:color w:val="auto"/>
                <w:spacing w:val="-6"/>
                <w:highlight w:val="none"/>
              </w:rPr>
              <w:t>数量</w:t>
            </w:r>
          </w:p>
        </w:tc>
        <w:tc>
          <w:tcPr>
            <w:tcW w:w="1449" w:type="dxa"/>
          </w:tcPr>
          <w:p w14:paraId="7FAD91DC">
            <w:pPr>
              <w:pStyle w:val="31"/>
              <w:spacing w:before="98" w:line="218" w:lineRule="auto"/>
              <w:ind w:left="118"/>
              <w:rPr>
                <w:rFonts w:hint="eastAsia" w:ascii="仿宋" w:hAnsi="仿宋" w:eastAsia="仿宋" w:cs="仿宋"/>
                <w:color w:val="auto"/>
                <w:highlight w:val="none"/>
              </w:rPr>
            </w:pPr>
            <w:r>
              <w:rPr>
                <w:rFonts w:hint="eastAsia" w:ascii="仿宋" w:hAnsi="仿宋" w:eastAsia="仿宋" w:cs="仿宋"/>
                <w:color w:val="auto"/>
                <w:spacing w:val="-6"/>
                <w:highlight w:val="none"/>
              </w:rPr>
              <w:t>单价</w:t>
            </w:r>
          </w:p>
          <w:p w14:paraId="40C1910B">
            <w:pPr>
              <w:pStyle w:val="31"/>
              <w:spacing w:before="28" w:line="220" w:lineRule="auto"/>
              <w:ind w:left="127"/>
              <w:rPr>
                <w:rFonts w:hint="eastAsia" w:ascii="仿宋" w:hAnsi="仿宋" w:eastAsia="仿宋" w:cs="仿宋"/>
                <w:color w:val="auto"/>
                <w:highlight w:val="none"/>
              </w:rPr>
            </w:pPr>
            <w:r>
              <w:rPr>
                <w:rFonts w:hint="eastAsia" w:ascii="仿宋" w:hAnsi="仿宋" w:eastAsia="仿宋" w:cs="仿宋"/>
                <w:color w:val="auto"/>
                <w:spacing w:val="-6"/>
                <w:highlight w:val="none"/>
              </w:rPr>
              <w:t>（万元）</w:t>
            </w:r>
          </w:p>
        </w:tc>
        <w:tc>
          <w:tcPr>
            <w:tcW w:w="1169" w:type="dxa"/>
          </w:tcPr>
          <w:p w14:paraId="5CE63108">
            <w:pPr>
              <w:pStyle w:val="31"/>
              <w:spacing w:before="98" w:line="218" w:lineRule="auto"/>
              <w:ind w:left="123"/>
              <w:rPr>
                <w:rFonts w:hint="eastAsia" w:ascii="仿宋" w:hAnsi="仿宋" w:eastAsia="仿宋" w:cs="仿宋"/>
                <w:color w:val="auto"/>
                <w:highlight w:val="none"/>
              </w:rPr>
            </w:pPr>
            <w:r>
              <w:rPr>
                <w:rFonts w:hint="eastAsia" w:ascii="仿宋" w:hAnsi="仿宋" w:eastAsia="仿宋" w:cs="仿宋"/>
                <w:color w:val="auto"/>
                <w:spacing w:val="-8"/>
                <w:highlight w:val="none"/>
              </w:rPr>
              <w:t>总价</w:t>
            </w:r>
          </w:p>
          <w:p w14:paraId="05F3D82D">
            <w:pPr>
              <w:pStyle w:val="31"/>
              <w:spacing w:before="28" w:line="220" w:lineRule="auto"/>
              <w:ind w:left="128"/>
              <w:rPr>
                <w:rFonts w:hint="eastAsia" w:ascii="仿宋" w:hAnsi="仿宋" w:eastAsia="仿宋" w:cs="仿宋"/>
                <w:color w:val="auto"/>
                <w:highlight w:val="none"/>
              </w:rPr>
            </w:pPr>
            <w:r>
              <w:rPr>
                <w:rFonts w:hint="eastAsia" w:ascii="仿宋" w:hAnsi="仿宋" w:eastAsia="仿宋" w:cs="仿宋"/>
                <w:color w:val="auto"/>
                <w:spacing w:val="-6"/>
                <w:highlight w:val="none"/>
              </w:rPr>
              <w:t>（万元）</w:t>
            </w:r>
          </w:p>
        </w:tc>
      </w:tr>
      <w:tr w14:paraId="1EFA9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80" w:type="dxa"/>
          </w:tcPr>
          <w:p w14:paraId="2EC6D723">
            <w:pPr>
              <w:pStyle w:val="31"/>
              <w:spacing w:before="202" w:line="184" w:lineRule="auto"/>
              <w:ind w:left="134"/>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727" w:type="dxa"/>
          </w:tcPr>
          <w:p w14:paraId="1D382013">
            <w:pPr>
              <w:rPr>
                <w:rFonts w:hint="eastAsia" w:ascii="仿宋" w:hAnsi="仿宋" w:eastAsia="仿宋" w:cs="仿宋"/>
                <w:color w:val="auto"/>
                <w:highlight w:val="none"/>
              </w:rPr>
            </w:pPr>
          </w:p>
        </w:tc>
        <w:tc>
          <w:tcPr>
            <w:tcW w:w="1185" w:type="dxa"/>
          </w:tcPr>
          <w:p w14:paraId="0D3341E3">
            <w:pPr>
              <w:rPr>
                <w:rFonts w:hint="eastAsia" w:ascii="仿宋" w:hAnsi="仿宋" w:eastAsia="仿宋" w:cs="仿宋"/>
                <w:color w:val="auto"/>
                <w:highlight w:val="none"/>
              </w:rPr>
            </w:pPr>
          </w:p>
        </w:tc>
        <w:tc>
          <w:tcPr>
            <w:tcW w:w="848" w:type="dxa"/>
          </w:tcPr>
          <w:p w14:paraId="027351CC">
            <w:pPr>
              <w:rPr>
                <w:rFonts w:hint="eastAsia" w:ascii="仿宋" w:hAnsi="仿宋" w:eastAsia="仿宋" w:cs="仿宋"/>
                <w:color w:val="auto"/>
                <w:highlight w:val="none"/>
              </w:rPr>
            </w:pPr>
          </w:p>
        </w:tc>
        <w:tc>
          <w:tcPr>
            <w:tcW w:w="848" w:type="dxa"/>
          </w:tcPr>
          <w:p w14:paraId="1D15B8A8">
            <w:pPr>
              <w:rPr>
                <w:rFonts w:hint="eastAsia" w:ascii="仿宋" w:hAnsi="仿宋" w:eastAsia="仿宋" w:cs="仿宋"/>
                <w:color w:val="auto"/>
                <w:highlight w:val="none"/>
              </w:rPr>
            </w:pPr>
          </w:p>
        </w:tc>
        <w:tc>
          <w:tcPr>
            <w:tcW w:w="944" w:type="dxa"/>
          </w:tcPr>
          <w:p w14:paraId="6559CBB0">
            <w:pPr>
              <w:rPr>
                <w:rFonts w:hint="eastAsia" w:ascii="仿宋" w:hAnsi="仿宋" w:eastAsia="仿宋" w:cs="仿宋"/>
                <w:color w:val="auto"/>
                <w:highlight w:val="none"/>
              </w:rPr>
            </w:pPr>
          </w:p>
        </w:tc>
        <w:tc>
          <w:tcPr>
            <w:tcW w:w="1449" w:type="dxa"/>
          </w:tcPr>
          <w:p w14:paraId="40E81ACB">
            <w:pPr>
              <w:rPr>
                <w:rFonts w:hint="eastAsia" w:ascii="仿宋" w:hAnsi="仿宋" w:eastAsia="仿宋" w:cs="仿宋"/>
                <w:color w:val="auto"/>
                <w:highlight w:val="none"/>
              </w:rPr>
            </w:pPr>
          </w:p>
        </w:tc>
        <w:tc>
          <w:tcPr>
            <w:tcW w:w="1169" w:type="dxa"/>
          </w:tcPr>
          <w:p w14:paraId="2358C141">
            <w:pPr>
              <w:rPr>
                <w:rFonts w:hint="eastAsia" w:ascii="仿宋" w:hAnsi="仿宋" w:eastAsia="仿宋" w:cs="仿宋"/>
                <w:color w:val="auto"/>
                <w:highlight w:val="none"/>
              </w:rPr>
            </w:pPr>
          </w:p>
        </w:tc>
      </w:tr>
      <w:tr w14:paraId="0E39D3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2" w:hRule="atLeast"/>
        </w:trPr>
        <w:tc>
          <w:tcPr>
            <w:tcW w:w="780" w:type="dxa"/>
          </w:tcPr>
          <w:p w14:paraId="0E6BCB8C">
            <w:pPr>
              <w:pStyle w:val="31"/>
              <w:spacing w:before="205" w:line="183" w:lineRule="auto"/>
              <w:ind w:left="120"/>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727" w:type="dxa"/>
          </w:tcPr>
          <w:p w14:paraId="586C6BAF">
            <w:pPr>
              <w:rPr>
                <w:rFonts w:hint="eastAsia" w:ascii="仿宋" w:hAnsi="仿宋" w:eastAsia="仿宋" w:cs="仿宋"/>
                <w:color w:val="auto"/>
                <w:highlight w:val="none"/>
              </w:rPr>
            </w:pPr>
          </w:p>
        </w:tc>
        <w:tc>
          <w:tcPr>
            <w:tcW w:w="1185" w:type="dxa"/>
          </w:tcPr>
          <w:p w14:paraId="526C10C2">
            <w:pPr>
              <w:rPr>
                <w:rFonts w:hint="eastAsia" w:ascii="仿宋" w:hAnsi="仿宋" w:eastAsia="仿宋" w:cs="仿宋"/>
                <w:color w:val="auto"/>
                <w:highlight w:val="none"/>
              </w:rPr>
            </w:pPr>
          </w:p>
        </w:tc>
        <w:tc>
          <w:tcPr>
            <w:tcW w:w="848" w:type="dxa"/>
          </w:tcPr>
          <w:p w14:paraId="16CBC9CE">
            <w:pPr>
              <w:rPr>
                <w:rFonts w:hint="eastAsia" w:ascii="仿宋" w:hAnsi="仿宋" w:eastAsia="仿宋" w:cs="仿宋"/>
                <w:color w:val="auto"/>
                <w:highlight w:val="none"/>
              </w:rPr>
            </w:pPr>
          </w:p>
        </w:tc>
        <w:tc>
          <w:tcPr>
            <w:tcW w:w="848" w:type="dxa"/>
          </w:tcPr>
          <w:p w14:paraId="2309A9D2">
            <w:pPr>
              <w:rPr>
                <w:rFonts w:hint="eastAsia" w:ascii="仿宋" w:hAnsi="仿宋" w:eastAsia="仿宋" w:cs="仿宋"/>
                <w:color w:val="auto"/>
                <w:highlight w:val="none"/>
              </w:rPr>
            </w:pPr>
          </w:p>
        </w:tc>
        <w:tc>
          <w:tcPr>
            <w:tcW w:w="944" w:type="dxa"/>
          </w:tcPr>
          <w:p w14:paraId="44C4A9CA">
            <w:pPr>
              <w:rPr>
                <w:rFonts w:hint="eastAsia" w:ascii="仿宋" w:hAnsi="仿宋" w:eastAsia="仿宋" w:cs="仿宋"/>
                <w:color w:val="auto"/>
                <w:highlight w:val="none"/>
              </w:rPr>
            </w:pPr>
          </w:p>
        </w:tc>
        <w:tc>
          <w:tcPr>
            <w:tcW w:w="1449" w:type="dxa"/>
          </w:tcPr>
          <w:p w14:paraId="47B295AE">
            <w:pPr>
              <w:rPr>
                <w:rFonts w:hint="eastAsia" w:ascii="仿宋" w:hAnsi="仿宋" w:eastAsia="仿宋" w:cs="仿宋"/>
                <w:color w:val="auto"/>
                <w:highlight w:val="none"/>
              </w:rPr>
            </w:pPr>
          </w:p>
        </w:tc>
        <w:tc>
          <w:tcPr>
            <w:tcW w:w="1169" w:type="dxa"/>
          </w:tcPr>
          <w:p w14:paraId="2925123F">
            <w:pPr>
              <w:rPr>
                <w:rFonts w:hint="eastAsia" w:ascii="仿宋" w:hAnsi="仿宋" w:eastAsia="仿宋" w:cs="仿宋"/>
                <w:color w:val="auto"/>
                <w:highlight w:val="none"/>
              </w:rPr>
            </w:pPr>
          </w:p>
        </w:tc>
      </w:tr>
      <w:tr w14:paraId="76EC42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76" w:hRule="atLeast"/>
        </w:trPr>
        <w:tc>
          <w:tcPr>
            <w:tcW w:w="780" w:type="dxa"/>
          </w:tcPr>
          <w:p w14:paraId="5B6657F5">
            <w:pPr>
              <w:pStyle w:val="31"/>
              <w:spacing w:before="206" w:line="183" w:lineRule="auto"/>
              <w:ind w:left="121"/>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727" w:type="dxa"/>
          </w:tcPr>
          <w:p w14:paraId="00493537">
            <w:pPr>
              <w:pStyle w:val="31"/>
              <w:spacing w:before="96" w:line="378" w:lineRule="exact"/>
              <w:ind w:left="127"/>
              <w:rPr>
                <w:rFonts w:hint="eastAsia" w:ascii="仿宋" w:hAnsi="仿宋" w:eastAsia="仿宋" w:cs="仿宋"/>
                <w:color w:val="auto"/>
                <w:highlight w:val="none"/>
              </w:rPr>
            </w:pPr>
            <w:r>
              <w:rPr>
                <w:rFonts w:hint="eastAsia" w:ascii="仿宋" w:hAnsi="仿宋" w:eastAsia="仿宋" w:cs="仿宋"/>
                <w:color w:val="auto"/>
                <w:spacing w:val="-13"/>
                <w:position w:val="3"/>
                <w:highlight w:val="none"/>
              </w:rPr>
              <w:t>……</w:t>
            </w:r>
          </w:p>
        </w:tc>
        <w:tc>
          <w:tcPr>
            <w:tcW w:w="1185" w:type="dxa"/>
          </w:tcPr>
          <w:p w14:paraId="138B1EFA">
            <w:pPr>
              <w:rPr>
                <w:rFonts w:hint="eastAsia" w:ascii="仿宋" w:hAnsi="仿宋" w:eastAsia="仿宋" w:cs="仿宋"/>
                <w:color w:val="auto"/>
                <w:highlight w:val="none"/>
              </w:rPr>
            </w:pPr>
          </w:p>
        </w:tc>
        <w:tc>
          <w:tcPr>
            <w:tcW w:w="848" w:type="dxa"/>
          </w:tcPr>
          <w:p w14:paraId="5B3025CD">
            <w:pPr>
              <w:rPr>
                <w:rFonts w:hint="eastAsia" w:ascii="仿宋" w:hAnsi="仿宋" w:eastAsia="仿宋" w:cs="仿宋"/>
                <w:color w:val="auto"/>
                <w:highlight w:val="none"/>
              </w:rPr>
            </w:pPr>
          </w:p>
        </w:tc>
        <w:tc>
          <w:tcPr>
            <w:tcW w:w="848" w:type="dxa"/>
          </w:tcPr>
          <w:p w14:paraId="61270E88">
            <w:pPr>
              <w:rPr>
                <w:rFonts w:hint="eastAsia" w:ascii="仿宋" w:hAnsi="仿宋" w:eastAsia="仿宋" w:cs="仿宋"/>
                <w:color w:val="auto"/>
                <w:highlight w:val="none"/>
              </w:rPr>
            </w:pPr>
          </w:p>
        </w:tc>
        <w:tc>
          <w:tcPr>
            <w:tcW w:w="944" w:type="dxa"/>
          </w:tcPr>
          <w:p w14:paraId="32655A63">
            <w:pPr>
              <w:rPr>
                <w:rFonts w:hint="eastAsia" w:ascii="仿宋" w:hAnsi="仿宋" w:eastAsia="仿宋" w:cs="仿宋"/>
                <w:color w:val="auto"/>
                <w:highlight w:val="none"/>
              </w:rPr>
            </w:pPr>
          </w:p>
        </w:tc>
        <w:tc>
          <w:tcPr>
            <w:tcW w:w="1449" w:type="dxa"/>
          </w:tcPr>
          <w:p w14:paraId="75495FC7">
            <w:pPr>
              <w:rPr>
                <w:rFonts w:hint="eastAsia" w:ascii="仿宋" w:hAnsi="仿宋" w:eastAsia="仿宋" w:cs="仿宋"/>
                <w:color w:val="auto"/>
                <w:highlight w:val="none"/>
              </w:rPr>
            </w:pPr>
          </w:p>
        </w:tc>
        <w:tc>
          <w:tcPr>
            <w:tcW w:w="1169" w:type="dxa"/>
          </w:tcPr>
          <w:p w14:paraId="1AEC5101">
            <w:pPr>
              <w:rPr>
                <w:rFonts w:hint="eastAsia" w:ascii="仿宋" w:hAnsi="仿宋" w:eastAsia="仿宋" w:cs="仿宋"/>
                <w:color w:val="auto"/>
                <w:highlight w:val="none"/>
              </w:rPr>
            </w:pPr>
          </w:p>
        </w:tc>
      </w:tr>
    </w:tbl>
    <w:p w14:paraId="60C57F05">
      <w:pPr>
        <w:spacing w:line="422" w:lineRule="auto"/>
        <w:rPr>
          <w:rFonts w:hint="eastAsia" w:ascii="仿宋" w:hAnsi="仿宋" w:eastAsia="仿宋" w:cs="仿宋"/>
          <w:color w:val="auto"/>
          <w:highlight w:val="none"/>
        </w:rPr>
      </w:pPr>
    </w:p>
    <w:p w14:paraId="13A6BCF5">
      <w:pPr>
        <w:spacing w:before="78" w:line="351" w:lineRule="auto"/>
        <w:ind w:left="122" w:right="651"/>
        <w:jc w:val="both"/>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特别说明：投标人应将所投产品中节能、环保产品分别列入上表中，并按本招</w:t>
      </w:r>
      <w:r>
        <w:rPr>
          <w:rFonts w:hint="eastAsia" w:ascii="仿宋" w:hAnsi="仿宋" w:eastAsia="仿宋" w:cs="仿宋"/>
          <w:b/>
          <w:bCs/>
          <w:color w:val="auto"/>
          <w:spacing w:val="-3"/>
          <w:sz w:val="24"/>
          <w:szCs w:val="24"/>
          <w:highlight w:val="none"/>
          <w:lang w:eastAsia="zh-CN"/>
        </w:rPr>
        <w:t>标文件“第二章投标人须知”提供相关证明材料，未填写本表或未提供有效认证证书的不给予价格扣除。</w:t>
      </w:r>
    </w:p>
    <w:p w14:paraId="7EABCA2F">
      <w:pPr>
        <w:spacing w:line="308" w:lineRule="auto"/>
        <w:rPr>
          <w:rFonts w:hint="eastAsia" w:ascii="仿宋" w:hAnsi="仿宋" w:eastAsia="仿宋" w:cs="仿宋"/>
          <w:color w:val="auto"/>
          <w:highlight w:val="none"/>
          <w:lang w:eastAsia="zh-CN"/>
        </w:rPr>
      </w:pPr>
    </w:p>
    <w:p w14:paraId="1F785C58">
      <w:pPr>
        <w:spacing w:before="79" w:line="316" w:lineRule="auto"/>
        <w:ind w:left="142" w:right="-28"/>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677B6BC4">
      <w:pPr>
        <w:spacing w:before="79" w:line="316" w:lineRule="auto"/>
        <w:ind w:left="142" w:right="-2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lang w:eastAsia="zh-CN"/>
        </w:rPr>
        <w:t>日期：</w:t>
      </w:r>
    </w:p>
    <w:p w14:paraId="04E22934">
      <w:pPr>
        <w:spacing w:line="286" w:lineRule="auto"/>
        <w:rPr>
          <w:rFonts w:hint="eastAsia" w:ascii="仿宋" w:hAnsi="仿宋" w:eastAsia="仿宋" w:cs="仿宋"/>
          <w:color w:val="auto"/>
          <w:highlight w:val="none"/>
          <w:lang w:eastAsia="zh-CN"/>
        </w:rPr>
      </w:pPr>
    </w:p>
    <w:p w14:paraId="7353720D">
      <w:pPr>
        <w:pageBreakBefore/>
        <w:spacing w:before="97" w:line="360" w:lineRule="auto"/>
        <w:ind w:left="40"/>
        <w:outlineLvl w:val="2"/>
        <w:rPr>
          <w:rFonts w:hint="eastAsia" w:ascii="仿宋" w:hAnsi="仿宋" w:eastAsia="仿宋" w:cs="仿宋"/>
          <w:b/>
          <w:bCs/>
          <w:color w:val="auto"/>
          <w:spacing w:val="-3"/>
          <w:sz w:val="24"/>
          <w:szCs w:val="24"/>
          <w:highlight w:val="none"/>
          <w:lang w:eastAsia="zh-CN"/>
        </w:rPr>
      </w:pPr>
      <w:bookmarkStart w:id="384" w:name="_Toc30508"/>
      <w:bookmarkStart w:id="385" w:name="_Toc186477801"/>
      <w:r>
        <w:rPr>
          <w:rFonts w:hint="eastAsia" w:ascii="仿宋" w:hAnsi="仿宋" w:eastAsia="仿宋" w:cs="仿宋"/>
          <w:b/>
          <w:bCs/>
          <w:color w:val="auto"/>
          <w:spacing w:val="-3"/>
          <w:sz w:val="24"/>
          <w:szCs w:val="24"/>
          <w:highlight w:val="none"/>
          <w:lang w:eastAsia="zh-CN"/>
        </w:rPr>
        <w:t>（二）中小企业声明函</w:t>
      </w:r>
      <w:bookmarkEnd w:id="384"/>
    </w:p>
    <w:p w14:paraId="634B4578">
      <w:pPr>
        <w:spacing w:line="360" w:lineRule="auto"/>
        <w:ind w:left="38"/>
        <w:outlineLvl w:val="2"/>
        <w:rPr>
          <w:rFonts w:hint="eastAsia" w:ascii="仿宋" w:hAnsi="仿宋" w:eastAsia="仿宋" w:cs="仿宋"/>
          <w:color w:val="auto"/>
          <w:sz w:val="24"/>
          <w:szCs w:val="24"/>
          <w:highlight w:val="none"/>
          <w:lang w:eastAsia="zh-CN"/>
        </w:rPr>
      </w:pPr>
      <w:bookmarkStart w:id="386" w:name="_Toc31100"/>
      <w:r>
        <w:rPr>
          <w:rFonts w:hint="eastAsia" w:ascii="仿宋" w:hAnsi="仿宋" w:eastAsia="仿宋" w:cs="仿宋"/>
          <w:color w:val="auto"/>
          <w:spacing w:val="-3"/>
          <w:sz w:val="24"/>
          <w:szCs w:val="24"/>
          <w:highlight w:val="none"/>
          <w:lang w:eastAsia="zh-CN"/>
        </w:rPr>
        <w:t>【如专门面向中小企业采购的项目，此函可</w:t>
      </w:r>
      <w:bookmarkEnd w:id="385"/>
      <w:r>
        <w:rPr>
          <w:rFonts w:hint="eastAsia" w:ascii="仿宋" w:hAnsi="仿宋" w:eastAsia="仿宋" w:cs="仿宋"/>
          <w:color w:val="auto"/>
          <w:spacing w:val="-4"/>
          <w:sz w:val="24"/>
          <w:szCs w:val="24"/>
          <w:highlight w:val="none"/>
          <w:lang w:eastAsia="zh-CN"/>
        </w:rPr>
        <w:t>放于此处，否则，应后置于“供应商认为有必要提供的其他资料】</w:t>
      </w:r>
      <w:bookmarkEnd w:id="386"/>
    </w:p>
    <w:p w14:paraId="59B50A66">
      <w:pPr>
        <w:pStyle w:val="2"/>
        <w:spacing w:before="0" w:after="0" w:line="360" w:lineRule="auto"/>
        <w:jc w:val="center"/>
        <w:rPr>
          <w:rFonts w:hint="eastAsia" w:ascii="仿宋" w:hAnsi="仿宋" w:eastAsia="仿宋" w:cs="仿宋"/>
          <w:color w:val="auto"/>
          <w:kern w:val="0"/>
          <w:sz w:val="24"/>
          <w:highlight w:val="none"/>
          <w:lang w:eastAsia="zh-CN"/>
        </w:rPr>
      </w:pPr>
      <w:bookmarkStart w:id="387" w:name="bookmark242"/>
      <w:bookmarkEnd w:id="387"/>
      <w:bookmarkStart w:id="388" w:name="bookmark241"/>
      <w:bookmarkEnd w:id="388"/>
      <w:bookmarkStart w:id="389" w:name="_Toc13457"/>
      <w:r>
        <w:rPr>
          <w:rFonts w:hint="eastAsia" w:ascii="仿宋" w:hAnsi="仿宋" w:eastAsia="仿宋" w:cs="仿宋"/>
          <w:color w:val="auto"/>
          <w:kern w:val="0"/>
          <w:sz w:val="24"/>
          <w:highlight w:val="none"/>
          <w:lang w:eastAsia="zh-CN"/>
        </w:rPr>
        <w:t>中小企业声明函(货物)</w:t>
      </w:r>
      <w:bookmarkEnd w:id="389"/>
    </w:p>
    <w:p w14:paraId="115CC3EC">
      <w:pPr>
        <w:spacing w:line="27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本公司（联合体）郑重声明，根据《政府采购促进中小企业发展管理办法》（财库[2020]46号）的规定，本公司（联合体）参加</w:t>
      </w:r>
      <w:r>
        <w:rPr>
          <w:rFonts w:hint="eastAsia" w:ascii="仿宋" w:hAnsi="仿宋" w:eastAsia="仿宋" w:cs="仿宋"/>
          <w:b/>
          <w:bCs/>
          <w:i/>
          <w:iCs/>
          <w:color w:val="auto"/>
          <w:sz w:val="24"/>
          <w:highlight w:val="none"/>
          <w:u w:val="single"/>
          <w:lang w:eastAsia="zh-CN"/>
        </w:rPr>
        <w:t xml:space="preserve">（单位名称）    </w:t>
      </w:r>
      <w:r>
        <w:rPr>
          <w:rFonts w:hint="eastAsia" w:ascii="仿宋" w:hAnsi="仿宋" w:eastAsia="仿宋" w:cs="仿宋"/>
          <w:color w:val="auto"/>
          <w:sz w:val="24"/>
          <w:highlight w:val="none"/>
          <w:lang w:eastAsia="zh-CN"/>
        </w:rPr>
        <w:t xml:space="preserve">的 </w:t>
      </w:r>
      <w:r>
        <w:rPr>
          <w:rFonts w:hint="eastAsia" w:ascii="仿宋" w:hAnsi="仿宋" w:eastAsia="仿宋" w:cs="仿宋"/>
          <w:b/>
          <w:bCs/>
          <w:i/>
          <w:iCs/>
          <w:color w:val="auto"/>
          <w:sz w:val="24"/>
          <w:highlight w:val="none"/>
          <w:u w:val="single"/>
          <w:lang w:eastAsia="zh-CN"/>
        </w:rPr>
        <w:t xml:space="preserve">（项目名称）  </w:t>
      </w:r>
      <w:r>
        <w:rPr>
          <w:rFonts w:hint="eastAsia" w:ascii="仿宋" w:hAnsi="仿宋" w:eastAsia="仿宋" w:cs="仿宋"/>
          <w:color w:val="auto"/>
          <w:sz w:val="24"/>
          <w:highlight w:val="none"/>
          <w:lang w:eastAsia="zh-CN"/>
        </w:rPr>
        <w:t>采购活动，提供的货物全部由符合政策要求的中小企业制造。相关企业（含联合体中的中小企业、签订分包意向协议的中小企业）的具体情况如下：</w:t>
      </w:r>
    </w:p>
    <w:p w14:paraId="2ED4F88C">
      <w:pPr>
        <w:spacing w:before="100" w:beforeAutospacing="1" w:after="100" w:afterAutospacing="1" w:line="27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1. </w:t>
      </w:r>
      <w:r>
        <w:rPr>
          <w:rFonts w:hint="eastAsia" w:ascii="仿宋" w:hAnsi="仿宋" w:eastAsia="仿宋" w:cs="仿宋"/>
          <w:b/>
          <w:bCs/>
          <w:i/>
          <w:iCs/>
          <w:color w:val="auto"/>
          <w:sz w:val="24"/>
          <w:highlight w:val="none"/>
          <w:u w:val="single"/>
          <w:lang w:eastAsia="zh-CN"/>
        </w:rPr>
        <w:t xml:space="preserve">  （标的名称）</w:t>
      </w:r>
      <w:r>
        <w:rPr>
          <w:rFonts w:hint="eastAsia" w:ascii="仿宋" w:hAnsi="仿宋" w:eastAsia="仿宋" w:cs="仿宋"/>
          <w:color w:val="auto"/>
          <w:sz w:val="24"/>
          <w:highlight w:val="none"/>
          <w:lang w:eastAsia="zh-CN"/>
        </w:rPr>
        <w:t>，属于</w:t>
      </w:r>
      <w:r>
        <w:rPr>
          <w:rFonts w:hint="eastAsia" w:ascii="仿宋" w:hAnsi="仿宋" w:eastAsia="仿宋" w:cs="仿宋"/>
          <w:b/>
          <w:bCs/>
          <w:i/>
          <w:iCs/>
          <w:color w:val="auto"/>
          <w:sz w:val="24"/>
          <w:highlight w:val="none"/>
          <w:u w:val="single"/>
          <w:lang w:eastAsia="zh-CN"/>
        </w:rPr>
        <w:t xml:space="preserve">   （请填写采购文件中明确的所属行业）</w:t>
      </w:r>
      <w:r>
        <w:rPr>
          <w:rFonts w:hint="eastAsia" w:ascii="仿宋" w:hAnsi="仿宋" w:eastAsia="仿宋" w:cs="仿宋"/>
          <w:color w:val="auto"/>
          <w:sz w:val="24"/>
          <w:highlight w:val="none"/>
          <w:lang w:eastAsia="zh-CN"/>
        </w:rPr>
        <w:t>；制造商为</w:t>
      </w:r>
      <w:r>
        <w:rPr>
          <w:rFonts w:hint="eastAsia" w:ascii="仿宋" w:hAnsi="仿宋" w:eastAsia="仿宋" w:cs="仿宋"/>
          <w:b/>
          <w:bCs/>
          <w:i/>
          <w:iCs/>
          <w:color w:val="auto"/>
          <w:sz w:val="24"/>
          <w:highlight w:val="none"/>
          <w:u w:val="single"/>
          <w:lang w:eastAsia="zh-CN"/>
        </w:rPr>
        <w:t xml:space="preserve">   （企业名称） </w:t>
      </w:r>
      <w:r>
        <w:rPr>
          <w:rFonts w:hint="eastAsia" w:ascii="仿宋" w:hAnsi="仿宋" w:eastAsia="仿宋" w:cs="仿宋"/>
          <w:color w:val="auto"/>
          <w:sz w:val="24"/>
          <w:highlight w:val="none"/>
          <w:lang w:eastAsia="zh-CN"/>
        </w:rPr>
        <w:t>，从业人员人，营业收入为万元，资产总额为万元，属于</w:t>
      </w:r>
      <w:r>
        <w:rPr>
          <w:rFonts w:hint="eastAsia" w:ascii="仿宋" w:hAnsi="仿宋" w:eastAsia="仿宋" w:cs="仿宋"/>
          <w:b/>
          <w:bCs/>
          <w:i/>
          <w:iCs/>
          <w:color w:val="auto"/>
          <w:sz w:val="24"/>
          <w:highlight w:val="none"/>
          <w:u w:val="single"/>
          <w:lang w:eastAsia="zh-CN"/>
        </w:rPr>
        <w:t>（中型企业、小型企业、微型企业）</w:t>
      </w:r>
      <w:r>
        <w:rPr>
          <w:rFonts w:hint="eastAsia" w:ascii="仿宋" w:hAnsi="仿宋" w:eastAsia="仿宋" w:cs="仿宋"/>
          <w:color w:val="auto"/>
          <w:sz w:val="24"/>
          <w:highlight w:val="none"/>
          <w:lang w:eastAsia="zh-CN"/>
        </w:rPr>
        <w:t>；</w:t>
      </w:r>
    </w:p>
    <w:p w14:paraId="3B4FD519">
      <w:pPr>
        <w:spacing w:before="100" w:beforeAutospacing="1" w:after="100" w:afterAutospacing="1" w:line="276" w:lineRule="auto"/>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2. </w:t>
      </w:r>
      <w:r>
        <w:rPr>
          <w:rFonts w:hint="eastAsia" w:ascii="仿宋" w:hAnsi="仿宋" w:eastAsia="仿宋" w:cs="仿宋"/>
          <w:b/>
          <w:bCs/>
          <w:i/>
          <w:iCs/>
          <w:color w:val="auto"/>
          <w:sz w:val="24"/>
          <w:highlight w:val="none"/>
          <w:u w:val="single"/>
          <w:lang w:eastAsia="zh-CN"/>
        </w:rPr>
        <w:t xml:space="preserve">  （标的名称）</w:t>
      </w:r>
      <w:r>
        <w:rPr>
          <w:rFonts w:hint="eastAsia" w:ascii="仿宋" w:hAnsi="仿宋" w:eastAsia="仿宋" w:cs="仿宋"/>
          <w:color w:val="auto"/>
          <w:sz w:val="24"/>
          <w:highlight w:val="none"/>
          <w:lang w:eastAsia="zh-CN"/>
        </w:rPr>
        <w:t>，属于</w:t>
      </w:r>
      <w:r>
        <w:rPr>
          <w:rFonts w:hint="eastAsia" w:ascii="仿宋" w:hAnsi="仿宋" w:eastAsia="仿宋" w:cs="仿宋"/>
          <w:b/>
          <w:bCs/>
          <w:i/>
          <w:iCs/>
          <w:color w:val="auto"/>
          <w:sz w:val="24"/>
          <w:highlight w:val="none"/>
          <w:u w:val="single"/>
          <w:lang w:eastAsia="zh-CN"/>
        </w:rPr>
        <w:t xml:space="preserve">   （请填写采购文件中明确的所属行业）</w:t>
      </w:r>
      <w:r>
        <w:rPr>
          <w:rFonts w:hint="eastAsia" w:ascii="仿宋" w:hAnsi="仿宋" w:eastAsia="仿宋" w:cs="仿宋"/>
          <w:color w:val="auto"/>
          <w:sz w:val="24"/>
          <w:highlight w:val="none"/>
          <w:lang w:eastAsia="zh-CN"/>
        </w:rPr>
        <w:t>；制造商为</w:t>
      </w:r>
      <w:r>
        <w:rPr>
          <w:rFonts w:hint="eastAsia" w:ascii="仿宋" w:hAnsi="仿宋" w:eastAsia="仿宋" w:cs="仿宋"/>
          <w:b/>
          <w:bCs/>
          <w:i/>
          <w:iCs/>
          <w:color w:val="auto"/>
          <w:sz w:val="24"/>
          <w:highlight w:val="none"/>
          <w:u w:val="single"/>
          <w:lang w:eastAsia="zh-CN"/>
        </w:rPr>
        <w:t xml:space="preserve">   （企业名称） </w:t>
      </w:r>
      <w:r>
        <w:rPr>
          <w:rFonts w:hint="eastAsia" w:ascii="仿宋" w:hAnsi="仿宋" w:eastAsia="仿宋" w:cs="仿宋"/>
          <w:color w:val="auto"/>
          <w:sz w:val="24"/>
          <w:highlight w:val="none"/>
          <w:lang w:eastAsia="zh-CN"/>
        </w:rPr>
        <w:t>，从业人员人，营业收入为万元，资产总额为万元，属于</w:t>
      </w:r>
      <w:r>
        <w:rPr>
          <w:rFonts w:hint="eastAsia" w:ascii="仿宋" w:hAnsi="仿宋" w:eastAsia="仿宋" w:cs="仿宋"/>
          <w:b/>
          <w:bCs/>
          <w:i/>
          <w:iCs/>
          <w:color w:val="auto"/>
          <w:sz w:val="24"/>
          <w:highlight w:val="none"/>
          <w:u w:val="single"/>
          <w:lang w:eastAsia="zh-CN"/>
        </w:rPr>
        <w:t>（中型企业、小型企业、微型企业）</w:t>
      </w:r>
      <w:r>
        <w:rPr>
          <w:rFonts w:hint="eastAsia" w:ascii="仿宋" w:hAnsi="仿宋" w:eastAsia="仿宋" w:cs="仿宋"/>
          <w:color w:val="auto"/>
          <w:sz w:val="24"/>
          <w:highlight w:val="none"/>
          <w:lang w:eastAsia="zh-CN"/>
        </w:rPr>
        <w:t>；</w:t>
      </w:r>
    </w:p>
    <w:p w14:paraId="00AEE971">
      <w:pPr>
        <w:spacing w:before="100" w:beforeAutospacing="1" w:after="100" w:afterAutospacing="1" w:line="3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w:t>
      </w:r>
    </w:p>
    <w:p w14:paraId="513E40DB">
      <w:pPr>
        <w:spacing w:line="276"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以上企业，不属于大企业的分支机构，不存在控股股东为大企业的情形，也不存在与大企业的负责人为同一人的情形。</w:t>
      </w:r>
    </w:p>
    <w:p w14:paraId="5C4B0339">
      <w:pPr>
        <w:spacing w:before="100" w:beforeAutospacing="1" w:after="100" w:afterAutospacing="1" w:line="3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本企业对上述声明内容的真实性负责。如有虚假，将依法承担相应责任。</w:t>
      </w:r>
    </w:p>
    <w:p w14:paraId="44C79C11">
      <w:pPr>
        <w:spacing w:before="100" w:beforeAutospacing="1" w:after="100" w:afterAutospacing="1" w:line="3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企业名称（盖章）：</w:t>
      </w:r>
    </w:p>
    <w:p w14:paraId="38BB0368">
      <w:pPr>
        <w:spacing w:before="100" w:beforeAutospacing="1" w:after="100" w:afterAutospacing="1" w:line="3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日期：</w:t>
      </w:r>
    </w:p>
    <w:p w14:paraId="797E6E57">
      <w:pPr>
        <w:spacing w:line="240" w:lineRule="exact"/>
        <w:ind w:left="210" w:leftChars="100"/>
        <w:rPr>
          <w:rFonts w:hint="eastAsia" w:ascii="仿宋" w:hAnsi="仿宋" w:eastAsia="仿宋" w:cs="仿宋"/>
          <w:b/>
          <w:bCs/>
          <w:color w:val="auto"/>
          <w:highlight w:val="none"/>
          <w:lang w:eastAsia="zh-CN"/>
        </w:rPr>
      </w:pPr>
      <w:r>
        <w:rPr>
          <w:rFonts w:hint="eastAsia" w:ascii="仿宋" w:hAnsi="仿宋" w:eastAsia="仿宋" w:cs="仿宋"/>
          <w:b/>
          <w:color w:val="auto"/>
          <w:highlight w:val="none"/>
          <w:lang w:eastAsia="zh-CN"/>
        </w:rPr>
        <w:t>注1：依据</w:t>
      </w:r>
      <w:r>
        <w:rPr>
          <w:rFonts w:hint="eastAsia" w:ascii="仿宋" w:hAnsi="仿宋" w:eastAsia="仿宋" w:cs="仿宋"/>
          <w:b/>
          <w:bCs/>
          <w:color w:val="auto"/>
          <w:highlight w:val="none"/>
          <w:lang w:eastAsia="zh-CN"/>
        </w:rPr>
        <w:t>采购需求中需求清单明细逐一填写，不要漏填。</w:t>
      </w:r>
    </w:p>
    <w:p w14:paraId="025BFD57">
      <w:pPr>
        <w:spacing w:line="240" w:lineRule="exact"/>
        <w:ind w:firstLine="207" w:firstLineChars="98"/>
        <w:rPr>
          <w:rFonts w:hint="eastAsia" w:ascii="仿宋" w:hAnsi="仿宋" w:eastAsia="仿宋" w:cs="仿宋"/>
          <w:b/>
          <w:color w:val="auto"/>
          <w:highlight w:val="none"/>
          <w:lang w:eastAsia="zh-CN"/>
        </w:rPr>
      </w:pPr>
      <w:r>
        <w:rPr>
          <w:rFonts w:hint="eastAsia" w:ascii="仿宋" w:hAnsi="仿宋" w:eastAsia="仿宋" w:cs="仿宋"/>
          <w:b/>
          <w:color w:val="auto"/>
          <w:highlight w:val="none"/>
          <w:lang w:eastAsia="zh-CN"/>
        </w:rPr>
        <w:t>注2：从业人员、营业收入、资产总额填报上一年度数据，无上一年度数据的新成立企业可不填报。</w:t>
      </w:r>
    </w:p>
    <w:p w14:paraId="1E129E4B">
      <w:pPr>
        <w:spacing w:line="240" w:lineRule="exact"/>
        <w:ind w:firstLine="282" w:firstLineChars="134"/>
        <w:rPr>
          <w:rFonts w:hint="eastAsia" w:ascii="仿宋" w:hAnsi="仿宋" w:eastAsia="仿宋" w:cs="仿宋"/>
          <w:b/>
          <w:color w:val="auto"/>
          <w:highlight w:val="none"/>
          <w:lang w:eastAsia="zh-CN"/>
        </w:rPr>
      </w:pPr>
      <w:r>
        <w:rPr>
          <w:rFonts w:hint="eastAsia" w:ascii="仿宋" w:hAnsi="仿宋" w:eastAsia="仿宋" w:cs="仿宋"/>
          <w:b/>
          <w:color w:val="auto"/>
          <w:highlight w:val="none"/>
          <w:lang w:eastAsia="zh-CN"/>
        </w:rPr>
        <w:t>注3：中小企业应当按照《办法》规定和《中小企业划型标准规定》（工信部联企业〔2011〕300号），如实填写并提交《中小企业声明函》，任何单位和个人不得要求中小企业投标人提交《中小企业声明函》之外的证明文件，或事先获得认定及进入名录库等。中小企业对其声明内容的真实性负责，声明函内容不实的，属于提供虚假材料谋取中标、成交，依照《中华人民共和国政府采购法》等国家有关规定追究相应责任。</w:t>
      </w:r>
    </w:p>
    <w:p w14:paraId="4B4F52C1">
      <w:pPr>
        <w:spacing w:line="240" w:lineRule="exact"/>
        <w:ind w:firstLine="422" w:firstLineChars="200"/>
        <w:rPr>
          <w:rFonts w:hint="eastAsia" w:ascii="仿宋" w:hAnsi="仿宋" w:eastAsia="仿宋" w:cs="仿宋"/>
          <w:b/>
          <w:color w:val="auto"/>
          <w:sz w:val="32"/>
          <w:szCs w:val="24"/>
          <w:highlight w:val="none"/>
          <w:lang w:eastAsia="zh-CN"/>
        </w:rPr>
      </w:pPr>
      <w:r>
        <w:rPr>
          <w:rFonts w:hint="eastAsia" w:ascii="仿宋" w:hAnsi="仿宋" w:eastAsia="仿宋" w:cs="仿宋"/>
          <w:b/>
          <w:color w:val="auto"/>
          <w:highlight w:val="none"/>
          <w:lang w:eastAsia="zh-CN"/>
        </w:rPr>
        <w:t>　为方便广大中小企业、政府部门和社会公众识别企业规模类型，工业和信息化部组织开发了中小企业规模类型自测小程序，并于2020年2月27日上线运行，在国务院客户端和工业和信息化部网站上均有链接。</w:t>
      </w:r>
    </w:p>
    <w:p w14:paraId="3D2686BD">
      <w:pPr>
        <w:pageBreakBefore/>
        <w:spacing w:line="360" w:lineRule="auto"/>
        <w:ind w:left="4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2"/>
          <w:sz w:val="24"/>
          <w:szCs w:val="24"/>
          <w:highlight w:val="none"/>
          <w:lang w:eastAsia="zh-CN"/>
        </w:rPr>
        <w:t>附件1</w:t>
      </w:r>
    </w:p>
    <w:p w14:paraId="0A0BC539">
      <w:pPr>
        <w:spacing w:line="360" w:lineRule="auto"/>
        <w:ind w:firstLine="467" w:firstLineChars="206"/>
        <w:rPr>
          <w:rFonts w:hint="eastAsia" w:ascii="仿宋" w:hAnsi="仿宋" w:eastAsia="仿宋" w:cs="仿宋"/>
          <w:color w:val="auto"/>
          <w:sz w:val="24"/>
          <w:szCs w:val="24"/>
          <w:highlight w:val="none"/>
          <w:lang w:eastAsia="zh-CN"/>
        </w:rPr>
      </w:pPr>
      <w:bookmarkStart w:id="390" w:name="bookmark285"/>
      <w:bookmarkEnd w:id="390"/>
      <w:r>
        <w:rPr>
          <w:rFonts w:hint="eastAsia" w:ascii="仿宋" w:hAnsi="仿宋" w:eastAsia="仿宋" w:cs="仿宋"/>
          <w:b/>
          <w:bCs/>
          <w:color w:val="auto"/>
          <w:spacing w:val="-7"/>
          <w:sz w:val="24"/>
          <w:szCs w:val="24"/>
          <w:highlight w:val="none"/>
          <w:lang w:eastAsia="zh-CN"/>
        </w:rPr>
        <w:t>（一）关于“中小企业声明函”的填写要求</w:t>
      </w:r>
    </w:p>
    <w:p w14:paraId="0099D6E8">
      <w:pPr>
        <w:spacing w:line="360" w:lineRule="auto"/>
        <w:ind w:right="38" w:firstLine="350" w:firstLineChars="155"/>
        <w:rPr>
          <w:rFonts w:hint="eastAsia" w:ascii="仿宋" w:hAnsi="仿宋" w:eastAsia="仿宋" w:cs="仿宋"/>
          <w:color w:val="auto"/>
          <w:spacing w:val="-7"/>
          <w:sz w:val="24"/>
          <w:szCs w:val="24"/>
          <w:highlight w:val="none"/>
          <w:lang w:eastAsia="zh-CN"/>
        </w:rPr>
      </w:pPr>
      <w:r>
        <w:rPr>
          <w:rFonts w:hint="eastAsia" w:ascii="仿宋" w:hAnsi="仿宋" w:eastAsia="仿宋" w:cs="仿宋"/>
          <w:color w:val="auto"/>
          <w:spacing w:val="-7"/>
          <w:sz w:val="24"/>
          <w:szCs w:val="24"/>
          <w:highlight w:val="none"/>
          <w:lang w:eastAsia="zh-CN"/>
        </w:rPr>
        <w:t>“中小企业声明函”具体填写要求如下：</w:t>
      </w:r>
    </w:p>
    <w:p w14:paraId="28D6226D">
      <w:pPr>
        <w:spacing w:line="360" w:lineRule="auto"/>
        <w:ind w:right="38" w:firstLine="359"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1.“单位名称”应填写采购人名称。</w:t>
      </w:r>
    </w:p>
    <w:p w14:paraId="39F38684">
      <w:pPr>
        <w:spacing w:line="360" w:lineRule="auto"/>
        <w:ind w:right="234" w:firstLine="359" w:firstLineChars="15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2.“项目名称”应按照采购文件中确定的项目名称填写。对于分包方</w:t>
      </w:r>
      <w:r>
        <w:rPr>
          <w:rFonts w:hint="eastAsia" w:ascii="仿宋" w:hAnsi="仿宋" w:eastAsia="仿宋" w:cs="仿宋"/>
          <w:color w:val="auto"/>
          <w:spacing w:val="-5"/>
          <w:sz w:val="24"/>
          <w:szCs w:val="24"/>
          <w:highlight w:val="none"/>
          <w:lang w:eastAsia="zh-CN"/>
        </w:rPr>
        <w:t>式面向</w:t>
      </w:r>
      <w:r>
        <w:rPr>
          <w:rFonts w:hint="eastAsia" w:ascii="仿宋" w:hAnsi="仿宋" w:eastAsia="仿宋" w:cs="仿宋"/>
          <w:color w:val="auto"/>
          <w:spacing w:val="-4"/>
          <w:sz w:val="24"/>
          <w:szCs w:val="24"/>
          <w:highlight w:val="none"/>
          <w:lang w:eastAsia="zh-CN"/>
        </w:rPr>
        <w:t>中小企业采购的项目，应标明中小企业的具体分包内容；对于以联合体方式面向</w:t>
      </w:r>
      <w:r>
        <w:rPr>
          <w:rFonts w:hint="eastAsia" w:ascii="仿宋" w:hAnsi="仿宋" w:eastAsia="仿宋" w:cs="仿宋"/>
          <w:color w:val="auto"/>
          <w:spacing w:val="-1"/>
          <w:sz w:val="24"/>
          <w:szCs w:val="24"/>
          <w:highlight w:val="none"/>
          <w:lang w:eastAsia="zh-CN"/>
        </w:rPr>
        <w:t>中小企业采购的项目，应标明联合体中中小企业所承担的具体</w:t>
      </w:r>
      <w:r>
        <w:rPr>
          <w:rFonts w:hint="eastAsia" w:ascii="仿宋" w:hAnsi="仿宋" w:eastAsia="仿宋" w:cs="仿宋"/>
          <w:color w:val="auto"/>
          <w:spacing w:val="-2"/>
          <w:sz w:val="24"/>
          <w:szCs w:val="24"/>
          <w:highlight w:val="none"/>
          <w:lang w:eastAsia="zh-CN"/>
        </w:rPr>
        <w:t>内容。</w:t>
      </w:r>
    </w:p>
    <w:p w14:paraId="4E7C4FE7">
      <w:pPr>
        <w:spacing w:line="360" w:lineRule="auto"/>
        <w:ind w:right="26" w:firstLine="359" w:firstLineChars="15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3.“标的名称”应填写采购文件中细化载明的采购标的名称。对</w:t>
      </w:r>
      <w:r>
        <w:rPr>
          <w:rFonts w:hint="eastAsia" w:ascii="仿宋" w:hAnsi="仿宋" w:eastAsia="仿宋" w:cs="仿宋"/>
          <w:color w:val="auto"/>
          <w:spacing w:val="-5"/>
          <w:sz w:val="24"/>
          <w:szCs w:val="24"/>
          <w:highlight w:val="none"/>
          <w:lang w:eastAsia="zh-CN"/>
        </w:rPr>
        <w:t>于分包方式</w:t>
      </w:r>
      <w:r>
        <w:rPr>
          <w:rFonts w:hint="eastAsia" w:ascii="仿宋" w:hAnsi="仿宋" w:eastAsia="仿宋" w:cs="仿宋"/>
          <w:color w:val="auto"/>
          <w:spacing w:val="-4"/>
          <w:sz w:val="24"/>
          <w:szCs w:val="24"/>
          <w:highlight w:val="none"/>
          <w:lang w:eastAsia="zh-CN"/>
        </w:rPr>
        <w:t>面向中小企业采购的项目，“标的名称”应填写采购文件中注明的分包给中小企</w:t>
      </w:r>
      <w:r>
        <w:rPr>
          <w:rFonts w:hint="eastAsia" w:ascii="仿宋" w:hAnsi="仿宋" w:eastAsia="仿宋" w:cs="仿宋"/>
          <w:color w:val="auto"/>
          <w:spacing w:val="2"/>
          <w:sz w:val="24"/>
          <w:szCs w:val="24"/>
          <w:highlight w:val="none"/>
          <w:lang w:eastAsia="zh-CN"/>
        </w:rPr>
        <w:t>业的采购标的名称；对于以联合体方式面向中小企业采购的项目，“标的名称”</w:t>
      </w:r>
      <w:r>
        <w:rPr>
          <w:rFonts w:hint="eastAsia" w:ascii="仿宋" w:hAnsi="仿宋" w:eastAsia="仿宋" w:cs="仿宋"/>
          <w:color w:val="auto"/>
          <w:sz w:val="24"/>
          <w:szCs w:val="24"/>
          <w:highlight w:val="none"/>
          <w:lang w:eastAsia="zh-CN"/>
        </w:rPr>
        <w:t>应填写采购文件中注明的联合体中中小企业</w:t>
      </w:r>
      <w:r>
        <w:rPr>
          <w:rFonts w:hint="eastAsia" w:ascii="仿宋" w:hAnsi="仿宋" w:eastAsia="仿宋" w:cs="仿宋"/>
          <w:color w:val="auto"/>
          <w:spacing w:val="-1"/>
          <w:sz w:val="24"/>
          <w:szCs w:val="24"/>
          <w:highlight w:val="none"/>
          <w:lang w:eastAsia="zh-CN"/>
        </w:rPr>
        <w:t>承担的采购标的名称。</w:t>
      </w:r>
    </w:p>
    <w:p w14:paraId="12124044">
      <w:pPr>
        <w:spacing w:line="360" w:lineRule="auto"/>
        <w:ind w:right="234" w:firstLine="359" w:firstLineChars="15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w:t>
      </w:r>
      <w:r>
        <w:rPr>
          <w:rFonts w:hint="eastAsia" w:ascii="仿宋" w:hAnsi="仿宋" w:eastAsia="仿宋" w:cs="仿宋"/>
          <w:b/>
          <w:bCs/>
          <w:color w:val="auto"/>
          <w:spacing w:val="-4"/>
          <w:sz w:val="24"/>
          <w:szCs w:val="24"/>
          <w:highlight w:val="none"/>
          <w:lang w:eastAsia="zh-CN"/>
        </w:rPr>
        <w:t>“采购文件中明确的所属行业”应填写采购文件中明确的采购标的所属行</w:t>
      </w:r>
      <w:r>
        <w:rPr>
          <w:rFonts w:hint="eastAsia" w:ascii="仿宋" w:hAnsi="仿宋" w:eastAsia="仿宋" w:cs="仿宋"/>
          <w:b/>
          <w:bCs/>
          <w:color w:val="auto"/>
          <w:spacing w:val="-3"/>
          <w:sz w:val="24"/>
          <w:szCs w:val="24"/>
          <w:highlight w:val="none"/>
          <w:lang w:eastAsia="zh-CN"/>
        </w:rPr>
        <w:t>业，</w:t>
      </w:r>
      <w:r>
        <w:rPr>
          <w:rFonts w:hint="eastAsia" w:ascii="仿宋" w:hAnsi="仿宋" w:eastAsia="仿宋" w:cs="仿宋"/>
          <w:color w:val="auto"/>
          <w:spacing w:val="-3"/>
          <w:sz w:val="24"/>
          <w:szCs w:val="24"/>
          <w:highlight w:val="none"/>
          <w:lang w:eastAsia="zh-CN"/>
        </w:rPr>
        <w:t>并应确保与采购标的涉及的货物制造商/服务承接商/工程承建商（根据项目</w:t>
      </w:r>
      <w:r>
        <w:rPr>
          <w:rFonts w:hint="eastAsia" w:ascii="仿宋" w:hAnsi="仿宋" w:eastAsia="仿宋" w:cs="仿宋"/>
          <w:color w:val="auto"/>
          <w:spacing w:val="-1"/>
          <w:sz w:val="24"/>
          <w:szCs w:val="24"/>
          <w:highlight w:val="none"/>
          <w:lang w:eastAsia="zh-CN"/>
        </w:rPr>
        <w:t>属性确定）本身的所属行业保持一致。</w:t>
      </w:r>
    </w:p>
    <w:p w14:paraId="61382108">
      <w:pPr>
        <w:spacing w:line="360" w:lineRule="auto"/>
        <w:ind w:right="234" w:firstLine="359" w:firstLineChars="155"/>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对于分包方式面向中小企业采购的项目，“采购文件中明确的所属行</w:t>
      </w:r>
      <w:r>
        <w:rPr>
          <w:rFonts w:hint="eastAsia" w:ascii="仿宋" w:hAnsi="仿宋" w:eastAsia="仿宋" w:cs="仿宋"/>
          <w:color w:val="auto"/>
          <w:spacing w:val="-5"/>
          <w:sz w:val="24"/>
          <w:szCs w:val="24"/>
          <w:highlight w:val="none"/>
          <w:lang w:eastAsia="zh-CN"/>
        </w:rPr>
        <w:t>业”应</w:t>
      </w:r>
      <w:r>
        <w:rPr>
          <w:rFonts w:hint="eastAsia" w:ascii="仿宋" w:hAnsi="仿宋" w:eastAsia="仿宋" w:cs="仿宋"/>
          <w:color w:val="auto"/>
          <w:spacing w:val="-3"/>
          <w:sz w:val="24"/>
          <w:szCs w:val="24"/>
          <w:highlight w:val="none"/>
          <w:lang w:eastAsia="zh-CN"/>
        </w:rPr>
        <w:t>按照采购文件中注明的分包给中小企业的采购标的所属行业填写，并应确保与该分包部分采购标的涉及的货物制造商/服务承接商/工程承建商（根据项目属性确</w:t>
      </w:r>
      <w:r>
        <w:rPr>
          <w:rFonts w:hint="eastAsia" w:ascii="仿宋" w:hAnsi="仿宋" w:eastAsia="仿宋" w:cs="仿宋"/>
          <w:color w:val="auto"/>
          <w:spacing w:val="-1"/>
          <w:sz w:val="24"/>
          <w:szCs w:val="24"/>
          <w:highlight w:val="none"/>
          <w:lang w:eastAsia="zh-CN"/>
        </w:rPr>
        <w:t>定）本身的所属行业保持一致。</w:t>
      </w:r>
    </w:p>
    <w:p w14:paraId="41580FD1">
      <w:pPr>
        <w:spacing w:line="360" w:lineRule="auto"/>
        <w:ind w:firstLine="359"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对于以联合体方式面向中小企业采购的项目，“采购文件中明确的所</w:t>
      </w:r>
      <w:r>
        <w:rPr>
          <w:rFonts w:hint="eastAsia" w:ascii="仿宋" w:hAnsi="仿宋" w:eastAsia="仿宋" w:cs="仿宋"/>
          <w:color w:val="auto"/>
          <w:spacing w:val="-5"/>
          <w:sz w:val="24"/>
          <w:szCs w:val="24"/>
          <w:highlight w:val="none"/>
          <w:lang w:eastAsia="zh-CN"/>
        </w:rPr>
        <w:t>属行业”</w:t>
      </w:r>
      <w:r>
        <w:rPr>
          <w:rFonts w:hint="eastAsia" w:ascii="仿宋" w:hAnsi="仿宋" w:eastAsia="仿宋" w:cs="仿宋"/>
          <w:color w:val="auto"/>
          <w:spacing w:val="-3"/>
          <w:sz w:val="24"/>
          <w:szCs w:val="24"/>
          <w:highlight w:val="none"/>
          <w:lang w:eastAsia="zh-CN"/>
        </w:rPr>
        <w:t>应按照采购文件中注明的联合体中中小企业承担的采购标的所属行业填写，并应确保与该承担部分采购标的涉及的货物制造商/服务承接商/工程承建商（根据项</w:t>
      </w:r>
      <w:r>
        <w:rPr>
          <w:rFonts w:hint="eastAsia" w:ascii="仿宋" w:hAnsi="仿宋" w:eastAsia="仿宋" w:cs="仿宋"/>
          <w:color w:val="auto"/>
          <w:spacing w:val="-1"/>
          <w:sz w:val="24"/>
          <w:szCs w:val="24"/>
          <w:highlight w:val="none"/>
          <w:lang w:eastAsia="zh-CN"/>
        </w:rPr>
        <w:t>目属性确定）本身的所属行业保持一致。</w:t>
      </w:r>
    </w:p>
    <w:p w14:paraId="6A638B95">
      <w:pPr>
        <w:spacing w:line="360" w:lineRule="auto"/>
        <w:ind w:right="234" w:firstLine="359"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5.“企业名称”应填写投标（响应）的</w:t>
      </w:r>
      <w:r>
        <w:rPr>
          <w:rFonts w:hint="eastAsia" w:ascii="仿宋" w:hAnsi="仿宋" w:eastAsia="仿宋" w:cs="仿宋"/>
          <w:color w:val="auto"/>
          <w:spacing w:val="-4"/>
          <w:sz w:val="24"/>
          <w:szCs w:val="24"/>
          <w:highlight w:val="none"/>
          <w:lang w:val="en-US" w:eastAsia="zh-CN"/>
        </w:rPr>
        <w:t>供应</w:t>
      </w:r>
      <w:r>
        <w:rPr>
          <w:rFonts w:hint="eastAsia" w:ascii="仿宋" w:hAnsi="仿宋" w:eastAsia="仿宋" w:cs="仿宋"/>
          <w:color w:val="auto"/>
          <w:spacing w:val="-4"/>
          <w:sz w:val="24"/>
          <w:szCs w:val="24"/>
          <w:highlight w:val="none"/>
          <w:lang w:eastAsia="zh-CN"/>
        </w:rPr>
        <w:t>商/服务承接商/工程承建商</w:t>
      </w:r>
      <w:r>
        <w:rPr>
          <w:rFonts w:hint="eastAsia" w:ascii="仿宋" w:hAnsi="仿宋" w:eastAsia="仿宋" w:cs="仿宋"/>
          <w:color w:val="auto"/>
          <w:spacing w:val="-2"/>
          <w:sz w:val="24"/>
          <w:szCs w:val="24"/>
          <w:highlight w:val="none"/>
          <w:lang w:eastAsia="zh-CN"/>
        </w:rPr>
        <w:t>（根据项目属性确定）。</w:t>
      </w:r>
    </w:p>
    <w:p w14:paraId="07EEB7FC">
      <w:pPr>
        <w:spacing w:line="360" w:lineRule="auto"/>
        <w:ind w:right="237" w:firstLine="359"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对于分包方式面向中小企业采购的项目，“企业名称”应填写</w:t>
      </w:r>
      <w:r>
        <w:rPr>
          <w:rFonts w:hint="eastAsia" w:ascii="仿宋" w:hAnsi="仿宋" w:eastAsia="仿宋" w:cs="仿宋"/>
          <w:color w:val="auto"/>
          <w:spacing w:val="-5"/>
          <w:sz w:val="24"/>
          <w:szCs w:val="24"/>
          <w:highlight w:val="none"/>
          <w:lang w:eastAsia="zh-CN"/>
        </w:rPr>
        <w:t>分包部分采购</w:t>
      </w:r>
      <w:r>
        <w:rPr>
          <w:rFonts w:hint="eastAsia" w:ascii="仿宋" w:hAnsi="仿宋" w:eastAsia="仿宋" w:cs="仿宋"/>
          <w:color w:val="auto"/>
          <w:sz w:val="24"/>
          <w:szCs w:val="24"/>
          <w:highlight w:val="none"/>
          <w:lang w:eastAsia="zh-CN"/>
        </w:rPr>
        <w:t>标的对应的</w:t>
      </w:r>
      <w:r>
        <w:rPr>
          <w:rFonts w:hint="eastAsia" w:ascii="仿宋" w:hAnsi="仿宋" w:eastAsia="仿宋" w:cs="仿宋"/>
          <w:color w:val="auto"/>
          <w:sz w:val="24"/>
          <w:szCs w:val="24"/>
          <w:highlight w:val="none"/>
          <w:lang w:val="en-US" w:eastAsia="zh-CN"/>
        </w:rPr>
        <w:t>供应</w:t>
      </w:r>
      <w:r>
        <w:rPr>
          <w:rFonts w:hint="eastAsia" w:ascii="仿宋" w:hAnsi="仿宋" w:eastAsia="仿宋" w:cs="仿宋"/>
          <w:color w:val="auto"/>
          <w:sz w:val="24"/>
          <w:szCs w:val="24"/>
          <w:highlight w:val="none"/>
          <w:lang w:eastAsia="zh-CN"/>
        </w:rPr>
        <w:t>商/服务承接商/工程承建</w:t>
      </w:r>
      <w:r>
        <w:rPr>
          <w:rFonts w:hint="eastAsia" w:ascii="仿宋" w:hAnsi="仿宋" w:eastAsia="仿宋" w:cs="仿宋"/>
          <w:color w:val="auto"/>
          <w:spacing w:val="-1"/>
          <w:sz w:val="24"/>
          <w:szCs w:val="24"/>
          <w:highlight w:val="none"/>
          <w:lang w:eastAsia="zh-CN"/>
        </w:rPr>
        <w:t>商（根据项目属性确定）。</w:t>
      </w:r>
    </w:p>
    <w:p w14:paraId="6C1504C1">
      <w:pPr>
        <w:spacing w:line="360" w:lineRule="auto"/>
        <w:ind w:right="80" w:firstLine="359" w:firstLineChars="155"/>
        <w:jc w:val="both"/>
        <w:rPr>
          <w:rFonts w:hint="eastAsia" w:ascii="仿宋" w:hAnsi="仿宋" w:eastAsia="仿宋" w:cs="仿宋"/>
          <w:color w:val="auto"/>
          <w:sz w:val="24"/>
          <w:szCs w:val="24"/>
          <w:highlight w:val="none"/>
          <w:lang w:eastAsia="zh-CN"/>
        </w:rPr>
      </w:pPr>
      <w:bookmarkStart w:id="391" w:name="bookmark286"/>
      <w:bookmarkEnd w:id="391"/>
      <w:r>
        <w:rPr>
          <w:rFonts w:hint="eastAsia" w:ascii="仿宋" w:hAnsi="仿宋" w:eastAsia="仿宋" w:cs="仿宋"/>
          <w:color w:val="auto"/>
          <w:spacing w:val="-4"/>
          <w:sz w:val="24"/>
          <w:szCs w:val="24"/>
          <w:highlight w:val="none"/>
          <w:lang w:eastAsia="zh-CN"/>
        </w:rPr>
        <w:t>对于以联合体方式面向中小企业采购的项目，“企业名称”应填写联</w:t>
      </w:r>
      <w:r>
        <w:rPr>
          <w:rFonts w:hint="eastAsia" w:ascii="仿宋" w:hAnsi="仿宋" w:eastAsia="仿宋" w:cs="仿宋"/>
          <w:color w:val="auto"/>
          <w:spacing w:val="-5"/>
          <w:sz w:val="24"/>
          <w:szCs w:val="24"/>
          <w:highlight w:val="none"/>
          <w:lang w:eastAsia="zh-CN"/>
        </w:rPr>
        <w:t>合体中</w:t>
      </w:r>
      <w:r>
        <w:rPr>
          <w:rFonts w:hint="eastAsia" w:ascii="仿宋" w:hAnsi="仿宋" w:eastAsia="仿宋" w:cs="仿宋"/>
          <w:color w:val="auto"/>
          <w:spacing w:val="-3"/>
          <w:sz w:val="24"/>
          <w:szCs w:val="24"/>
          <w:highlight w:val="none"/>
          <w:lang w:eastAsia="zh-CN"/>
        </w:rPr>
        <w:t>中小企业承担采购标的对应的</w:t>
      </w:r>
      <w:r>
        <w:rPr>
          <w:rFonts w:hint="eastAsia" w:ascii="仿宋" w:hAnsi="仿宋" w:eastAsia="仿宋" w:cs="仿宋"/>
          <w:color w:val="auto"/>
          <w:spacing w:val="-3"/>
          <w:sz w:val="24"/>
          <w:szCs w:val="24"/>
          <w:highlight w:val="none"/>
          <w:lang w:val="en-US" w:eastAsia="zh-CN"/>
        </w:rPr>
        <w:t>供应</w:t>
      </w:r>
      <w:r>
        <w:rPr>
          <w:rFonts w:hint="eastAsia" w:ascii="仿宋" w:hAnsi="仿宋" w:eastAsia="仿宋" w:cs="仿宋"/>
          <w:color w:val="auto"/>
          <w:spacing w:val="-3"/>
          <w:sz w:val="24"/>
          <w:szCs w:val="24"/>
          <w:highlight w:val="none"/>
          <w:lang w:eastAsia="zh-CN"/>
        </w:rPr>
        <w:t>商/服务承接商/工程承建商（根据项目属性确定）。</w:t>
      </w:r>
    </w:p>
    <w:p w14:paraId="7D644184">
      <w:pPr>
        <w:widowControl w:val="0"/>
        <w:spacing w:line="360" w:lineRule="auto"/>
        <w:ind w:right="79" w:firstLine="362"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6.从业人员、资产总额指标以上年度末数据为依据，营业收入指标</w:t>
      </w:r>
      <w:r>
        <w:rPr>
          <w:rFonts w:hint="eastAsia" w:ascii="仿宋" w:hAnsi="仿宋" w:eastAsia="仿宋" w:cs="仿宋"/>
          <w:color w:val="auto"/>
          <w:spacing w:val="-4"/>
          <w:sz w:val="24"/>
          <w:szCs w:val="24"/>
          <w:highlight w:val="none"/>
          <w:lang w:eastAsia="zh-CN"/>
        </w:rPr>
        <w:t>以上年度</w:t>
      </w:r>
      <w:r>
        <w:rPr>
          <w:rFonts w:hint="eastAsia" w:ascii="仿宋" w:hAnsi="仿宋" w:eastAsia="仿宋" w:cs="仿宋"/>
          <w:color w:val="auto"/>
          <w:spacing w:val="-1"/>
          <w:sz w:val="24"/>
          <w:szCs w:val="24"/>
          <w:highlight w:val="none"/>
          <w:lang w:eastAsia="zh-CN"/>
        </w:rPr>
        <w:t>累计数据为依据。无上年度数据的新成立企业可不填报。</w:t>
      </w:r>
    </w:p>
    <w:p w14:paraId="0A326A41">
      <w:pPr>
        <w:spacing w:line="360" w:lineRule="auto"/>
        <w:ind w:right="80" w:firstLine="356"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7.“中型企业/小型企业/微型企业”部分，供应商应依据企业上年度从业人</w:t>
      </w:r>
      <w:r>
        <w:rPr>
          <w:rFonts w:hint="eastAsia" w:ascii="仿宋" w:hAnsi="仿宋" w:eastAsia="仿宋" w:cs="仿宋"/>
          <w:color w:val="auto"/>
          <w:spacing w:val="-3"/>
          <w:sz w:val="24"/>
          <w:szCs w:val="24"/>
          <w:highlight w:val="none"/>
          <w:lang w:eastAsia="zh-CN"/>
        </w:rPr>
        <w:t>员、营业收入、资产总额等指标，按照《中小企业划型标准规定》（工信部联企</w:t>
      </w:r>
      <w:r>
        <w:rPr>
          <w:rFonts w:hint="eastAsia" w:ascii="仿宋" w:hAnsi="仿宋" w:eastAsia="仿宋" w:cs="仿宋"/>
          <w:color w:val="auto"/>
          <w:spacing w:val="-1"/>
          <w:sz w:val="24"/>
          <w:szCs w:val="24"/>
          <w:highlight w:val="none"/>
          <w:lang w:eastAsia="zh-CN"/>
        </w:rPr>
        <w:t>业〔2011〕300号）、《金融业企业划型标准规定》（银发〔2015〕309号</w:t>
      </w:r>
      <w:r>
        <w:rPr>
          <w:rFonts w:hint="eastAsia" w:ascii="仿宋" w:hAnsi="仿宋" w:eastAsia="仿宋" w:cs="仿宋"/>
          <w:color w:val="auto"/>
          <w:spacing w:val="13"/>
          <w:sz w:val="24"/>
          <w:szCs w:val="24"/>
          <w:highlight w:val="none"/>
          <w:lang w:eastAsia="zh-CN"/>
        </w:rPr>
        <w:t>），</w:t>
      </w:r>
      <w:r>
        <w:rPr>
          <w:rFonts w:hint="eastAsia" w:ascii="仿宋" w:hAnsi="仿宋" w:eastAsia="仿宋" w:cs="仿宋"/>
          <w:color w:val="auto"/>
          <w:spacing w:val="-5"/>
          <w:sz w:val="24"/>
          <w:szCs w:val="24"/>
          <w:highlight w:val="none"/>
          <w:lang w:eastAsia="zh-CN"/>
        </w:rPr>
        <w:t>判断“中小企业声明函”载明的货物制造商/服务承接商/工程承建商（根据项目</w:t>
      </w:r>
      <w:r>
        <w:rPr>
          <w:rFonts w:hint="eastAsia" w:ascii="仿宋" w:hAnsi="仿宋" w:eastAsia="仿宋" w:cs="仿宋"/>
          <w:color w:val="auto"/>
          <w:sz w:val="24"/>
          <w:szCs w:val="24"/>
          <w:highlight w:val="none"/>
          <w:lang w:eastAsia="zh-CN"/>
        </w:rPr>
        <w:t>属性确定）是否属于采购文件所属行业的中型企业/</w:t>
      </w:r>
      <w:r>
        <w:rPr>
          <w:rFonts w:hint="eastAsia" w:ascii="仿宋" w:hAnsi="仿宋" w:eastAsia="仿宋" w:cs="仿宋"/>
          <w:color w:val="auto"/>
          <w:spacing w:val="-1"/>
          <w:sz w:val="24"/>
          <w:szCs w:val="24"/>
          <w:highlight w:val="none"/>
          <w:lang w:eastAsia="zh-CN"/>
        </w:rPr>
        <w:t>小型企业/微型企业。</w:t>
      </w:r>
    </w:p>
    <w:p w14:paraId="4B22F87C">
      <w:pPr>
        <w:spacing w:line="360" w:lineRule="auto"/>
        <w:ind w:right="26" w:firstLine="365" w:firstLineChars="1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8.对于已纳入统计部门统计范围的企业，所属行业、从业人员、营业收入、</w:t>
      </w:r>
      <w:r>
        <w:rPr>
          <w:rFonts w:hint="eastAsia" w:ascii="仿宋" w:hAnsi="仿宋" w:eastAsia="仿宋" w:cs="仿宋"/>
          <w:color w:val="auto"/>
          <w:spacing w:val="-3"/>
          <w:sz w:val="24"/>
          <w:szCs w:val="24"/>
          <w:highlight w:val="none"/>
          <w:lang w:eastAsia="zh-CN"/>
        </w:rPr>
        <w:t>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w:t>
      </w:r>
      <w:r>
        <w:rPr>
          <w:rFonts w:hint="eastAsia" w:ascii="仿宋" w:hAnsi="仿宋" w:eastAsia="仿宋" w:cs="仿宋"/>
          <w:color w:val="auto"/>
          <w:spacing w:val="-2"/>
          <w:sz w:val="24"/>
          <w:szCs w:val="24"/>
          <w:highlight w:val="none"/>
          <w:lang w:eastAsia="zh-CN"/>
        </w:rPr>
        <w:t>据的来源依据。</w:t>
      </w:r>
    </w:p>
    <w:p w14:paraId="17A381B8">
      <w:pPr>
        <w:spacing w:line="360" w:lineRule="auto"/>
        <w:ind w:left="592"/>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（二）关于“中小企业声明函”的提交要求</w:t>
      </w:r>
    </w:p>
    <w:p w14:paraId="76B42D0F">
      <w:pPr>
        <w:spacing w:line="360" w:lineRule="auto"/>
        <w:ind w:left="23" w:firstLine="49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1.投标（响应）供应商对“中小企业声明函”的真实性负责。</w:t>
      </w:r>
      <w:r>
        <w:rPr>
          <w:rFonts w:hint="eastAsia" w:ascii="仿宋" w:hAnsi="仿宋" w:eastAsia="仿宋" w:cs="仿宋"/>
          <w:color w:val="auto"/>
          <w:spacing w:val="-4"/>
          <w:sz w:val="24"/>
          <w:szCs w:val="24"/>
          <w:highlight w:val="none"/>
          <w:lang w:eastAsia="zh-CN"/>
        </w:rPr>
        <w:t>投标（响应）</w:t>
      </w:r>
      <w:r>
        <w:rPr>
          <w:rFonts w:hint="eastAsia" w:ascii="仿宋" w:hAnsi="仿宋" w:eastAsia="仿宋" w:cs="仿宋"/>
          <w:color w:val="auto"/>
          <w:spacing w:val="-3"/>
          <w:sz w:val="24"/>
          <w:szCs w:val="24"/>
          <w:highlight w:val="none"/>
          <w:lang w:eastAsia="zh-CN"/>
        </w:rPr>
        <w:t>供应商应当核实投标（响应）的货物制造商/服务承接商/工程承建商（根据项目</w:t>
      </w:r>
      <w:r>
        <w:rPr>
          <w:rFonts w:hint="eastAsia" w:ascii="仿宋" w:hAnsi="仿宋" w:eastAsia="仿宋" w:cs="仿宋"/>
          <w:color w:val="auto"/>
          <w:spacing w:val="-7"/>
          <w:sz w:val="24"/>
          <w:szCs w:val="24"/>
          <w:highlight w:val="none"/>
          <w:lang w:eastAsia="zh-CN"/>
        </w:rPr>
        <w:t>属性确定）的相关信息，如对相关信息了解不充分，或</w:t>
      </w:r>
      <w:r>
        <w:rPr>
          <w:rFonts w:hint="eastAsia" w:ascii="仿宋" w:hAnsi="仿宋" w:eastAsia="仿宋" w:cs="仿宋"/>
          <w:color w:val="auto"/>
          <w:spacing w:val="-8"/>
          <w:sz w:val="24"/>
          <w:szCs w:val="24"/>
          <w:highlight w:val="none"/>
          <w:lang w:eastAsia="zh-CN"/>
        </w:rPr>
        <w:t>者不能确定相关信息真实、</w:t>
      </w:r>
      <w:r>
        <w:rPr>
          <w:rFonts w:hint="eastAsia" w:ascii="仿宋" w:hAnsi="仿宋" w:eastAsia="仿宋" w:cs="仿宋"/>
          <w:color w:val="auto"/>
          <w:spacing w:val="-3"/>
          <w:sz w:val="24"/>
          <w:szCs w:val="24"/>
          <w:highlight w:val="none"/>
          <w:lang w:eastAsia="zh-CN"/>
        </w:rPr>
        <w:t>准确的，不建议出具“中小企业声明函”。</w:t>
      </w:r>
    </w:p>
    <w:p w14:paraId="793181A5">
      <w:pPr>
        <w:spacing w:line="360" w:lineRule="auto"/>
        <w:ind w:left="23" w:right="8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2.鼓励供应商在投标（响应）时一并提供对货物制造商、服务承</w:t>
      </w:r>
      <w:r>
        <w:rPr>
          <w:rFonts w:hint="eastAsia" w:ascii="仿宋" w:hAnsi="仿宋" w:eastAsia="仿宋" w:cs="仿宋"/>
          <w:color w:val="auto"/>
          <w:spacing w:val="-4"/>
          <w:sz w:val="24"/>
          <w:szCs w:val="24"/>
          <w:highlight w:val="none"/>
          <w:lang w:eastAsia="zh-CN"/>
        </w:rPr>
        <w:t>接商、工程</w:t>
      </w:r>
      <w:r>
        <w:rPr>
          <w:rFonts w:hint="eastAsia" w:ascii="仿宋" w:hAnsi="仿宋" w:eastAsia="仿宋" w:cs="仿宋"/>
          <w:color w:val="auto"/>
          <w:spacing w:val="-1"/>
          <w:sz w:val="24"/>
          <w:szCs w:val="24"/>
          <w:highlight w:val="none"/>
          <w:lang w:eastAsia="zh-CN"/>
        </w:rPr>
        <w:t>承建商相关信息的核实核验情况以及其他佐证材料。</w:t>
      </w:r>
    </w:p>
    <w:p w14:paraId="7B47980A">
      <w:pPr>
        <w:spacing w:line="360" w:lineRule="auto"/>
        <w:ind w:left="22" w:right="18" w:firstLine="4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3.如供应商提供的“中小企业声明函”存在按采购文件所属行业划</w:t>
      </w:r>
      <w:r>
        <w:rPr>
          <w:rFonts w:hint="eastAsia" w:ascii="仿宋" w:hAnsi="仿宋" w:eastAsia="仿宋" w:cs="仿宋"/>
          <w:color w:val="auto"/>
          <w:spacing w:val="-10"/>
          <w:sz w:val="24"/>
          <w:szCs w:val="24"/>
          <w:highlight w:val="none"/>
          <w:lang w:eastAsia="zh-CN"/>
        </w:rPr>
        <w:t>型不实的，</w:t>
      </w:r>
      <w:r>
        <w:rPr>
          <w:rFonts w:hint="eastAsia" w:ascii="仿宋" w:hAnsi="仿宋" w:eastAsia="仿宋" w:cs="仿宋"/>
          <w:color w:val="auto"/>
          <w:spacing w:val="-3"/>
          <w:sz w:val="24"/>
          <w:szCs w:val="24"/>
          <w:highlight w:val="none"/>
          <w:lang w:eastAsia="zh-CN"/>
        </w:rPr>
        <w:t>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w:t>
      </w:r>
      <w:r>
        <w:rPr>
          <w:rFonts w:hint="eastAsia" w:ascii="仿宋" w:hAnsi="仿宋" w:eastAsia="仿宋" w:cs="仿宋"/>
          <w:color w:val="auto"/>
          <w:spacing w:val="-2"/>
          <w:sz w:val="24"/>
          <w:szCs w:val="24"/>
          <w:highlight w:val="none"/>
          <w:lang w:eastAsia="zh-CN"/>
        </w:rPr>
        <w:t>刑事责任。</w:t>
      </w:r>
    </w:p>
    <w:p w14:paraId="04A0B6A4">
      <w:pPr>
        <w:spacing w:line="356" w:lineRule="auto"/>
        <w:rPr>
          <w:rFonts w:hint="eastAsia" w:ascii="仿宋" w:hAnsi="仿宋" w:eastAsia="仿宋" w:cs="仿宋"/>
          <w:color w:val="auto"/>
          <w:sz w:val="24"/>
          <w:szCs w:val="24"/>
          <w:highlight w:val="none"/>
          <w:lang w:eastAsia="zh-CN"/>
        </w:rPr>
      </w:pPr>
    </w:p>
    <w:p w14:paraId="248B608F">
      <w:pPr>
        <w:pageBreakBefore/>
        <w:spacing w:before="78" w:line="218" w:lineRule="auto"/>
        <w:ind w:left="4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3"/>
          <w:sz w:val="24"/>
          <w:szCs w:val="24"/>
          <w:highlight w:val="none"/>
          <w:lang w:eastAsia="zh-CN"/>
        </w:rPr>
        <w:t>附件2：</w:t>
      </w:r>
    </w:p>
    <w:p w14:paraId="12042385">
      <w:pPr>
        <w:spacing w:before="123" w:line="187" w:lineRule="auto"/>
        <w:ind w:left="1453"/>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9"/>
          <w:sz w:val="31"/>
          <w:szCs w:val="31"/>
          <w:highlight w:val="none"/>
          <w:lang w:eastAsia="zh-CN"/>
        </w:rPr>
        <w:t>关于印发中小企业划型标准规定的通知</w:t>
      </w:r>
    </w:p>
    <w:p w14:paraId="43D3696D">
      <w:pPr>
        <w:spacing w:before="162" w:line="219" w:lineRule="auto"/>
        <w:ind w:left="264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工信部联企业〔2011〕300号</w:t>
      </w:r>
    </w:p>
    <w:p w14:paraId="208058B6">
      <w:pPr>
        <w:spacing w:before="74" w:line="219" w:lineRule="auto"/>
        <w:ind w:left="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各省、自治区、直辖市人民政府，国务院各部委、各直属机构及有关单位：</w:t>
      </w:r>
    </w:p>
    <w:p w14:paraId="76D7F6FC">
      <w:pPr>
        <w:spacing w:before="77" w:line="270" w:lineRule="auto"/>
        <w:ind w:left="23" w:right="80" w:firstLine="48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为贯彻落实《中华人民共和国中小企业促进法》和《国务</w:t>
      </w:r>
      <w:r>
        <w:rPr>
          <w:rFonts w:hint="eastAsia" w:ascii="仿宋" w:hAnsi="仿宋" w:eastAsia="仿宋" w:cs="仿宋"/>
          <w:color w:val="auto"/>
          <w:spacing w:val="-4"/>
          <w:sz w:val="24"/>
          <w:szCs w:val="24"/>
          <w:highlight w:val="none"/>
          <w:lang w:eastAsia="zh-CN"/>
        </w:rPr>
        <w:t>院关于进一步促进</w:t>
      </w:r>
      <w:r>
        <w:rPr>
          <w:rFonts w:hint="eastAsia" w:ascii="仿宋" w:hAnsi="仿宋" w:eastAsia="仿宋" w:cs="仿宋"/>
          <w:color w:val="auto"/>
          <w:spacing w:val="-1"/>
          <w:sz w:val="24"/>
          <w:szCs w:val="24"/>
          <w:highlight w:val="none"/>
          <w:lang w:eastAsia="zh-CN"/>
        </w:rPr>
        <w:t>中小企业发展的若干意见》（国发〔2009〕36号</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1"/>
          <w:sz w:val="24"/>
          <w:szCs w:val="24"/>
          <w:highlight w:val="none"/>
          <w:lang w:eastAsia="zh-CN"/>
        </w:rPr>
        <w:t>工业和信息化部、</w:t>
      </w:r>
      <w:r>
        <w:rPr>
          <w:rFonts w:hint="eastAsia" w:ascii="仿宋" w:hAnsi="仿宋" w:eastAsia="仿宋" w:cs="仿宋"/>
          <w:color w:val="auto"/>
          <w:spacing w:val="-2"/>
          <w:sz w:val="24"/>
          <w:szCs w:val="24"/>
          <w:highlight w:val="none"/>
          <w:lang w:eastAsia="zh-CN"/>
        </w:rPr>
        <w:t>国家统</w:t>
      </w:r>
      <w:r>
        <w:rPr>
          <w:rFonts w:hint="eastAsia" w:ascii="仿宋" w:hAnsi="仿宋" w:eastAsia="仿宋" w:cs="仿宋"/>
          <w:color w:val="auto"/>
          <w:spacing w:val="-3"/>
          <w:sz w:val="24"/>
          <w:szCs w:val="24"/>
          <w:highlight w:val="none"/>
          <w:lang w:eastAsia="zh-CN"/>
        </w:rPr>
        <w:t>计局、发展改革委、财政部研究制定了《中小企业划型标准规定》。经国务院同</w:t>
      </w:r>
      <w:r>
        <w:rPr>
          <w:rFonts w:hint="eastAsia" w:ascii="仿宋" w:hAnsi="仿宋" w:eastAsia="仿宋" w:cs="仿宋"/>
          <w:color w:val="auto"/>
          <w:spacing w:val="-1"/>
          <w:sz w:val="24"/>
          <w:szCs w:val="24"/>
          <w:highlight w:val="none"/>
          <w:lang w:eastAsia="zh-CN"/>
        </w:rPr>
        <w:t>意，现印发给你们，请遵照执行。</w:t>
      </w:r>
    </w:p>
    <w:p w14:paraId="562B1C94">
      <w:pPr>
        <w:spacing w:before="35" w:line="268" w:lineRule="auto"/>
        <w:ind w:left="4993" w:right="80" w:firstLine="219"/>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工业和信息化部国家统计局</w:t>
      </w:r>
      <w:r>
        <w:rPr>
          <w:rFonts w:hint="eastAsia" w:ascii="仿宋" w:hAnsi="仿宋" w:eastAsia="仿宋" w:cs="仿宋"/>
          <w:color w:val="auto"/>
          <w:spacing w:val="-3"/>
          <w:sz w:val="24"/>
          <w:szCs w:val="24"/>
          <w:highlight w:val="none"/>
          <w:lang w:eastAsia="zh-CN"/>
        </w:rPr>
        <w:t>国家发展和改革委员会  财政部</w:t>
      </w:r>
      <w:r>
        <w:rPr>
          <w:rFonts w:hint="eastAsia" w:ascii="仿宋" w:hAnsi="仿宋" w:eastAsia="仿宋" w:cs="仿宋"/>
          <w:color w:val="auto"/>
          <w:spacing w:val="-2"/>
          <w:sz w:val="24"/>
          <w:szCs w:val="24"/>
          <w:highlight w:val="none"/>
          <w:lang w:eastAsia="zh-CN"/>
        </w:rPr>
        <w:t>二○一一年六月十八日</w:t>
      </w:r>
    </w:p>
    <w:p w14:paraId="4EF43D7F">
      <w:pPr>
        <w:spacing w:line="275" w:lineRule="auto"/>
        <w:rPr>
          <w:rFonts w:hint="eastAsia" w:ascii="仿宋" w:hAnsi="仿宋" w:eastAsia="仿宋" w:cs="仿宋"/>
          <w:color w:val="auto"/>
          <w:highlight w:val="none"/>
          <w:lang w:eastAsia="zh-CN"/>
        </w:rPr>
      </w:pPr>
    </w:p>
    <w:p w14:paraId="0AE801EA">
      <w:pPr>
        <w:spacing w:before="97" w:line="220" w:lineRule="auto"/>
        <w:ind w:left="2701"/>
        <w:rPr>
          <w:rFonts w:hint="eastAsia" w:ascii="仿宋" w:hAnsi="仿宋" w:eastAsia="仿宋" w:cs="仿宋"/>
          <w:color w:val="auto"/>
          <w:sz w:val="30"/>
          <w:szCs w:val="30"/>
          <w:highlight w:val="none"/>
          <w:lang w:eastAsia="zh-CN"/>
        </w:rPr>
      </w:pPr>
      <w:r>
        <w:rPr>
          <w:rFonts w:hint="eastAsia" w:ascii="仿宋" w:hAnsi="仿宋" w:eastAsia="仿宋" w:cs="仿宋"/>
          <w:b/>
          <w:bCs/>
          <w:color w:val="auto"/>
          <w:spacing w:val="-7"/>
          <w:sz w:val="30"/>
          <w:szCs w:val="30"/>
          <w:highlight w:val="none"/>
          <w:lang w:eastAsia="zh-CN"/>
        </w:rPr>
        <w:t>中小企业划型标准规定</w:t>
      </w:r>
    </w:p>
    <w:p w14:paraId="019E1A25">
      <w:pPr>
        <w:spacing w:before="96" w:line="263" w:lineRule="auto"/>
        <w:ind w:left="29" w:right="80"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一、根据《中华人民共和国中小企业促进法》和《国务</w:t>
      </w:r>
      <w:r>
        <w:rPr>
          <w:rFonts w:hint="eastAsia" w:ascii="仿宋" w:hAnsi="仿宋" w:eastAsia="仿宋" w:cs="仿宋"/>
          <w:color w:val="auto"/>
          <w:spacing w:val="-4"/>
          <w:sz w:val="24"/>
          <w:szCs w:val="24"/>
          <w:highlight w:val="none"/>
          <w:lang w:eastAsia="zh-CN"/>
        </w:rPr>
        <w:t>院关于进一步促进中</w:t>
      </w:r>
      <w:r>
        <w:rPr>
          <w:rFonts w:hint="eastAsia" w:ascii="仿宋" w:hAnsi="仿宋" w:eastAsia="仿宋" w:cs="仿宋"/>
          <w:color w:val="auto"/>
          <w:spacing w:val="-3"/>
          <w:sz w:val="24"/>
          <w:szCs w:val="24"/>
          <w:highlight w:val="none"/>
          <w:lang w:eastAsia="zh-CN"/>
        </w:rPr>
        <w:t>小企业发展的若干意见》(国发〔2009〕36号)，制定本规定。</w:t>
      </w:r>
    </w:p>
    <w:p w14:paraId="295DB065">
      <w:pPr>
        <w:spacing w:before="114" w:line="264" w:lineRule="auto"/>
        <w:ind w:left="32" w:right="80" w:firstLine="4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二、中小企业划分为中型、小型、微型三种类型，具体</w:t>
      </w:r>
      <w:r>
        <w:rPr>
          <w:rFonts w:hint="eastAsia" w:ascii="仿宋" w:hAnsi="仿宋" w:eastAsia="仿宋" w:cs="仿宋"/>
          <w:color w:val="auto"/>
          <w:spacing w:val="-4"/>
          <w:sz w:val="24"/>
          <w:szCs w:val="24"/>
          <w:highlight w:val="none"/>
          <w:lang w:eastAsia="zh-CN"/>
        </w:rPr>
        <w:t>标准根据企业从业人</w:t>
      </w:r>
      <w:r>
        <w:rPr>
          <w:rFonts w:hint="eastAsia" w:ascii="仿宋" w:hAnsi="仿宋" w:eastAsia="仿宋" w:cs="仿宋"/>
          <w:color w:val="auto"/>
          <w:spacing w:val="-1"/>
          <w:sz w:val="24"/>
          <w:szCs w:val="24"/>
          <w:highlight w:val="none"/>
          <w:lang w:eastAsia="zh-CN"/>
        </w:rPr>
        <w:t>员、营业收入、资产总额等指标，结合行业特点制定。</w:t>
      </w:r>
    </w:p>
    <w:p w14:paraId="0A44D9F4">
      <w:pPr>
        <w:spacing w:before="116" w:line="295" w:lineRule="auto"/>
        <w:ind w:left="22"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三、本规定适用的行业包括：农、林、牧、渔业，工业（包括采</w:t>
      </w:r>
      <w:r>
        <w:rPr>
          <w:rFonts w:hint="eastAsia" w:ascii="仿宋" w:hAnsi="仿宋" w:eastAsia="仿宋" w:cs="仿宋"/>
          <w:color w:val="auto"/>
          <w:spacing w:val="-4"/>
          <w:sz w:val="24"/>
          <w:szCs w:val="24"/>
          <w:highlight w:val="none"/>
          <w:lang w:eastAsia="zh-CN"/>
        </w:rPr>
        <w:t>矿业，制造</w:t>
      </w:r>
      <w:r>
        <w:rPr>
          <w:rFonts w:hint="eastAsia" w:ascii="仿宋" w:hAnsi="仿宋" w:eastAsia="仿宋" w:cs="仿宋"/>
          <w:color w:val="auto"/>
          <w:spacing w:val="-3"/>
          <w:sz w:val="24"/>
          <w:szCs w:val="24"/>
          <w:highlight w:val="none"/>
          <w:lang w:eastAsia="zh-CN"/>
        </w:rPr>
        <w:t>业，电力、热力、燃气及水生产和供应业），建筑业，批发业，零售业，交通运输业（不含铁路运输业），仓储业，邮政业，住宿业，餐饮业，信息传输业（包</w:t>
      </w:r>
      <w:r>
        <w:rPr>
          <w:rFonts w:hint="eastAsia" w:ascii="仿宋" w:hAnsi="仿宋" w:eastAsia="仿宋" w:cs="仿宋"/>
          <w:color w:val="auto"/>
          <w:spacing w:val="-2"/>
          <w:sz w:val="24"/>
          <w:szCs w:val="24"/>
          <w:highlight w:val="none"/>
          <w:lang w:eastAsia="zh-CN"/>
        </w:rPr>
        <w:t>括电信、互联网和相关服务</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2"/>
          <w:sz w:val="24"/>
          <w:szCs w:val="24"/>
          <w:highlight w:val="none"/>
          <w:lang w:eastAsia="zh-CN"/>
        </w:rPr>
        <w:t>软件和信息技术服务业</w:t>
      </w:r>
      <w:r>
        <w:rPr>
          <w:rFonts w:hint="eastAsia" w:ascii="仿宋" w:hAnsi="仿宋" w:eastAsia="仿宋" w:cs="仿宋"/>
          <w:color w:val="auto"/>
          <w:spacing w:val="-3"/>
          <w:sz w:val="24"/>
          <w:szCs w:val="24"/>
          <w:highlight w:val="none"/>
          <w:lang w:eastAsia="zh-CN"/>
        </w:rPr>
        <w:t>，房地产开发经营，物业</w:t>
      </w:r>
      <w:r>
        <w:rPr>
          <w:rFonts w:hint="eastAsia" w:ascii="仿宋" w:hAnsi="仿宋" w:eastAsia="仿宋" w:cs="仿宋"/>
          <w:color w:val="auto"/>
          <w:spacing w:val="-7"/>
          <w:sz w:val="24"/>
          <w:szCs w:val="24"/>
          <w:highlight w:val="none"/>
          <w:lang w:eastAsia="zh-CN"/>
        </w:rPr>
        <w:t>管理，租赁和商务服务业，其他未列明行业（包括科学研</w:t>
      </w:r>
      <w:r>
        <w:rPr>
          <w:rFonts w:hint="eastAsia" w:ascii="仿宋" w:hAnsi="仿宋" w:eastAsia="仿宋" w:cs="仿宋"/>
          <w:color w:val="auto"/>
          <w:spacing w:val="-8"/>
          <w:sz w:val="24"/>
          <w:szCs w:val="24"/>
          <w:highlight w:val="none"/>
          <w:lang w:eastAsia="zh-CN"/>
        </w:rPr>
        <w:t>究和技术服务业，水利、</w:t>
      </w:r>
      <w:r>
        <w:rPr>
          <w:rFonts w:hint="eastAsia" w:ascii="仿宋" w:hAnsi="仿宋" w:eastAsia="仿宋" w:cs="仿宋"/>
          <w:color w:val="auto"/>
          <w:spacing w:val="-3"/>
          <w:sz w:val="24"/>
          <w:szCs w:val="24"/>
          <w:highlight w:val="none"/>
          <w:lang w:eastAsia="zh-CN"/>
        </w:rPr>
        <w:t>环境和公共设施管理业，居民服务、修理和其他服务业，社会工作，文化、体育</w:t>
      </w:r>
      <w:r>
        <w:rPr>
          <w:rFonts w:hint="eastAsia" w:ascii="仿宋" w:hAnsi="仿宋" w:eastAsia="仿宋" w:cs="仿宋"/>
          <w:color w:val="auto"/>
          <w:spacing w:val="-2"/>
          <w:sz w:val="24"/>
          <w:szCs w:val="24"/>
          <w:highlight w:val="none"/>
          <w:lang w:eastAsia="zh-CN"/>
        </w:rPr>
        <w:t>和娱乐业等）。</w:t>
      </w:r>
    </w:p>
    <w:p w14:paraId="0E6A1AA8">
      <w:pPr>
        <w:spacing w:before="114" w:line="220" w:lineRule="auto"/>
        <w:ind w:left="5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四、各行业划型标准为：</w:t>
      </w:r>
    </w:p>
    <w:p w14:paraId="178D52EC">
      <w:pPr>
        <w:spacing w:before="114" w:line="278" w:lineRule="auto"/>
        <w:ind w:left="27" w:right="80" w:firstLine="47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（一）农、林、牧、渔业。营业收入20000万元以下的为中小微型企业。其</w:t>
      </w:r>
      <w:r>
        <w:rPr>
          <w:rFonts w:hint="eastAsia" w:ascii="仿宋" w:hAnsi="仿宋" w:eastAsia="仿宋" w:cs="仿宋"/>
          <w:color w:val="auto"/>
          <w:spacing w:val="-2"/>
          <w:sz w:val="24"/>
          <w:szCs w:val="24"/>
          <w:highlight w:val="none"/>
          <w:lang w:eastAsia="zh-CN"/>
        </w:rPr>
        <w:t>中，营业收入500万元及以上的为中型企业，营业收入50万元及以上的为小型</w:t>
      </w:r>
      <w:r>
        <w:rPr>
          <w:rFonts w:hint="eastAsia" w:ascii="仿宋" w:hAnsi="仿宋" w:eastAsia="仿宋" w:cs="仿宋"/>
          <w:color w:val="auto"/>
          <w:spacing w:val="-3"/>
          <w:sz w:val="24"/>
          <w:szCs w:val="24"/>
          <w:highlight w:val="none"/>
          <w:lang w:eastAsia="zh-CN"/>
        </w:rPr>
        <w:t>企业，营业收入50万元以下的为微型企业。</w:t>
      </w:r>
    </w:p>
    <w:p w14:paraId="23B2E630">
      <w:pPr>
        <w:spacing w:before="114" w:line="286" w:lineRule="auto"/>
        <w:ind w:left="25" w:right="106"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（二）工业。从业人员1000人以下或营业收入40</w:t>
      </w:r>
      <w:r>
        <w:rPr>
          <w:rFonts w:hint="eastAsia" w:ascii="仿宋" w:hAnsi="仿宋" w:eastAsia="仿宋" w:cs="仿宋"/>
          <w:color w:val="auto"/>
          <w:spacing w:val="-3"/>
          <w:sz w:val="24"/>
          <w:szCs w:val="24"/>
          <w:highlight w:val="none"/>
          <w:lang w:eastAsia="zh-CN"/>
        </w:rPr>
        <w:t>000万元以下的为中小微</w:t>
      </w:r>
      <w:r>
        <w:rPr>
          <w:rFonts w:hint="eastAsia" w:ascii="仿宋" w:hAnsi="仿宋" w:eastAsia="仿宋" w:cs="仿宋"/>
          <w:color w:val="auto"/>
          <w:spacing w:val="-2"/>
          <w:sz w:val="24"/>
          <w:szCs w:val="24"/>
          <w:highlight w:val="none"/>
          <w:lang w:eastAsia="zh-CN"/>
        </w:rPr>
        <w:t>型企业。其中，从业人员300人及以上，且营业收入2000万元及以上的为中型企业；从业人员20人及以上，且营业收入300万元及以上的为小型企业；从业</w:t>
      </w:r>
      <w:r>
        <w:rPr>
          <w:rFonts w:hint="eastAsia" w:ascii="仿宋" w:hAnsi="仿宋" w:eastAsia="仿宋" w:cs="仿宋"/>
          <w:color w:val="auto"/>
          <w:spacing w:val="-3"/>
          <w:sz w:val="24"/>
          <w:szCs w:val="24"/>
          <w:highlight w:val="none"/>
          <w:lang w:eastAsia="zh-CN"/>
        </w:rPr>
        <w:t>人员20人以下或营业收入300万元以下的为微型企业。</w:t>
      </w:r>
    </w:p>
    <w:p w14:paraId="21359558">
      <w:pPr>
        <w:spacing w:before="115" w:line="263" w:lineRule="auto"/>
        <w:ind w:left="29" w:right="80" w:firstLine="45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（三）建筑业。营业收入80000万元以下或资产总额80000万元以下的为中小微型企业。其中，营业收入6000万元及以上，</w:t>
      </w:r>
      <w:r>
        <w:rPr>
          <w:rFonts w:hint="eastAsia" w:ascii="仿宋" w:hAnsi="仿宋" w:eastAsia="仿宋" w:cs="仿宋"/>
          <w:color w:val="auto"/>
          <w:spacing w:val="-5"/>
          <w:sz w:val="24"/>
          <w:szCs w:val="24"/>
          <w:highlight w:val="none"/>
          <w:lang w:eastAsia="zh-CN"/>
        </w:rPr>
        <w:t>且资产总额5000万元及以上的</w:t>
      </w:r>
      <w:r>
        <w:rPr>
          <w:rFonts w:hint="eastAsia" w:ascii="仿宋" w:hAnsi="仿宋" w:eastAsia="仿宋" w:cs="仿宋"/>
          <w:color w:val="auto"/>
          <w:spacing w:val="-4"/>
          <w:sz w:val="24"/>
          <w:szCs w:val="24"/>
          <w:highlight w:val="none"/>
          <w:lang w:eastAsia="zh-CN"/>
        </w:rPr>
        <w:t>为中型企业；营业收入300万元及以上，</w:t>
      </w:r>
      <w:r>
        <w:rPr>
          <w:rFonts w:hint="eastAsia" w:ascii="仿宋" w:hAnsi="仿宋" w:eastAsia="仿宋" w:cs="仿宋"/>
          <w:color w:val="auto"/>
          <w:spacing w:val="-5"/>
          <w:sz w:val="24"/>
          <w:szCs w:val="24"/>
          <w:highlight w:val="none"/>
          <w:lang w:eastAsia="zh-CN"/>
        </w:rPr>
        <w:t>且资产总额300万元及以上的为小型企</w:t>
      </w:r>
      <w:r>
        <w:rPr>
          <w:rFonts w:hint="eastAsia" w:ascii="仿宋" w:hAnsi="仿宋" w:eastAsia="仿宋" w:cs="仿宋"/>
          <w:color w:val="auto"/>
          <w:spacing w:val="-2"/>
          <w:sz w:val="24"/>
          <w:szCs w:val="24"/>
          <w:highlight w:val="none"/>
          <w:lang w:eastAsia="zh-CN"/>
        </w:rPr>
        <w:t>业；营业收入300万元以下或资产总额300万元以下的为微</w:t>
      </w:r>
      <w:r>
        <w:rPr>
          <w:rFonts w:hint="eastAsia" w:ascii="仿宋" w:hAnsi="仿宋" w:eastAsia="仿宋" w:cs="仿宋"/>
          <w:color w:val="auto"/>
          <w:spacing w:val="-3"/>
          <w:sz w:val="24"/>
          <w:szCs w:val="24"/>
          <w:highlight w:val="none"/>
          <w:lang w:eastAsia="zh-CN"/>
        </w:rPr>
        <w:t>型企业。</w:t>
      </w:r>
    </w:p>
    <w:p w14:paraId="1FAF2142">
      <w:pPr>
        <w:spacing w:before="32" w:line="286" w:lineRule="auto"/>
        <w:ind w:left="22" w:right="58" w:firstLine="46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（四）批发业。从业人员200人以下或营业收入40000万元以下的为中小微型企业。其中，从业人员20人及以上，且营业收入5000万元</w:t>
      </w:r>
      <w:r>
        <w:rPr>
          <w:rFonts w:hint="eastAsia" w:ascii="仿宋" w:hAnsi="仿宋" w:eastAsia="仿宋" w:cs="仿宋"/>
          <w:color w:val="auto"/>
          <w:spacing w:val="-5"/>
          <w:sz w:val="24"/>
          <w:szCs w:val="24"/>
          <w:highlight w:val="none"/>
          <w:lang w:eastAsia="zh-CN"/>
        </w:rPr>
        <w:t>及以上的为中型企</w:t>
      </w:r>
      <w:r>
        <w:rPr>
          <w:rFonts w:hint="eastAsia" w:ascii="仿宋" w:hAnsi="仿宋" w:eastAsia="仿宋" w:cs="仿宋"/>
          <w:color w:val="auto"/>
          <w:spacing w:val="-2"/>
          <w:sz w:val="24"/>
          <w:szCs w:val="24"/>
          <w:highlight w:val="none"/>
          <w:lang w:eastAsia="zh-CN"/>
        </w:rPr>
        <w:t>业；从业人员5人及以上，且营业收入1000万元及以上的为小型</w:t>
      </w:r>
      <w:r>
        <w:rPr>
          <w:rFonts w:hint="eastAsia" w:ascii="仿宋" w:hAnsi="仿宋" w:eastAsia="仿宋" w:cs="仿宋"/>
          <w:color w:val="auto"/>
          <w:spacing w:val="-3"/>
          <w:sz w:val="24"/>
          <w:szCs w:val="24"/>
          <w:highlight w:val="none"/>
          <w:lang w:eastAsia="zh-CN"/>
        </w:rPr>
        <w:t>企业；从业人员5人以下或营业收入1000万元以下的为微型</w:t>
      </w:r>
      <w:r>
        <w:rPr>
          <w:rFonts w:hint="eastAsia" w:ascii="仿宋" w:hAnsi="仿宋" w:eastAsia="仿宋" w:cs="仿宋"/>
          <w:color w:val="auto"/>
          <w:spacing w:val="-4"/>
          <w:sz w:val="24"/>
          <w:szCs w:val="24"/>
          <w:highlight w:val="none"/>
          <w:lang w:eastAsia="zh-CN"/>
        </w:rPr>
        <w:t>企业。</w:t>
      </w:r>
    </w:p>
    <w:p w14:paraId="1C9B995D">
      <w:pPr>
        <w:spacing w:before="111" w:line="286" w:lineRule="auto"/>
        <w:ind w:left="22" w:right="58" w:firstLine="46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（五）零售业。从业人员300人以下或营业收入20000万元以下的为中小微</w:t>
      </w:r>
      <w:r>
        <w:rPr>
          <w:rFonts w:hint="eastAsia" w:ascii="仿宋" w:hAnsi="仿宋" w:eastAsia="仿宋" w:cs="仿宋"/>
          <w:color w:val="auto"/>
          <w:spacing w:val="-2"/>
          <w:sz w:val="24"/>
          <w:szCs w:val="24"/>
          <w:highlight w:val="none"/>
          <w:lang w:eastAsia="zh-CN"/>
        </w:rPr>
        <w:t>型企业。其中，从业人员50人及以上，且营业收入500万元及以上的为中型企</w:t>
      </w:r>
      <w:r>
        <w:rPr>
          <w:rFonts w:hint="eastAsia" w:ascii="仿宋" w:hAnsi="仿宋" w:eastAsia="仿宋" w:cs="仿宋"/>
          <w:color w:val="auto"/>
          <w:spacing w:val="-3"/>
          <w:sz w:val="24"/>
          <w:szCs w:val="24"/>
          <w:highlight w:val="none"/>
          <w:lang w:eastAsia="zh-CN"/>
        </w:rPr>
        <w:t>业；从业人员10人及以上，且营业收入100万元及以上的为小型企业；从业人</w:t>
      </w:r>
      <w:r>
        <w:rPr>
          <w:rFonts w:hint="eastAsia" w:ascii="仿宋" w:hAnsi="仿宋" w:eastAsia="仿宋" w:cs="仿宋"/>
          <w:color w:val="auto"/>
          <w:spacing w:val="-4"/>
          <w:sz w:val="24"/>
          <w:szCs w:val="24"/>
          <w:highlight w:val="none"/>
          <w:lang w:eastAsia="zh-CN"/>
        </w:rPr>
        <w:t>员10人以下或营业收入100万元以下的为微型企业。</w:t>
      </w:r>
    </w:p>
    <w:p w14:paraId="18573F58">
      <w:pPr>
        <w:spacing w:before="113" w:line="286" w:lineRule="auto"/>
        <w:ind w:left="26" w:firstLine="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（六）交通运输业。从业人员1000人以下或营业收入30000万元以下的为</w:t>
      </w:r>
      <w:r>
        <w:rPr>
          <w:rFonts w:hint="eastAsia" w:ascii="仿宋" w:hAnsi="仿宋" w:eastAsia="仿宋" w:cs="仿宋"/>
          <w:color w:val="auto"/>
          <w:spacing w:val="-2"/>
          <w:sz w:val="24"/>
          <w:szCs w:val="24"/>
          <w:highlight w:val="none"/>
          <w:lang w:eastAsia="zh-CN"/>
        </w:rPr>
        <w:t>中小微型企业。其中，从业人员300人及以上，且营业收入3000万元及以上的</w:t>
      </w:r>
      <w:r>
        <w:rPr>
          <w:rFonts w:hint="eastAsia" w:ascii="仿宋" w:hAnsi="仿宋" w:eastAsia="仿宋" w:cs="仿宋"/>
          <w:color w:val="auto"/>
          <w:spacing w:val="-6"/>
          <w:sz w:val="24"/>
          <w:szCs w:val="24"/>
          <w:highlight w:val="none"/>
          <w:lang w:eastAsia="zh-CN"/>
        </w:rPr>
        <w:t>为中型企业；从业人员20人及以上，且营业收入200万元及以上的为小型企业；</w:t>
      </w:r>
      <w:r>
        <w:rPr>
          <w:rFonts w:hint="eastAsia" w:ascii="仿宋" w:hAnsi="仿宋" w:eastAsia="仿宋" w:cs="仿宋"/>
          <w:color w:val="auto"/>
          <w:spacing w:val="-2"/>
          <w:sz w:val="24"/>
          <w:szCs w:val="24"/>
          <w:highlight w:val="none"/>
          <w:lang w:eastAsia="zh-CN"/>
        </w:rPr>
        <w:t>从业人员20人以下或营业收入200万元</w:t>
      </w:r>
      <w:r>
        <w:rPr>
          <w:rFonts w:hint="eastAsia" w:ascii="仿宋" w:hAnsi="仿宋" w:eastAsia="仿宋" w:cs="仿宋"/>
          <w:color w:val="auto"/>
          <w:spacing w:val="-3"/>
          <w:sz w:val="24"/>
          <w:szCs w:val="24"/>
          <w:highlight w:val="none"/>
          <w:lang w:eastAsia="zh-CN"/>
        </w:rPr>
        <w:t>以下的为微型企业。</w:t>
      </w:r>
    </w:p>
    <w:p w14:paraId="6625D7CA">
      <w:pPr>
        <w:spacing w:before="113" w:line="286" w:lineRule="auto"/>
        <w:ind w:left="25" w:right="58" w:firstLine="45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（七）仓储业。从业人员200人以下或营业收入30000万元以下的为中小微</w:t>
      </w:r>
      <w:r>
        <w:rPr>
          <w:rFonts w:hint="eastAsia" w:ascii="仿宋" w:hAnsi="仿宋" w:eastAsia="仿宋" w:cs="仿宋"/>
          <w:color w:val="auto"/>
          <w:spacing w:val="-3"/>
          <w:sz w:val="24"/>
          <w:szCs w:val="24"/>
          <w:highlight w:val="none"/>
          <w:lang w:eastAsia="zh-CN"/>
        </w:rPr>
        <w:t>型企业。其中，从业人员100人及以上，且营业收入1000万元及以上的为中型</w:t>
      </w:r>
      <w:r>
        <w:rPr>
          <w:rFonts w:hint="eastAsia" w:ascii="仿宋" w:hAnsi="仿宋" w:eastAsia="仿宋" w:cs="仿宋"/>
          <w:color w:val="auto"/>
          <w:spacing w:val="-2"/>
          <w:sz w:val="24"/>
          <w:szCs w:val="24"/>
          <w:highlight w:val="none"/>
          <w:lang w:eastAsia="zh-CN"/>
        </w:rPr>
        <w:t>企业；从业人员20人及以上，且营业收入100万元及以上的为</w:t>
      </w:r>
      <w:r>
        <w:rPr>
          <w:rFonts w:hint="eastAsia" w:ascii="仿宋" w:hAnsi="仿宋" w:eastAsia="仿宋" w:cs="仿宋"/>
          <w:color w:val="auto"/>
          <w:spacing w:val="-3"/>
          <w:sz w:val="24"/>
          <w:szCs w:val="24"/>
          <w:highlight w:val="none"/>
          <w:lang w:eastAsia="zh-CN"/>
        </w:rPr>
        <w:t>小型企业；从业人员20人以下或营业收入100万元以下的为微型企业。</w:t>
      </w:r>
    </w:p>
    <w:p w14:paraId="54D44725">
      <w:pPr>
        <w:spacing w:before="111" w:line="286" w:lineRule="auto"/>
        <w:ind w:left="22" w:right="85" w:firstLine="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（八）邮政业。从业人员1000人以下或营业收入30000万元以下的为中小</w:t>
      </w:r>
      <w:r>
        <w:rPr>
          <w:rFonts w:hint="eastAsia" w:ascii="仿宋" w:hAnsi="仿宋" w:eastAsia="仿宋" w:cs="仿宋"/>
          <w:color w:val="auto"/>
          <w:spacing w:val="-2"/>
          <w:sz w:val="24"/>
          <w:szCs w:val="24"/>
          <w:highlight w:val="none"/>
          <w:lang w:eastAsia="zh-CN"/>
        </w:rPr>
        <w:t>微型企业。其中，从业人员300人及以上，且营业收入2000万元及以上的为中型企业；从业人员20人及以上，且营业收入100万元及以上的为小型</w:t>
      </w:r>
      <w:r>
        <w:rPr>
          <w:rFonts w:hint="eastAsia" w:ascii="仿宋" w:hAnsi="仿宋" w:eastAsia="仿宋" w:cs="仿宋"/>
          <w:color w:val="auto"/>
          <w:spacing w:val="-3"/>
          <w:sz w:val="24"/>
          <w:szCs w:val="24"/>
          <w:highlight w:val="none"/>
          <w:lang w:eastAsia="zh-CN"/>
        </w:rPr>
        <w:t>企业；从业人员20人以下或营业收入100万元以下的为微型企业。</w:t>
      </w:r>
    </w:p>
    <w:p w14:paraId="6EBA4808">
      <w:pPr>
        <w:spacing w:before="114" w:line="286" w:lineRule="auto"/>
        <w:ind w:left="25" w:right="58" w:firstLine="45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（九）住宿业。从业人员300人以下或营业收入10000万</w:t>
      </w:r>
      <w:r>
        <w:rPr>
          <w:rFonts w:hint="eastAsia" w:ascii="仿宋" w:hAnsi="仿宋" w:eastAsia="仿宋" w:cs="仿宋"/>
          <w:color w:val="auto"/>
          <w:spacing w:val="-5"/>
          <w:sz w:val="24"/>
          <w:szCs w:val="24"/>
          <w:highlight w:val="none"/>
          <w:lang w:eastAsia="zh-CN"/>
        </w:rPr>
        <w:t>元以下的为中小微</w:t>
      </w:r>
      <w:r>
        <w:rPr>
          <w:rFonts w:hint="eastAsia" w:ascii="仿宋" w:hAnsi="仿宋" w:eastAsia="仿宋" w:cs="仿宋"/>
          <w:color w:val="auto"/>
          <w:spacing w:val="-2"/>
          <w:sz w:val="24"/>
          <w:szCs w:val="24"/>
          <w:highlight w:val="none"/>
          <w:lang w:eastAsia="zh-CN"/>
        </w:rPr>
        <w:t>型企业。其中，从业人员100人及以上，且营业收入2000万元及以</w:t>
      </w:r>
      <w:r>
        <w:rPr>
          <w:rFonts w:hint="eastAsia" w:ascii="仿宋" w:hAnsi="仿宋" w:eastAsia="仿宋" w:cs="仿宋"/>
          <w:color w:val="auto"/>
          <w:spacing w:val="-3"/>
          <w:sz w:val="24"/>
          <w:szCs w:val="24"/>
          <w:highlight w:val="none"/>
          <w:lang w:eastAsia="zh-CN"/>
        </w:rPr>
        <w:t>上的为中型企业；从业人员10人及以上，且营业收入100万元及以上的为小型企业；从业</w:t>
      </w:r>
      <w:r>
        <w:rPr>
          <w:rFonts w:hint="eastAsia" w:ascii="仿宋" w:hAnsi="仿宋" w:eastAsia="仿宋" w:cs="仿宋"/>
          <w:color w:val="auto"/>
          <w:spacing w:val="-4"/>
          <w:sz w:val="24"/>
          <w:szCs w:val="24"/>
          <w:highlight w:val="none"/>
          <w:lang w:eastAsia="zh-CN"/>
        </w:rPr>
        <w:t>人员10人以下或营业收入100万元以下的为微型企业。</w:t>
      </w:r>
    </w:p>
    <w:p w14:paraId="7B6A42D4">
      <w:pPr>
        <w:spacing w:before="113" w:line="286" w:lineRule="auto"/>
        <w:ind w:left="25" w:right="58" w:firstLine="45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（十）餐饮业。从业人员300人以下或营业收入10000万</w:t>
      </w:r>
      <w:r>
        <w:rPr>
          <w:rFonts w:hint="eastAsia" w:ascii="仿宋" w:hAnsi="仿宋" w:eastAsia="仿宋" w:cs="仿宋"/>
          <w:color w:val="auto"/>
          <w:spacing w:val="-5"/>
          <w:sz w:val="24"/>
          <w:szCs w:val="24"/>
          <w:highlight w:val="none"/>
          <w:lang w:eastAsia="zh-CN"/>
        </w:rPr>
        <w:t>元以下的为中小微</w:t>
      </w:r>
      <w:r>
        <w:rPr>
          <w:rFonts w:hint="eastAsia" w:ascii="仿宋" w:hAnsi="仿宋" w:eastAsia="仿宋" w:cs="仿宋"/>
          <w:color w:val="auto"/>
          <w:spacing w:val="-2"/>
          <w:sz w:val="24"/>
          <w:szCs w:val="24"/>
          <w:highlight w:val="none"/>
          <w:lang w:eastAsia="zh-CN"/>
        </w:rPr>
        <w:t>型企业。其中，从业人员100人及以上，且营业收入2000万元及以</w:t>
      </w:r>
      <w:r>
        <w:rPr>
          <w:rFonts w:hint="eastAsia" w:ascii="仿宋" w:hAnsi="仿宋" w:eastAsia="仿宋" w:cs="仿宋"/>
          <w:color w:val="auto"/>
          <w:spacing w:val="-3"/>
          <w:sz w:val="24"/>
          <w:szCs w:val="24"/>
          <w:highlight w:val="none"/>
          <w:lang w:eastAsia="zh-CN"/>
        </w:rPr>
        <w:t>上的为中型企业；从业人员10人及以上，且营业收入100万元及以上的为小型企业；从业</w:t>
      </w:r>
      <w:r>
        <w:rPr>
          <w:rFonts w:hint="eastAsia" w:ascii="仿宋" w:hAnsi="仿宋" w:eastAsia="仿宋" w:cs="仿宋"/>
          <w:color w:val="auto"/>
          <w:spacing w:val="-4"/>
          <w:sz w:val="24"/>
          <w:szCs w:val="24"/>
          <w:highlight w:val="none"/>
          <w:lang w:eastAsia="zh-CN"/>
        </w:rPr>
        <w:t>人员10人以下或营业收入100万元以下的为微型企业。</w:t>
      </w:r>
    </w:p>
    <w:p w14:paraId="3692BCD2">
      <w:pPr>
        <w:spacing w:before="114" w:line="301" w:lineRule="auto"/>
        <w:ind w:left="22" w:right="58" w:firstLine="46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（十一）信息传输业。从业人员2000人以下或营业收入100000万元以</w:t>
      </w:r>
      <w:r>
        <w:rPr>
          <w:rFonts w:hint="eastAsia" w:ascii="仿宋" w:hAnsi="仿宋" w:eastAsia="仿宋" w:cs="仿宋"/>
          <w:color w:val="auto"/>
          <w:spacing w:val="-5"/>
          <w:sz w:val="24"/>
          <w:szCs w:val="24"/>
          <w:highlight w:val="none"/>
          <w:lang w:eastAsia="zh-CN"/>
        </w:rPr>
        <w:t>下的</w:t>
      </w:r>
      <w:r>
        <w:rPr>
          <w:rFonts w:hint="eastAsia" w:ascii="仿宋" w:hAnsi="仿宋" w:eastAsia="仿宋" w:cs="仿宋"/>
          <w:color w:val="auto"/>
          <w:spacing w:val="-2"/>
          <w:sz w:val="24"/>
          <w:szCs w:val="24"/>
          <w:highlight w:val="none"/>
          <w:lang w:eastAsia="zh-CN"/>
        </w:rPr>
        <w:t>为中小微型企业。其中，从业人员100人及</w:t>
      </w:r>
      <w:r>
        <w:rPr>
          <w:rFonts w:hint="eastAsia" w:ascii="仿宋" w:hAnsi="仿宋" w:eastAsia="仿宋" w:cs="仿宋"/>
          <w:color w:val="auto"/>
          <w:spacing w:val="-3"/>
          <w:sz w:val="24"/>
          <w:szCs w:val="24"/>
          <w:highlight w:val="none"/>
          <w:lang w:eastAsia="zh-CN"/>
        </w:rPr>
        <w:t>以上，且营业收入1000万元及以上的为中型企业；从业人员10人及以上，且营业收入100万元及以上的为小型企业；从业人员10人以下或营业收入100万元以下的为微型企业。</w:t>
      </w:r>
    </w:p>
    <w:p w14:paraId="36629D3B">
      <w:pPr>
        <w:spacing w:before="78" w:line="301" w:lineRule="auto"/>
        <w:ind w:left="26" w:right="37" w:firstLine="488"/>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（十二）软件和信息技术服务业。从业人员300人以下或营业收入</w:t>
      </w:r>
      <w:r>
        <w:rPr>
          <w:rFonts w:hint="eastAsia" w:ascii="仿宋" w:hAnsi="仿宋" w:eastAsia="仿宋" w:cs="仿宋"/>
          <w:color w:val="auto"/>
          <w:spacing w:val="-3"/>
          <w:sz w:val="24"/>
          <w:szCs w:val="24"/>
          <w:highlight w:val="none"/>
          <w:lang w:eastAsia="zh-CN"/>
        </w:rPr>
        <w:t>10000</w:t>
      </w:r>
      <w:r>
        <w:rPr>
          <w:rFonts w:hint="eastAsia" w:ascii="仿宋" w:hAnsi="仿宋" w:eastAsia="仿宋" w:cs="仿宋"/>
          <w:color w:val="auto"/>
          <w:spacing w:val="-2"/>
          <w:sz w:val="24"/>
          <w:szCs w:val="24"/>
          <w:highlight w:val="none"/>
          <w:lang w:eastAsia="zh-CN"/>
        </w:rPr>
        <w:t>万元以下的为中小微型企业。其中，从业人员100人及以上，且营业收</w:t>
      </w:r>
      <w:r>
        <w:rPr>
          <w:rFonts w:hint="eastAsia" w:ascii="仿宋" w:hAnsi="仿宋" w:eastAsia="仿宋" w:cs="仿宋"/>
          <w:color w:val="auto"/>
          <w:spacing w:val="-3"/>
          <w:sz w:val="24"/>
          <w:szCs w:val="24"/>
          <w:highlight w:val="none"/>
          <w:lang w:eastAsia="zh-CN"/>
        </w:rPr>
        <w:t>入1000</w:t>
      </w:r>
      <w:r>
        <w:rPr>
          <w:rFonts w:hint="eastAsia" w:ascii="仿宋" w:hAnsi="仿宋" w:eastAsia="仿宋" w:cs="仿宋"/>
          <w:color w:val="auto"/>
          <w:spacing w:val="-5"/>
          <w:sz w:val="24"/>
          <w:szCs w:val="24"/>
          <w:highlight w:val="none"/>
          <w:lang w:eastAsia="zh-CN"/>
        </w:rPr>
        <w:t>万元及以上的为中型企业；从业人员10人及以上，且营业收入50万元及以上的</w:t>
      </w:r>
      <w:r>
        <w:rPr>
          <w:rFonts w:hint="eastAsia" w:ascii="仿宋" w:hAnsi="仿宋" w:eastAsia="仿宋" w:cs="仿宋"/>
          <w:color w:val="auto"/>
          <w:spacing w:val="-3"/>
          <w:sz w:val="24"/>
          <w:szCs w:val="24"/>
          <w:highlight w:val="none"/>
          <w:lang w:eastAsia="zh-CN"/>
        </w:rPr>
        <w:t>为小型企业；从业人员10人以下或营业收入50万元以下的为微型企业。</w:t>
      </w:r>
    </w:p>
    <w:p w14:paraId="0036AB37">
      <w:pPr>
        <w:spacing w:before="32" w:line="305" w:lineRule="auto"/>
        <w:ind w:left="25" w:right="37" w:firstLine="489"/>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（十三）房地产开发经营。营业收入200</w:t>
      </w:r>
      <w:r>
        <w:rPr>
          <w:rFonts w:hint="eastAsia" w:ascii="仿宋" w:hAnsi="仿宋" w:eastAsia="仿宋" w:cs="仿宋"/>
          <w:color w:val="auto"/>
          <w:spacing w:val="-3"/>
          <w:sz w:val="24"/>
          <w:szCs w:val="24"/>
          <w:highlight w:val="none"/>
          <w:lang w:eastAsia="zh-CN"/>
        </w:rPr>
        <w:t>000万元以下或资产总额10000万元以下的为中小微型企业。其中，营业收入1000万元及以上，且资产总额5000</w:t>
      </w:r>
      <w:r>
        <w:rPr>
          <w:rFonts w:hint="eastAsia" w:ascii="仿宋" w:hAnsi="仿宋" w:eastAsia="仿宋" w:cs="仿宋"/>
          <w:color w:val="auto"/>
          <w:spacing w:val="-2"/>
          <w:sz w:val="24"/>
          <w:szCs w:val="24"/>
          <w:highlight w:val="none"/>
          <w:lang w:eastAsia="zh-CN"/>
        </w:rPr>
        <w:t>万元及以上的为中型企业；营业收入100万元及以上，且资产总</w:t>
      </w:r>
      <w:r>
        <w:rPr>
          <w:rFonts w:hint="eastAsia" w:ascii="仿宋" w:hAnsi="仿宋" w:eastAsia="仿宋" w:cs="仿宋"/>
          <w:color w:val="auto"/>
          <w:spacing w:val="-3"/>
          <w:sz w:val="24"/>
          <w:szCs w:val="24"/>
          <w:highlight w:val="none"/>
          <w:lang w:eastAsia="zh-CN"/>
        </w:rPr>
        <w:t>额2000万元及</w:t>
      </w:r>
      <w:r>
        <w:rPr>
          <w:rFonts w:hint="eastAsia" w:ascii="仿宋" w:hAnsi="仿宋" w:eastAsia="仿宋" w:cs="仿宋"/>
          <w:color w:val="auto"/>
          <w:spacing w:val="-2"/>
          <w:sz w:val="24"/>
          <w:szCs w:val="24"/>
          <w:highlight w:val="none"/>
          <w:lang w:eastAsia="zh-CN"/>
        </w:rPr>
        <w:t>以上的为小型企业；营业收入100万元以下或资产总额2000</w:t>
      </w:r>
      <w:r>
        <w:rPr>
          <w:rFonts w:hint="eastAsia" w:ascii="仿宋" w:hAnsi="仿宋" w:eastAsia="仿宋" w:cs="仿宋"/>
          <w:color w:val="auto"/>
          <w:spacing w:val="-3"/>
          <w:sz w:val="24"/>
          <w:szCs w:val="24"/>
          <w:highlight w:val="none"/>
          <w:lang w:eastAsia="zh-CN"/>
        </w:rPr>
        <w:t>万元以下的为微型</w:t>
      </w:r>
      <w:r>
        <w:rPr>
          <w:rFonts w:hint="eastAsia" w:ascii="仿宋" w:hAnsi="仿宋" w:eastAsia="仿宋" w:cs="仿宋"/>
          <w:color w:val="auto"/>
          <w:spacing w:val="-4"/>
          <w:sz w:val="24"/>
          <w:szCs w:val="24"/>
          <w:highlight w:val="none"/>
          <w:lang w:eastAsia="zh-CN"/>
        </w:rPr>
        <w:t>企业。</w:t>
      </w:r>
    </w:p>
    <w:p w14:paraId="4C531B18">
      <w:pPr>
        <w:spacing w:before="19" w:line="301" w:lineRule="auto"/>
        <w:ind w:left="26" w:right="5" w:firstLine="457"/>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（十四）物业管理。从业人员1000人以下或营业收入500</w:t>
      </w:r>
      <w:r>
        <w:rPr>
          <w:rFonts w:hint="eastAsia" w:ascii="仿宋" w:hAnsi="仿宋" w:eastAsia="仿宋" w:cs="仿宋"/>
          <w:color w:val="auto"/>
          <w:spacing w:val="-5"/>
          <w:sz w:val="24"/>
          <w:szCs w:val="24"/>
          <w:highlight w:val="none"/>
          <w:lang w:eastAsia="zh-CN"/>
        </w:rPr>
        <w:t>0万元以下的为中</w:t>
      </w:r>
      <w:r>
        <w:rPr>
          <w:rFonts w:hint="eastAsia" w:ascii="仿宋" w:hAnsi="仿宋" w:eastAsia="仿宋" w:cs="仿宋"/>
          <w:color w:val="auto"/>
          <w:spacing w:val="-2"/>
          <w:sz w:val="24"/>
          <w:szCs w:val="24"/>
          <w:highlight w:val="none"/>
          <w:lang w:eastAsia="zh-CN"/>
        </w:rPr>
        <w:t>小微型企业。其中，从业人员300人及以上，且营业收入1000</w:t>
      </w:r>
      <w:r>
        <w:rPr>
          <w:rFonts w:hint="eastAsia" w:ascii="仿宋" w:hAnsi="仿宋" w:eastAsia="仿宋" w:cs="仿宋"/>
          <w:color w:val="auto"/>
          <w:spacing w:val="-3"/>
          <w:sz w:val="24"/>
          <w:szCs w:val="24"/>
          <w:highlight w:val="none"/>
          <w:lang w:eastAsia="zh-CN"/>
        </w:rPr>
        <w:t>万元及以上的为</w:t>
      </w:r>
      <w:r>
        <w:rPr>
          <w:rFonts w:hint="eastAsia" w:ascii="仿宋" w:hAnsi="仿宋" w:eastAsia="仿宋" w:cs="仿宋"/>
          <w:color w:val="auto"/>
          <w:spacing w:val="-4"/>
          <w:sz w:val="24"/>
          <w:szCs w:val="24"/>
          <w:highlight w:val="none"/>
          <w:lang w:eastAsia="zh-CN"/>
        </w:rPr>
        <w:t>中型企业；从业人员100人及以上，且营业收入500万元及以上的为小型企业；</w:t>
      </w:r>
      <w:r>
        <w:rPr>
          <w:rFonts w:hint="eastAsia" w:ascii="仿宋" w:hAnsi="仿宋" w:eastAsia="仿宋" w:cs="仿宋"/>
          <w:color w:val="auto"/>
          <w:spacing w:val="-3"/>
          <w:sz w:val="24"/>
          <w:szCs w:val="24"/>
          <w:highlight w:val="none"/>
          <w:lang w:eastAsia="zh-CN"/>
        </w:rPr>
        <w:t>从业人员100人以下或营业收入500万元以下的为微型企业。</w:t>
      </w:r>
    </w:p>
    <w:p w14:paraId="2B4357D1">
      <w:pPr>
        <w:spacing w:before="35" w:line="301" w:lineRule="auto"/>
        <w:ind w:left="22" w:right="63" w:firstLine="49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（十五）租赁和商务服务业。从业人员300人以下或资产总额120000万元</w:t>
      </w:r>
      <w:r>
        <w:rPr>
          <w:rFonts w:hint="eastAsia" w:ascii="仿宋" w:hAnsi="仿宋" w:eastAsia="仿宋" w:cs="仿宋"/>
          <w:color w:val="auto"/>
          <w:spacing w:val="-2"/>
          <w:sz w:val="24"/>
          <w:szCs w:val="24"/>
          <w:highlight w:val="none"/>
          <w:lang w:eastAsia="zh-CN"/>
        </w:rPr>
        <w:t>以下的为中小微型企业。其中，从业人员100人及以上，且资产总额8000万元</w:t>
      </w:r>
      <w:r>
        <w:rPr>
          <w:rFonts w:hint="eastAsia" w:ascii="仿宋" w:hAnsi="仿宋" w:eastAsia="仿宋" w:cs="仿宋"/>
          <w:color w:val="auto"/>
          <w:spacing w:val="-3"/>
          <w:sz w:val="24"/>
          <w:szCs w:val="24"/>
          <w:highlight w:val="none"/>
          <w:lang w:eastAsia="zh-CN"/>
        </w:rPr>
        <w:t>及以上的为中型企业；从业人员10人及以上，且资产总额100万元及以上的为小型企业；从业人员10人以下或资产总额100万元以下的为微型企业。</w:t>
      </w:r>
    </w:p>
    <w:p w14:paraId="518CA499">
      <w:pPr>
        <w:spacing w:before="33" w:line="299" w:lineRule="auto"/>
        <w:ind w:left="22" w:firstLine="49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（十六）其他未列明行业。从业人员300人以下的为中小微型企业</w:t>
      </w:r>
      <w:r>
        <w:rPr>
          <w:rFonts w:hint="eastAsia" w:ascii="仿宋" w:hAnsi="仿宋" w:eastAsia="仿宋" w:cs="仿宋"/>
          <w:color w:val="auto"/>
          <w:spacing w:val="-4"/>
          <w:sz w:val="24"/>
          <w:szCs w:val="24"/>
          <w:highlight w:val="none"/>
          <w:lang w:eastAsia="zh-CN"/>
        </w:rPr>
        <w:t>。其中，</w:t>
      </w:r>
      <w:r>
        <w:rPr>
          <w:rFonts w:hint="eastAsia" w:ascii="仿宋" w:hAnsi="仿宋" w:eastAsia="仿宋" w:cs="仿宋"/>
          <w:color w:val="auto"/>
          <w:spacing w:val="-2"/>
          <w:sz w:val="24"/>
          <w:szCs w:val="24"/>
          <w:highlight w:val="none"/>
          <w:lang w:eastAsia="zh-CN"/>
        </w:rPr>
        <w:t>从业人员100人及以上的为中型企业；从业人</w:t>
      </w:r>
      <w:r>
        <w:rPr>
          <w:rFonts w:hint="eastAsia" w:ascii="仿宋" w:hAnsi="仿宋" w:eastAsia="仿宋" w:cs="仿宋"/>
          <w:color w:val="auto"/>
          <w:spacing w:val="-3"/>
          <w:sz w:val="24"/>
          <w:szCs w:val="24"/>
          <w:highlight w:val="none"/>
          <w:lang w:eastAsia="zh-CN"/>
        </w:rPr>
        <w:t>员10人及以上的为小型企业；从</w:t>
      </w:r>
      <w:r>
        <w:rPr>
          <w:rFonts w:hint="eastAsia" w:ascii="仿宋" w:hAnsi="仿宋" w:eastAsia="仿宋" w:cs="仿宋"/>
          <w:color w:val="auto"/>
          <w:spacing w:val="-4"/>
          <w:sz w:val="24"/>
          <w:szCs w:val="24"/>
          <w:highlight w:val="none"/>
          <w:lang w:eastAsia="zh-CN"/>
        </w:rPr>
        <w:t>业人员10人以下的为微型企业。</w:t>
      </w:r>
    </w:p>
    <w:p w14:paraId="1B9359DA">
      <w:pPr>
        <w:spacing w:before="36" w:line="219" w:lineRule="auto"/>
        <w:ind w:left="50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五、企业类型的划分以统计部门的统计数据为依据。</w:t>
      </w:r>
    </w:p>
    <w:p w14:paraId="7EEAB29E">
      <w:pPr>
        <w:spacing w:before="115" w:line="263" w:lineRule="auto"/>
        <w:ind w:left="26" w:right="37"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六、本规定适用于在中华人民共和国境内依法设立的各类所</w:t>
      </w:r>
      <w:r>
        <w:rPr>
          <w:rFonts w:hint="eastAsia" w:ascii="仿宋" w:hAnsi="仿宋" w:eastAsia="仿宋" w:cs="仿宋"/>
          <w:color w:val="auto"/>
          <w:spacing w:val="-4"/>
          <w:sz w:val="24"/>
          <w:szCs w:val="24"/>
          <w:highlight w:val="none"/>
          <w:lang w:eastAsia="zh-CN"/>
        </w:rPr>
        <w:t>有制和各种组织</w:t>
      </w:r>
      <w:r>
        <w:rPr>
          <w:rFonts w:hint="eastAsia" w:ascii="仿宋" w:hAnsi="仿宋" w:eastAsia="仿宋" w:cs="仿宋"/>
          <w:color w:val="auto"/>
          <w:spacing w:val="-1"/>
          <w:sz w:val="24"/>
          <w:szCs w:val="24"/>
          <w:highlight w:val="none"/>
          <w:lang w:eastAsia="zh-CN"/>
        </w:rPr>
        <w:t>形式的企业。个体工商户和本规定以外的行业，参照本规定进行划型。</w:t>
      </w:r>
    </w:p>
    <w:p w14:paraId="0CD360F8">
      <w:pPr>
        <w:spacing w:before="116" w:line="278" w:lineRule="auto"/>
        <w:ind w:left="24" w:right="37"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七、本规定的中型企业标准上限即为大型企业标准的下限，国家</w:t>
      </w:r>
      <w:r>
        <w:rPr>
          <w:rFonts w:hint="eastAsia" w:ascii="仿宋" w:hAnsi="仿宋" w:eastAsia="仿宋" w:cs="仿宋"/>
          <w:color w:val="auto"/>
          <w:spacing w:val="-4"/>
          <w:sz w:val="24"/>
          <w:szCs w:val="24"/>
          <w:highlight w:val="none"/>
          <w:lang w:eastAsia="zh-CN"/>
        </w:rPr>
        <w:t>统计部门据</w:t>
      </w:r>
      <w:r>
        <w:rPr>
          <w:rFonts w:hint="eastAsia" w:ascii="仿宋" w:hAnsi="仿宋" w:eastAsia="仿宋" w:cs="仿宋"/>
          <w:color w:val="auto"/>
          <w:spacing w:val="-3"/>
          <w:sz w:val="24"/>
          <w:szCs w:val="24"/>
          <w:highlight w:val="none"/>
          <w:lang w:eastAsia="zh-CN"/>
        </w:rPr>
        <w:t>此制定大中小微型企业的统计分类。国务院有关部门据此进行相关数据分析，不</w:t>
      </w:r>
      <w:r>
        <w:rPr>
          <w:rFonts w:hint="eastAsia" w:ascii="仿宋" w:hAnsi="仿宋" w:eastAsia="仿宋" w:cs="仿宋"/>
          <w:color w:val="auto"/>
          <w:spacing w:val="-1"/>
          <w:sz w:val="24"/>
          <w:szCs w:val="24"/>
          <w:highlight w:val="none"/>
          <w:lang w:eastAsia="zh-CN"/>
        </w:rPr>
        <w:t>得制定与本规定不一致的企业划型标准。</w:t>
      </w:r>
    </w:p>
    <w:p w14:paraId="243BD074">
      <w:pPr>
        <w:spacing w:before="116" w:line="263" w:lineRule="auto"/>
        <w:ind w:left="22" w:right="37" w:firstLine="4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八、本规定由工业和信息化部、国家统计局会同有关部</w:t>
      </w:r>
      <w:r>
        <w:rPr>
          <w:rFonts w:hint="eastAsia" w:ascii="仿宋" w:hAnsi="仿宋" w:eastAsia="仿宋" w:cs="仿宋"/>
          <w:color w:val="auto"/>
          <w:spacing w:val="-4"/>
          <w:sz w:val="24"/>
          <w:szCs w:val="24"/>
          <w:highlight w:val="none"/>
          <w:lang w:eastAsia="zh-CN"/>
        </w:rPr>
        <w:t>门根据《国民经济行</w:t>
      </w:r>
      <w:r>
        <w:rPr>
          <w:rFonts w:hint="eastAsia" w:ascii="仿宋" w:hAnsi="仿宋" w:eastAsia="仿宋" w:cs="仿宋"/>
          <w:color w:val="auto"/>
          <w:spacing w:val="-1"/>
          <w:sz w:val="24"/>
          <w:szCs w:val="24"/>
          <w:highlight w:val="none"/>
          <w:lang w:eastAsia="zh-CN"/>
        </w:rPr>
        <w:t>业分类》修订情况和企业发展变化情况适时修订。</w:t>
      </w:r>
    </w:p>
    <w:p w14:paraId="25B8BB1F">
      <w:pPr>
        <w:spacing w:before="116" w:line="278" w:lineRule="auto"/>
        <w:ind w:left="24" w:right="37" w:firstLine="478"/>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九、本规定由工业和信息化部、国家统计局会同有关部门负责解释。</w:t>
      </w:r>
    </w:p>
    <w:p w14:paraId="3AEF6AF4">
      <w:pPr>
        <w:spacing w:before="116" w:line="278" w:lineRule="auto"/>
        <w:ind w:left="24" w:right="37" w:firstLine="478"/>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十、本规定自发布之日起执行，原国家经贸委、原国家计委、财政部和国家统计局2003年颁布的《中小企业标准暂行规定》同时废止。</w:t>
      </w:r>
    </w:p>
    <w:p w14:paraId="0DE6F28D">
      <w:pPr>
        <w:spacing w:line="287" w:lineRule="auto"/>
        <w:rPr>
          <w:rFonts w:hint="eastAsia" w:ascii="仿宋" w:hAnsi="仿宋" w:eastAsia="仿宋" w:cs="仿宋"/>
          <w:color w:val="auto"/>
          <w:highlight w:val="none"/>
          <w:lang w:eastAsia="zh-CN"/>
        </w:rPr>
      </w:pPr>
    </w:p>
    <w:p w14:paraId="6FF3D1E1">
      <w:pPr>
        <w:pageBreakBefore/>
        <w:spacing w:before="97" w:line="360" w:lineRule="auto"/>
        <w:ind w:left="40"/>
        <w:outlineLvl w:val="2"/>
        <w:rPr>
          <w:rFonts w:hint="eastAsia" w:ascii="仿宋" w:hAnsi="仿宋" w:eastAsia="仿宋" w:cs="仿宋"/>
          <w:b/>
          <w:bCs/>
          <w:color w:val="auto"/>
          <w:spacing w:val="-3"/>
          <w:sz w:val="24"/>
          <w:szCs w:val="24"/>
          <w:highlight w:val="none"/>
          <w:lang w:eastAsia="zh-CN"/>
        </w:rPr>
      </w:pPr>
      <w:bookmarkStart w:id="392" w:name="_Toc17381"/>
      <w:bookmarkStart w:id="393" w:name="_Toc186477803"/>
      <w:r>
        <w:rPr>
          <w:rFonts w:hint="eastAsia" w:ascii="仿宋" w:hAnsi="仿宋" w:eastAsia="仿宋" w:cs="仿宋"/>
          <w:b/>
          <w:bCs/>
          <w:color w:val="auto"/>
          <w:spacing w:val="-3"/>
          <w:sz w:val="24"/>
          <w:szCs w:val="24"/>
          <w:highlight w:val="none"/>
          <w:lang w:eastAsia="zh-CN"/>
        </w:rPr>
        <w:t>（三）监狱企业证明文件【如适用】</w:t>
      </w:r>
      <w:bookmarkEnd w:id="392"/>
      <w:bookmarkEnd w:id="393"/>
    </w:p>
    <w:p w14:paraId="77C78997">
      <w:pPr>
        <w:spacing w:line="253" w:lineRule="auto"/>
        <w:rPr>
          <w:rFonts w:hint="eastAsia" w:ascii="仿宋" w:hAnsi="仿宋" w:eastAsia="仿宋" w:cs="仿宋"/>
          <w:color w:val="auto"/>
          <w:highlight w:val="none"/>
          <w:lang w:eastAsia="zh-CN"/>
        </w:rPr>
      </w:pPr>
    </w:p>
    <w:p w14:paraId="3CF65294">
      <w:pPr>
        <w:spacing w:line="254" w:lineRule="auto"/>
        <w:rPr>
          <w:rFonts w:hint="eastAsia" w:ascii="仿宋" w:hAnsi="仿宋" w:eastAsia="仿宋" w:cs="仿宋"/>
          <w:color w:val="auto"/>
          <w:highlight w:val="none"/>
          <w:lang w:eastAsia="zh-CN"/>
        </w:rPr>
      </w:pPr>
    </w:p>
    <w:p w14:paraId="50CAC0D2">
      <w:pPr>
        <w:spacing w:line="254" w:lineRule="auto"/>
        <w:rPr>
          <w:rFonts w:hint="eastAsia" w:ascii="仿宋" w:hAnsi="仿宋" w:eastAsia="仿宋" w:cs="仿宋"/>
          <w:color w:val="auto"/>
          <w:highlight w:val="none"/>
          <w:lang w:eastAsia="zh-CN"/>
        </w:rPr>
      </w:pPr>
    </w:p>
    <w:p w14:paraId="0D5415F4">
      <w:pPr>
        <w:spacing w:before="78" w:line="347" w:lineRule="auto"/>
        <w:ind w:left="27" w:right="13" w:firstLine="46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【监狱企业应当提供由省级及以上监狱管理局、戒毒管理局（含新疆生产建</w:t>
      </w:r>
      <w:r>
        <w:rPr>
          <w:rFonts w:hint="eastAsia" w:ascii="仿宋" w:hAnsi="仿宋" w:eastAsia="仿宋" w:cs="仿宋"/>
          <w:color w:val="auto"/>
          <w:spacing w:val="-1"/>
          <w:sz w:val="24"/>
          <w:szCs w:val="24"/>
          <w:highlight w:val="none"/>
          <w:lang w:eastAsia="zh-CN"/>
        </w:rPr>
        <w:t>设兵团）出具的监狱企业的证明文件，格式如下】。</w:t>
      </w:r>
    </w:p>
    <w:p w14:paraId="6DDAE710">
      <w:pPr>
        <w:spacing w:line="335" w:lineRule="auto"/>
        <w:rPr>
          <w:rFonts w:hint="eastAsia" w:ascii="仿宋" w:hAnsi="仿宋" w:eastAsia="仿宋" w:cs="仿宋"/>
          <w:color w:val="auto"/>
          <w:highlight w:val="none"/>
          <w:lang w:eastAsia="zh-CN"/>
        </w:rPr>
      </w:pPr>
    </w:p>
    <w:p w14:paraId="01DF3E36">
      <w:pPr>
        <w:spacing w:line="335" w:lineRule="auto"/>
        <w:rPr>
          <w:rFonts w:hint="eastAsia" w:ascii="仿宋" w:hAnsi="仿宋" w:eastAsia="仿宋" w:cs="仿宋"/>
          <w:color w:val="auto"/>
          <w:highlight w:val="none"/>
          <w:lang w:eastAsia="zh-CN"/>
        </w:rPr>
      </w:pPr>
    </w:p>
    <w:p w14:paraId="6C625895">
      <w:pPr>
        <w:spacing w:before="100" w:line="225" w:lineRule="auto"/>
        <w:ind w:left="3056"/>
        <w:rPr>
          <w:rFonts w:hint="eastAsia" w:ascii="仿宋" w:hAnsi="仿宋" w:eastAsia="仿宋" w:cs="仿宋"/>
          <w:color w:val="auto"/>
          <w:sz w:val="31"/>
          <w:szCs w:val="31"/>
          <w:highlight w:val="none"/>
          <w:lang w:eastAsia="zh-CN"/>
        </w:rPr>
      </w:pPr>
      <w:bookmarkStart w:id="394" w:name="bookmark244"/>
      <w:bookmarkEnd w:id="394"/>
      <w:r>
        <w:rPr>
          <w:rFonts w:hint="eastAsia" w:ascii="仿宋" w:hAnsi="仿宋" w:eastAsia="仿宋" w:cs="仿宋"/>
          <w:b/>
          <w:bCs/>
          <w:color w:val="auto"/>
          <w:spacing w:val="5"/>
          <w:sz w:val="31"/>
          <w:szCs w:val="31"/>
          <w:highlight w:val="none"/>
          <w:lang w:eastAsia="zh-CN"/>
        </w:rPr>
        <w:t>监狱企业证明函</w:t>
      </w:r>
    </w:p>
    <w:p w14:paraId="13ED4A77">
      <w:pPr>
        <w:spacing w:line="249" w:lineRule="auto"/>
        <w:rPr>
          <w:rFonts w:hint="eastAsia" w:ascii="仿宋" w:hAnsi="仿宋" w:eastAsia="仿宋" w:cs="仿宋"/>
          <w:color w:val="auto"/>
          <w:highlight w:val="none"/>
          <w:lang w:eastAsia="zh-CN"/>
        </w:rPr>
      </w:pPr>
    </w:p>
    <w:p w14:paraId="114E64DD">
      <w:pPr>
        <w:spacing w:line="249" w:lineRule="auto"/>
        <w:rPr>
          <w:rFonts w:hint="eastAsia" w:ascii="仿宋" w:hAnsi="仿宋" w:eastAsia="仿宋" w:cs="仿宋"/>
          <w:color w:val="auto"/>
          <w:highlight w:val="none"/>
          <w:lang w:eastAsia="zh-CN"/>
        </w:rPr>
      </w:pPr>
    </w:p>
    <w:p w14:paraId="07803D84">
      <w:pPr>
        <w:spacing w:line="250" w:lineRule="auto"/>
        <w:rPr>
          <w:rFonts w:hint="eastAsia" w:ascii="仿宋" w:hAnsi="仿宋" w:eastAsia="仿宋" w:cs="仿宋"/>
          <w:color w:val="auto"/>
          <w:highlight w:val="none"/>
          <w:lang w:eastAsia="zh-CN"/>
        </w:rPr>
      </w:pPr>
    </w:p>
    <w:p w14:paraId="5DC4B284">
      <w:pPr>
        <w:spacing w:before="78" w:line="376" w:lineRule="auto"/>
        <w:ind w:left="25" w:right="28" w:firstLine="50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本公司郑重声明，根据财政部、司法部《关于政府采购支持</w:t>
      </w:r>
      <w:r>
        <w:rPr>
          <w:rFonts w:hint="eastAsia" w:ascii="仿宋" w:hAnsi="仿宋" w:eastAsia="仿宋" w:cs="仿宋"/>
          <w:color w:val="auto"/>
          <w:spacing w:val="10"/>
          <w:sz w:val="24"/>
          <w:szCs w:val="24"/>
          <w:highlight w:val="none"/>
          <w:lang w:eastAsia="zh-CN"/>
        </w:rPr>
        <w:t>监狱企业发</w:t>
      </w:r>
      <w:r>
        <w:rPr>
          <w:rFonts w:hint="eastAsia" w:ascii="仿宋" w:hAnsi="仿宋" w:eastAsia="仿宋" w:cs="仿宋"/>
          <w:color w:val="auto"/>
          <w:spacing w:val="5"/>
          <w:sz w:val="24"/>
          <w:szCs w:val="24"/>
          <w:highlight w:val="none"/>
          <w:lang w:eastAsia="zh-CN"/>
        </w:rPr>
        <w:t>展有关问题的通知》（财库〔2014〕68号）的规定</w:t>
      </w:r>
      <w:r>
        <w:rPr>
          <w:rFonts w:hint="eastAsia" w:ascii="仿宋" w:hAnsi="仿宋" w:eastAsia="仿宋" w:cs="仿宋"/>
          <w:color w:val="auto"/>
          <w:spacing w:val="4"/>
          <w:sz w:val="24"/>
          <w:szCs w:val="24"/>
          <w:highlight w:val="none"/>
          <w:lang w:eastAsia="zh-CN"/>
        </w:rPr>
        <w:t>，本公司为监狱企业。</w:t>
      </w:r>
    </w:p>
    <w:p w14:paraId="5E014951">
      <w:pPr>
        <w:spacing w:line="255" w:lineRule="auto"/>
        <w:rPr>
          <w:rFonts w:hint="eastAsia" w:ascii="仿宋" w:hAnsi="仿宋" w:eastAsia="仿宋" w:cs="仿宋"/>
          <w:color w:val="auto"/>
          <w:highlight w:val="none"/>
          <w:lang w:eastAsia="zh-CN"/>
        </w:rPr>
      </w:pPr>
    </w:p>
    <w:p w14:paraId="7266A0AF">
      <w:pPr>
        <w:spacing w:line="255" w:lineRule="auto"/>
        <w:rPr>
          <w:rFonts w:hint="eastAsia" w:ascii="仿宋" w:hAnsi="仿宋" w:eastAsia="仿宋" w:cs="仿宋"/>
          <w:color w:val="auto"/>
          <w:highlight w:val="none"/>
          <w:lang w:eastAsia="zh-CN"/>
        </w:rPr>
      </w:pPr>
    </w:p>
    <w:p w14:paraId="662F47DE">
      <w:pPr>
        <w:spacing w:line="255" w:lineRule="auto"/>
        <w:rPr>
          <w:rFonts w:hint="eastAsia" w:ascii="仿宋" w:hAnsi="仿宋" w:eastAsia="仿宋" w:cs="仿宋"/>
          <w:color w:val="auto"/>
          <w:highlight w:val="none"/>
          <w:lang w:eastAsia="zh-CN"/>
        </w:rPr>
      </w:pPr>
    </w:p>
    <w:p w14:paraId="3EE4F7E0">
      <w:pPr>
        <w:spacing w:line="255" w:lineRule="auto"/>
        <w:rPr>
          <w:rFonts w:hint="eastAsia" w:ascii="仿宋" w:hAnsi="仿宋" w:eastAsia="仿宋" w:cs="仿宋"/>
          <w:color w:val="auto"/>
          <w:highlight w:val="none"/>
          <w:lang w:eastAsia="zh-CN"/>
        </w:rPr>
      </w:pPr>
    </w:p>
    <w:p w14:paraId="71061940">
      <w:pPr>
        <w:spacing w:line="255" w:lineRule="auto"/>
        <w:rPr>
          <w:rFonts w:hint="eastAsia" w:ascii="仿宋" w:hAnsi="仿宋" w:eastAsia="仿宋" w:cs="仿宋"/>
          <w:color w:val="auto"/>
          <w:highlight w:val="none"/>
          <w:lang w:eastAsia="zh-CN"/>
        </w:rPr>
      </w:pPr>
    </w:p>
    <w:p w14:paraId="12039407">
      <w:pPr>
        <w:spacing w:before="78" w:line="219" w:lineRule="auto"/>
        <w:ind w:left="43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投标人名称（公章)：</w:t>
      </w:r>
    </w:p>
    <w:p w14:paraId="2E529A0D">
      <w:pPr>
        <w:spacing w:before="184" w:line="219" w:lineRule="auto"/>
        <w:ind w:left="434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1"/>
          <w:sz w:val="24"/>
          <w:szCs w:val="24"/>
          <w:highlight w:val="none"/>
          <w:lang w:eastAsia="zh-CN"/>
        </w:rPr>
        <w:t>日期：年月日</w:t>
      </w:r>
    </w:p>
    <w:p w14:paraId="31EC9F78">
      <w:pPr>
        <w:spacing w:line="258" w:lineRule="auto"/>
        <w:rPr>
          <w:rFonts w:hint="eastAsia" w:ascii="仿宋" w:hAnsi="仿宋" w:eastAsia="仿宋" w:cs="仿宋"/>
          <w:color w:val="auto"/>
          <w:highlight w:val="none"/>
          <w:lang w:eastAsia="zh-CN"/>
        </w:rPr>
      </w:pPr>
    </w:p>
    <w:p w14:paraId="5DAE81A7">
      <w:pPr>
        <w:spacing w:line="259" w:lineRule="auto"/>
        <w:rPr>
          <w:rFonts w:hint="eastAsia" w:ascii="仿宋" w:hAnsi="仿宋" w:eastAsia="仿宋" w:cs="仿宋"/>
          <w:color w:val="auto"/>
          <w:highlight w:val="none"/>
          <w:lang w:eastAsia="zh-CN"/>
        </w:rPr>
      </w:pPr>
    </w:p>
    <w:p w14:paraId="0AB0D351">
      <w:pPr>
        <w:spacing w:line="259" w:lineRule="auto"/>
        <w:rPr>
          <w:rFonts w:hint="eastAsia" w:ascii="仿宋" w:hAnsi="仿宋" w:eastAsia="仿宋" w:cs="仿宋"/>
          <w:color w:val="auto"/>
          <w:highlight w:val="none"/>
          <w:lang w:eastAsia="zh-CN"/>
        </w:rPr>
      </w:pPr>
    </w:p>
    <w:p w14:paraId="3CA77044">
      <w:pPr>
        <w:spacing w:line="259" w:lineRule="auto"/>
        <w:rPr>
          <w:rFonts w:hint="eastAsia" w:ascii="仿宋" w:hAnsi="仿宋" w:eastAsia="仿宋" w:cs="仿宋"/>
          <w:color w:val="auto"/>
          <w:highlight w:val="none"/>
          <w:lang w:eastAsia="zh-CN"/>
        </w:rPr>
      </w:pPr>
    </w:p>
    <w:p w14:paraId="7E8AB020">
      <w:pPr>
        <w:spacing w:before="79" w:line="346" w:lineRule="auto"/>
        <w:ind w:left="3394" w:right="1360" w:hanging="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省级以上监狱管理局、戒毒管理局</w:t>
      </w:r>
      <w:r>
        <w:rPr>
          <w:rFonts w:hint="eastAsia" w:ascii="仿宋" w:hAnsi="仿宋" w:eastAsia="仿宋" w:cs="仿宋"/>
          <w:color w:val="auto"/>
          <w:spacing w:val="-5"/>
          <w:sz w:val="24"/>
          <w:szCs w:val="24"/>
          <w:highlight w:val="none"/>
          <w:lang w:eastAsia="zh-CN"/>
        </w:rPr>
        <w:t>（含新疆生产建设兵团）(盖章)：</w:t>
      </w:r>
    </w:p>
    <w:p w14:paraId="2993AA25">
      <w:pPr>
        <w:spacing w:before="36" w:line="219" w:lineRule="auto"/>
        <w:ind w:left="43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20F32449">
      <w:pPr>
        <w:spacing w:line="257" w:lineRule="auto"/>
        <w:rPr>
          <w:rFonts w:hint="eastAsia" w:ascii="仿宋" w:hAnsi="仿宋" w:eastAsia="仿宋" w:cs="仿宋"/>
          <w:color w:val="auto"/>
          <w:highlight w:val="none"/>
          <w:lang w:eastAsia="zh-CN"/>
        </w:rPr>
      </w:pPr>
    </w:p>
    <w:p w14:paraId="2AC3CC01">
      <w:pPr>
        <w:pageBreakBefore/>
        <w:spacing w:before="97" w:line="360" w:lineRule="auto"/>
        <w:ind w:left="40"/>
        <w:outlineLvl w:val="2"/>
        <w:rPr>
          <w:rFonts w:hint="eastAsia" w:ascii="仿宋" w:hAnsi="仿宋" w:eastAsia="仿宋" w:cs="仿宋"/>
          <w:b/>
          <w:bCs/>
          <w:color w:val="auto"/>
          <w:spacing w:val="-3"/>
          <w:sz w:val="24"/>
          <w:szCs w:val="24"/>
          <w:highlight w:val="none"/>
          <w:lang w:eastAsia="zh-CN"/>
        </w:rPr>
      </w:pPr>
      <w:bookmarkStart w:id="395" w:name="bookmark245"/>
      <w:bookmarkEnd w:id="395"/>
      <w:bookmarkStart w:id="396" w:name="_Toc186477804"/>
      <w:bookmarkStart w:id="397" w:name="_Toc25340"/>
      <w:r>
        <w:rPr>
          <w:rFonts w:hint="eastAsia" w:ascii="仿宋" w:hAnsi="仿宋" w:eastAsia="仿宋" w:cs="仿宋"/>
          <w:b/>
          <w:bCs/>
          <w:color w:val="auto"/>
          <w:spacing w:val="-3"/>
          <w:sz w:val="24"/>
          <w:szCs w:val="24"/>
          <w:highlight w:val="none"/>
          <w:lang w:eastAsia="zh-CN"/>
        </w:rPr>
        <w:t>（四）残疾人福利性单位声明函【如适用】</w:t>
      </w:r>
      <w:bookmarkEnd w:id="396"/>
      <w:bookmarkEnd w:id="397"/>
    </w:p>
    <w:p w14:paraId="347600C8">
      <w:pPr>
        <w:spacing w:line="285" w:lineRule="auto"/>
        <w:rPr>
          <w:rFonts w:hint="eastAsia" w:ascii="仿宋" w:hAnsi="仿宋" w:eastAsia="仿宋" w:cs="仿宋"/>
          <w:color w:val="auto"/>
          <w:highlight w:val="none"/>
          <w:lang w:eastAsia="zh-CN"/>
        </w:rPr>
      </w:pPr>
    </w:p>
    <w:p w14:paraId="2E08B7E6">
      <w:pPr>
        <w:spacing w:before="101" w:line="225" w:lineRule="auto"/>
        <w:ind w:left="2412"/>
        <w:rPr>
          <w:rFonts w:hint="eastAsia" w:ascii="仿宋" w:hAnsi="仿宋" w:eastAsia="仿宋" w:cs="仿宋"/>
          <w:color w:val="auto"/>
          <w:sz w:val="31"/>
          <w:szCs w:val="31"/>
          <w:highlight w:val="none"/>
          <w:lang w:eastAsia="zh-CN"/>
        </w:rPr>
      </w:pPr>
      <w:bookmarkStart w:id="398" w:name="bookmark246"/>
      <w:bookmarkEnd w:id="398"/>
      <w:r>
        <w:rPr>
          <w:rFonts w:hint="eastAsia" w:ascii="仿宋" w:hAnsi="仿宋" w:eastAsia="仿宋" w:cs="仿宋"/>
          <w:b/>
          <w:bCs/>
          <w:color w:val="auto"/>
          <w:spacing w:val="6"/>
          <w:sz w:val="31"/>
          <w:szCs w:val="31"/>
          <w:highlight w:val="none"/>
          <w:lang w:eastAsia="zh-CN"/>
        </w:rPr>
        <w:t>残疾人福利性单位声明函</w:t>
      </w:r>
    </w:p>
    <w:p w14:paraId="1F83B1B9">
      <w:pPr>
        <w:spacing w:line="295" w:lineRule="auto"/>
        <w:rPr>
          <w:rFonts w:hint="eastAsia" w:ascii="仿宋" w:hAnsi="仿宋" w:eastAsia="仿宋" w:cs="仿宋"/>
          <w:color w:val="auto"/>
          <w:highlight w:val="none"/>
          <w:lang w:eastAsia="zh-CN"/>
        </w:rPr>
      </w:pPr>
    </w:p>
    <w:p w14:paraId="1A45BE68">
      <w:pPr>
        <w:spacing w:line="295" w:lineRule="auto"/>
        <w:rPr>
          <w:rFonts w:hint="eastAsia" w:ascii="仿宋" w:hAnsi="仿宋" w:eastAsia="仿宋" w:cs="仿宋"/>
          <w:color w:val="auto"/>
          <w:highlight w:val="none"/>
          <w:lang w:eastAsia="zh-CN"/>
        </w:rPr>
      </w:pPr>
    </w:p>
    <w:p w14:paraId="00A6581A">
      <w:pPr>
        <w:spacing w:before="78" w:line="352" w:lineRule="auto"/>
        <w:ind w:left="24" w:right="32"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本公司（联合体）郑重声明，根据《财政部民政部</w:t>
      </w:r>
      <w:r>
        <w:rPr>
          <w:rFonts w:hint="eastAsia" w:ascii="仿宋" w:hAnsi="仿宋" w:eastAsia="仿宋" w:cs="仿宋"/>
          <w:color w:val="auto"/>
          <w:spacing w:val="-6"/>
          <w:sz w:val="24"/>
          <w:szCs w:val="24"/>
          <w:highlight w:val="none"/>
          <w:lang w:eastAsia="zh-CN"/>
        </w:rPr>
        <w:t>中国残疾人联合会关于</w:t>
      </w:r>
      <w:r>
        <w:rPr>
          <w:rFonts w:hint="eastAsia" w:ascii="仿宋" w:hAnsi="仿宋" w:eastAsia="仿宋" w:cs="仿宋"/>
          <w:color w:val="auto"/>
          <w:spacing w:val="-2"/>
          <w:sz w:val="24"/>
          <w:szCs w:val="24"/>
          <w:highlight w:val="none"/>
          <w:lang w:eastAsia="zh-CN"/>
        </w:rPr>
        <w:t>促进残疾人就业政府采购政策的通知》（财库〔2017〕141号）的规定，本公司（联合体）参加</w:t>
      </w:r>
      <w:r>
        <w:rPr>
          <w:rFonts w:hint="eastAsia" w:ascii="仿宋" w:hAnsi="仿宋" w:eastAsia="仿宋" w:cs="仿宋"/>
          <w:i/>
          <w:iCs/>
          <w:color w:val="auto"/>
          <w:spacing w:val="-2"/>
          <w:sz w:val="25"/>
          <w:szCs w:val="25"/>
          <w:highlight w:val="none"/>
          <w:u w:val="single"/>
          <w:lang w:eastAsia="zh-CN"/>
        </w:rPr>
        <w:t>（单位名称）</w:t>
      </w:r>
      <w:r>
        <w:rPr>
          <w:rFonts w:hint="eastAsia" w:ascii="仿宋" w:hAnsi="仿宋" w:eastAsia="仿宋" w:cs="仿宋"/>
          <w:color w:val="auto"/>
          <w:spacing w:val="-2"/>
          <w:sz w:val="24"/>
          <w:szCs w:val="24"/>
          <w:highlight w:val="none"/>
          <w:lang w:eastAsia="zh-CN"/>
        </w:rPr>
        <w:t>的</w:t>
      </w:r>
      <w:r>
        <w:rPr>
          <w:rFonts w:hint="eastAsia" w:ascii="仿宋" w:hAnsi="仿宋" w:eastAsia="仿宋" w:cs="仿宋"/>
          <w:i/>
          <w:iCs/>
          <w:color w:val="auto"/>
          <w:spacing w:val="-2"/>
          <w:sz w:val="25"/>
          <w:szCs w:val="25"/>
          <w:highlight w:val="none"/>
          <w:u w:val="single"/>
          <w:lang w:eastAsia="zh-CN"/>
        </w:rPr>
        <w:t>（项目名称）</w:t>
      </w:r>
      <w:r>
        <w:rPr>
          <w:rFonts w:hint="eastAsia" w:ascii="仿宋" w:hAnsi="仿宋" w:eastAsia="仿宋" w:cs="仿宋"/>
          <w:color w:val="auto"/>
          <w:spacing w:val="-2"/>
          <w:sz w:val="24"/>
          <w:szCs w:val="24"/>
          <w:highlight w:val="none"/>
          <w:lang w:eastAsia="zh-CN"/>
        </w:rPr>
        <w:t>采购活动，提供的货物</w:t>
      </w:r>
      <w:r>
        <w:rPr>
          <w:rFonts w:hint="eastAsia" w:ascii="仿宋" w:hAnsi="仿宋" w:eastAsia="仿宋" w:cs="仿宋"/>
          <w:b/>
          <w:bCs/>
          <w:color w:val="auto"/>
          <w:spacing w:val="-2"/>
          <w:sz w:val="24"/>
          <w:szCs w:val="24"/>
          <w:highlight w:val="none"/>
          <w:lang w:eastAsia="zh-CN"/>
        </w:rPr>
        <w:t>全部由</w:t>
      </w:r>
      <w:r>
        <w:rPr>
          <w:rFonts w:hint="eastAsia" w:ascii="仿宋" w:hAnsi="仿宋" w:eastAsia="仿宋" w:cs="仿宋"/>
          <w:color w:val="auto"/>
          <w:spacing w:val="-4"/>
          <w:sz w:val="24"/>
          <w:szCs w:val="24"/>
          <w:highlight w:val="none"/>
          <w:lang w:eastAsia="zh-CN"/>
        </w:rPr>
        <w:t>符合政策要求的</w:t>
      </w:r>
      <w:r>
        <w:rPr>
          <w:rFonts w:hint="eastAsia" w:ascii="仿宋" w:hAnsi="仿宋" w:eastAsia="仿宋" w:cs="仿宋"/>
          <w:b/>
          <w:bCs/>
          <w:color w:val="auto"/>
          <w:spacing w:val="-4"/>
          <w:sz w:val="24"/>
          <w:szCs w:val="24"/>
          <w:highlight w:val="none"/>
          <w:lang w:eastAsia="zh-CN"/>
        </w:rPr>
        <w:t>残疾人福利性单位制造</w:t>
      </w:r>
      <w:r>
        <w:rPr>
          <w:rFonts w:hint="eastAsia" w:ascii="仿宋" w:hAnsi="仿宋" w:eastAsia="仿宋" w:cs="仿宋"/>
          <w:color w:val="auto"/>
          <w:spacing w:val="-4"/>
          <w:sz w:val="24"/>
          <w:szCs w:val="24"/>
          <w:highlight w:val="none"/>
          <w:lang w:eastAsia="zh-CN"/>
        </w:rPr>
        <w:t>。相关企业（含联合体中的残疾人福利性</w:t>
      </w:r>
      <w:r>
        <w:rPr>
          <w:rFonts w:hint="eastAsia" w:ascii="仿宋" w:hAnsi="仿宋" w:eastAsia="仿宋" w:cs="仿宋"/>
          <w:color w:val="auto"/>
          <w:spacing w:val="-1"/>
          <w:sz w:val="24"/>
          <w:szCs w:val="24"/>
          <w:highlight w:val="none"/>
          <w:lang w:eastAsia="zh-CN"/>
        </w:rPr>
        <w:t>单位、签订分包意向协议书的残疾人福利性单位）的具体情况如下：</w:t>
      </w:r>
    </w:p>
    <w:p w14:paraId="088E9964">
      <w:pPr>
        <w:spacing w:before="36" w:line="350" w:lineRule="auto"/>
        <w:ind w:left="506" w:firstLine="1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w:t>
      </w:r>
      <w:r>
        <w:rPr>
          <w:rFonts w:hint="eastAsia" w:ascii="仿宋" w:hAnsi="仿宋" w:eastAsia="仿宋" w:cs="仿宋"/>
          <w:i/>
          <w:iCs/>
          <w:color w:val="auto"/>
          <w:spacing w:val="-3"/>
          <w:sz w:val="25"/>
          <w:szCs w:val="25"/>
          <w:highlight w:val="none"/>
          <w:u w:val="single"/>
          <w:lang w:eastAsia="zh-CN"/>
        </w:rPr>
        <w:t>（标的名称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制造商为 </w:t>
      </w:r>
      <w:r>
        <w:rPr>
          <w:rFonts w:hint="eastAsia" w:ascii="仿宋" w:hAnsi="仿宋" w:eastAsia="仿宋" w:cs="仿宋"/>
          <w:i/>
          <w:iCs/>
          <w:color w:val="auto"/>
          <w:spacing w:val="-3"/>
          <w:sz w:val="25"/>
          <w:szCs w:val="25"/>
          <w:highlight w:val="none"/>
          <w:u w:val="single"/>
          <w:lang w:eastAsia="zh-CN"/>
        </w:rPr>
        <w:t>（企业名称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属于残疾人福利性单位；2. </w:t>
      </w:r>
      <w:r>
        <w:rPr>
          <w:rFonts w:hint="eastAsia" w:ascii="仿宋" w:hAnsi="仿宋" w:eastAsia="仿宋" w:cs="仿宋"/>
          <w:i/>
          <w:iCs/>
          <w:color w:val="auto"/>
          <w:spacing w:val="-3"/>
          <w:sz w:val="25"/>
          <w:szCs w:val="25"/>
          <w:highlight w:val="none"/>
          <w:u w:val="single"/>
          <w:lang w:eastAsia="zh-CN"/>
        </w:rPr>
        <w:t>（标的名称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 xml:space="preserve">制造商为 </w:t>
      </w:r>
      <w:r>
        <w:rPr>
          <w:rFonts w:hint="eastAsia" w:ascii="仿宋" w:hAnsi="仿宋" w:eastAsia="仿宋" w:cs="仿宋"/>
          <w:i/>
          <w:iCs/>
          <w:color w:val="auto"/>
          <w:spacing w:val="-3"/>
          <w:sz w:val="25"/>
          <w:szCs w:val="25"/>
          <w:highlight w:val="none"/>
          <w:u w:val="single"/>
          <w:lang w:eastAsia="zh-CN"/>
        </w:rPr>
        <w:t>（企业名称</w:t>
      </w:r>
      <w:r>
        <w:rPr>
          <w:rFonts w:hint="eastAsia" w:ascii="仿宋" w:hAnsi="仿宋" w:eastAsia="仿宋" w:cs="仿宋"/>
          <w:i/>
          <w:iCs/>
          <w:color w:val="auto"/>
          <w:spacing w:val="-12"/>
          <w:sz w:val="25"/>
          <w:szCs w:val="25"/>
          <w:highlight w:val="none"/>
          <w:u w:val="single"/>
          <w:lang w:eastAsia="zh-CN"/>
        </w:rPr>
        <w:t>）</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3"/>
          <w:sz w:val="24"/>
          <w:szCs w:val="24"/>
          <w:highlight w:val="none"/>
          <w:lang w:eastAsia="zh-CN"/>
        </w:rPr>
        <w:t>属于残疾人福利性</w:t>
      </w:r>
      <w:r>
        <w:rPr>
          <w:rFonts w:hint="eastAsia" w:ascii="仿宋" w:hAnsi="仿宋" w:eastAsia="仿宋" w:cs="仿宋"/>
          <w:color w:val="auto"/>
          <w:spacing w:val="-4"/>
          <w:sz w:val="24"/>
          <w:szCs w:val="24"/>
          <w:highlight w:val="none"/>
          <w:lang w:eastAsia="zh-CN"/>
        </w:rPr>
        <w:t>单位；</w:t>
      </w:r>
      <w:r>
        <w:rPr>
          <w:rFonts w:hint="eastAsia" w:ascii="仿宋" w:hAnsi="仿宋" w:eastAsia="仿宋" w:cs="仿宋"/>
          <w:color w:val="auto"/>
          <w:spacing w:val="-7"/>
          <w:sz w:val="24"/>
          <w:szCs w:val="24"/>
          <w:highlight w:val="none"/>
          <w:lang w:eastAsia="zh-CN"/>
        </w:rPr>
        <w:t>……</w:t>
      </w:r>
    </w:p>
    <w:p w14:paraId="619F50CB">
      <w:pPr>
        <w:spacing w:before="1" w:line="346" w:lineRule="auto"/>
        <w:ind w:left="27" w:right="32" w:firstLine="50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以上企业，不属于大企业的分支机构，不存在控股股东为大企业的情形，也</w:t>
      </w:r>
      <w:r>
        <w:rPr>
          <w:rFonts w:hint="eastAsia" w:ascii="仿宋" w:hAnsi="仿宋" w:eastAsia="仿宋" w:cs="仿宋"/>
          <w:color w:val="auto"/>
          <w:spacing w:val="-1"/>
          <w:sz w:val="24"/>
          <w:szCs w:val="24"/>
          <w:highlight w:val="none"/>
          <w:lang w:eastAsia="zh-CN"/>
        </w:rPr>
        <w:t>不存在与大企业的负责人为同一人的情形。</w:t>
      </w:r>
    </w:p>
    <w:p w14:paraId="37EB5B51">
      <w:pPr>
        <w:spacing w:before="34" w:line="219" w:lineRule="auto"/>
        <w:ind w:left="50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本企业对上述声明内容的真实性负责。如有虚</w:t>
      </w:r>
      <w:r>
        <w:rPr>
          <w:rFonts w:hint="eastAsia" w:ascii="仿宋" w:hAnsi="仿宋" w:eastAsia="仿宋" w:cs="仿宋"/>
          <w:color w:val="auto"/>
          <w:spacing w:val="-1"/>
          <w:sz w:val="24"/>
          <w:szCs w:val="24"/>
          <w:highlight w:val="none"/>
          <w:lang w:eastAsia="zh-CN"/>
        </w:rPr>
        <w:t>假，将依法承担相应责任。</w:t>
      </w:r>
    </w:p>
    <w:p w14:paraId="5B1B133B">
      <w:pPr>
        <w:spacing w:line="286" w:lineRule="auto"/>
        <w:rPr>
          <w:rFonts w:hint="eastAsia" w:ascii="仿宋" w:hAnsi="仿宋" w:eastAsia="仿宋" w:cs="仿宋"/>
          <w:color w:val="auto"/>
          <w:highlight w:val="none"/>
          <w:lang w:eastAsia="zh-CN"/>
        </w:rPr>
      </w:pPr>
    </w:p>
    <w:p w14:paraId="38BDB259">
      <w:pPr>
        <w:spacing w:line="286" w:lineRule="auto"/>
        <w:rPr>
          <w:rFonts w:hint="eastAsia" w:ascii="仿宋" w:hAnsi="仿宋" w:eastAsia="仿宋" w:cs="仿宋"/>
          <w:color w:val="auto"/>
          <w:highlight w:val="none"/>
          <w:lang w:eastAsia="zh-CN"/>
        </w:rPr>
      </w:pPr>
    </w:p>
    <w:p w14:paraId="606FDA18">
      <w:pPr>
        <w:spacing w:before="78" w:line="353" w:lineRule="auto"/>
        <w:ind w:left="1112" w:right="51" w:hanging="1086"/>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说明：</w:t>
      </w:r>
      <w:r>
        <w:rPr>
          <w:rFonts w:hint="eastAsia" w:ascii="仿宋" w:hAnsi="仿宋" w:eastAsia="仿宋" w:cs="仿宋"/>
          <w:color w:val="auto"/>
          <w:spacing w:val="-1"/>
          <w:sz w:val="24"/>
          <w:szCs w:val="24"/>
          <w:highlight w:val="none"/>
          <w:lang w:eastAsia="zh-CN"/>
        </w:rPr>
        <w:t>1、货物应当全部由符合政策要求的残疾人福利性单位生产且使用该残疾人福利性单位商号或注册商标（与代理商或投标人无关</w:t>
      </w:r>
      <w:r>
        <w:rPr>
          <w:rFonts w:hint="eastAsia" w:ascii="仿宋" w:hAnsi="仿宋" w:eastAsia="仿宋" w:cs="仿宋"/>
          <w:color w:val="auto"/>
          <w:spacing w:val="7"/>
          <w:sz w:val="24"/>
          <w:szCs w:val="24"/>
          <w:highlight w:val="none"/>
          <w:lang w:eastAsia="zh-CN"/>
        </w:rPr>
        <w:t>）；</w:t>
      </w:r>
      <w:r>
        <w:rPr>
          <w:rFonts w:hint="eastAsia" w:ascii="仿宋" w:hAnsi="仿宋" w:eastAsia="仿宋" w:cs="仿宋"/>
          <w:color w:val="auto"/>
          <w:spacing w:val="-1"/>
          <w:sz w:val="24"/>
          <w:szCs w:val="24"/>
          <w:highlight w:val="none"/>
          <w:lang w:eastAsia="zh-CN"/>
        </w:rPr>
        <w:t>应当严格按上述格式及内容进行填写（应当明确每个标的的生产企业类型及相</w:t>
      </w:r>
      <w:r>
        <w:rPr>
          <w:rFonts w:hint="eastAsia" w:ascii="仿宋" w:hAnsi="仿宋" w:eastAsia="仿宋" w:cs="仿宋"/>
          <w:color w:val="auto"/>
          <w:spacing w:val="-2"/>
          <w:sz w:val="24"/>
          <w:szCs w:val="24"/>
          <w:highlight w:val="none"/>
          <w:lang w:eastAsia="zh-CN"/>
        </w:rPr>
        <w:t>关数据</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pacing w:val="-2"/>
          <w:sz w:val="24"/>
          <w:szCs w:val="24"/>
          <w:highlight w:val="none"/>
          <w:lang w:eastAsia="zh-CN"/>
        </w:rPr>
        <w:t>否则导致的后果由投标人自行承担；</w:t>
      </w:r>
    </w:p>
    <w:p w14:paraId="3E0EBBC9">
      <w:pPr>
        <w:spacing w:before="35" w:line="219" w:lineRule="auto"/>
        <w:ind w:left="74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2、以联合体形式参加的，应当由联合体各方盖章。</w:t>
      </w:r>
    </w:p>
    <w:p w14:paraId="5646EB87">
      <w:pPr>
        <w:spacing w:line="384" w:lineRule="auto"/>
        <w:rPr>
          <w:rFonts w:hint="eastAsia" w:ascii="仿宋" w:hAnsi="仿宋" w:eastAsia="仿宋" w:cs="仿宋"/>
          <w:color w:val="auto"/>
          <w:highlight w:val="none"/>
          <w:lang w:eastAsia="zh-CN"/>
        </w:rPr>
      </w:pPr>
    </w:p>
    <w:p w14:paraId="79C68E41">
      <w:pPr>
        <w:spacing w:before="78" w:line="563" w:lineRule="auto"/>
        <w:ind w:left="3381" w:right="1062" w:hanging="3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投标人名称（公章)：</w:t>
      </w:r>
      <w:r>
        <w:rPr>
          <w:rFonts w:hint="eastAsia" w:ascii="仿宋" w:hAnsi="仿宋" w:eastAsia="仿宋" w:cs="仿宋"/>
          <w:color w:val="auto"/>
          <w:spacing w:val="-32"/>
          <w:sz w:val="24"/>
          <w:szCs w:val="24"/>
          <w:highlight w:val="none"/>
          <w:lang w:eastAsia="zh-CN"/>
        </w:rPr>
        <w:t>日期：</w:t>
      </w:r>
    </w:p>
    <w:p w14:paraId="514C4940">
      <w:pPr>
        <w:spacing w:line="248" w:lineRule="auto"/>
        <w:rPr>
          <w:rFonts w:hint="eastAsia" w:ascii="仿宋" w:hAnsi="仿宋" w:eastAsia="仿宋" w:cs="仿宋"/>
          <w:color w:val="auto"/>
          <w:highlight w:val="none"/>
          <w:lang w:eastAsia="zh-CN"/>
        </w:rPr>
      </w:pPr>
    </w:p>
    <w:p w14:paraId="76A2FCFB">
      <w:pPr>
        <w:pageBreakBefore/>
        <w:spacing w:before="101" w:line="223" w:lineRule="auto"/>
        <w:ind w:left="28"/>
        <w:outlineLvl w:val="1"/>
        <w:rPr>
          <w:rFonts w:hint="eastAsia" w:ascii="仿宋" w:hAnsi="仿宋" w:eastAsia="仿宋" w:cs="仿宋"/>
          <w:color w:val="auto"/>
          <w:sz w:val="31"/>
          <w:szCs w:val="31"/>
          <w:highlight w:val="none"/>
          <w:lang w:eastAsia="zh-CN"/>
        </w:rPr>
      </w:pPr>
      <w:bookmarkStart w:id="399" w:name="bookmark250"/>
      <w:bookmarkEnd w:id="399"/>
      <w:bookmarkStart w:id="400" w:name="bookmark248"/>
      <w:bookmarkEnd w:id="400"/>
      <w:bookmarkStart w:id="401" w:name="bookmark252"/>
      <w:bookmarkEnd w:id="401"/>
      <w:bookmarkStart w:id="402" w:name="bookmark247"/>
      <w:bookmarkEnd w:id="402"/>
      <w:bookmarkStart w:id="403" w:name="_Toc186477805"/>
      <w:bookmarkStart w:id="404" w:name="_Toc27981"/>
      <w:r>
        <w:rPr>
          <w:rFonts w:hint="eastAsia" w:ascii="仿宋" w:hAnsi="仿宋" w:eastAsia="仿宋" w:cs="仿宋"/>
          <w:b/>
          <w:bCs/>
          <w:color w:val="auto"/>
          <w:spacing w:val="6"/>
          <w:sz w:val="31"/>
          <w:szCs w:val="31"/>
          <w:highlight w:val="none"/>
          <w:lang w:eastAsia="zh-CN"/>
        </w:rPr>
        <w:t>三、不参与围标串标承诺书</w:t>
      </w:r>
      <w:bookmarkEnd w:id="403"/>
      <w:bookmarkEnd w:id="404"/>
    </w:p>
    <w:p w14:paraId="65D01621">
      <w:pPr>
        <w:spacing w:line="241" w:lineRule="auto"/>
        <w:rPr>
          <w:rFonts w:hint="eastAsia" w:ascii="仿宋" w:hAnsi="仿宋" w:eastAsia="仿宋" w:cs="仿宋"/>
          <w:color w:val="auto"/>
          <w:highlight w:val="none"/>
          <w:lang w:eastAsia="zh-CN"/>
        </w:rPr>
      </w:pPr>
    </w:p>
    <w:p w14:paraId="7AEDCE05">
      <w:pPr>
        <w:spacing w:line="241" w:lineRule="auto"/>
        <w:rPr>
          <w:rFonts w:hint="eastAsia" w:ascii="仿宋" w:hAnsi="仿宋" w:eastAsia="仿宋" w:cs="仿宋"/>
          <w:color w:val="auto"/>
          <w:highlight w:val="none"/>
          <w:lang w:eastAsia="zh-CN"/>
        </w:rPr>
      </w:pPr>
    </w:p>
    <w:p w14:paraId="10059473">
      <w:pPr>
        <w:spacing w:before="101" w:line="224" w:lineRule="auto"/>
        <w:ind w:left="2578"/>
        <w:outlineLvl w:val="1"/>
        <w:rPr>
          <w:rFonts w:hint="eastAsia" w:ascii="仿宋" w:hAnsi="仿宋" w:eastAsia="仿宋" w:cs="仿宋"/>
          <w:color w:val="auto"/>
          <w:sz w:val="31"/>
          <w:szCs w:val="31"/>
          <w:highlight w:val="none"/>
          <w:lang w:eastAsia="zh-CN"/>
        </w:rPr>
      </w:pPr>
      <w:bookmarkStart w:id="405" w:name="bookmark249"/>
      <w:bookmarkEnd w:id="405"/>
      <w:bookmarkStart w:id="406" w:name="_Toc29898"/>
      <w:bookmarkStart w:id="407" w:name="_Toc186477806"/>
      <w:r>
        <w:rPr>
          <w:rFonts w:hint="eastAsia" w:ascii="仿宋" w:hAnsi="仿宋" w:eastAsia="仿宋" w:cs="仿宋"/>
          <w:b/>
          <w:bCs/>
          <w:color w:val="auto"/>
          <w:spacing w:val="6"/>
          <w:sz w:val="31"/>
          <w:szCs w:val="31"/>
          <w:highlight w:val="none"/>
          <w:lang w:eastAsia="zh-CN"/>
        </w:rPr>
        <w:t>不参与围标串标承诺书</w:t>
      </w:r>
      <w:bookmarkEnd w:id="406"/>
      <w:bookmarkEnd w:id="407"/>
    </w:p>
    <w:p w14:paraId="411CB25B">
      <w:pPr>
        <w:spacing w:line="296" w:lineRule="auto"/>
        <w:rPr>
          <w:rFonts w:hint="eastAsia" w:ascii="仿宋" w:hAnsi="仿宋" w:eastAsia="仿宋" w:cs="仿宋"/>
          <w:color w:val="auto"/>
          <w:highlight w:val="none"/>
          <w:lang w:eastAsia="zh-CN"/>
        </w:rPr>
      </w:pPr>
    </w:p>
    <w:p w14:paraId="04F317D7">
      <w:pPr>
        <w:spacing w:before="78" w:line="347" w:lineRule="auto"/>
        <w:ind w:left="27" w:right="160"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本人作为经授权的投标人代表,清楚知晓我单位</w:t>
      </w:r>
      <w:r>
        <w:rPr>
          <w:rFonts w:hint="eastAsia" w:ascii="仿宋" w:hAnsi="仿宋" w:eastAsia="仿宋" w:cs="仿宋"/>
          <w:color w:val="auto"/>
          <w:spacing w:val="-1"/>
          <w:sz w:val="24"/>
          <w:szCs w:val="24"/>
          <w:highlight w:val="none"/>
          <w:lang w:eastAsia="zh-CN"/>
        </w:rPr>
        <w:t>本项目投标活动,对以下事</w:t>
      </w:r>
      <w:r>
        <w:rPr>
          <w:rFonts w:hint="eastAsia" w:ascii="仿宋" w:hAnsi="仿宋" w:eastAsia="仿宋" w:cs="仿宋"/>
          <w:color w:val="auto"/>
          <w:spacing w:val="-3"/>
          <w:sz w:val="24"/>
          <w:szCs w:val="24"/>
          <w:highlight w:val="none"/>
          <w:lang w:eastAsia="zh-CN"/>
        </w:rPr>
        <w:t>项作出承诺：</w:t>
      </w:r>
    </w:p>
    <w:p w14:paraId="7CE65138">
      <w:pPr>
        <w:spacing w:before="78" w:line="289" w:lineRule="auto"/>
        <w:ind w:left="24" w:right="4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一、我单位和我本人遵循公开透明、公平竞争、公正和诚实信用的原则,依法依规参与本项目竞标。</w:t>
      </w:r>
    </w:p>
    <w:p w14:paraId="2AC6C170">
      <w:pPr>
        <w:spacing w:before="184" w:line="216" w:lineRule="auto"/>
        <w:ind w:left="50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二、我单位和我本人在本项目政府采购投标活动中,未参与围标串标。</w:t>
      </w:r>
    </w:p>
    <w:p w14:paraId="25F7B557">
      <w:pPr>
        <w:spacing w:before="187" w:line="288" w:lineRule="auto"/>
        <w:ind w:left="24" w:right="13"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三、我单位如被查实在本项目政府采购投标活动中存在围标串标</w:t>
      </w:r>
      <w:r>
        <w:rPr>
          <w:rFonts w:hint="eastAsia" w:ascii="仿宋" w:hAnsi="仿宋" w:eastAsia="仿宋" w:cs="仿宋"/>
          <w:color w:val="auto"/>
          <w:spacing w:val="-4"/>
          <w:sz w:val="24"/>
          <w:szCs w:val="24"/>
          <w:highlight w:val="none"/>
          <w:lang w:eastAsia="zh-CN"/>
        </w:rPr>
        <w:t>的，递交投</w:t>
      </w:r>
      <w:r>
        <w:rPr>
          <w:rFonts w:hint="eastAsia" w:ascii="仿宋" w:hAnsi="仿宋" w:eastAsia="仿宋" w:cs="仿宋"/>
          <w:color w:val="auto"/>
          <w:sz w:val="24"/>
          <w:szCs w:val="24"/>
          <w:highlight w:val="none"/>
          <w:lang w:eastAsia="zh-CN"/>
        </w:rPr>
        <w:t>标文件行为作为实施串通投标违法行为的关键环节,</w:t>
      </w:r>
      <w:r>
        <w:rPr>
          <w:rFonts w:hint="eastAsia" w:ascii="仿宋" w:hAnsi="仿宋" w:eastAsia="仿宋" w:cs="仿宋"/>
          <w:color w:val="auto"/>
          <w:spacing w:val="-1"/>
          <w:sz w:val="24"/>
          <w:szCs w:val="24"/>
          <w:highlight w:val="none"/>
          <w:lang w:eastAsia="zh-CN"/>
        </w:rPr>
        <w:t>由我单位及法定代表人承担</w:t>
      </w:r>
    </w:p>
    <w:p w14:paraId="2AF4814E">
      <w:pPr>
        <w:spacing w:before="187" w:line="219" w:lineRule="auto"/>
        <w:ind w:left="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相应的法律责任，接受相应行政处罚和失信惩戒。</w:t>
      </w:r>
    </w:p>
    <w:p w14:paraId="011157BE">
      <w:pPr>
        <w:spacing w:line="243" w:lineRule="auto"/>
        <w:rPr>
          <w:rFonts w:hint="eastAsia" w:ascii="仿宋" w:hAnsi="仿宋" w:eastAsia="仿宋" w:cs="仿宋"/>
          <w:color w:val="auto"/>
          <w:highlight w:val="none"/>
          <w:lang w:eastAsia="zh-CN"/>
        </w:rPr>
      </w:pPr>
    </w:p>
    <w:p w14:paraId="115FD5AA">
      <w:pPr>
        <w:spacing w:line="243" w:lineRule="auto"/>
        <w:rPr>
          <w:rFonts w:hint="eastAsia" w:ascii="仿宋" w:hAnsi="仿宋" w:eastAsia="仿宋" w:cs="仿宋"/>
          <w:color w:val="auto"/>
          <w:highlight w:val="none"/>
          <w:lang w:eastAsia="zh-CN"/>
        </w:rPr>
      </w:pPr>
    </w:p>
    <w:p w14:paraId="249492BB">
      <w:pPr>
        <w:spacing w:line="243" w:lineRule="auto"/>
        <w:rPr>
          <w:rFonts w:hint="eastAsia" w:ascii="仿宋" w:hAnsi="仿宋" w:eastAsia="仿宋" w:cs="仿宋"/>
          <w:color w:val="auto"/>
          <w:highlight w:val="none"/>
          <w:lang w:eastAsia="zh-CN"/>
        </w:rPr>
      </w:pPr>
    </w:p>
    <w:p w14:paraId="72CDE935">
      <w:pPr>
        <w:spacing w:line="244" w:lineRule="auto"/>
        <w:rPr>
          <w:rFonts w:hint="eastAsia" w:ascii="仿宋" w:hAnsi="仿宋" w:eastAsia="仿宋" w:cs="仿宋"/>
          <w:color w:val="auto"/>
          <w:highlight w:val="none"/>
          <w:lang w:eastAsia="zh-CN"/>
        </w:rPr>
      </w:pPr>
    </w:p>
    <w:p w14:paraId="60789392">
      <w:pPr>
        <w:spacing w:line="244" w:lineRule="auto"/>
        <w:rPr>
          <w:rFonts w:hint="eastAsia" w:ascii="仿宋" w:hAnsi="仿宋" w:eastAsia="仿宋" w:cs="仿宋"/>
          <w:color w:val="auto"/>
          <w:highlight w:val="none"/>
          <w:lang w:eastAsia="zh-CN"/>
        </w:rPr>
      </w:pPr>
    </w:p>
    <w:p w14:paraId="0CC22D45">
      <w:pPr>
        <w:spacing w:before="79" w:line="219" w:lineRule="auto"/>
        <w:ind w:left="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104F72C1">
      <w:pPr>
        <w:spacing w:before="79" w:line="219" w:lineRule="auto"/>
        <w:ind w:left="26"/>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法定代表人、负责人、本人、或授权代表（签字或盖章）：</w:t>
      </w:r>
    </w:p>
    <w:p w14:paraId="52F222EA">
      <w:pPr>
        <w:spacing w:before="79" w:line="219" w:lineRule="auto"/>
        <w:ind w:left="26"/>
        <w:rPr>
          <w:rFonts w:hint="eastAsia" w:ascii="仿宋" w:hAnsi="仿宋" w:eastAsia="仿宋" w:cs="仿宋"/>
          <w:color w:val="auto"/>
          <w:spacing w:val="-2"/>
          <w:sz w:val="24"/>
          <w:szCs w:val="24"/>
          <w:highlight w:val="none"/>
          <w:lang w:eastAsia="zh-CN"/>
        </w:rPr>
      </w:pPr>
      <w:r>
        <w:rPr>
          <w:rFonts w:hint="eastAsia" w:ascii="仿宋" w:hAnsi="仿宋" w:eastAsia="仿宋" w:cs="仿宋"/>
          <w:color w:val="auto"/>
          <w:spacing w:val="-2"/>
          <w:sz w:val="24"/>
          <w:szCs w:val="24"/>
          <w:highlight w:val="none"/>
          <w:lang w:eastAsia="zh-CN"/>
        </w:rPr>
        <w:t>日期：年月日</w:t>
      </w:r>
    </w:p>
    <w:p w14:paraId="2E324BD1">
      <w:pPr>
        <w:spacing w:line="260" w:lineRule="auto"/>
        <w:rPr>
          <w:rFonts w:hint="eastAsia" w:ascii="仿宋" w:hAnsi="仿宋" w:eastAsia="仿宋" w:cs="仿宋"/>
          <w:color w:val="auto"/>
          <w:highlight w:val="none"/>
          <w:lang w:eastAsia="zh-CN"/>
        </w:rPr>
      </w:pPr>
    </w:p>
    <w:p w14:paraId="5A935E7A">
      <w:pPr>
        <w:spacing w:line="260" w:lineRule="auto"/>
        <w:rPr>
          <w:rFonts w:hint="eastAsia" w:ascii="仿宋" w:hAnsi="仿宋" w:eastAsia="仿宋" w:cs="仿宋"/>
          <w:color w:val="auto"/>
          <w:highlight w:val="none"/>
          <w:lang w:eastAsia="zh-CN"/>
        </w:rPr>
      </w:pPr>
    </w:p>
    <w:p w14:paraId="629C4815">
      <w:pPr>
        <w:pageBreakBefore/>
        <w:spacing w:before="100" w:line="226" w:lineRule="auto"/>
        <w:ind w:left="28"/>
        <w:outlineLvl w:val="1"/>
        <w:rPr>
          <w:rFonts w:hint="eastAsia" w:ascii="仿宋" w:hAnsi="仿宋" w:eastAsia="仿宋" w:cs="仿宋"/>
          <w:color w:val="auto"/>
          <w:sz w:val="31"/>
          <w:szCs w:val="31"/>
          <w:highlight w:val="none"/>
          <w:lang w:eastAsia="zh-CN"/>
        </w:rPr>
      </w:pPr>
      <w:bookmarkStart w:id="408" w:name="bookmark253"/>
      <w:bookmarkEnd w:id="408"/>
      <w:bookmarkStart w:id="409" w:name="bookmark287"/>
      <w:bookmarkEnd w:id="409"/>
      <w:bookmarkStart w:id="410" w:name="_Toc186477807"/>
      <w:bookmarkStart w:id="411" w:name="_Toc4981"/>
      <w:r>
        <w:rPr>
          <w:rFonts w:hint="eastAsia" w:ascii="仿宋" w:hAnsi="仿宋" w:eastAsia="仿宋" w:cs="仿宋"/>
          <w:b/>
          <w:bCs/>
          <w:color w:val="auto"/>
          <w:spacing w:val="6"/>
          <w:sz w:val="31"/>
          <w:szCs w:val="31"/>
          <w:highlight w:val="none"/>
          <w:lang w:eastAsia="zh-CN"/>
        </w:rPr>
        <w:t>四、其他资格证明文件</w:t>
      </w:r>
      <w:bookmarkEnd w:id="410"/>
      <w:bookmarkEnd w:id="411"/>
    </w:p>
    <w:p w14:paraId="20863EB3">
      <w:pPr>
        <w:spacing w:before="306" w:line="219" w:lineRule="auto"/>
        <w:ind w:left="506"/>
        <w:rPr>
          <w:rFonts w:hint="eastAsia" w:ascii="仿宋" w:hAnsi="仿宋" w:eastAsia="仿宋" w:cs="仿宋"/>
          <w:color w:val="auto"/>
          <w:spacing w:val="-1"/>
          <w:sz w:val="24"/>
          <w:szCs w:val="24"/>
          <w:highlight w:val="none"/>
          <w:lang w:eastAsia="zh-CN"/>
        </w:rPr>
      </w:pPr>
      <w:r>
        <w:rPr>
          <w:rFonts w:hint="eastAsia" w:ascii="仿宋" w:hAnsi="仿宋" w:eastAsia="仿宋" w:cs="仿宋"/>
          <w:color w:val="auto"/>
          <w:spacing w:val="-1"/>
          <w:sz w:val="24"/>
          <w:szCs w:val="24"/>
          <w:highlight w:val="none"/>
          <w:lang w:eastAsia="zh-CN"/>
        </w:rPr>
        <w:t>投标人认为需提供的其它相关资格证明材料</w:t>
      </w:r>
    </w:p>
    <w:p w14:paraId="5920102C">
      <w:pPr>
        <w:pStyle w:val="5"/>
        <w:rPr>
          <w:rFonts w:hint="eastAsia" w:ascii="仿宋" w:hAnsi="仿宋" w:eastAsia="仿宋" w:cs="仿宋"/>
          <w:color w:val="auto"/>
          <w:spacing w:val="-1"/>
          <w:sz w:val="24"/>
          <w:szCs w:val="24"/>
          <w:highlight w:val="none"/>
          <w:lang w:eastAsia="zh-CN"/>
        </w:rPr>
      </w:pPr>
    </w:p>
    <w:p w14:paraId="3E195C33">
      <w:pPr>
        <w:spacing w:line="257" w:lineRule="auto"/>
        <w:rPr>
          <w:rFonts w:hint="eastAsia" w:ascii="仿宋" w:hAnsi="仿宋" w:eastAsia="仿宋" w:cs="仿宋"/>
          <w:color w:val="auto"/>
          <w:highlight w:val="none"/>
          <w:lang w:eastAsia="zh-CN"/>
        </w:rPr>
      </w:pPr>
    </w:p>
    <w:p w14:paraId="6DF2DFCD">
      <w:pPr>
        <w:spacing w:line="257" w:lineRule="auto"/>
        <w:rPr>
          <w:rFonts w:hint="eastAsia" w:ascii="仿宋" w:hAnsi="仿宋" w:eastAsia="仿宋" w:cs="仿宋"/>
          <w:color w:val="auto"/>
          <w:highlight w:val="none"/>
          <w:lang w:eastAsia="zh-CN"/>
        </w:rPr>
      </w:pPr>
    </w:p>
    <w:p w14:paraId="19809C0F">
      <w:pPr>
        <w:spacing w:line="257" w:lineRule="auto"/>
        <w:rPr>
          <w:rFonts w:hint="eastAsia" w:ascii="仿宋" w:hAnsi="仿宋" w:eastAsia="仿宋" w:cs="仿宋"/>
          <w:color w:val="auto"/>
          <w:highlight w:val="none"/>
          <w:lang w:eastAsia="zh-CN"/>
        </w:rPr>
      </w:pPr>
    </w:p>
    <w:p w14:paraId="75EFA42B">
      <w:pPr>
        <w:spacing w:line="257" w:lineRule="auto"/>
        <w:rPr>
          <w:rFonts w:hint="eastAsia" w:ascii="仿宋" w:hAnsi="仿宋" w:eastAsia="仿宋" w:cs="仿宋"/>
          <w:color w:val="auto"/>
          <w:highlight w:val="none"/>
          <w:lang w:eastAsia="zh-CN"/>
        </w:rPr>
      </w:pPr>
    </w:p>
    <w:p w14:paraId="0579F2B8">
      <w:pPr>
        <w:spacing w:line="258" w:lineRule="auto"/>
        <w:rPr>
          <w:rFonts w:hint="eastAsia" w:ascii="仿宋" w:hAnsi="仿宋" w:eastAsia="仿宋" w:cs="仿宋"/>
          <w:color w:val="auto"/>
          <w:highlight w:val="none"/>
          <w:lang w:eastAsia="zh-CN"/>
        </w:rPr>
      </w:pPr>
    </w:p>
    <w:p w14:paraId="3261424E">
      <w:pPr>
        <w:pageBreakBefore/>
        <w:spacing w:line="259" w:lineRule="auto"/>
        <w:rPr>
          <w:rFonts w:hint="eastAsia" w:ascii="仿宋" w:hAnsi="仿宋" w:eastAsia="仿宋" w:cs="仿宋"/>
          <w:color w:val="auto"/>
          <w:highlight w:val="none"/>
          <w:lang w:eastAsia="zh-CN"/>
        </w:rPr>
      </w:pPr>
    </w:p>
    <w:p w14:paraId="58396C6C">
      <w:pPr>
        <w:spacing w:before="78" w:line="221" w:lineRule="auto"/>
        <w:ind w:left="50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2E014D04">
      <w:pPr>
        <w:spacing w:line="278" w:lineRule="auto"/>
        <w:rPr>
          <w:rFonts w:hint="eastAsia" w:ascii="仿宋" w:hAnsi="仿宋" w:eastAsia="仿宋" w:cs="仿宋"/>
          <w:color w:val="auto"/>
          <w:highlight w:val="none"/>
          <w:lang w:eastAsia="zh-CN"/>
        </w:rPr>
      </w:pPr>
    </w:p>
    <w:p w14:paraId="02F46DDF">
      <w:pPr>
        <w:spacing w:line="279" w:lineRule="auto"/>
        <w:rPr>
          <w:rFonts w:hint="eastAsia" w:ascii="仿宋" w:hAnsi="仿宋" w:eastAsia="仿宋" w:cs="仿宋"/>
          <w:color w:val="auto"/>
          <w:highlight w:val="none"/>
          <w:lang w:eastAsia="zh-CN"/>
        </w:rPr>
      </w:pPr>
    </w:p>
    <w:p w14:paraId="7627A833">
      <w:pPr>
        <w:spacing w:line="279" w:lineRule="auto"/>
        <w:rPr>
          <w:rFonts w:hint="eastAsia" w:ascii="仿宋" w:hAnsi="仿宋" w:eastAsia="仿宋" w:cs="仿宋"/>
          <w:color w:val="auto"/>
          <w:highlight w:val="none"/>
          <w:lang w:eastAsia="zh-CN"/>
        </w:rPr>
      </w:pPr>
    </w:p>
    <w:p w14:paraId="6A6CA277">
      <w:pPr>
        <w:spacing w:line="279" w:lineRule="auto"/>
        <w:rPr>
          <w:rFonts w:hint="eastAsia" w:ascii="仿宋" w:hAnsi="仿宋" w:eastAsia="仿宋" w:cs="仿宋"/>
          <w:color w:val="auto"/>
          <w:highlight w:val="none"/>
          <w:lang w:eastAsia="zh-CN"/>
        </w:rPr>
      </w:pPr>
    </w:p>
    <w:p w14:paraId="64A19C66">
      <w:pPr>
        <w:spacing w:line="279" w:lineRule="auto"/>
        <w:rPr>
          <w:rFonts w:hint="eastAsia" w:ascii="仿宋" w:hAnsi="仿宋" w:eastAsia="仿宋" w:cs="仿宋"/>
          <w:color w:val="auto"/>
          <w:highlight w:val="none"/>
          <w:lang w:eastAsia="zh-CN"/>
        </w:rPr>
      </w:pPr>
    </w:p>
    <w:p w14:paraId="26F9E7D9">
      <w:pPr>
        <w:spacing w:before="269" w:line="222" w:lineRule="auto"/>
        <w:jc w:val="center"/>
        <w:outlineLvl w:val="1"/>
        <w:rPr>
          <w:rFonts w:hint="eastAsia" w:ascii="仿宋" w:hAnsi="仿宋" w:eastAsia="仿宋" w:cs="仿宋"/>
          <w:color w:val="auto"/>
          <w:sz w:val="83"/>
          <w:szCs w:val="83"/>
          <w:highlight w:val="none"/>
          <w:lang w:eastAsia="zh-CN"/>
        </w:rPr>
      </w:pPr>
      <w:bookmarkStart w:id="412" w:name="bookmark254"/>
      <w:bookmarkEnd w:id="412"/>
      <w:bookmarkStart w:id="413" w:name="_Toc186477808"/>
      <w:bookmarkStart w:id="414" w:name="_Toc24256"/>
      <w:r>
        <w:rPr>
          <w:rFonts w:hint="eastAsia" w:ascii="仿宋" w:hAnsi="仿宋" w:eastAsia="仿宋" w:cs="仿宋"/>
          <w:b/>
          <w:bCs/>
          <w:color w:val="auto"/>
          <w:spacing w:val="-31"/>
          <w:sz w:val="83"/>
          <w:szCs w:val="83"/>
          <w:highlight w:val="none"/>
          <w:lang w:eastAsia="zh-CN"/>
        </w:rPr>
        <w:t>投标文件</w:t>
      </w:r>
      <w:bookmarkEnd w:id="413"/>
      <w:bookmarkEnd w:id="414"/>
    </w:p>
    <w:p w14:paraId="5C402DCC">
      <w:pPr>
        <w:spacing w:before="236" w:line="221" w:lineRule="auto"/>
        <w:jc w:val="center"/>
        <w:rPr>
          <w:rFonts w:hint="eastAsia" w:ascii="仿宋" w:hAnsi="仿宋" w:eastAsia="仿宋" w:cs="仿宋"/>
          <w:color w:val="auto"/>
          <w:sz w:val="55"/>
          <w:szCs w:val="55"/>
          <w:highlight w:val="none"/>
          <w:lang w:eastAsia="zh-CN"/>
        </w:rPr>
      </w:pPr>
      <w:r>
        <w:rPr>
          <w:rFonts w:hint="eastAsia" w:ascii="仿宋" w:hAnsi="仿宋" w:eastAsia="仿宋" w:cs="仿宋"/>
          <w:b/>
          <w:bCs/>
          <w:color w:val="auto"/>
          <w:spacing w:val="1"/>
          <w:sz w:val="55"/>
          <w:szCs w:val="55"/>
          <w:highlight w:val="none"/>
          <w:lang w:eastAsia="zh-CN"/>
        </w:rPr>
        <w:t>报价文件</w:t>
      </w:r>
    </w:p>
    <w:p w14:paraId="2529CD44">
      <w:pPr>
        <w:spacing w:before="220" w:line="224" w:lineRule="auto"/>
        <w:ind w:left="1134"/>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4FB48198">
      <w:pPr>
        <w:spacing w:line="252" w:lineRule="auto"/>
        <w:rPr>
          <w:rFonts w:hint="eastAsia" w:ascii="仿宋" w:hAnsi="仿宋" w:eastAsia="仿宋" w:cs="仿宋"/>
          <w:color w:val="auto"/>
          <w:highlight w:val="none"/>
          <w:lang w:eastAsia="zh-CN"/>
        </w:rPr>
      </w:pPr>
    </w:p>
    <w:p w14:paraId="5ADC8087">
      <w:pPr>
        <w:spacing w:line="253" w:lineRule="auto"/>
        <w:rPr>
          <w:rFonts w:hint="eastAsia" w:ascii="仿宋" w:hAnsi="仿宋" w:eastAsia="仿宋" w:cs="仿宋"/>
          <w:color w:val="auto"/>
          <w:highlight w:val="none"/>
          <w:lang w:eastAsia="zh-CN"/>
        </w:rPr>
      </w:pPr>
    </w:p>
    <w:p w14:paraId="583BB2DA">
      <w:pPr>
        <w:spacing w:line="253" w:lineRule="auto"/>
        <w:rPr>
          <w:rFonts w:hint="eastAsia" w:ascii="仿宋" w:hAnsi="仿宋" w:eastAsia="仿宋" w:cs="仿宋"/>
          <w:color w:val="auto"/>
          <w:highlight w:val="none"/>
          <w:lang w:eastAsia="zh-CN"/>
        </w:rPr>
      </w:pPr>
    </w:p>
    <w:p w14:paraId="0549400C">
      <w:pPr>
        <w:spacing w:line="253" w:lineRule="auto"/>
        <w:rPr>
          <w:rFonts w:hint="eastAsia" w:ascii="仿宋" w:hAnsi="仿宋" w:eastAsia="仿宋" w:cs="仿宋"/>
          <w:color w:val="auto"/>
          <w:highlight w:val="none"/>
          <w:lang w:eastAsia="zh-CN"/>
        </w:rPr>
      </w:pPr>
    </w:p>
    <w:p w14:paraId="662AC095">
      <w:pPr>
        <w:spacing w:line="253" w:lineRule="auto"/>
        <w:rPr>
          <w:rFonts w:hint="eastAsia" w:ascii="仿宋" w:hAnsi="仿宋" w:eastAsia="仿宋" w:cs="仿宋"/>
          <w:color w:val="auto"/>
          <w:highlight w:val="none"/>
          <w:lang w:eastAsia="zh-CN"/>
        </w:rPr>
      </w:pPr>
    </w:p>
    <w:p w14:paraId="112B0520">
      <w:pPr>
        <w:spacing w:line="253" w:lineRule="auto"/>
        <w:rPr>
          <w:rFonts w:hint="eastAsia" w:ascii="仿宋" w:hAnsi="仿宋" w:eastAsia="仿宋" w:cs="仿宋"/>
          <w:color w:val="auto"/>
          <w:highlight w:val="none"/>
          <w:lang w:eastAsia="zh-CN"/>
        </w:rPr>
      </w:pPr>
    </w:p>
    <w:p w14:paraId="3A704CCE">
      <w:pPr>
        <w:spacing w:line="253" w:lineRule="auto"/>
        <w:rPr>
          <w:rFonts w:hint="eastAsia" w:ascii="仿宋" w:hAnsi="仿宋" w:eastAsia="仿宋" w:cs="仿宋"/>
          <w:color w:val="auto"/>
          <w:highlight w:val="none"/>
          <w:lang w:eastAsia="zh-CN"/>
        </w:rPr>
      </w:pPr>
    </w:p>
    <w:p w14:paraId="013F4CD0">
      <w:pPr>
        <w:spacing w:line="253" w:lineRule="auto"/>
        <w:rPr>
          <w:rFonts w:hint="eastAsia" w:ascii="仿宋" w:hAnsi="仿宋" w:eastAsia="仿宋" w:cs="仿宋"/>
          <w:color w:val="auto"/>
          <w:highlight w:val="none"/>
          <w:lang w:eastAsia="zh-CN"/>
        </w:rPr>
      </w:pPr>
    </w:p>
    <w:p w14:paraId="74727019">
      <w:pPr>
        <w:spacing w:line="253" w:lineRule="auto"/>
        <w:rPr>
          <w:rFonts w:hint="eastAsia" w:ascii="仿宋" w:hAnsi="仿宋" w:eastAsia="仿宋" w:cs="仿宋"/>
          <w:color w:val="auto"/>
          <w:highlight w:val="none"/>
          <w:lang w:eastAsia="zh-CN"/>
        </w:rPr>
      </w:pPr>
    </w:p>
    <w:p w14:paraId="6543532F">
      <w:pPr>
        <w:spacing w:line="253" w:lineRule="auto"/>
        <w:rPr>
          <w:rFonts w:hint="eastAsia" w:ascii="仿宋" w:hAnsi="仿宋" w:eastAsia="仿宋" w:cs="仿宋"/>
          <w:color w:val="auto"/>
          <w:highlight w:val="none"/>
          <w:lang w:eastAsia="zh-CN"/>
        </w:rPr>
      </w:pPr>
    </w:p>
    <w:p w14:paraId="62DB313A">
      <w:pPr>
        <w:spacing w:line="253" w:lineRule="auto"/>
        <w:rPr>
          <w:rFonts w:hint="eastAsia" w:ascii="仿宋" w:hAnsi="仿宋" w:eastAsia="仿宋" w:cs="仿宋"/>
          <w:color w:val="auto"/>
          <w:highlight w:val="none"/>
          <w:lang w:eastAsia="zh-CN"/>
        </w:rPr>
      </w:pPr>
    </w:p>
    <w:p w14:paraId="0DFC6147">
      <w:pPr>
        <w:spacing w:line="253" w:lineRule="auto"/>
        <w:rPr>
          <w:rFonts w:hint="eastAsia" w:ascii="仿宋" w:hAnsi="仿宋" w:eastAsia="仿宋" w:cs="仿宋"/>
          <w:color w:val="auto"/>
          <w:highlight w:val="none"/>
          <w:lang w:eastAsia="zh-CN"/>
        </w:rPr>
      </w:pPr>
    </w:p>
    <w:p w14:paraId="262CA727">
      <w:pPr>
        <w:pStyle w:val="9"/>
        <w:tabs>
          <w:tab w:val="left" w:pos="8364"/>
        </w:tabs>
        <w:spacing w:before="100"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1A154C27">
      <w:pPr>
        <w:pStyle w:val="9"/>
        <w:tabs>
          <w:tab w:val="left" w:pos="8364"/>
        </w:tabs>
        <w:spacing w:before="100"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3E17247F">
      <w:pPr>
        <w:pStyle w:val="9"/>
        <w:tabs>
          <w:tab w:val="left" w:pos="8364"/>
        </w:tabs>
        <w:spacing w:before="100" w:line="362" w:lineRule="auto"/>
        <w:ind w:left="443" w:right="14" w:firstLine="2"/>
        <w:jc w:val="both"/>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18DFFC0C">
      <w:pPr>
        <w:spacing w:line="297" w:lineRule="auto"/>
        <w:rPr>
          <w:rFonts w:hint="eastAsia" w:ascii="仿宋" w:hAnsi="仿宋" w:eastAsia="仿宋" w:cs="仿宋"/>
          <w:color w:val="auto"/>
          <w:highlight w:val="none"/>
          <w:lang w:eastAsia="zh-CN"/>
        </w:rPr>
      </w:pPr>
    </w:p>
    <w:p w14:paraId="63D51F04">
      <w:pPr>
        <w:spacing w:line="297" w:lineRule="auto"/>
        <w:rPr>
          <w:rFonts w:hint="eastAsia" w:ascii="仿宋" w:hAnsi="仿宋" w:eastAsia="仿宋" w:cs="仿宋"/>
          <w:color w:val="auto"/>
          <w:highlight w:val="none"/>
          <w:lang w:eastAsia="zh-CN"/>
        </w:rPr>
      </w:pPr>
    </w:p>
    <w:p w14:paraId="0213C150">
      <w:pPr>
        <w:spacing w:line="297" w:lineRule="auto"/>
        <w:rPr>
          <w:rFonts w:hint="eastAsia" w:ascii="仿宋" w:hAnsi="仿宋" w:eastAsia="仿宋" w:cs="仿宋"/>
          <w:color w:val="auto"/>
          <w:highlight w:val="none"/>
          <w:lang w:eastAsia="zh-CN"/>
        </w:rPr>
      </w:pPr>
    </w:p>
    <w:p w14:paraId="4AEBB9E8">
      <w:pPr>
        <w:spacing w:line="298" w:lineRule="auto"/>
        <w:rPr>
          <w:rFonts w:hint="eastAsia" w:ascii="仿宋" w:hAnsi="仿宋" w:eastAsia="仿宋" w:cs="仿宋"/>
          <w:color w:val="auto"/>
          <w:highlight w:val="none"/>
          <w:lang w:eastAsia="zh-CN"/>
        </w:rPr>
      </w:pPr>
    </w:p>
    <w:p w14:paraId="5047DAB1">
      <w:pPr>
        <w:pStyle w:val="9"/>
        <w:spacing w:before="102" w:line="228" w:lineRule="auto"/>
        <w:ind w:left="3140"/>
        <w:rPr>
          <w:rFonts w:hint="eastAsia"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  月  日</w:t>
      </w:r>
    </w:p>
    <w:p w14:paraId="6F9D87DF">
      <w:pPr>
        <w:spacing w:line="248" w:lineRule="auto"/>
        <w:rPr>
          <w:rFonts w:hint="eastAsia" w:ascii="仿宋" w:hAnsi="仿宋" w:eastAsia="仿宋" w:cs="仿宋"/>
          <w:color w:val="auto"/>
          <w:highlight w:val="none"/>
          <w:lang w:eastAsia="zh-CN"/>
        </w:rPr>
      </w:pPr>
    </w:p>
    <w:p w14:paraId="09727279">
      <w:pPr>
        <w:spacing w:line="248" w:lineRule="auto"/>
        <w:rPr>
          <w:rFonts w:hint="eastAsia" w:ascii="仿宋" w:hAnsi="仿宋" w:eastAsia="仿宋" w:cs="仿宋"/>
          <w:color w:val="auto"/>
          <w:highlight w:val="none"/>
          <w:lang w:eastAsia="zh-CN"/>
        </w:rPr>
      </w:pPr>
    </w:p>
    <w:p w14:paraId="069E3433">
      <w:pPr>
        <w:spacing w:line="249" w:lineRule="auto"/>
        <w:rPr>
          <w:rFonts w:hint="eastAsia" w:ascii="仿宋" w:hAnsi="仿宋" w:eastAsia="仿宋" w:cs="仿宋"/>
          <w:color w:val="auto"/>
          <w:highlight w:val="none"/>
          <w:lang w:eastAsia="zh-CN"/>
        </w:rPr>
      </w:pPr>
    </w:p>
    <w:p w14:paraId="7E452A64">
      <w:pPr>
        <w:spacing w:line="249" w:lineRule="auto"/>
        <w:rPr>
          <w:rFonts w:hint="eastAsia" w:ascii="仿宋" w:hAnsi="仿宋" w:eastAsia="仿宋" w:cs="仿宋"/>
          <w:color w:val="auto"/>
          <w:highlight w:val="none"/>
          <w:lang w:eastAsia="zh-CN"/>
        </w:rPr>
      </w:pPr>
    </w:p>
    <w:p w14:paraId="3E78426D">
      <w:pPr>
        <w:pageBreakBefore/>
        <w:spacing w:before="101" w:line="226" w:lineRule="auto"/>
        <w:jc w:val="center"/>
        <w:outlineLvl w:val="1"/>
        <w:rPr>
          <w:rFonts w:hint="eastAsia" w:ascii="仿宋" w:hAnsi="仿宋" w:eastAsia="仿宋" w:cs="仿宋"/>
          <w:color w:val="auto"/>
          <w:sz w:val="31"/>
          <w:szCs w:val="31"/>
          <w:highlight w:val="none"/>
          <w:lang w:eastAsia="zh-CN"/>
        </w:rPr>
      </w:pPr>
      <w:bookmarkStart w:id="415" w:name="_Toc29424"/>
      <w:bookmarkStart w:id="416" w:name="_Toc186477809"/>
      <w:r>
        <w:rPr>
          <w:rFonts w:hint="eastAsia" w:ascii="仿宋" w:hAnsi="仿宋" w:eastAsia="仿宋" w:cs="仿宋"/>
          <w:b/>
          <w:bCs/>
          <w:color w:val="auto"/>
          <w:spacing w:val="5"/>
          <w:sz w:val="31"/>
          <w:szCs w:val="31"/>
          <w:highlight w:val="none"/>
          <w:lang w:eastAsia="zh-CN"/>
        </w:rPr>
        <w:t>一、开标一览表</w:t>
      </w:r>
      <w:bookmarkEnd w:id="415"/>
      <w:bookmarkEnd w:id="416"/>
    </w:p>
    <w:p w14:paraId="2699326E">
      <w:pPr>
        <w:spacing w:line="306" w:lineRule="auto"/>
        <w:rPr>
          <w:rFonts w:hint="eastAsia" w:ascii="仿宋" w:hAnsi="仿宋" w:eastAsia="仿宋" w:cs="仿宋"/>
          <w:color w:val="auto"/>
          <w:highlight w:val="none"/>
          <w:lang w:eastAsia="zh-CN"/>
        </w:rPr>
      </w:pPr>
    </w:p>
    <w:p w14:paraId="5E306FD7">
      <w:pPr>
        <w:tabs>
          <w:tab w:val="left" w:pos="1800"/>
          <w:tab w:val="left" w:pos="5580"/>
        </w:tabs>
        <w:spacing w:line="360" w:lineRule="auto"/>
        <w:ind w:right="-867" w:rightChars="-413"/>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项目编号：                项目名称：         </w:t>
      </w:r>
    </w:p>
    <w:p w14:paraId="033F68B2">
      <w:pPr>
        <w:tabs>
          <w:tab w:val="left" w:pos="1800"/>
          <w:tab w:val="left" w:pos="5580"/>
        </w:tabs>
        <w:spacing w:line="360" w:lineRule="auto"/>
        <w:ind w:right="-867" w:rightChars="-413"/>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rPr>
        <w:t>报价单位：</w:t>
      </w:r>
      <w:r>
        <w:rPr>
          <w:rFonts w:hint="eastAsia" w:ascii="仿宋_GB2312" w:hAnsi="宋体" w:eastAsia="仿宋_GB2312"/>
          <w:color w:val="auto"/>
          <w:sz w:val="24"/>
          <w:highlight w:val="none"/>
          <w:lang w:eastAsia="zh-CN"/>
        </w:rPr>
        <w:t xml:space="preserve">     元</w:t>
      </w:r>
    </w:p>
    <w:tbl>
      <w:tblPr>
        <w:tblStyle w:val="22"/>
        <w:tblpPr w:leftFromText="180" w:rightFromText="180" w:vertAnchor="text" w:horzAnchor="page" w:tblpX="1590" w:tblpY="518"/>
        <w:tblOverlap w:val="never"/>
        <w:tblW w:w="9200" w:type="dxa"/>
        <w:tblInd w:w="0" w:type="dxa"/>
        <w:tblLayout w:type="fixed"/>
        <w:tblCellMar>
          <w:top w:w="0" w:type="dxa"/>
          <w:left w:w="0" w:type="dxa"/>
          <w:bottom w:w="0" w:type="dxa"/>
          <w:right w:w="0" w:type="dxa"/>
        </w:tblCellMar>
      </w:tblPr>
      <w:tblGrid>
        <w:gridCol w:w="1197"/>
        <w:gridCol w:w="2722"/>
        <w:gridCol w:w="2480"/>
        <w:gridCol w:w="1857"/>
        <w:gridCol w:w="944"/>
      </w:tblGrid>
      <w:tr w14:paraId="475439DA">
        <w:tblPrEx>
          <w:tblCellMar>
            <w:top w:w="0" w:type="dxa"/>
            <w:left w:w="0" w:type="dxa"/>
            <w:bottom w:w="0" w:type="dxa"/>
            <w:right w:w="0" w:type="dxa"/>
          </w:tblCellMar>
        </w:tblPrEx>
        <w:trPr>
          <w:trHeight w:val="662" w:hRule="atLeast"/>
        </w:trPr>
        <w:tc>
          <w:tcPr>
            <w:tcW w:w="1197" w:type="dxa"/>
            <w:tcBorders>
              <w:top w:val="single" w:color="auto" w:sz="4" w:space="0"/>
              <w:left w:val="single" w:color="auto" w:sz="4" w:space="0"/>
              <w:bottom w:val="single" w:color="auto" w:sz="8" w:space="0"/>
              <w:right w:val="single" w:color="auto" w:sz="4" w:space="0"/>
            </w:tcBorders>
            <w:noWrap/>
            <w:vAlign w:val="center"/>
          </w:tcPr>
          <w:p w14:paraId="32A0231F">
            <w:pPr>
              <w:tabs>
                <w:tab w:val="left" w:pos="5580"/>
              </w:tabs>
              <w:spacing w:line="360" w:lineRule="auto"/>
              <w:ind w:right="-199"/>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标项名称</w:t>
            </w:r>
          </w:p>
        </w:tc>
        <w:tc>
          <w:tcPr>
            <w:tcW w:w="2722" w:type="dxa"/>
            <w:tcBorders>
              <w:top w:val="single" w:color="auto" w:sz="4" w:space="0"/>
              <w:left w:val="single" w:color="auto" w:sz="8" w:space="0"/>
              <w:bottom w:val="single" w:color="auto" w:sz="8" w:space="0"/>
              <w:right w:val="single" w:color="auto" w:sz="4" w:space="0"/>
            </w:tcBorders>
            <w:noWrap/>
            <w:vAlign w:val="center"/>
          </w:tcPr>
          <w:p w14:paraId="4470276B">
            <w:pPr>
              <w:tabs>
                <w:tab w:val="left" w:pos="5580"/>
              </w:tabs>
              <w:spacing w:line="360" w:lineRule="auto"/>
              <w:jc w:val="center"/>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投标下浮率</w:t>
            </w:r>
          </w:p>
        </w:tc>
        <w:tc>
          <w:tcPr>
            <w:tcW w:w="2480" w:type="dxa"/>
            <w:tcBorders>
              <w:top w:val="single" w:color="auto" w:sz="8" w:space="0"/>
              <w:left w:val="nil"/>
              <w:bottom w:val="single" w:color="auto" w:sz="8" w:space="0"/>
              <w:right w:val="single" w:color="auto" w:sz="4" w:space="0"/>
            </w:tcBorders>
            <w:noWrap/>
            <w:vAlign w:val="center"/>
          </w:tcPr>
          <w:p w14:paraId="1DA50578">
            <w:pPr>
              <w:tabs>
                <w:tab w:val="left" w:pos="5580"/>
              </w:tabs>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合同履约期限</w:t>
            </w:r>
          </w:p>
        </w:tc>
        <w:tc>
          <w:tcPr>
            <w:tcW w:w="1857" w:type="dxa"/>
            <w:tcBorders>
              <w:top w:val="single" w:color="auto" w:sz="8" w:space="0"/>
              <w:left w:val="nil"/>
              <w:bottom w:val="single" w:color="auto" w:sz="8" w:space="0"/>
              <w:right w:val="single" w:color="auto" w:sz="8" w:space="0"/>
            </w:tcBorders>
            <w:noWrap/>
            <w:vAlign w:val="center"/>
          </w:tcPr>
          <w:p w14:paraId="5ECF9F03">
            <w:pPr>
              <w:tabs>
                <w:tab w:val="left" w:pos="5580"/>
              </w:tabs>
              <w:spacing w:line="360" w:lineRule="auto"/>
              <w:jc w:val="center"/>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供货地点</w:t>
            </w:r>
          </w:p>
        </w:tc>
        <w:tc>
          <w:tcPr>
            <w:tcW w:w="944" w:type="dxa"/>
            <w:tcBorders>
              <w:top w:val="single" w:color="auto" w:sz="8" w:space="0"/>
              <w:left w:val="single" w:color="auto" w:sz="4" w:space="0"/>
              <w:bottom w:val="single" w:color="auto" w:sz="8" w:space="0"/>
              <w:right w:val="single" w:color="auto" w:sz="8" w:space="0"/>
            </w:tcBorders>
            <w:noWrap/>
            <w:vAlign w:val="center"/>
          </w:tcPr>
          <w:p w14:paraId="5E142ECC">
            <w:pPr>
              <w:tabs>
                <w:tab w:val="left" w:pos="5580"/>
              </w:tabs>
              <w:spacing w:line="360" w:lineRule="auto"/>
              <w:jc w:val="center"/>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备注</w:t>
            </w:r>
          </w:p>
        </w:tc>
      </w:tr>
      <w:tr w14:paraId="13038416">
        <w:tblPrEx>
          <w:tblCellMar>
            <w:top w:w="0" w:type="dxa"/>
            <w:left w:w="0" w:type="dxa"/>
            <w:bottom w:w="0" w:type="dxa"/>
            <w:right w:w="0" w:type="dxa"/>
          </w:tblCellMar>
        </w:tblPrEx>
        <w:trPr>
          <w:cantSplit/>
          <w:trHeight w:val="1640" w:hRule="atLeast"/>
        </w:trPr>
        <w:tc>
          <w:tcPr>
            <w:tcW w:w="1197" w:type="dxa"/>
            <w:tcBorders>
              <w:top w:val="single" w:color="auto" w:sz="8" w:space="0"/>
              <w:left w:val="single" w:color="auto" w:sz="4" w:space="0"/>
              <w:bottom w:val="single" w:color="auto" w:sz="4" w:space="0"/>
              <w:right w:val="single" w:color="auto" w:sz="4" w:space="0"/>
            </w:tcBorders>
            <w:noWrap/>
            <w:vAlign w:val="center"/>
          </w:tcPr>
          <w:p w14:paraId="053C2FB3">
            <w:pPr>
              <w:tabs>
                <w:tab w:val="left" w:pos="5580"/>
              </w:tabs>
              <w:spacing w:line="360" w:lineRule="auto"/>
              <w:ind w:firstLine="240" w:firstLineChars="100"/>
              <w:rPr>
                <w:rFonts w:hint="eastAsia" w:ascii="仿宋_GB2312" w:hAnsi="宋体" w:eastAsia="仿宋_GB2312"/>
                <w:color w:val="auto"/>
                <w:sz w:val="24"/>
                <w:highlight w:val="none"/>
              </w:rPr>
            </w:pPr>
          </w:p>
        </w:tc>
        <w:tc>
          <w:tcPr>
            <w:tcW w:w="2722" w:type="dxa"/>
            <w:tcBorders>
              <w:top w:val="single" w:color="auto" w:sz="8" w:space="0"/>
              <w:left w:val="single" w:color="auto" w:sz="8" w:space="0"/>
              <w:bottom w:val="single" w:color="auto" w:sz="4" w:space="0"/>
              <w:right w:val="single" w:color="auto" w:sz="4" w:space="0"/>
            </w:tcBorders>
            <w:noWrap/>
            <w:vAlign w:val="center"/>
          </w:tcPr>
          <w:p w14:paraId="70FE8EC9">
            <w:pPr>
              <w:tabs>
                <w:tab w:val="left" w:pos="5580"/>
              </w:tabs>
              <w:spacing w:line="360" w:lineRule="auto"/>
              <w:jc w:val="center"/>
              <w:rPr>
                <w:rFonts w:hint="eastAsia" w:ascii="仿宋_GB2312" w:hAnsi="宋体" w:eastAsia="仿宋_GB2312"/>
                <w:color w:val="auto"/>
                <w:sz w:val="24"/>
                <w:highlight w:val="none"/>
                <w:lang w:eastAsia="zh-CN"/>
              </w:rPr>
            </w:pPr>
            <w:r>
              <w:rPr>
                <w:rFonts w:hint="eastAsia" w:ascii="仿宋_GB2312" w:hAnsi="宋体" w:eastAsia="仿宋_GB2312"/>
                <w:color w:val="auto"/>
                <w:sz w:val="24"/>
                <w:highlight w:val="none"/>
                <w:lang w:eastAsia="zh-CN"/>
              </w:rPr>
              <w:t>%</w:t>
            </w:r>
          </w:p>
        </w:tc>
        <w:tc>
          <w:tcPr>
            <w:tcW w:w="2480" w:type="dxa"/>
            <w:tcBorders>
              <w:top w:val="single" w:color="auto" w:sz="8" w:space="0"/>
              <w:left w:val="nil"/>
              <w:bottom w:val="single" w:color="auto" w:sz="4" w:space="0"/>
              <w:right w:val="single" w:color="auto" w:sz="4" w:space="0"/>
            </w:tcBorders>
            <w:noWrap/>
            <w:vAlign w:val="center"/>
          </w:tcPr>
          <w:p w14:paraId="70B8AE07">
            <w:pPr>
              <w:tabs>
                <w:tab w:val="left" w:pos="5580"/>
              </w:tabs>
              <w:spacing w:line="360" w:lineRule="auto"/>
              <w:ind w:left="1080" w:leftChars="257" w:hanging="540"/>
              <w:jc w:val="center"/>
              <w:rPr>
                <w:rFonts w:hint="eastAsia" w:ascii="仿宋_GB2312" w:hAnsi="宋体" w:eastAsia="仿宋_GB2312"/>
                <w:color w:val="auto"/>
                <w:sz w:val="24"/>
                <w:highlight w:val="none"/>
              </w:rPr>
            </w:pPr>
          </w:p>
        </w:tc>
        <w:tc>
          <w:tcPr>
            <w:tcW w:w="1857" w:type="dxa"/>
            <w:tcBorders>
              <w:top w:val="single" w:color="auto" w:sz="8" w:space="0"/>
              <w:left w:val="nil"/>
              <w:bottom w:val="single" w:color="auto" w:sz="4" w:space="0"/>
              <w:right w:val="single" w:color="auto" w:sz="8" w:space="0"/>
            </w:tcBorders>
            <w:noWrap/>
            <w:vAlign w:val="center"/>
          </w:tcPr>
          <w:p w14:paraId="77F929DE">
            <w:pPr>
              <w:tabs>
                <w:tab w:val="left" w:pos="5580"/>
              </w:tabs>
              <w:spacing w:line="360" w:lineRule="auto"/>
              <w:rPr>
                <w:rFonts w:hint="eastAsia" w:ascii="仿宋_GB2312" w:hAnsi="宋体" w:eastAsia="仿宋_GB2312"/>
                <w:color w:val="auto"/>
                <w:sz w:val="24"/>
                <w:highlight w:val="none"/>
              </w:rPr>
            </w:pPr>
          </w:p>
        </w:tc>
        <w:tc>
          <w:tcPr>
            <w:tcW w:w="944" w:type="dxa"/>
            <w:tcBorders>
              <w:top w:val="single" w:color="auto" w:sz="8" w:space="0"/>
              <w:left w:val="single" w:color="auto" w:sz="4" w:space="0"/>
              <w:bottom w:val="single" w:color="auto" w:sz="4" w:space="0"/>
              <w:right w:val="single" w:color="auto" w:sz="8" w:space="0"/>
            </w:tcBorders>
            <w:noWrap/>
            <w:vAlign w:val="center"/>
          </w:tcPr>
          <w:p w14:paraId="2CC81612">
            <w:pPr>
              <w:tabs>
                <w:tab w:val="left" w:pos="5580"/>
              </w:tabs>
              <w:spacing w:line="360" w:lineRule="auto"/>
              <w:ind w:left="1080" w:leftChars="257" w:hanging="540"/>
              <w:rPr>
                <w:rFonts w:hint="eastAsia" w:ascii="仿宋_GB2312" w:hAnsi="宋体" w:eastAsia="仿宋_GB2312"/>
                <w:color w:val="auto"/>
                <w:sz w:val="24"/>
                <w:highlight w:val="none"/>
              </w:rPr>
            </w:pPr>
          </w:p>
        </w:tc>
      </w:tr>
    </w:tbl>
    <w:p w14:paraId="08EF07C7">
      <w:pPr>
        <w:pStyle w:val="12"/>
        <w:tabs>
          <w:tab w:val="left" w:pos="5580"/>
        </w:tabs>
        <w:spacing w:line="360" w:lineRule="auto"/>
        <w:ind w:left="1080" w:leftChars="257" w:hanging="540"/>
        <w:rPr>
          <w:rFonts w:hint="eastAsia" w:ascii="仿宋" w:hAnsi="仿宋" w:eastAsia="仿宋"/>
          <w:color w:val="auto"/>
          <w:sz w:val="24"/>
          <w:highlight w:val="none"/>
        </w:rPr>
      </w:pPr>
    </w:p>
    <w:p w14:paraId="550A1138">
      <w:pPr>
        <w:pStyle w:val="12"/>
        <w:tabs>
          <w:tab w:val="left" w:pos="5580"/>
        </w:tabs>
        <w:spacing w:line="360" w:lineRule="auto"/>
        <w:ind w:left="1080" w:leftChars="257" w:hanging="540"/>
        <w:rPr>
          <w:rFonts w:hint="eastAsia" w:ascii="仿宋" w:hAnsi="仿宋" w:eastAsia="仿宋"/>
          <w:color w:val="auto"/>
          <w:sz w:val="24"/>
          <w:highlight w:val="none"/>
          <w:u w:val="single"/>
        </w:rPr>
      </w:pPr>
    </w:p>
    <w:p w14:paraId="7E436675">
      <w:pPr>
        <w:pStyle w:val="12"/>
        <w:tabs>
          <w:tab w:val="left" w:pos="5580"/>
        </w:tabs>
        <w:spacing w:line="360" w:lineRule="auto"/>
        <w:ind w:left="1080" w:leftChars="257" w:hanging="540"/>
        <w:rPr>
          <w:rFonts w:hint="eastAsia" w:ascii="仿宋" w:hAnsi="仿宋" w:eastAsia="仿宋"/>
          <w:color w:val="auto"/>
          <w:sz w:val="24"/>
          <w:highlight w:val="none"/>
        </w:rPr>
      </w:pPr>
      <w:r>
        <w:rPr>
          <w:rFonts w:hint="eastAsia" w:ascii="仿宋" w:hAnsi="仿宋" w:eastAsia="仿宋"/>
          <w:color w:val="auto"/>
          <w:sz w:val="24"/>
          <w:highlight w:val="none"/>
        </w:rPr>
        <w:t>投标人（盖公章）：</w:t>
      </w:r>
    </w:p>
    <w:p w14:paraId="7ABEA3E4">
      <w:pPr>
        <w:pStyle w:val="12"/>
        <w:tabs>
          <w:tab w:val="left" w:pos="5580"/>
        </w:tabs>
        <w:spacing w:line="360" w:lineRule="auto"/>
        <w:ind w:left="1080" w:leftChars="257" w:hanging="540"/>
        <w:rPr>
          <w:rFonts w:hint="eastAsia" w:ascii="仿宋" w:hAnsi="仿宋" w:eastAsia="仿宋"/>
          <w:color w:val="auto"/>
          <w:sz w:val="24"/>
          <w:highlight w:val="none"/>
          <w:u w:val="single"/>
          <w:lang w:eastAsia="zh-CN"/>
        </w:rPr>
      </w:pPr>
      <w:r>
        <w:rPr>
          <w:rFonts w:hint="eastAsia" w:ascii="仿宋" w:hAnsi="仿宋" w:eastAsia="仿宋"/>
          <w:color w:val="auto"/>
          <w:sz w:val="24"/>
          <w:highlight w:val="none"/>
          <w:lang w:eastAsia="zh-CN"/>
        </w:rPr>
        <w:t>法定代表人或</w:t>
      </w:r>
      <w:r>
        <w:rPr>
          <w:rFonts w:ascii="仿宋" w:hAnsi="仿宋" w:eastAsia="仿宋"/>
          <w:color w:val="auto"/>
          <w:sz w:val="24"/>
          <w:highlight w:val="none"/>
          <w:lang w:eastAsia="zh-CN"/>
        </w:rPr>
        <w:t>委托代理人</w:t>
      </w:r>
      <w:r>
        <w:rPr>
          <w:rFonts w:hint="eastAsia" w:ascii="仿宋" w:hAnsi="仿宋" w:eastAsia="仿宋"/>
          <w:color w:val="auto"/>
          <w:sz w:val="24"/>
          <w:highlight w:val="none"/>
          <w:lang w:eastAsia="zh-CN"/>
        </w:rPr>
        <w:t>(签字或签章):</w:t>
      </w:r>
      <w:r>
        <w:rPr>
          <w:rFonts w:ascii="仿宋" w:hAnsi="仿宋" w:eastAsia="仿宋"/>
          <w:color w:val="auto"/>
          <w:sz w:val="24"/>
          <w:highlight w:val="none"/>
          <w:u w:val="single"/>
          <w:lang w:eastAsia="zh-CN"/>
        </w:rPr>
        <w:tab/>
      </w:r>
    </w:p>
    <w:p w14:paraId="7EA258BC">
      <w:pPr>
        <w:spacing w:line="242" w:lineRule="auto"/>
        <w:rPr>
          <w:rFonts w:hint="eastAsia" w:ascii="仿宋" w:hAnsi="仿宋" w:eastAsia="仿宋" w:cs="仿宋"/>
          <w:color w:val="auto"/>
          <w:highlight w:val="none"/>
          <w:lang w:eastAsia="zh-CN"/>
        </w:rPr>
      </w:pPr>
    </w:p>
    <w:p w14:paraId="35332EB1">
      <w:pPr>
        <w:spacing w:line="242" w:lineRule="auto"/>
        <w:rPr>
          <w:rFonts w:hint="eastAsia" w:ascii="仿宋" w:hAnsi="仿宋" w:eastAsia="仿宋" w:cs="仿宋"/>
          <w:color w:val="auto"/>
          <w:highlight w:val="none"/>
          <w:lang w:eastAsia="zh-CN"/>
        </w:rPr>
      </w:pPr>
    </w:p>
    <w:p w14:paraId="079302AA">
      <w:pPr>
        <w:spacing w:line="242" w:lineRule="auto"/>
        <w:rPr>
          <w:rFonts w:hint="eastAsia" w:ascii="仿宋" w:hAnsi="仿宋" w:eastAsia="仿宋" w:cs="仿宋"/>
          <w:color w:val="auto"/>
          <w:highlight w:val="none"/>
          <w:lang w:eastAsia="zh-CN"/>
        </w:rPr>
      </w:pPr>
    </w:p>
    <w:p w14:paraId="2DD9D660">
      <w:pPr>
        <w:spacing w:line="242" w:lineRule="auto"/>
        <w:rPr>
          <w:rFonts w:hint="eastAsia" w:ascii="仿宋" w:hAnsi="仿宋" w:eastAsia="仿宋" w:cs="仿宋"/>
          <w:color w:val="auto"/>
          <w:highlight w:val="none"/>
          <w:lang w:eastAsia="zh-CN"/>
        </w:rPr>
      </w:pPr>
    </w:p>
    <w:p w14:paraId="1901F792">
      <w:pPr>
        <w:spacing w:line="242" w:lineRule="auto"/>
        <w:rPr>
          <w:rFonts w:hint="eastAsia" w:ascii="仿宋" w:hAnsi="仿宋" w:eastAsia="仿宋" w:cs="仿宋"/>
          <w:color w:val="auto"/>
          <w:highlight w:val="none"/>
          <w:lang w:eastAsia="zh-CN"/>
        </w:rPr>
      </w:pPr>
    </w:p>
    <w:p w14:paraId="7B835595">
      <w:pPr>
        <w:spacing w:line="242" w:lineRule="auto"/>
        <w:rPr>
          <w:rFonts w:hint="eastAsia" w:ascii="仿宋" w:hAnsi="仿宋" w:eastAsia="仿宋" w:cs="仿宋"/>
          <w:color w:val="auto"/>
          <w:highlight w:val="none"/>
          <w:lang w:eastAsia="zh-CN"/>
        </w:rPr>
      </w:pPr>
    </w:p>
    <w:p w14:paraId="78772225">
      <w:pPr>
        <w:spacing w:line="242" w:lineRule="auto"/>
        <w:rPr>
          <w:rFonts w:hint="eastAsia" w:ascii="仿宋" w:hAnsi="仿宋" w:eastAsia="仿宋" w:cs="仿宋"/>
          <w:color w:val="auto"/>
          <w:highlight w:val="none"/>
          <w:lang w:eastAsia="zh-CN"/>
        </w:rPr>
      </w:pPr>
    </w:p>
    <w:p w14:paraId="0D65F0BD">
      <w:pPr>
        <w:spacing w:line="242" w:lineRule="auto"/>
        <w:rPr>
          <w:rFonts w:hint="eastAsia" w:ascii="仿宋" w:hAnsi="仿宋" w:eastAsia="仿宋" w:cs="仿宋"/>
          <w:color w:val="auto"/>
          <w:highlight w:val="none"/>
          <w:lang w:eastAsia="zh-CN"/>
        </w:rPr>
      </w:pPr>
    </w:p>
    <w:p w14:paraId="1AD1298D">
      <w:pPr>
        <w:spacing w:line="242" w:lineRule="auto"/>
        <w:rPr>
          <w:rFonts w:hint="eastAsia" w:ascii="仿宋" w:hAnsi="仿宋" w:eastAsia="仿宋" w:cs="仿宋"/>
          <w:color w:val="auto"/>
          <w:highlight w:val="none"/>
          <w:lang w:eastAsia="zh-CN"/>
        </w:rPr>
      </w:pPr>
    </w:p>
    <w:p w14:paraId="6533C41D">
      <w:pPr>
        <w:spacing w:before="78" w:line="224" w:lineRule="auto"/>
        <w:ind w:left="122"/>
        <w:rPr>
          <w:rFonts w:hint="eastAsia" w:ascii="仿宋" w:hAnsi="仿宋" w:eastAsia="仿宋" w:cs="仿宋"/>
          <w:b/>
          <w:bCs/>
          <w:color w:val="auto"/>
          <w:spacing w:val="-8"/>
          <w:sz w:val="24"/>
          <w:szCs w:val="24"/>
          <w:highlight w:val="none"/>
          <w:lang w:eastAsia="zh-CN"/>
        </w:rPr>
      </w:pPr>
      <w:r>
        <w:rPr>
          <w:rFonts w:hint="eastAsia" w:ascii="仿宋" w:hAnsi="仿宋" w:eastAsia="仿宋" w:cs="仿宋"/>
          <w:b/>
          <w:bCs/>
          <w:color w:val="auto"/>
          <w:spacing w:val="-8"/>
          <w:sz w:val="24"/>
          <w:szCs w:val="24"/>
          <w:highlight w:val="none"/>
          <w:lang w:eastAsia="zh-CN"/>
        </w:rPr>
        <w:t>注：</w:t>
      </w:r>
    </w:p>
    <w:p w14:paraId="56A26A06">
      <w:pPr>
        <w:numPr>
          <w:ilvl w:val="0"/>
          <w:numId w:val="0"/>
        </w:numPr>
        <w:spacing w:before="78" w:line="224" w:lineRule="auto"/>
        <w:ind w:firstLine="468" w:firstLineChars="20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任何有选择或有条件的投标报价，或者表中某一包填写多个报价，均为无效报价。</w:t>
      </w:r>
    </w:p>
    <w:p w14:paraId="2684B5CC">
      <w:pPr>
        <w:numPr>
          <w:ilvl w:val="0"/>
          <w:numId w:val="0"/>
        </w:numPr>
        <w:spacing w:before="78" w:line="224" w:lineRule="auto"/>
        <w:ind w:firstLine="468" w:firstLineChars="20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2.下浮率不得高于15%（例如14%高于15%，16%低于15%，下浮率填写整数，不保留小数）。</w:t>
      </w:r>
    </w:p>
    <w:p w14:paraId="1BD18015">
      <w:pPr>
        <w:numPr>
          <w:ilvl w:val="0"/>
          <w:numId w:val="0"/>
        </w:numPr>
        <w:spacing w:before="78" w:line="224" w:lineRule="auto"/>
        <w:ind w:firstLine="468" w:firstLineChars="20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val="en-US" w:eastAsia="zh-CN"/>
        </w:rPr>
        <w:t>3.根据投标人填报的下浮率换算成折扣率计算价格分值，例如下浮率为20%，则折扣率为80%。</w:t>
      </w:r>
    </w:p>
    <w:p w14:paraId="14E32D4D">
      <w:pPr>
        <w:spacing w:before="177" w:line="220" w:lineRule="auto"/>
        <w:ind w:left="574"/>
        <w:rPr>
          <w:rFonts w:hint="eastAsia" w:ascii="仿宋" w:hAnsi="仿宋" w:eastAsia="仿宋" w:cs="仿宋"/>
          <w:color w:val="auto"/>
          <w:spacing w:val="-3"/>
          <w:sz w:val="24"/>
          <w:szCs w:val="24"/>
          <w:highlight w:val="none"/>
          <w:lang w:eastAsia="zh-CN"/>
        </w:rPr>
      </w:pPr>
    </w:p>
    <w:p w14:paraId="007ADF21">
      <w:pPr>
        <w:pageBreakBefore/>
        <w:spacing w:line="326" w:lineRule="auto"/>
        <w:rPr>
          <w:rFonts w:hint="eastAsia" w:ascii="仿宋" w:hAnsi="仿宋" w:eastAsia="仿宋" w:cs="仿宋"/>
          <w:color w:val="auto"/>
          <w:highlight w:val="none"/>
          <w:lang w:eastAsia="zh-CN"/>
        </w:rPr>
        <w:sectPr>
          <w:headerReference r:id="rId8" w:type="default"/>
          <w:footerReference r:id="rId9" w:type="default"/>
          <w:pgSz w:w="11906" w:h="16839"/>
          <w:pgMar w:top="1218" w:right="1416" w:bottom="1391" w:left="1560" w:header="865" w:footer="964" w:gutter="0"/>
          <w:pgNumType w:fmt="numberInDash"/>
          <w:cols w:space="720" w:num="1"/>
          <w:docGrid w:linePitch="286" w:charSpace="0"/>
        </w:sectPr>
      </w:pPr>
    </w:p>
    <w:p w14:paraId="04CEA7DE">
      <w:pPr>
        <w:numPr>
          <w:ilvl w:val="0"/>
          <w:numId w:val="12"/>
        </w:numPr>
        <w:spacing w:before="101" w:line="223" w:lineRule="auto"/>
        <w:ind w:left="5983"/>
        <w:outlineLvl w:val="1"/>
        <w:rPr>
          <w:rFonts w:hint="eastAsia" w:ascii="仿宋" w:hAnsi="仿宋" w:eastAsia="仿宋" w:cs="仿宋"/>
          <w:b/>
          <w:bCs/>
          <w:color w:val="auto"/>
          <w:spacing w:val="5"/>
          <w:sz w:val="31"/>
          <w:szCs w:val="31"/>
          <w:highlight w:val="none"/>
          <w:lang w:eastAsia="zh-CN"/>
        </w:rPr>
      </w:pPr>
      <w:bookmarkStart w:id="417" w:name="_Toc20570"/>
      <w:bookmarkStart w:id="418" w:name="_Toc186477810"/>
      <w:r>
        <w:rPr>
          <w:rFonts w:hint="eastAsia" w:ascii="仿宋" w:hAnsi="仿宋" w:eastAsia="仿宋" w:cs="仿宋"/>
          <w:b/>
          <w:bCs/>
          <w:color w:val="auto"/>
          <w:spacing w:val="5"/>
          <w:sz w:val="31"/>
          <w:szCs w:val="31"/>
          <w:highlight w:val="none"/>
          <w:lang w:eastAsia="zh-CN"/>
        </w:rPr>
        <w:t>报价明细表</w:t>
      </w:r>
      <w:bookmarkEnd w:id="417"/>
      <w:bookmarkEnd w:id="418"/>
    </w:p>
    <w:p w14:paraId="070AAFF1">
      <w:pPr>
        <w:spacing w:before="101" w:line="223" w:lineRule="auto"/>
        <w:rPr>
          <w:rFonts w:hint="eastAsia" w:ascii="仿宋" w:hAnsi="仿宋" w:eastAsia="仿宋" w:cs="仿宋"/>
          <w:b/>
          <w:bCs/>
          <w:color w:val="auto"/>
          <w:spacing w:val="5"/>
          <w:sz w:val="31"/>
          <w:szCs w:val="31"/>
          <w:highlight w:val="none"/>
          <w:lang w:eastAsia="zh-CN"/>
        </w:rPr>
      </w:pPr>
    </w:p>
    <w:p w14:paraId="400C69AE">
      <w:pPr>
        <w:pStyle w:val="12"/>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 xml:space="preserve">项目名称:              招标编号:         标项名称: 　 　              </w:t>
      </w:r>
    </w:p>
    <w:tbl>
      <w:tblPr>
        <w:tblStyle w:val="22"/>
        <w:tblW w:w="12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703"/>
        <w:gridCol w:w="1537"/>
        <w:gridCol w:w="1982"/>
        <w:gridCol w:w="878"/>
        <w:gridCol w:w="1891"/>
        <w:gridCol w:w="1891"/>
        <w:gridCol w:w="1891"/>
      </w:tblGrid>
      <w:tr w14:paraId="4D7B1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702" w:type="dxa"/>
            <w:noWrap/>
            <w:vAlign w:val="center"/>
          </w:tcPr>
          <w:p w14:paraId="373F0A77">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序号</w:t>
            </w:r>
          </w:p>
        </w:tc>
        <w:tc>
          <w:tcPr>
            <w:tcW w:w="1703" w:type="dxa"/>
            <w:noWrap/>
            <w:vAlign w:val="center"/>
          </w:tcPr>
          <w:p w14:paraId="08814383">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名称</w:t>
            </w:r>
          </w:p>
        </w:tc>
        <w:tc>
          <w:tcPr>
            <w:tcW w:w="1537" w:type="dxa"/>
            <w:noWrap/>
            <w:vAlign w:val="center"/>
          </w:tcPr>
          <w:p w14:paraId="6207A89E">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规格</w:t>
            </w:r>
          </w:p>
        </w:tc>
        <w:tc>
          <w:tcPr>
            <w:tcW w:w="1982" w:type="dxa"/>
            <w:noWrap/>
            <w:vAlign w:val="center"/>
          </w:tcPr>
          <w:p w14:paraId="5ADC9FCC">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品牌</w:t>
            </w:r>
          </w:p>
        </w:tc>
        <w:tc>
          <w:tcPr>
            <w:tcW w:w="878" w:type="dxa"/>
            <w:noWrap/>
            <w:vAlign w:val="center"/>
          </w:tcPr>
          <w:p w14:paraId="5CEB2C40">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数量</w:t>
            </w:r>
          </w:p>
        </w:tc>
        <w:tc>
          <w:tcPr>
            <w:tcW w:w="1891" w:type="dxa"/>
            <w:vAlign w:val="center"/>
          </w:tcPr>
          <w:p w14:paraId="450D769B">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产地</w:t>
            </w:r>
          </w:p>
        </w:tc>
        <w:tc>
          <w:tcPr>
            <w:tcW w:w="1891" w:type="dxa"/>
            <w:vAlign w:val="center"/>
          </w:tcPr>
          <w:p w14:paraId="308BEC9B">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制造商</w:t>
            </w:r>
          </w:p>
        </w:tc>
        <w:tc>
          <w:tcPr>
            <w:tcW w:w="1891" w:type="dxa"/>
            <w:vAlign w:val="center"/>
          </w:tcPr>
          <w:p w14:paraId="0300B70D">
            <w:pPr>
              <w:pStyle w:val="12"/>
              <w:spacing w:line="360" w:lineRule="auto"/>
              <w:jc w:val="center"/>
              <w:rPr>
                <w:rFonts w:hint="eastAsia" w:hAnsi="宋体" w:eastAsia="宋体" w:cs="宋体"/>
                <w:szCs w:val="21"/>
                <w:highlight w:val="none"/>
                <w:lang w:eastAsia="zh-CN" w:bidi="ar"/>
              </w:rPr>
            </w:pPr>
            <w:r>
              <w:rPr>
                <w:rFonts w:hint="eastAsia" w:hAnsi="宋体" w:eastAsia="宋体" w:cs="宋体"/>
                <w:szCs w:val="21"/>
                <w:highlight w:val="none"/>
                <w:lang w:eastAsia="zh-CN" w:bidi="ar"/>
              </w:rPr>
              <w:t>备注</w:t>
            </w:r>
          </w:p>
        </w:tc>
      </w:tr>
      <w:tr w14:paraId="55B7A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7597758">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w:t>
            </w:r>
          </w:p>
        </w:tc>
        <w:tc>
          <w:tcPr>
            <w:tcW w:w="1703" w:type="dxa"/>
            <w:noWrap/>
            <w:vAlign w:val="center"/>
          </w:tcPr>
          <w:p w14:paraId="0E441F6C">
            <w:pPr>
              <w:spacing w:line="560" w:lineRule="auto"/>
              <w:jc w:val="center"/>
              <w:rPr>
                <w:rFonts w:hint="eastAsia" w:ascii="宋体" w:hAnsi="宋体" w:eastAsia="宋体"/>
                <w:color w:val="auto"/>
                <w:highlight w:val="none"/>
              </w:rPr>
            </w:pPr>
            <w:r>
              <w:rPr>
                <w:rFonts w:ascii="宋体" w:hAnsi="宋体" w:eastAsia="宋体" w:cs="宋体"/>
                <w:color w:val="auto"/>
                <w:sz w:val="18"/>
                <w:highlight w:val="none"/>
              </w:rPr>
              <w:t>酱 油</w:t>
            </w:r>
          </w:p>
        </w:tc>
        <w:tc>
          <w:tcPr>
            <w:tcW w:w="1537" w:type="dxa"/>
            <w:noWrap/>
            <w:vAlign w:val="center"/>
          </w:tcPr>
          <w:p w14:paraId="66762B67">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件</w:t>
            </w:r>
          </w:p>
        </w:tc>
        <w:tc>
          <w:tcPr>
            <w:tcW w:w="1982" w:type="dxa"/>
            <w:noWrap/>
            <w:vAlign w:val="center"/>
          </w:tcPr>
          <w:p w14:paraId="5E6BFEF5">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020F676">
            <w:pPr>
              <w:pStyle w:val="12"/>
              <w:spacing w:line="360" w:lineRule="auto"/>
              <w:jc w:val="center"/>
              <w:rPr>
                <w:rFonts w:hint="eastAsia" w:hAnsi="宋体" w:eastAsia="宋体"/>
                <w:color w:val="auto"/>
                <w:szCs w:val="21"/>
                <w:highlight w:val="none"/>
                <w:lang w:eastAsia="zh-CN"/>
              </w:rPr>
            </w:pPr>
            <w:r>
              <w:rPr>
                <w:rFonts w:hint="eastAsia" w:hAnsi="宋体" w:eastAsia="宋体"/>
                <w:color w:val="auto"/>
                <w:szCs w:val="21"/>
                <w:highlight w:val="none"/>
                <w:lang w:eastAsia="zh-CN"/>
              </w:rPr>
              <w:t>1</w:t>
            </w:r>
          </w:p>
        </w:tc>
        <w:tc>
          <w:tcPr>
            <w:tcW w:w="1891" w:type="dxa"/>
            <w:vAlign w:val="center"/>
          </w:tcPr>
          <w:p w14:paraId="3B9BF79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9754253">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27E6363">
            <w:pPr>
              <w:pStyle w:val="12"/>
              <w:spacing w:line="360" w:lineRule="auto"/>
              <w:rPr>
                <w:rFonts w:hint="eastAsia" w:hAnsi="宋体" w:eastAsia="宋体" w:cs="宋体"/>
                <w:szCs w:val="21"/>
                <w:highlight w:val="none"/>
                <w:lang w:eastAsia="zh-CN"/>
              </w:rPr>
            </w:pPr>
          </w:p>
        </w:tc>
      </w:tr>
      <w:tr w14:paraId="3CB4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0EBC57F">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2</w:t>
            </w:r>
          </w:p>
        </w:tc>
        <w:tc>
          <w:tcPr>
            <w:tcW w:w="1703" w:type="dxa"/>
            <w:noWrap/>
            <w:vAlign w:val="center"/>
          </w:tcPr>
          <w:p w14:paraId="70044485">
            <w:pPr>
              <w:spacing w:line="560" w:lineRule="auto"/>
              <w:jc w:val="center"/>
              <w:rPr>
                <w:rFonts w:hint="eastAsia" w:ascii="宋体" w:hAnsi="宋体" w:eastAsia="宋体"/>
                <w:color w:val="auto"/>
                <w:highlight w:val="none"/>
              </w:rPr>
            </w:pPr>
            <w:r>
              <w:rPr>
                <w:rFonts w:ascii="宋体" w:hAnsi="宋体" w:eastAsia="宋体" w:cs="宋体"/>
                <w:color w:val="auto"/>
                <w:sz w:val="18"/>
                <w:highlight w:val="none"/>
              </w:rPr>
              <w:t>醋</w:t>
            </w:r>
          </w:p>
        </w:tc>
        <w:tc>
          <w:tcPr>
            <w:tcW w:w="1537" w:type="dxa"/>
            <w:noWrap/>
            <w:vAlign w:val="center"/>
          </w:tcPr>
          <w:p w14:paraId="6EC582AC">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件</w:t>
            </w:r>
          </w:p>
        </w:tc>
        <w:tc>
          <w:tcPr>
            <w:tcW w:w="1982" w:type="dxa"/>
            <w:noWrap/>
            <w:vAlign w:val="center"/>
          </w:tcPr>
          <w:p w14:paraId="2A32FC7E">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010D38EE">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734DBD0D">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85A9D94">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75BED8B">
            <w:pPr>
              <w:pStyle w:val="12"/>
              <w:spacing w:line="360" w:lineRule="auto"/>
              <w:rPr>
                <w:rFonts w:hint="eastAsia" w:hAnsi="宋体" w:eastAsia="宋体" w:cs="宋体"/>
                <w:szCs w:val="21"/>
                <w:highlight w:val="none"/>
                <w:lang w:eastAsia="zh-CN"/>
              </w:rPr>
            </w:pPr>
          </w:p>
        </w:tc>
      </w:tr>
      <w:tr w14:paraId="5452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774B70BD">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3</w:t>
            </w:r>
          </w:p>
        </w:tc>
        <w:tc>
          <w:tcPr>
            <w:tcW w:w="1703" w:type="dxa"/>
            <w:noWrap/>
            <w:vAlign w:val="center"/>
          </w:tcPr>
          <w:p w14:paraId="243107BC">
            <w:pPr>
              <w:spacing w:line="560" w:lineRule="auto"/>
              <w:jc w:val="center"/>
              <w:rPr>
                <w:rFonts w:hint="eastAsia" w:ascii="宋体" w:hAnsi="宋体" w:eastAsia="宋体"/>
                <w:color w:val="auto"/>
                <w:highlight w:val="none"/>
                <w:lang w:eastAsia="zh-CN"/>
              </w:rPr>
            </w:pPr>
            <w:r>
              <w:rPr>
                <w:rFonts w:ascii="宋体" w:hAnsi="宋体" w:eastAsia="宋体" w:cs="宋体"/>
                <w:color w:val="auto"/>
                <w:sz w:val="18"/>
                <w:highlight w:val="none"/>
              </w:rPr>
              <w:t>豆  腐</w:t>
            </w:r>
          </w:p>
        </w:tc>
        <w:tc>
          <w:tcPr>
            <w:tcW w:w="1537" w:type="dxa"/>
            <w:noWrap/>
            <w:vAlign w:val="center"/>
          </w:tcPr>
          <w:p w14:paraId="0802818E">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6330D849">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63E64F18">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15753F1C">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E02E48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005A9DE">
            <w:pPr>
              <w:rPr>
                <w:rFonts w:hint="eastAsia" w:ascii="宋体" w:hAnsi="宋体" w:eastAsia="宋体" w:cs="宋体"/>
                <w:highlight w:val="none"/>
                <w:lang w:eastAsia="zh-CN"/>
              </w:rPr>
            </w:pPr>
          </w:p>
        </w:tc>
      </w:tr>
      <w:tr w14:paraId="65FF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7CB36245">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4</w:t>
            </w:r>
          </w:p>
        </w:tc>
        <w:tc>
          <w:tcPr>
            <w:tcW w:w="1703" w:type="dxa"/>
            <w:noWrap/>
            <w:vAlign w:val="center"/>
          </w:tcPr>
          <w:p w14:paraId="08CDDD7E">
            <w:pPr>
              <w:spacing w:line="560" w:lineRule="auto"/>
              <w:jc w:val="center"/>
              <w:rPr>
                <w:rFonts w:hint="eastAsia" w:ascii="宋体" w:hAnsi="宋体" w:eastAsia="宋体"/>
                <w:color w:val="auto"/>
                <w:highlight w:val="none"/>
                <w:lang w:eastAsia="zh-CN"/>
              </w:rPr>
            </w:pPr>
            <w:r>
              <w:rPr>
                <w:rFonts w:ascii="宋体" w:hAnsi="宋体" w:eastAsia="宋体" w:cs="宋体"/>
                <w:color w:val="auto"/>
                <w:sz w:val="18"/>
                <w:highlight w:val="none"/>
              </w:rPr>
              <w:t>花椒粉（粒）</w:t>
            </w:r>
          </w:p>
        </w:tc>
        <w:tc>
          <w:tcPr>
            <w:tcW w:w="1537" w:type="dxa"/>
            <w:noWrap/>
            <w:vAlign w:val="center"/>
          </w:tcPr>
          <w:p w14:paraId="5CB6D7F4">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6D8799C8">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06238E50">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1D1741E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047B5D3">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A172C00">
            <w:pPr>
              <w:rPr>
                <w:rFonts w:hint="eastAsia" w:ascii="宋体" w:hAnsi="宋体" w:eastAsia="宋体" w:cs="宋体"/>
                <w:highlight w:val="none"/>
                <w:lang w:eastAsia="zh-CN"/>
              </w:rPr>
            </w:pPr>
          </w:p>
        </w:tc>
      </w:tr>
      <w:tr w14:paraId="512B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290242A3">
            <w:pPr>
              <w:pStyle w:val="12"/>
              <w:spacing w:line="360" w:lineRule="auto"/>
              <w:jc w:val="center"/>
              <w:rPr>
                <w:rFonts w:hint="eastAsia" w:hAnsi="宋体" w:eastAsia="宋体"/>
                <w:color w:val="auto"/>
                <w:szCs w:val="21"/>
                <w:highlight w:val="none"/>
                <w:lang w:eastAsia="zh-CN"/>
              </w:rPr>
            </w:pPr>
            <w:r>
              <w:rPr>
                <w:rFonts w:hint="eastAsia" w:hAnsi="宋体" w:eastAsia="宋体" w:cs="宋体"/>
                <w:szCs w:val="21"/>
                <w:highlight w:val="none"/>
              </w:rPr>
              <w:t>5</w:t>
            </w:r>
          </w:p>
        </w:tc>
        <w:tc>
          <w:tcPr>
            <w:tcW w:w="1703" w:type="dxa"/>
            <w:noWrap/>
            <w:vAlign w:val="center"/>
          </w:tcPr>
          <w:p w14:paraId="56C3264E">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味  精</w:t>
            </w:r>
          </w:p>
        </w:tc>
        <w:tc>
          <w:tcPr>
            <w:tcW w:w="1537" w:type="dxa"/>
            <w:noWrap/>
            <w:vAlign w:val="center"/>
          </w:tcPr>
          <w:p w14:paraId="17A155EE">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236A4BE7">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3FEE987C">
            <w:pPr>
              <w:pStyle w:val="12"/>
              <w:spacing w:line="360" w:lineRule="auto"/>
              <w:jc w:val="center"/>
              <w:rPr>
                <w:rFonts w:hint="default" w:ascii="宋体" w:hAnsi="宋体" w:eastAsia="宋体" w:cs="Arial"/>
                <w:color w:val="auto"/>
                <w:szCs w:val="21"/>
                <w:highlight w:val="none"/>
                <w:lang w:val="en-US" w:eastAsia="zh-CN"/>
              </w:rPr>
            </w:pPr>
            <w:r>
              <w:rPr>
                <w:rFonts w:hint="eastAsia" w:ascii="宋体" w:hAnsi="宋体" w:eastAsia="宋体" w:cs="Arial"/>
                <w:color w:val="auto"/>
                <w:szCs w:val="21"/>
                <w:highlight w:val="none"/>
                <w:lang w:val="en-US" w:eastAsia="zh-CN"/>
              </w:rPr>
              <w:t>1</w:t>
            </w:r>
          </w:p>
        </w:tc>
        <w:tc>
          <w:tcPr>
            <w:tcW w:w="1891" w:type="dxa"/>
            <w:vAlign w:val="center"/>
          </w:tcPr>
          <w:p w14:paraId="3F5CB66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2CE295D">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A15CB79">
            <w:pPr>
              <w:pStyle w:val="12"/>
              <w:spacing w:line="360" w:lineRule="auto"/>
              <w:rPr>
                <w:rFonts w:hint="eastAsia" w:hAnsi="宋体" w:eastAsia="宋体" w:cs="宋体"/>
                <w:szCs w:val="21"/>
                <w:highlight w:val="none"/>
                <w:lang w:eastAsia="zh-CN"/>
              </w:rPr>
            </w:pPr>
          </w:p>
        </w:tc>
      </w:tr>
      <w:tr w14:paraId="2782B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140C0868">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6</w:t>
            </w:r>
          </w:p>
        </w:tc>
        <w:tc>
          <w:tcPr>
            <w:tcW w:w="1703" w:type="dxa"/>
            <w:noWrap/>
            <w:vAlign w:val="center"/>
          </w:tcPr>
          <w:p w14:paraId="2CAB42CB">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八  角</w:t>
            </w:r>
          </w:p>
        </w:tc>
        <w:tc>
          <w:tcPr>
            <w:tcW w:w="1537" w:type="dxa"/>
            <w:noWrap/>
            <w:vAlign w:val="center"/>
          </w:tcPr>
          <w:p w14:paraId="412E2463">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2236BE1D">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29281157">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012DEFEE">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A5A2F3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0D21BD6">
            <w:pPr>
              <w:rPr>
                <w:rFonts w:hint="eastAsia" w:ascii="宋体" w:hAnsi="宋体" w:eastAsia="宋体" w:cs="宋体"/>
                <w:highlight w:val="none"/>
                <w:lang w:eastAsia="zh-CN"/>
              </w:rPr>
            </w:pPr>
          </w:p>
        </w:tc>
      </w:tr>
      <w:tr w14:paraId="5A6B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5BD847D6">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7</w:t>
            </w:r>
          </w:p>
        </w:tc>
        <w:tc>
          <w:tcPr>
            <w:tcW w:w="1703" w:type="dxa"/>
            <w:noWrap/>
            <w:vAlign w:val="center"/>
          </w:tcPr>
          <w:p w14:paraId="1348C26C">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姜  粉</w:t>
            </w:r>
          </w:p>
        </w:tc>
        <w:tc>
          <w:tcPr>
            <w:tcW w:w="1537" w:type="dxa"/>
            <w:noWrap/>
            <w:vAlign w:val="center"/>
          </w:tcPr>
          <w:p w14:paraId="69576F5D">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5A584396">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0725B48D">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4C8C3DA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B25B42A">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07D8534">
            <w:pPr>
              <w:rPr>
                <w:rFonts w:hint="eastAsia" w:ascii="宋体" w:hAnsi="宋体" w:eastAsia="宋体" w:cs="宋体"/>
                <w:highlight w:val="none"/>
                <w:lang w:eastAsia="zh-CN"/>
              </w:rPr>
            </w:pPr>
          </w:p>
        </w:tc>
      </w:tr>
      <w:tr w14:paraId="38AD2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76F6242F">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8</w:t>
            </w:r>
          </w:p>
        </w:tc>
        <w:tc>
          <w:tcPr>
            <w:tcW w:w="1703" w:type="dxa"/>
            <w:noWrap/>
            <w:vAlign w:val="center"/>
          </w:tcPr>
          <w:p w14:paraId="7ED0CC9E">
            <w:pPr>
              <w:spacing w:line="560" w:lineRule="auto"/>
              <w:jc w:val="center"/>
              <w:rPr>
                <w:rFonts w:hint="eastAsia" w:ascii="宋体" w:hAnsi="宋体" w:eastAsia="宋体" w:cs="宋体"/>
                <w:color w:val="auto"/>
                <w:sz w:val="18"/>
                <w:highlight w:val="none"/>
              </w:rPr>
            </w:pPr>
            <w:r>
              <w:rPr>
                <w:rFonts w:ascii="宋体" w:hAnsi="宋体" w:eastAsia="宋体" w:cs="宋体"/>
                <w:color w:val="auto"/>
                <w:sz w:val="18"/>
                <w:highlight w:val="none"/>
              </w:rPr>
              <w:t>红油</w:t>
            </w:r>
          </w:p>
          <w:p w14:paraId="41229D32">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豆瓣酱</w:t>
            </w:r>
          </w:p>
        </w:tc>
        <w:tc>
          <w:tcPr>
            <w:tcW w:w="1537" w:type="dxa"/>
            <w:noWrap/>
            <w:vAlign w:val="center"/>
          </w:tcPr>
          <w:p w14:paraId="67EE8BEB">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桶</w:t>
            </w:r>
          </w:p>
        </w:tc>
        <w:tc>
          <w:tcPr>
            <w:tcW w:w="1982" w:type="dxa"/>
            <w:noWrap/>
            <w:vAlign w:val="center"/>
          </w:tcPr>
          <w:p w14:paraId="457AA604">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0D3FB3A9">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5FDC0374">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67D67AA">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3FE9529">
            <w:pPr>
              <w:pStyle w:val="12"/>
              <w:spacing w:line="360" w:lineRule="auto"/>
              <w:rPr>
                <w:rFonts w:hint="eastAsia" w:hAnsi="宋体" w:eastAsia="宋体" w:cs="宋体"/>
                <w:szCs w:val="21"/>
                <w:highlight w:val="none"/>
                <w:lang w:eastAsia="zh-CN"/>
              </w:rPr>
            </w:pPr>
          </w:p>
        </w:tc>
      </w:tr>
      <w:tr w14:paraId="0A0A5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669B6A77">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9</w:t>
            </w:r>
          </w:p>
        </w:tc>
        <w:tc>
          <w:tcPr>
            <w:tcW w:w="1703" w:type="dxa"/>
            <w:noWrap/>
            <w:vAlign w:val="center"/>
          </w:tcPr>
          <w:p w14:paraId="73503C75">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粉  条</w:t>
            </w:r>
          </w:p>
        </w:tc>
        <w:tc>
          <w:tcPr>
            <w:tcW w:w="1537" w:type="dxa"/>
            <w:noWrap/>
            <w:vAlign w:val="center"/>
          </w:tcPr>
          <w:p w14:paraId="682C3D8D">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04423D8B">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C3F9F83">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2FD75043">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22EF4ED">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E771918">
            <w:pPr>
              <w:rPr>
                <w:rFonts w:hint="eastAsia" w:ascii="宋体" w:hAnsi="宋体" w:eastAsia="宋体" w:cs="宋体"/>
                <w:highlight w:val="none"/>
                <w:lang w:eastAsia="zh-CN"/>
              </w:rPr>
            </w:pPr>
          </w:p>
        </w:tc>
      </w:tr>
      <w:tr w14:paraId="49C4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AC11287">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10</w:t>
            </w:r>
          </w:p>
        </w:tc>
        <w:tc>
          <w:tcPr>
            <w:tcW w:w="1703" w:type="dxa"/>
            <w:noWrap/>
            <w:vAlign w:val="center"/>
          </w:tcPr>
          <w:p w14:paraId="6BF093F1">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干木耳</w:t>
            </w:r>
          </w:p>
        </w:tc>
        <w:tc>
          <w:tcPr>
            <w:tcW w:w="1537" w:type="dxa"/>
            <w:noWrap/>
            <w:vAlign w:val="center"/>
          </w:tcPr>
          <w:p w14:paraId="076868A9">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4B83C248">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8C1286A">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45381F5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516DBE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8FE95C4">
            <w:pPr>
              <w:rPr>
                <w:rFonts w:hint="eastAsia" w:ascii="宋体" w:hAnsi="宋体" w:eastAsia="宋体" w:cs="宋体"/>
                <w:highlight w:val="none"/>
                <w:lang w:eastAsia="zh-CN"/>
              </w:rPr>
            </w:pPr>
          </w:p>
        </w:tc>
      </w:tr>
      <w:tr w14:paraId="78F1A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C045214">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11</w:t>
            </w:r>
          </w:p>
        </w:tc>
        <w:tc>
          <w:tcPr>
            <w:tcW w:w="1703" w:type="dxa"/>
            <w:noWrap/>
            <w:vAlign w:val="center"/>
          </w:tcPr>
          <w:p w14:paraId="1CCD7B9F">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红  糖</w:t>
            </w:r>
          </w:p>
        </w:tc>
        <w:tc>
          <w:tcPr>
            <w:tcW w:w="1537" w:type="dxa"/>
            <w:noWrap/>
            <w:vAlign w:val="center"/>
          </w:tcPr>
          <w:p w14:paraId="120C38A3">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79E58FB1">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6C66844">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349AF95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85CED4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0069E3E">
            <w:pPr>
              <w:rPr>
                <w:rFonts w:hint="eastAsia" w:ascii="宋体" w:hAnsi="宋体" w:eastAsia="宋体" w:cs="宋体"/>
                <w:highlight w:val="none"/>
                <w:lang w:eastAsia="zh-CN"/>
              </w:rPr>
            </w:pPr>
          </w:p>
        </w:tc>
      </w:tr>
      <w:tr w14:paraId="2A21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69103885">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12</w:t>
            </w:r>
          </w:p>
        </w:tc>
        <w:tc>
          <w:tcPr>
            <w:tcW w:w="1703" w:type="dxa"/>
            <w:noWrap/>
            <w:vAlign w:val="center"/>
          </w:tcPr>
          <w:p w14:paraId="2E552CBF">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砖  茶</w:t>
            </w:r>
          </w:p>
        </w:tc>
        <w:tc>
          <w:tcPr>
            <w:tcW w:w="1537" w:type="dxa"/>
            <w:noWrap/>
            <w:vAlign w:val="center"/>
          </w:tcPr>
          <w:p w14:paraId="14A25A7B">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块</w:t>
            </w:r>
          </w:p>
        </w:tc>
        <w:tc>
          <w:tcPr>
            <w:tcW w:w="1982" w:type="dxa"/>
            <w:noWrap/>
            <w:vAlign w:val="center"/>
          </w:tcPr>
          <w:p w14:paraId="3375D1EA">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4A02BE72">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6650FD58">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C14025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6A9C61A">
            <w:pPr>
              <w:rPr>
                <w:rFonts w:hint="eastAsia" w:ascii="宋体" w:hAnsi="宋体" w:eastAsia="宋体" w:cs="宋体"/>
                <w:highlight w:val="none"/>
                <w:lang w:eastAsia="zh-CN"/>
              </w:rPr>
            </w:pPr>
          </w:p>
        </w:tc>
      </w:tr>
      <w:tr w14:paraId="10DE9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67948B9D">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13</w:t>
            </w:r>
          </w:p>
        </w:tc>
        <w:tc>
          <w:tcPr>
            <w:tcW w:w="1703" w:type="dxa"/>
            <w:noWrap/>
            <w:vAlign w:val="center"/>
          </w:tcPr>
          <w:p w14:paraId="48BCF813">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紫  菜</w:t>
            </w:r>
          </w:p>
        </w:tc>
        <w:tc>
          <w:tcPr>
            <w:tcW w:w="1537" w:type="dxa"/>
            <w:noWrap/>
            <w:vAlign w:val="center"/>
          </w:tcPr>
          <w:p w14:paraId="1485DC47">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件</w:t>
            </w:r>
          </w:p>
        </w:tc>
        <w:tc>
          <w:tcPr>
            <w:tcW w:w="1982" w:type="dxa"/>
            <w:noWrap/>
            <w:vAlign w:val="center"/>
          </w:tcPr>
          <w:p w14:paraId="6E604E6E">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FADCC77">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4989F0D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BE9021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502A0C6">
            <w:pPr>
              <w:rPr>
                <w:rFonts w:hint="eastAsia" w:ascii="宋体" w:hAnsi="宋体" w:eastAsia="宋体" w:cs="宋体"/>
                <w:highlight w:val="none"/>
                <w:lang w:eastAsia="zh-CN"/>
              </w:rPr>
            </w:pPr>
          </w:p>
        </w:tc>
      </w:tr>
      <w:tr w14:paraId="5719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5BBA892">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14</w:t>
            </w:r>
          </w:p>
        </w:tc>
        <w:tc>
          <w:tcPr>
            <w:tcW w:w="1703" w:type="dxa"/>
            <w:noWrap/>
            <w:vAlign w:val="center"/>
          </w:tcPr>
          <w:p w14:paraId="4B3EBCE2">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发酵粉</w:t>
            </w:r>
          </w:p>
        </w:tc>
        <w:tc>
          <w:tcPr>
            <w:tcW w:w="1537" w:type="dxa"/>
            <w:noWrap/>
            <w:vAlign w:val="center"/>
          </w:tcPr>
          <w:p w14:paraId="40E10DC2">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件</w:t>
            </w:r>
          </w:p>
        </w:tc>
        <w:tc>
          <w:tcPr>
            <w:tcW w:w="1982" w:type="dxa"/>
            <w:noWrap/>
            <w:vAlign w:val="center"/>
          </w:tcPr>
          <w:p w14:paraId="14D99549">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A40C1C5">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2156A1DF">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38CB2DE">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7B6B3BC">
            <w:pPr>
              <w:pStyle w:val="12"/>
              <w:spacing w:line="360" w:lineRule="auto"/>
              <w:rPr>
                <w:rFonts w:hint="eastAsia" w:ascii="宋体" w:hAnsi="宋体" w:eastAsia="宋体" w:cs="宋体"/>
                <w:highlight w:val="none"/>
                <w:lang w:eastAsia="zh-CN"/>
              </w:rPr>
            </w:pPr>
          </w:p>
        </w:tc>
      </w:tr>
      <w:tr w14:paraId="1192D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1A6EAC4F">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15</w:t>
            </w:r>
          </w:p>
        </w:tc>
        <w:tc>
          <w:tcPr>
            <w:tcW w:w="1703" w:type="dxa"/>
            <w:noWrap/>
            <w:vAlign w:val="center"/>
          </w:tcPr>
          <w:p w14:paraId="22D505E1">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西红柿酱</w:t>
            </w:r>
          </w:p>
        </w:tc>
        <w:tc>
          <w:tcPr>
            <w:tcW w:w="1537" w:type="dxa"/>
            <w:noWrap/>
            <w:vAlign w:val="center"/>
          </w:tcPr>
          <w:p w14:paraId="614F3E89">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桶</w:t>
            </w:r>
          </w:p>
        </w:tc>
        <w:tc>
          <w:tcPr>
            <w:tcW w:w="1982" w:type="dxa"/>
            <w:noWrap/>
            <w:vAlign w:val="center"/>
          </w:tcPr>
          <w:p w14:paraId="381EF7A5">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70F41AC">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3F5716F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B18AD0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CB33206">
            <w:pPr>
              <w:pStyle w:val="12"/>
              <w:spacing w:line="360" w:lineRule="auto"/>
              <w:rPr>
                <w:rFonts w:hint="eastAsia" w:hAnsi="宋体" w:eastAsia="宋体" w:cs="宋体"/>
                <w:szCs w:val="21"/>
                <w:highlight w:val="none"/>
                <w:lang w:eastAsia="zh-CN"/>
              </w:rPr>
            </w:pPr>
          </w:p>
        </w:tc>
      </w:tr>
      <w:tr w14:paraId="76AF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A6B0789">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16</w:t>
            </w:r>
          </w:p>
        </w:tc>
        <w:tc>
          <w:tcPr>
            <w:tcW w:w="1703" w:type="dxa"/>
            <w:noWrap/>
            <w:vAlign w:val="center"/>
          </w:tcPr>
          <w:p w14:paraId="070CDEC0">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绿豆</w:t>
            </w:r>
          </w:p>
        </w:tc>
        <w:tc>
          <w:tcPr>
            <w:tcW w:w="1537" w:type="dxa"/>
            <w:noWrap/>
            <w:vAlign w:val="center"/>
          </w:tcPr>
          <w:p w14:paraId="13CA2646">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4D2AF996">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04B5C524">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4C589AC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E3737B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76206E8">
            <w:pPr>
              <w:rPr>
                <w:rFonts w:hint="eastAsia" w:hAnsi="宋体" w:eastAsia="宋体" w:cs="宋体"/>
                <w:szCs w:val="21"/>
                <w:highlight w:val="none"/>
                <w:lang w:eastAsia="zh-CN"/>
              </w:rPr>
            </w:pPr>
          </w:p>
        </w:tc>
      </w:tr>
      <w:tr w14:paraId="1D431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FE921EF">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rPr>
              <w:t>1</w:t>
            </w:r>
            <w:r>
              <w:rPr>
                <w:rFonts w:hint="eastAsia" w:hAnsi="宋体" w:eastAsia="宋体" w:cs="宋体"/>
                <w:szCs w:val="21"/>
                <w:highlight w:val="none"/>
                <w:lang w:eastAsia="zh-CN"/>
              </w:rPr>
              <w:t>7</w:t>
            </w:r>
          </w:p>
        </w:tc>
        <w:tc>
          <w:tcPr>
            <w:tcW w:w="1703" w:type="dxa"/>
            <w:noWrap/>
            <w:vAlign w:val="center"/>
          </w:tcPr>
          <w:p w14:paraId="3DC7B90C">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淀粉</w:t>
            </w:r>
          </w:p>
        </w:tc>
        <w:tc>
          <w:tcPr>
            <w:tcW w:w="1537" w:type="dxa"/>
            <w:noWrap/>
            <w:vAlign w:val="center"/>
          </w:tcPr>
          <w:p w14:paraId="3212D86D">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1805A9FD">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2C5700F7">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20CCC419">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A8BA7AE">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AACABAF">
            <w:pPr>
              <w:rPr>
                <w:rFonts w:hint="eastAsia" w:ascii="宋体" w:hAnsi="宋体" w:eastAsia="宋体" w:cs="宋体"/>
                <w:highlight w:val="none"/>
                <w:lang w:eastAsia="zh-CN"/>
              </w:rPr>
            </w:pPr>
          </w:p>
        </w:tc>
      </w:tr>
      <w:tr w14:paraId="43071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325CE770">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18</w:t>
            </w:r>
          </w:p>
        </w:tc>
        <w:tc>
          <w:tcPr>
            <w:tcW w:w="1703" w:type="dxa"/>
            <w:noWrap/>
            <w:vAlign w:val="center"/>
          </w:tcPr>
          <w:p w14:paraId="312770FB">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鸡精</w:t>
            </w:r>
          </w:p>
        </w:tc>
        <w:tc>
          <w:tcPr>
            <w:tcW w:w="1537" w:type="dxa"/>
            <w:noWrap/>
            <w:vAlign w:val="center"/>
          </w:tcPr>
          <w:p w14:paraId="512616FD">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3D4CBE87">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443619FC">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6A8FA353">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3798BA2">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8EE8F96">
            <w:pPr>
              <w:rPr>
                <w:rFonts w:hint="eastAsia" w:ascii="宋体" w:hAnsi="宋体" w:eastAsia="宋体" w:cs="宋体"/>
                <w:highlight w:val="none"/>
                <w:lang w:eastAsia="zh-CN"/>
              </w:rPr>
            </w:pPr>
          </w:p>
        </w:tc>
      </w:tr>
      <w:tr w14:paraId="46B2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201AD5C">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19</w:t>
            </w:r>
          </w:p>
        </w:tc>
        <w:tc>
          <w:tcPr>
            <w:tcW w:w="1703" w:type="dxa"/>
            <w:noWrap/>
            <w:vAlign w:val="center"/>
          </w:tcPr>
          <w:p w14:paraId="15644677">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榨菜</w:t>
            </w:r>
          </w:p>
        </w:tc>
        <w:tc>
          <w:tcPr>
            <w:tcW w:w="1537" w:type="dxa"/>
            <w:noWrap/>
            <w:vAlign w:val="center"/>
          </w:tcPr>
          <w:p w14:paraId="42F004DF">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件</w:t>
            </w:r>
          </w:p>
        </w:tc>
        <w:tc>
          <w:tcPr>
            <w:tcW w:w="1982" w:type="dxa"/>
            <w:noWrap/>
            <w:vAlign w:val="center"/>
          </w:tcPr>
          <w:p w14:paraId="0CF7ADFD">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4DA879F">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1E91A7E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4E2BA7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917F22C">
            <w:pPr>
              <w:rPr>
                <w:rFonts w:hint="eastAsia" w:ascii="宋体" w:hAnsi="宋体" w:eastAsia="宋体" w:cs="宋体"/>
                <w:highlight w:val="none"/>
                <w:lang w:eastAsia="zh-CN"/>
              </w:rPr>
            </w:pPr>
          </w:p>
        </w:tc>
      </w:tr>
      <w:tr w14:paraId="7675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0B65F23">
            <w:pPr>
              <w:pStyle w:val="12"/>
              <w:spacing w:line="360" w:lineRule="auto"/>
              <w:jc w:val="center"/>
              <w:rPr>
                <w:rFonts w:hint="eastAsia" w:hAnsi="宋体" w:eastAsia="宋体"/>
                <w:color w:val="auto"/>
                <w:szCs w:val="21"/>
                <w:highlight w:val="none"/>
              </w:rPr>
            </w:pPr>
            <w:r>
              <w:rPr>
                <w:rFonts w:hint="eastAsia" w:hAnsi="宋体" w:eastAsia="宋体" w:cs="宋体"/>
                <w:szCs w:val="21"/>
                <w:highlight w:val="none"/>
                <w:lang w:eastAsia="zh-CN"/>
              </w:rPr>
              <w:t>20</w:t>
            </w:r>
          </w:p>
        </w:tc>
        <w:tc>
          <w:tcPr>
            <w:tcW w:w="1703" w:type="dxa"/>
            <w:noWrap/>
            <w:vAlign w:val="center"/>
          </w:tcPr>
          <w:p w14:paraId="2F6CAB71">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芝麻</w:t>
            </w:r>
          </w:p>
        </w:tc>
        <w:tc>
          <w:tcPr>
            <w:tcW w:w="1537" w:type="dxa"/>
            <w:noWrap/>
            <w:vAlign w:val="center"/>
          </w:tcPr>
          <w:p w14:paraId="76F9CCD6">
            <w:pPr>
              <w:spacing w:line="560" w:lineRule="auto"/>
              <w:jc w:val="center"/>
              <w:rPr>
                <w:rFonts w:hint="eastAsia" w:hAnsi="宋体" w:eastAsia="宋体"/>
                <w:color w:val="auto"/>
                <w:szCs w:val="21"/>
                <w:highlight w:val="none"/>
              </w:rPr>
            </w:pPr>
            <w:r>
              <w:rPr>
                <w:rFonts w:ascii="宋体" w:hAnsi="宋体" w:eastAsia="宋体" w:cs="宋体"/>
                <w:color w:val="auto"/>
                <w:sz w:val="18"/>
                <w:highlight w:val="none"/>
              </w:rPr>
              <w:t>公斤</w:t>
            </w:r>
          </w:p>
        </w:tc>
        <w:tc>
          <w:tcPr>
            <w:tcW w:w="1982" w:type="dxa"/>
            <w:noWrap/>
            <w:vAlign w:val="center"/>
          </w:tcPr>
          <w:p w14:paraId="6834362F">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360FA070">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108AA9BA">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29E118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5130A0F">
            <w:pPr>
              <w:rPr>
                <w:rFonts w:hint="eastAsia" w:ascii="宋体" w:hAnsi="宋体" w:eastAsia="宋体" w:cs="宋体"/>
                <w:highlight w:val="none"/>
                <w:lang w:eastAsia="zh-CN"/>
              </w:rPr>
            </w:pPr>
          </w:p>
        </w:tc>
      </w:tr>
      <w:tr w14:paraId="4A94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EF30B31">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21</w:t>
            </w:r>
          </w:p>
        </w:tc>
        <w:tc>
          <w:tcPr>
            <w:tcW w:w="1703" w:type="dxa"/>
            <w:noWrap/>
            <w:vAlign w:val="center"/>
          </w:tcPr>
          <w:p w14:paraId="2F7D4638">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草果</w:t>
            </w:r>
          </w:p>
        </w:tc>
        <w:tc>
          <w:tcPr>
            <w:tcW w:w="1537" w:type="dxa"/>
            <w:noWrap/>
            <w:vAlign w:val="center"/>
          </w:tcPr>
          <w:p w14:paraId="660C70D5">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61F54F40">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3E669F7F">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7556FBB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3F5E5F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5A88E4D">
            <w:pPr>
              <w:rPr>
                <w:rFonts w:hint="eastAsia" w:ascii="宋体" w:hAnsi="宋体" w:eastAsia="宋体" w:cs="宋体"/>
                <w:highlight w:val="none"/>
                <w:lang w:eastAsia="zh-CN"/>
              </w:rPr>
            </w:pPr>
          </w:p>
        </w:tc>
      </w:tr>
      <w:tr w14:paraId="016D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3FBCB0C0">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22</w:t>
            </w:r>
          </w:p>
        </w:tc>
        <w:tc>
          <w:tcPr>
            <w:tcW w:w="1703" w:type="dxa"/>
            <w:noWrap/>
            <w:vAlign w:val="center"/>
          </w:tcPr>
          <w:p w14:paraId="0B1A8ACE">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桂皮</w:t>
            </w:r>
          </w:p>
        </w:tc>
        <w:tc>
          <w:tcPr>
            <w:tcW w:w="1537" w:type="dxa"/>
            <w:noWrap/>
            <w:vAlign w:val="center"/>
          </w:tcPr>
          <w:p w14:paraId="00436E5A">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1581BD50">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0CEB321D">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1861E218">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D264D2E">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A1E06C2">
            <w:pPr>
              <w:rPr>
                <w:rFonts w:hint="eastAsia" w:ascii="宋体" w:hAnsi="宋体" w:eastAsia="宋体" w:cs="宋体"/>
                <w:highlight w:val="none"/>
                <w:lang w:eastAsia="zh-CN"/>
              </w:rPr>
            </w:pPr>
          </w:p>
        </w:tc>
      </w:tr>
      <w:tr w14:paraId="64CA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7A213A4">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23</w:t>
            </w:r>
          </w:p>
        </w:tc>
        <w:tc>
          <w:tcPr>
            <w:tcW w:w="1703" w:type="dxa"/>
            <w:noWrap/>
            <w:vAlign w:val="center"/>
          </w:tcPr>
          <w:p w14:paraId="05CD51A9">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孜然粉</w:t>
            </w:r>
          </w:p>
        </w:tc>
        <w:tc>
          <w:tcPr>
            <w:tcW w:w="1537" w:type="dxa"/>
            <w:noWrap/>
            <w:vAlign w:val="center"/>
          </w:tcPr>
          <w:p w14:paraId="17B2D314">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6230512E">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3C287BD">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24D0D7E0">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1FE604F">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ADAF702">
            <w:pPr>
              <w:rPr>
                <w:rFonts w:hint="eastAsia" w:ascii="宋体" w:hAnsi="宋体" w:eastAsia="宋体" w:cs="宋体"/>
                <w:highlight w:val="none"/>
                <w:lang w:eastAsia="zh-CN"/>
              </w:rPr>
            </w:pPr>
          </w:p>
        </w:tc>
      </w:tr>
      <w:tr w14:paraId="4D2AE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6121FD48">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24</w:t>
            </w:r>
          </w:p>
        </w:tc>
        <w:tc>
          <w:tcPr>
            <w:tcW w:w="1703" w:type="dxa"/>
            <w:noWrap/>
            <w:vAlign w:val="center"/>
          </w:tcPr>
          <w:p w14:paraId="6EF28503">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香叶</w:t>
            </w:r>
          </w:p>
        </w:tc>
        <w:tc>
          <w:tcPr>
            <w:tcW w:w="1537" w:type="dxa"/>
            <w:noWrap/>
            <w:vAlign w:val="center"/>
          </w:tcPr>
          <w:p w14:paraId="3D4A84D5">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7A8FC777">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3DB86FD4">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65D8360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C7DADB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04E404B">
            <w:pPr>
              <w:rPr>
                <w:rFonts w:hint="eastAsia" w:ascii="宋体" w:hAnsi="宋体" w:eastAsia="宋体" w:cs="宋体"/>
                <w:highlight w:val="none"/>
                <w:lang w:eastAsia="zh-CN"/>
              </w:rPr>
            </w:pPr>
          </w:p>
        </w:tc>
      </w:tr>
      <w:tr w14:paraId="6F9D1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6434CF18">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25</w:t>
            </w:r>
          </w:p>
        </w:tc>
        <w:tc>
          <w:tcPr>
            <w:tcW w:w="1703" w:type="dxa"/>
            <w:noWrap/>
            <w:vAlign w:val="center"/>
          </w:tcPr>
          <w:p w14:paraId="6F442177">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辣皮子</w:t>
            </w:r>
          </w:p>
        </w:tc>
        <w:tc>
          <w:tcPr>
            <w:tcW w:w="1537" w:type="dxa"/>
            <w:noWrap/>
            <w:vAlign w:val="center"/>
          </w:tcPr>
          <w:p w14:paraId="69DA017E">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13C97916">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31E1A32">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5425D27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1E0C612">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D282682">
            <w:pPr>
              <w:rPr>
                <w:rFonts w:hint="eastAsia" w:ascii="宋体" w:hAnsi="宋体" w:eastAsia="宋体" w:cs="宋体"/>
                <w:highlight w:val="none"/>
                <w:lang w:eastAsia="zh-CN"/>
              </w:rPr>
            </w:pPr>
          </w:p>
        </w:tc>
      </w:tr>
      <w:tr w14:paraId="64B5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1FB0AD37">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26</w:t>
            </w:r>
          </w:p>
        </w:tc>
        <w:tc>
          <w:tcPr>
            <w:tcW w:w="1703" w:type="dxa"/>
            <w:noWrap/>
            <w:vAlign w:val="center"/>
          </w:tcPr>
          <w:p w14:paraId="61345578">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冰糖</w:t>
            </w:r>
          </w:p>
        </w:tc>
        <w:tc>
          <w:tcPr>
            <w:tcW w:w="1537" w:type="dxa"/>
            <w:noWrap/>
            <w:vAlign w:val="center"/>
          </w:tcPr>
          <w:p w14:paraId="718CA84F">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4E816AFE">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2032312C">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2E68FE1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EC8CE7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0D106EA">
            <w:pPr>
              <w:rPr>
                <w:rFonts w:hint="eastAsia" w:ascii="宋体" w:hAnsi="宋体" w:eastAsia="宋体" w:cs="宋体"/>
                <w:highlight w:val="none"/>
                <w:lang w:eastAsia="zh-CN"/>
              </w:rPr>
            </w:pPr>
          </w:p>
        </w:tc>
      </w:tr>
      <w:tr w14:paraId="7CCE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C223730">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27</w:t>
            </w:r>
          </w:p>
        </w:tc>
        <w:tc>
          <w:tcPr>
            <w:tcW w:w="1703" w:type="dxa"/>
            <w:noWrap/>
            <w:vAlign w:val="center"/>
          </w:tcPr>
          <w:p w14:paraId="4B5B2208">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大粒盐</w:t>
            </w:r>
          </w:p>
        </w:tc>
        <w:tc>
          <w:tcPr>
            <w:tcW w:w="1537" w:type="dxa"/>
            <w:noWrap/>
            <w:vAlign w:val="center"/>
          </w:tcPr>
          <w:p w14:paraId="3C642E3B">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袋</w:t>
            </w:r>
          </w:p>
        </w:tc>
        <w:tc>
          <w:tcPr>
            <w:tcW w:w="1982" w:type="dxa"/>
            <w:noWrap/>
            <w:vAlign w:val="center"/>
          </w:tcPr>
          <w:p w14:paraId="5616AF4B">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0F763E5">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1BED3C2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1CF0D78">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3D91704">
            <w:pPr>
              <w:rPr>
                <w:rFonts w:hint="eastAsia" w:ascii="宋体" w:hAnsi="宋体" w:eastAsia="宋体" w:cs="宋体"/>
                <w:highlight w:val="none"/>
                <w:lang w:eastAsia="zh-CN"/>
              </w:rPr>
            </w:pPr>
          </w:p>
        </w:tc>
      </w:tr>
      <w:tr w14:paraId="0C488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695A8ADF">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28</w:t>
            </w:r>
          </w:p>
        </w:tc>
        <w:tc>
          <w:tcPr>
            <w:tcW w:w="1703" w:type="dxa"/>
            <w:noWrap/>
            <w:vAlign w:val="center"/>
          </w:tcPr>
          <w:p w14:paraId="0EA03D17">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枸杞</w:t>
            </w:r>
          </w:p>
        </w:tc>
        <w:tc>
          <w:tcPr>
            <w:tcW w:w="1537" w:type="dxa"/>
            <w:noWrap/>
            <w:vAlign w:val="center"/>
          </w:tcPr>
          <w:p w14:paraId="6F6118D9">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0C225023">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3A172600">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31FE8520">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53D51D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2C3BC47">
            <w:pPr>
              <w:rPr>
                <w:rFonts w:hint="eastAsia" w:ascii="宋体" w:hAnsi="宋体" w:eastAsia="宋体" w:cs="宋体"/>
                <w:highlight w:val="none"/>
                <w:lang w:eastAsia="zh-CN"/>
              </w:rPr>
            </w:pPr>
          </w:p>
        </w:tc>
      </w:tr>
      <w:tr w14:paraId="2B6A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0C4A5CC">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29</w:t>
            </w:r>
          </w:p>
        </w:tc>
        <w:tc>
          <w:tcPr>
            <w:tcW w:w="1703" w:type="dxa"/>
            <w:noWrap/>
            <w:vAlign w:val="center"/>
          </w:tcPr>
          <w:p w14:paraId="4DF80DAE">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腐竹</w:t>
            </w:r>
          </w:p>
        </w:tc>
        <w:tc>
          <w:tcPr>
            <w:tcW w:w="1537" w:type="dxa"/>
            <w:noWrap/>
            <w:vAlign w:val="center"/>
          </w:tcPr>
          <w:p w14:paraId="1A86DD8F">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177B3DC1">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6D2A41ED">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0E37B83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529567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B7CC976">
            <w:pPr>
              <w:rPr>
                <w:rFonts w:hint="eastAsia" w:ascii="宋体" w:hAnsi="宋体" w:eastAsia="宋体" w:cs="宋体"/>
                <w:highlight w:val="none"/>
                <w:lang w:eastAsia="zh-CN"/>
              </w:rPr>
            </w:pPr>
          </w:p>
        </w:tc>
      </w:tr>
      <w:tr w14:paraId="5D43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0F72EE5">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30</w:t>
            </w:r>
          </w:p>
        </w:tc>
        <w:tc>
          <w:tcPr>
            <w:tcW w:w="1703" w:type="dxa"/>
            <w:noWrap/>
            <w:vAlign w:val="center"/>
          </w:tcPr>
          <w:p w14:paraId="6883E60B">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葡萄干</w:t>
            </w:r>
          </w:p>
        </w:tc>
        <w:tc>
          <w:tcPr>
            <w:tcW w:w="1537" w:type="dxa"/>
            <w:noWrap/>
            <w:vAlign w:val="center"/>
          </w:tcPr>
          <w:p w14:paraId="672EC93E">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0AE05416">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0763D25">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7AB7973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F8CBB5F">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438D8C7">
            <w:pPr>
              <w:rPr>
                <w:rFonts w:hint="eastAsia" w:ascii="宋体" w:hAnsi="宋体" w:eastAsia="宋体" w:cs="宋体"/>
                <w:highlight w:val="none"/>
                <w:lang w:eastAsia="zh-CN"/>
              </w:rPr>
            </w:pPr>
          </w:p>
        </w:tc>
      </w:tr>
      <w:tr w14:paraId="0F346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8F1DB12">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31</w:t>
            </w:r>
          </w:p>
        </w:tc>
        <w:tc>
          <w:tcPr>
            <w:tcW w:w="1703" w:type="dxa"/>
            <w:noWrap/>
            <w:vAlign w:val="center"/>
          </w:tcPr>
          <w:p w14:paraId="319D3A2D">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香油</w:t>
            </w:r>
          </w:p>
        </w:tc>
        <w:tc>
          <w:tcPr>
            <w:tcW w:w="1537" w:type="dxa"/>
            <w:noWrap/>
            <w:vAlign w:val="center"/>
          </w:tcPr>
          <w:p w14:paraId="42E9E230">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件</w:t>
            </w:r>
          </w:p>
        </w:tc>
        <w:tc>
          <w:tcPr>
            <w:tcW w:w="1982" w:type="dxa"/>
            <w:noWrap/>
            <w:vAlign w:val="center"/>
          </w:tcPr>
          <w:p w14:paraId="155DAB37">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7B580E0">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59E9A8AE">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06A1F22">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E51101A">
            <w:pPr>
              <w:rPr>
                <w:rFonts w:hint="eastAsia" w:ascii="宋体" w:hAnsi="宋体" w:eastAsia="宋体" w:cs="宋体"/>
                <w:highlight w:val="none"/>
                <w:lang w:eastAsia="zh-CN"/>
              </w:rPr>
            </w:pPr>
          </w:p>
        </w:tc>
      </w:tr>
      <w:tr w14:paraId="4F3C9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7E171A2E">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32</w:t>
            </w:r>
          </w:p>
        </w:tc>
        <w:tc>
          <w:tcPr>
            <w:tcW w:w="1703" w:type="dxa"/>
            <w:noWrap/>
            <w:vAlign w:val="center"/>
          </w:tcPr>
          <w:p w14:paraId="182E5813">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火锅底料</w:t>
            </w:r>
          </w:p>
        </w:tc>
        <w:tc>
          <w:tcPr>
            <w:tcW w:w="1537" w:type="dxa"/>
            <w:noWrap/>
            <w:vAlign w:val="center"/>
          </w:tcPr>
          <w:p w14:paraId="59AC9716">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件</w:t>
            </w:r>
          </w:p>
        </w:tc>
        <w:tc>
          <w:tcPr>
            <w:tcW w:w="1982" w:type="dxa"/>
            <w:noWrap/>
            <w:vAlign w:val="center"/>
          </w:tcPr>
          <w:p w14:paraId="066E65B3">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73798CA8">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40CBC942">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AC0167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AF8C822">
            <w:pPr>
              <w:rPr>
                <w:rFonts w:hint="eastAsia" w:ascii="宋体" w:hAnsi="宋体" w:eastAsia="宋体" w:cs="宋体"/>
                <w:highlight w:val="none"/>
                <w:lang w:eastAsia="zh-CN"/>
              </w:rPr>
            </w:pPr>
          </w:p>
        </w:tc>
      </w:tr>
      <w:tr w14:paraId="6B3D0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5031F9DF">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33</w:t>
            </w:r>
          </w:p>
        </w:tc>
        <w:tc>
          <w:tcPr>
            <w:tcW w:w="1703" w:type="dxa"/>
            <w:noWrap/>
            <w:vAlign w:val="center"/>
          </w:tcPr>
          <w:p w14:paraId="5647EAC0">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薏米</w:t>
            </w:r>
          </w:p>
        </w:tc>
        <w:tc>
          <w:tcPr>
            <w:tcW w:w="1537" w:type="dxa"/>
            <w:noWrap/>
            <w:vAlign w:val="center"/>
          </w:tcPr>
          <w:p w14:paraId="023A7FCC">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18795103">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510FB850">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7F974C7E">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7349E03">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3CCB67C">
            <w:pPr>
              <w:rPr>
                <w:rFonts w:hint="eastAsia" w:ascii="宋体" w:hAnsi="宋体" w:eastAsia="宋体" w:cs="宋体"/>
                <w:highlight w:val="none"/>
                <w:lang w:eastAsia="zh-CN"/>
              </w:rPr>
            </w:pPr>
          </w:p>
        </w:tc>
      </w:tr>
      <w:tr w14:paraId="6B8E7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3B4962B4">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34</w:t>
            </w:r>
          </w:p>
        </w:tc>
        <w:tc>
          <w:tcPr>
            <w:tcW w:w="1703" w:type="dxa"/>
            <w:noWrap/>
            <w:vAlign w:val="center"/>
          </w:tcPr>
          <w:p w14:paraId="21557025">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饺子</w:t>
            </w:r>
          </w:p>
        </w:tc>
        <w:tc>
          <w:tcPr>
            <w:tcW w:w="1537" w:type="dxa"/>
            <w:noWrap/>
            <w:vAlign w:val="center"/>
          </w:tcPr>
          <w:p w14:paraId="74A64187">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13D0791C">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5B54DD13">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2EEB35F2">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1003DE2">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6FB6142">
            <w:pPr>
              <w:rPr>
                <w:rFonts w:hint="eastAsia" w:ascii="宋体" w:hAnsi="宋体" w:eastAsia="宋体" w:cs="宋体"/>
                <w:highlight w:val="none"/>
                <w:lang w:eastAsia="zh-CN"/>
              </w:rPr>
            </w:pPr>
          </w:p>
        </w:tc>
      </w:tr>
      <w:tr w14:paraId="7D6D2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2FB8700">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35</w:t>
            </w:r>
          </w:p>
        </w:tc>
        <w:tc>
          <w:tcPr>
            <w:tcW w:w="1703" w:type="dxa"/>
            <w:noWrap/>
            <w:vAlign w:val="center"/>
          </w:tcPr>
          <w:p w14:paraId="6111A8AB">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馓子</w:t>
            </w:r>
          </w:p>
        </w:tc>
        <w:tc>
          <w:tcPr>
            <w:tcW w:w="1537" w:type="dxa"/>
            <w:noWrap/>
            <w:vAlign w:val="center"/>
          </w:tcPr>
          <w:p w14:paraId="22B938B2">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318D7DDC">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423B3604">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75FDA19E">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511FFC0">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3EC6FFC">
            <w:pPr>
              <w:rPr>
                <w:rFonts w:hint="eastAsia" w:ascii="宋体" w:hAnsi="宋体" w:eastAsia="宋体" w:cs="宋体"/>
                <w:highlight w:val="none"/>
                <w:lang w:eastAsia="zh-CN"/>
              </w:rPr>
            </w:pPr>
          </w:p>
        </w:tc>
      </w:tr>
      <w:tr w14:paraId="1A49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25C580A0">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34</w:t>
            </w:r>
          </w:p>
        </w:tc>
        <w:tc>
          <w:tcPr>
            <w:tcW w:w="1703" w:type="dxa"/>
            <w:noWrap/>
            <w:vAlign w:val="center"/>
          </w:tcPr>
          <w:p w14:paraId="78A581FC">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黄豆酱</w:t>
            </w:r>
          </w:p>
        </w:tc>
        <w:tc>
          <w:tcPr>
            <w:tcW w:w="1537" w:type="dxa"/>
            <w:noWrap/>
            <w:vAlign w:val="center"/>
          </w:tcPr>
          <w:p w14:paraId="1B32749E">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桶</w:t>
            </w:r>
          </w:p>
        </w:tc>
        <w:tc>
          <w:tcPr>
            <w:tcW w:w="1982" w:type="dxa"/>
            <w:noWrap/>
            <w:vAlign w:val="center"/>
          </w:tcPr>
          <w:p w14:paraId="3F165679">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3E7DD834">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07FAF809">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73D559E">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17CD92F">
            <w:pPr>
              <w:rPr>
                <w:rFonts w:hint="eastAsia" w:ascii="宋体" w:hAnsi="宋体" w:eastAsia="宋体" w:cs="宋体"/>
                <w:highlight w:val="none"/>
                <w:lang w:eastAsia="zh-CN"/>
              </w:rPr>
            </w:pPr>
          </w:p>
        </w:tc>
      </w:tr>
      <w:tr w14:paraId="0399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2DA4B1C7">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35</w:t>
            </w:r>
          </w:p>
        </w:tc>
        <w:tc>
          <w:tcPr>
            <w:tcW w:w="1703" w:type="dxa"/>
            <w:noWrap/>
            <w:vAlign w:val="center"/>
          </w:tcPr>
          <w:p w14:paraId="7E5732AE">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绿豆沙</w:t>
            </w:r>
          </w:p>
        </w:tc>
        <w:tc>
          <w:tcPr>
            <w:tcW w:w="1537" w:type="dxa"/>
            <w:noWrap/>
            <w:vAlign w:val="center"/>
          </w:tcPr>
          <w:p w14:paraId="73B60888">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袋</w:t>
            </w:r>
          </w:p>
        </w:tc>
        <w:tc>
          <w:tcPr>
            <w:tcW w:w="1982" w:type="dxa"/>
            <w:noWrap/>
            <w:vAlign w:val="center"/>
          </w:tcPr>
          <w:p w14:paraId="6D3667B9">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3671A386">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34F5C57A">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9A0C5A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28FDAB7">
            <w:pPr>
              <w:rPr>
                <w:rFonts w:hint="eastAsia" w:ascii="宋体" w:hAnsi="宋体" w:eastAsia="宋体" w:cs="宋体"/>
                <w:highlight w:val="none"/>
                <w:lang w:eastAsia="zh-CN"/>
              </w:rPr>
            </w:pPr>
          </w:p>
        </w:tc>
      </w:tr>
      <w:tr w14:paraId="0181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4DE36FA">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36</w:t>
            </w:r>
          </w:p>
        </w:tc>
        <w:tc>
          <w:tcPr>
            <w:tcW w:w="1703" w:type="dxa"/>
            <w:noWrap/>
            <w:vAlign w:val="center"/>
          </w:tcPr>
          <w:p w14:paraId="64899931">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小苏打</w:t>
            </w:r>
          </w:p>
        </w:tc>
        <w:tc>
          <w:tcPr>
            <w:tcW w:w="1537" w:type="dxa"/>
            <w:noWrap/>
            <w:vAlign w:val="center"/>
          </w:tcPr>
          <w:p w14:paraId="5371F307">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袋</w:t>
            </w:r>
          </w:p>
        </w:tc>
        <w:tc>
          <w:tcPr>
            <w:tcW w:w="1982" w:type="dxa"/>
            <w:noWrap/>
            <w:vAlign w:val="center"/>
          </w:tcPr>
          <w:p w14:paraId="780536B5">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CBF46BB">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636DC512">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D9D2504">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51D745D">
            <w:pPr>
              <w:rPr>
                <w:rFonts w:hint="eastAsia" w:ascii="宋体" w:hAnsi="宋体" w:eastAsia="宋体" w:cs="宋体"/>
                <w:highlight w:val="none"/>
                <w:lang w:eastAsia="zh-CN"/>
              </w:rPr>
            </w:pPr>
          </w:p>
        </w:tc>
      </w:tr>
      <w:tr w14:paraId="59D29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098A2E57">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37</w:t>
            </w:r>
          </w:p>
        </w:tc>
        <w:tc>
          <w:tcPr>
            <w:tcW w:w="1703" w:type="dxa"/>
            <w:noWrap/>
            <w:vAlign w:val="center"/>
          </w:tcPr>
          <w:p w14:paraId="2208D434">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月饼</w:t>
            </w:r>
          </w:p>
        </w:tc>
        <w:tc>
          <w:tcPr>
            <w:tcW w:w="1537" w:type="dxa"/>
            <w:noWrap/>
            <w:vAlign w:val="center"/>
          </w:tcPr>
          <w:p w14:paraId="2A1D1793">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块</w:t>
            </w:r>
          </w:p>
        </w:tc>
        <w:tc>
          <w:tcPr>
            <w:tcW w:w="1982" w:type="dxa"/>
            <w:noWrap/>
            <w:vAlign w:val="center"/>
          </w:tcPr>
          <w:p w14:paraId="351D7C13">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4A821C33">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5232703D">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32F9749">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7DD4D74">
            <w:pPr>
              <w:rPr>
                <w:rFonts w:hint="eastAsia" w:ascii="宋体" w:hAnsi="宋体" w:eastAsia="宋体" w:cs="宋体"/>
                <w:highlight w:val="none"/>
                <w:lang w:eastAsia="zh-CN"/>
              </w:rPr>
            </w:pPr>
          </w:p>
        </w:tc>
      </w:tr>
      <w:tr w14:paraId="0D8C6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41CF400F">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38</w:t>
            </w:r>
          </w:p>
        </w:tc>
        <w:tc>
          <w:tcPr>
            <w:tcW w:w="1703" w:type="dxa"/>
            <w:noWrap/>
            <w:vAlign w:val="center"/>
          </w:tcPr>
          <w:p w14:paraId="2B210A6B">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食用碱</w:t>
            </w:r>
          </w:p>
        </w:tc>
        <w:tc>
          <w:tcPr>
            <w:tcW w:w="1537" w:type="dxa"/>
            <w:noWrap/>
            <w:vAlign w:val="center"/>
          </w:tcPr>
          <w:p w14:paraId="2B21F0C1">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袋</w:t>
            </w:r>
          </w:p>
        </w:tc>
        <w:tc>
          <w:tcPr>
            <w:tcW w:w="1982" w:type="dxa"/>
            <w:noWrap/>
            <w:vAlign w:val="center"/>
          </w:tcPr>
          <w:p w14:paraId="69F2B5D9">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4B346C1D">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466B7BB0">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0576E0E">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1C6CC05">
            <w:pPr>
              <w:rPr>
                <w:rFonts w:hint="eastAsia" w:ascii="宋体" w:hAnsi="宋体" w:eastAsia="宋体" w:cs="宋体"/>
                <w:highlight w:val="none"/>
                <w:lang w:eastAsia="zh-CN"/>
              </w:rPr>
            </w:pPr>
          </w:p>
        </w:tc>
      </w:tr>
      <w:tr w14:paraId="1DAD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18F46AD9">
            <w:pPr>
              <w:spacing w:line="560" w:lineRule="auto"/>
              <w:jc w:val="center"/>
              <w:rPr>
                <w:rFonts w:hint="eastAsia" w:hAnsi="宋体" w:eastAsia="宋体" w:cs="宋体"/>
                <w:szCs w:val="21"/>
                <w:highlight w:val="none"/>
                <w:lang w:eastAsia="zh-CN"/>
              </w:rPr>
            </w:pPr>
            <w:r>
              <w:rPr>
                <w:rFonts w:ascii="宋体" w:hAnsi="宋体" w:eastAsia="宋体" w:cs="宋体"/>
                <w:color w:val="auto"/>
                <w:sz w:val="18"/>
                <w:highlight w:val="none"/>
              </w:rPr>
              <w:t>39</w:t>
            </w:r>
          </w:p>
        </w:tc>
        <w:tc>
          <w:tcPr>
            <w:tcW w:w="1703" w:type="dxa"/>
            <w:noWrap/>
            <w:vAlign w:val="center"/>
          </w:tcPr>
          <w:p w14:paraId="74DF82C6">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糯米</w:t>
            </w:r>
          </w:p>
        </w:tc>
        <w:tc>
          <w:tcPr>
            <w:tcW w:w="1537" w:type="dxa"/>
            <w:noWrap/>
            <w:vAlign w:val="center"/>
          </w:tcPr>
          <w:p w14:paraId="617FB9D3">
            <w:pPr>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56CD65AE">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006E43DD">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1695A054">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A9CCEC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FE8F69E">
            <w:pPr>
              <w:rPr>
                <w:rFonts w:hint="eastAsia" w:ascii="宋体" w:hAnsi="宋体" w:eastAsia="宋体" w:cs="宋体"/>
                <w:highlight w:val="none"/>
                <w:lang w:eastAsia="zh-CN"/>
              </w:rPr>
            </w:pPr>
          </w:p>
        </w:tc>
      </w:tr>
      <w:tr w14:paraId="4AC57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20B85780">
            <w:pPr>
              <w:jc w:val="center"/>
              <w:rPr>
                <w:rFonts w:hint="eastAsia" w:hAnsi="宋体" w:eastAsia="宋体" w:cs="宋体"/>
                <w:szCs w:val="21"/>
                <w:highlight w:val="none"/>
                <w:lang w:eastAsia="zh-CN"/>
              </w:rPr>
            </w:pPr>
            <w:r>
              <w:rPr>
                <w:rFonts w:hint="eastAsia" w:ascii="仿宋_GB2312" w:hAnsi="宋体" w:eastAsia="仿宋_GB2312" w:cs="宋体"/>
                <w:sz w:val="24"/>
                <w:highlight w:val="none"/>
                <w:lang w:eastAsia="zh-CN"/>
              </w:rPr>
              <w:t>40</w:t>
            </w:r>
          </w:p>
        </w:tc>
        <w:tc>
          <w:tcPr>
            <w:tcW w:w="1703" w:type="dxa"/>
            <w:noWrap/>
            <w:vAlign w:val="center"/>
          </w:tcPr>
          <w:p w14:paraId="7F5FA9E6">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22"/>
                <w:highlight w:val="none"/>
              </w:rPr>
              <w:t>红枣片</w:t>
            </w:r>
          </w:p>
        </w:tc>
        <w:tc>
          <w:tcPr>
            <w:tcW w:w="1537" w:type="dxa"/>
            <w:noWrap/>
            <w:vAlign w:val="center"/>
          </w:tcPr>
          <w:p w14:paraId="65989D64">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5FA9EEDD">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5C68E64A">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4CC7FF7B">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1A0E9171">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3FD4D2C">
            <w:pPr>
              <w:rPr>
                <w:rFonts w:hint="eastAsia" w:ascii="宋体" w:hAnsi="宋体" w:eastAsia="宋体" w:cs="宋体"/>
                <w:highlight w:val="none"/>
                <w:lang w:eastAsia="zh-CN"/>
              </w:rPr>
            </w:pPr>
          </w:p>
        </w:tc>
      </w:tr>
      <w:tr w14:paraId="79A3A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5B6B90DB">
            <w:pPr>
              <w:jc w:val="center"/>
              <w:rPr>
                <w:rFonts w:hint="eastAsia" w:hAnsi="宋体" w:eastAsia="宋体" w:cs="宋体"/>
                <w:szCs w:val="21"/>
                <w:highlight w:val="none"/>
                <w:lang w:eastAsia="zh-CN"/>
              </w:rPr>
            </w:pPr>
            <w:r>
              <w:rPr>
                <w:rFonts w:hint="eastAsia" w:ascii="仿宋_GB2312" w:hAnsi="宋体" w:eastAsia="仿宋_GB2312" w:cs="宋体"/>
                <w:sz w:val="24"/>
                <w:highlight w:val="none"/>
                <w:lang w:eastAsia="zh-CN"/>
              </w:rPr>
              <w:t>41</w:t>
            </w:r>
          </w:p>
        </w:tc>
        <w:tc>
          <w:tcPr>
            <w:tcW w:w="1703" w:type="dxa"/>
            <w:noWrap/>
            <w:vAlign w:val="center"/>
          </w:tcPr>
          <w:p w14:paraId="727B3D91">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22"/>
                <w:highlight w:val="none"/>
              </w:rPr>
              <w:t>干香菇</w:t>
            </w:r>
          </w:p>
        </w:tc>
        <w:tc>
          <w:tcPr>
            <w:tcW w:w="1537" w:type="dxa"/>
            <w:noWrap/>
            <w:vAlign w:val="center"/>
          </w:tcPr>
          <w:p w14:paraId="23AA2117">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18"/>
                <w:highlight w:val="none"/>
              </w:rPr>
              <w:t>公斤</w:t>
            </w:r>
          </w:p>
        </w:tc>
        <w:tc>
          <w:tcPr>
            <w:tcW w:w="1982" w:type="dxa"/>
            <w:noWrap/>
            <w:vAlign w:val="center"/>
          </w:tcPr>
          <w:p w14:paraId="6C4FFE30">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803EF37">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6C699DA8">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5C0927FD">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2CFE883">
            <w:pPr>
              <w:rPr>
                <w:rFonts w:hint="eastAsia" w:ascii="宋体" w:hAnsi="宋体" w:eastAsia="宋体" w:cs="宋体"/>
                <w:highlight w:val="none"/>
                <w:lang w:eastAsia="zh-CN"/>
              </w:rPr>
            </w:pPr>
          </w:p>
        </w:tc>
      </w:tr>
      <w:tr w14:paraId="195FE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3D07B72E">
            <w:pPr>
              <w:jc w:val="center"/>
              <w:rPr>
                <w:rFonts w:hint="eastAsia" w:hAnsi="宋体" w:eastAsia="宋体" w:cs="宋体"/>
                <w:szCs w:val="21"/>
                <w:highlight w:val="none"/>
                <w:lang w:eastAsia="zh-CN"/>
              </w:rPr>
            </w:pPr>
            <w:r>
              <w:rPr>
                <w:rFonts w:hint="eastAsia" w:ascii="仿宋_GB2312" w:hAnsi="宋体" w:eastAsia="仿宋_GB2312" w:cs="宋体"/>
                <w:sz w:val="24"/>
                <w:highlight w:val="none"/>
                <w:lang w:eastAsia="zh-CN"/>
              </w:rPr>
              <w:t>42</w:t>
            </w:r>
          </w:p>
        </w:tc>
        <w:tc>
          <w:tcPr>
            <w:tcW w:w="1703" w:type="dxa"/>
            <w:noWrap/>
            <w:vAlign w:val="center"/>
          </w:tcPr>
          <w:p w14:paraId="7A35A0DD">
            <w:pPr>
              <w:spacing w:line="560" w:lineRule="auto"/>
              <w:jc w:val="center"/>
              <w:rPr>
                <w:rFonts w:hint="eastAsia" w:hAnsi="宋体" w:eastAsia="宋体" w:cs="宋体"/>
                <w:szCs w:val="21"/>
                <w:highlight w:val="none"/>
              </w:rPr>
            </w:pPr>
            <w:r>
              <w:rPr>
                <w:rFonts w:ascii="宋体" w:hAnsi="宋体" w:eastAsia="宋体" w:cs="宋体"/>
                <w:color w:val="auto"/>
                <w:sz w:val="22"/>
                <w:highlight w:val="none"/>
              </w:rPr>
              <w:t>黑芝麻糊</w:t>
            </w:r>
          </w:p>
        </w:tc>
        <w:tc>
          <w:tcPr>
            <w:tcW w:w="1537" w:type="dxa"/>
            <w:noWrap/>
            <w:vAlign w:val="center"/>
          </w:tcPr>
          <w:p w14:paraId="1D9BEEA5">
            <w:pPr>
              <w:spacing w:line="560" w:lineRule="auto"/>
              <w:jc w:val="center"/>
              <w:rPr>
                <w:rFonts w:hint="eastAsia" w:hAnsi="宋体" w:eastAsia="宋体" w:cs="宋体"/>
                <w:szCs w:val="21"/>
                <w:highlight w:val="none"/>
              </w:rPr>
            </w:pPr>
            <w:r>
              <w:rPr>
                <w:rFonts w:ascii="宋体" w:hAnsi="宋体" w:eastAsia="宋体" w:cs="宋体"/>
                <w:color w:val="auto"/>
                <w:sz w:val="22"/>
                <w:highlight w:val="none"/>
              </w:rPr>
              <w:t>袋</w:t>
            </w:r>
          </w:p>
        </w:tc>
        <w:tc>
          <w:tcPr>
            <w:tcW w:w="1982" w:type="dxa"/>
            <w:noWrap/>
            <w:vAlign w:val="center"/>
          </w:tcPr>
          <w:p w14:paraId="26D47262">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27E67BFE">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2819427A">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7EEBD39">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014C21C0">
            <w:pPr>
              <w:rPr>
                <w:rFonts w:hint="eastAsia" w:ascii="宋体" w:hAnsi="宋体" w:eastAsia="宋体" w:cs="宋体"/>
                <w:highlight w:val="none"/>
                <w:lang w:eastAsia="zh-CN"/>
              </w:rPr>
            </w:pPr>
          </w:p>
        </w:tc>
      </w:tr>
      <w:tr w14:paraId="4C1C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16F52FF5">
            <w:pPr>
              <w:jc w:val="center"/>
              <w:rPr>
                <w:rFonts w:hint="eastAsia" w:hAnsi="宋体" w:eastAsia="宋体" w:cs="宋体"/>
                <w:szCs w:val="21"/>
                <w:highlight w:val="none"/>
                <w:lang w:eastAsia="zh-CN"/>
              </w:rPr>
            </w:pPr>
            <w:r>
              <w:rPr>
                <w:rFonts w:hint="eastAsia" w:ascii="仿宋_GB2312" w:hAnsi="宋体" w:eastAsia="仿宋_GB2312" w:cs="宋体"/>
                <w:sz w:val="24"/>
                <w:highlight w:val="none"/>
                <w:lang w:eastAsia="zh-CN"/>
              </w:rPr>
              <w:t>43</w:t>
            </w:r>
          </w:p>
        </w:tc>
        <w:tc>
          <w:tcPr>
            <w:tcW w:w="1703" w:type="dxa"/>
            <w:noWrap/>
            <w:vAlign w:val="center"/>
          </w:tcPr>
          <w:p w14:paraId="44DCC8C4">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22"/>
                <w:highlight w:val="none"/>
              </w:rPr>
              <w:t>辣子面</w:t>
            </w:r>
          </w:p>
        </w:tc>
        <w:tc>
          <w:tcPr>
            <w:tcW w:w="1537" w:type="dxa"/>
            <w:noWrap/>
            <w:vAlign w:val="center"/>
          </w:tcPr>
          <w:p w14:paraId="7D461034">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22"/>
                <w:highlight w:val="none"/>
              </w:rPr>
              <w:t>公斤</w:t>
            </w:r>
          </w:p>
        </w:tc>
        <w:tc>
          <w:tcPr>
            <w:tcW w:w="1982" w:type="dxa"/>
            <w:noWrap/>
            <w:vAlign w:val="center"/>
          </w:tcPr>
          <w:p w14:paraId="148B951C">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AC25A58">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5CCBB70C">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F352A78">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13DF3F4">
            <w:pPr>
              <w:rPr>
                <w:rFonts w:hint="eastAsia" w:ascii="宋体" w:hAnsi="宋体" w:eastAsia="宋体" w:cs="宋体"/>
                <w:highlight w:val="none"/>
                <w:lang w:eastAsia="zh-CN"/>
              </w:rPr>
            </w:pPr>
          </w:p>
        </w:tc>
      </w:tr>
      <w:tr w14:paraId="5902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261ECC62">
            <w:pPr>
              <w:jc w:val="center"/>
              <w:rPr>
                <w:rFonts w:hint="eastAsia" w:hAnsi="宋体" w:eastAsia="宋体" w:cs="宋体"/>
                <w:szCs w:val="21"/>
                <w:highlight w:val="none"/>
                <w:lang w:eastAsia="zh-CN"/>
              </w:rPr>
            </w:pPr>
            <w:r>
              <w:rPr>
                <w:rFonts w:hint="eastAsia" w:ascii="仿宋_GB2312" w:hAnsi="宋体" w:eastAsia="仿宋_GB2312" w:cs="宋体"/>
                <w:sz w:val="24"/>
                <w:highlight w:val="none"/>
                <w:lang w:eastAsia="zh-CN"/>
              </w:rPr>
              <w:t>44</w:t>
            </w:r>
          </w:p>
        </w:tc>
        <w:tc>
          <w:tcPr>
            <w:tcW w:w="1703" w:type="dxa"/>
            <w:noWrap/>
            <w:vAlign w:val="center"/>
          </w:tcPr>
          <w:p w14:paraId="3C6D3730">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22"/>
                <w:highlight w:val="none"/>
              </w:rPr>
              <w:t>海带</w:t>
            </w:r>
          </w:p>
        </w:tc>
        <w:tc>
          <w:tcPr>
            <w:tcW w:w="1537" w:type="dxa"/>
            <w:noWrap/>
            <w:vAlign w:val="center"/>
          </w:tcPr>
          <w:p w14:paraId="44993BD8">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22"/>
                <w:highlight w:val="none"/>
              </w:rPr>
              <w:t>板</w:t>
            </w:r>
          </w:p>
        </w:tc>
        <w:tc>
          <w:tcPr>
            <w:tcW w:w="1982" w:type="dxa"/>
            <w:noWrap/>
            <w:vAlign w:val="center"/>
          </w:tcPr>
          <w:p w14:paraId="1F001FFF">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69AEA44">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4A764493">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2B7DE440">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6705A696">
            <w:pPr>
              <w:rPr>
                <w:rFonts w:hint="eastAsia" w:ascii="宋体" w:hAnsi="宋体" w:eastAsia="宋体" w:cs="宋体"/>
                <w:highlight w:val="none"/>
                <w:lang w:eastAsia="zh-CN"/>
              </w:rPr>
            </w:pPr>
          </w:p>
        </w:tc>
      </w:tr>
      <w:tr w14:paraId="33D4A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7DCC2B7E">
            <w:pPr>
              <w:jc w:val="center"/>
              <w:rPr>
                <w:rFonts w:hint="eastAsia" w:hAnsi="宋体" w:eastAsia="宋体" w:cs="宋体"/>
                <w:szCs w:val="21"/>
                <w:highlight w:val="none"/>
                <w:lang w:eastAsia="zh-CN"/>
              </w:rPr>
            </w:pPr>
            <w:r>
              <w:rPr>
                <w:rFonts w:hint="eastAsia" w:ascii="仿宋_GB2312" w:hAnsi="宋体" w:eastAsia="仿宋_GB2312" w:cs="宋体"/>
                <w:sz w:val="24"/>
                <w:highlight w:val="none"/>
                <w:lang w:eastAsia="zh-CN"/>
              </w:rPr>
              <w:t>45</w:t>
            </w:r>
          </w:p>
        </w:tc>
        <w:tc>
          <w:tcPr>
            <w:tcW w:w="1703" w:type="dxa"/>
            <w:noWrap/>
            <w:vAlign w:val="center"/>
          </w:tcPr>
          <w:p w14:paraId="24DE3ADF">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22"/>
                <w:highlight w:val="none"/>
              </w:rPr>
              <w:t>米粉</w:t>
            </w:r>
          </w:p>
        </w:tc>
        <w:tc>
          <w:tcPr>
            <w:tcW w:w="1537" w:type="dxa"/>
            <w:noWrap/>
            <w:vAlign w:val="center"/>
          </w:tcPr>
          <w:p w14:paraId="1BE2895A">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22"/>
                <w:highlight w:val="none"/>
              </w:rPr>
              <w:t>公斤</w:t>
            </w:r>
          </w:p>
        </w:tc>
        <w:tc>
          <w:tcPr>
            <w:tcW w:w="1982" w:type="dxa"/>
            <w:noWrap/>
            <w:vAlign w:val="center"/>
          </w:tcPr>
          <w:p w14:paraId="710F062B">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1D2E4BA3">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17CDC99E">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71B4A7C6">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4D30DB56">
            <w:pPr>
              <w:rPr>
                <w:rFonts w:hint="eastAsia" w:ascii="宋体" w:hAnsi="宋体" w:eastAsia="宋体" w:cs="宋体"/>
                <w:highlight w:val="none"/>
                <w:lang w:eastAsia="zh-CN"/>
              </w:rPr>
            </w:pPr>
          </w:p>
        </w:tc>
      </w:tr>
      <w:tr w14:paraId="0CCC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702" w:type="dxa"/>
            <w:noWrap/>
            <w:vAlign w:val="center"/>
          </w:tcPr>
          <w:p w14:paraId="76A3D576">
            <w:pPr>
              <w:jc w:val="center"/>
              <w:rPr>
                <w:rFonts w:hint="eastAsia" w:hAnsi="宋体" w:eastAsia="宋体" w:cs="宋体"/>
                <w:szCs w:val="21"/>
                <w:highlight w:val="none"/>
                <w:lang w:eastAsia="zh-CN"/>
              </w:rPr>
            </w:pPr>
            <w:r>
              <w:rPr>
                <w:rFonts w:hint="eastAsia" w:ascii="仿宋_GB2312" w:hAnsi="宋体" w:eastAsia="仿宋_GB2312" w:cs="宋体"/>
                <w:sz w:val="24"/>
                <w:highlight w:val="none"/>
                <w:lang w:eastAsia="zh-CN"/>
              </w:rPr>
              <w:t>46</w:t>
            </w:r>
          </w:p>
        </w:tc>
        <w:tc>
          <w:tcPr>
            <w:tcW w:w="1703" w:type="dxa"/>
            <w:noWrap/>
            <w:vAlign w:val="center"/>
          </w:tcPr>
          <w:p w14:paraId="7223BD58">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22"/>
                <w:highlight w:val="none"/>
              </w:rPr>
              <w:t>胡椒粉</w:t>
            </w:r>
          </w:p>
        </w:tc>
        <w:tc>
          <w:tcPr>
            <w:tcW w:w="1537" w:type="dxa"/>
            <w:noWrap/>
            <w:vAlign w:val="center"/>
          </w:tcPr>
          <w:p w14:paraId="6F6CF44E">
            <w:pPr>
              <w:tabs>
                <w:tab w:val="left" w:pos="3834"/>
              </w:tabs>
              <w:spacing w:line="560" w:lineRule="auto"/>
              <w:jc w:val="center"/>
              <w:rPr>
                <w:rFonts w:hint="eastAsia" w:hAnsi="宋体" w:eastAsia="宋体" w:cs="宋体"/>
                <w:szCs w:val="21"/>
                <w:highlight w:val="none"/>
              </w:rPr>
            </w:pPr>
            <w:r>
              <w:rPr>
                <w:rFonts w:ascii="宋体" w:hAnsi="宋体" w:eastAsia="宋体" w:cs="宋体"/>
                <w:color w:val="auto"/>
                <w:sz w:val="22"/>
                <w:highlight w:val="none"/>
              </w:rPr>
              <w:t>公斤</w:t>
            </w:r>
          </w:p>
        </w:tc>
        <w:tc>
          <w:tcPr>
            <w:tcW w:w="1982" w:type="dxa"/>
            <w:noWrap/>
            <w:vAlign w:val="center"/>
          </w:tcPr>
          <w:p w14:paraId="57383700">
            <w:pPr>
              <w:pStyle w:val="12"/>
              <w:spacing w:line="360" w:lineRule="auto"/>
              <w:ind w:left="1080" w:leftChars="257" w:hanging="540"/>
              <w:jc w:val="center"/>
              <w:rPr>
                <w:rFonts w:hint="eastAsia" w:hAnsi="宋体" w:eastAsia="宋体"/>
                <w:color w:val="auto"/>
                <w:szCs w:val="21"/>
                <w:highlight w:val="none"/>
              </w:rPr>
            </w:pPr>
          </w:p>
        </w:tc>
        <w:tc>
          <w:tcPr>
            <w:tcW w:w="878" w:type="dxa"/>
            <w:noWrap/>
            <w:vAlign w:val="center"/>
          </w:tcPr>
          <w:p w14:paraId="626D7755">
            <w:pPr>
              <w:pStyle w:val="12"/>
              <w:spacing w:line="360" w:lineRule="auto"/>
              <w:jc w:val="center"/>
              <w:rPr>
                <w:rFonts w:hint="eastAsia" w:ascii="宋体" w:hAnsi="宋体" w:eastAsia="宋体" w:cs="Arial"/>
                <w:color w:val="auto"/>
                <w:szCs w:val="21"/>
                <w:highlight w:val="none"/>
                <w:lang w:eastAsia="zh-CN"/>
              </w:rPr>
            </w:pPr>
            <w:r>
              <w:rPr>
                <w:rFonts w:hint="eastAsia" w:ascii="宋体" w:hAnsi="宋体" w:eastAsia="宋体" w:cs="Arial"/>
                <w:color w:val="auto"/>
                <w:szCs w:val="21"/>
                <w:highlight w:val="none"/>
                <w:lang w:eastAsia="zh-CN"/>
              </w:rPr>
              <w:t>1</w:t>
            </w:r>
          </w:p>
        </w:tc>
        <w:tc>
          <w:tcPr>
            <w:tcW w:w="1891" w:type="dxa"/>
            <w:vAlign w:val="center"/>
          </w:tcPr>
          <w:p w14:paraId="3B465265">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AC17787">
            <w:pPr>
              <w:pStyle w:val="12"/>
              <w:spacing w:line="360" w:lineRule="auto"/>
              <w:ind w:left="1080" w:leftChars="257" w:hanging="540"/>
              <w:jc w:val="center"/>
              <w:rPr>
                <w:rFonts w:hint="eastAsia" w:hAnsi="宋体" w:eastAsia="宋体"/>
                <w:color w:val="auto"/>
                <w:szCs w:val="21"/>
                <w:highlight w:val="none"/>
                <w:lang w:eastAsia="zh-CN"/>
              </w:rPr>
            </w:pPr>
          </w:p>
        </w:tc>
        <w:tc>
          <w:tcPr>
            <w:tcW w:w="1891" w:type="dxa"/>
            <w:vAlign w:val="center"/>
          </w:tcPr>
          <w:p w14:paraId="386BE6A7">
            <w:pPr>
              <w:rPr>
                <w:rFonts w:hint="eastAsia" w:ascii="宋体" w:hAnsi="宋体" w:eastAsia="宋体" w:cs="宋体"/>
                <w:highlight w:val="none"/>
                <w:lang w:eastAsia="zh-CN"/>
              </w:rPr>
            </w:pPr>
          </w:p>
        </w:tc>
      </w:tr>
      <w:tr w14:paraId="76058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2405" w:type="dxa"/>
            <w:gridSpan w:val="2"/>
            <w:noWrap/>
            <w:vAlign w:val="center"/>
          </w:tcPr>
          <w:p w14:paraId="204AF8DA">
            <w:pPr>
              <w:pStyle w:val="12"/>
              <w:spacing w:line="360" w:lineRule="auto"/>
              <w:jc w:val="center"/>
              <w:rPr>
                <w:rFonts w:hint="eastAsia" w:hAnsi="宋体" w:eastAsia="宋体" w:cs="宋体"/>
                <w:szCs w:val="21"/>
                <w:highlight w:val="none"/>
              </w:rPr>
            </w:pPr>
            <w:r>
              <w:rPr>
                <w:rFonts w:hAnsi="宋体" w:eastAsia="宋体" w:cs="宋体"/>
                <w:szCs w:val="21"/>
                <w:highlight w:val="none"/>
              </w:rPr>
              <w:t>投标</w:t>
            </w:r>
            <w:r>
              <w:rPr>
                <w:rFonts w:hAnsi="宋体" w:eastAsia="宋体" w:cs="宋体"/>
                <w:szCs w:val="21"/>
                <w:highlight w:val="none"/>
                <w:lang w:eastAsia="zh-CN"/>
              </w:rPr>
              <w:t>下浮率（%）</w:t>
            </w:r>
          </w:p>
        </w:tc>
        <w:tc>
          <w:tcPr>
            <w:tcW w:w="10070" w:type="dxa"/>
            <w:gridSpan w:val="6"/>
            <w:noWrap/>
            <w:vAlign w:val="center"/>
          </w:tcPr>
          <w:p w14:paraId="77398DE5">
            <w:pPr>
              <w:rPr>
                <w:rFonts w:hint="eastAsia" w:ascii="宋体" w:hAnsi="宋体" w:eastAsia="宋体" w:cs="宋体"/>
                <w:highlight w:val="none"/>
                <w:lang w:eastAsia="zh-CN"/>
              </w:rPr>
            </w:pPr>
          </w:p>
        </w:tc>
      </w:tr>
      <w:tr w14:paraId="6D300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12475" w:type="dxa"/>
            <w:gridSpan w:val="8"/>
            <w:noWrap/>
            <w:vAlign w:val="center"/>
          </w:tcPr>
          <w:p w14:paraId="4E27F007">
            <w:pPr>
              <w:pStyle w:val="12"/>
              <w:spacing w:line="360" w:lineRule="auto"/>
              <w:jc w:val="both"/>
              <w:rPr>
                <w:rFonts w:hint="eastAsia" w:hAnsi="宋体" w:eastAsia="宋体"/>
                <w:color w:val="auto"/>
                <w:szCs w:val="21"/>
                <w:highlight w:val="none"/>
                <w:lang w:eastAsia="zh-CN"/>
              </w:rPr>
            </w:pPr>
            <w:r>
              <w:rPr>
                <w:rFonts w:hint="eastAsia" w:hAnsi="宋体" w:eastAsia="宋体"/>
                <w:color w:val="auto"/>
                <w:szCs w:val="21"/>
                <w:highlight w:val="none"/>
                <w:lang w:eastAsia="zh-CN"/>
              </w:rPr>
              <w:t>注：所有货物统一填报投标下浮率。</w:t>
            </w:r>
          </w:p>
        </w:tc>
      </w:tr>
    </w:tbl>
    <w:p w14:paraId="4D71F8FB">
      <w:pPr>
        <w:pStyle w:val="12"/>
        <w:tabs>
          <w:tab w:val="left" w:pos="5370"/>
        </w:tabs>
        <w:spacing w:line="360" w:lineRule="auto"/>
        <w:ind w:left="1080" w:leftChars="257" w:hanging="540"/>
        <w:rPr>
          <w:rFonts w:hint="eastAsia" w:ascii="仿宋" w:hAnsi="仿宋" w:eastAsia="仿宋"/>
          <w:color w:val="auto"/>
          <w:sz w:val="24"/>
          <w:highlight w:val="none"/>
          <w:lang w:eastAsia="zh-CN"/>
        </w:rPr>
      </w:pPr>
    </w:p>
    <w:p w14:paraId="5FB89146">
      <w:pPr>
        <w:pStyle w:val="12"/>
        <w:tabs>
          <w:tab w:val="left" w:pos="5370"/>
        </w:tabs>
        <w:spacing w:line="360" w:lineRule="auto"/>
        <w:ind w:left="1080" w:leftChars="257" w:hanging="540"/>
        <w:rPr>
          <w:rFonts w:hint="eastAsia" w:ascii="仿宋" w:hAnsi="仿宋" w:eastAsia="仿宋"/>
          <w:color w:val="auto"/>
          <w:sz w:val="24"/>
          <w:highlight w:val="none"/>
          <w:u w:val="single"/>
          <w:lang w:eastAsia="zh-CN"/>
        </w:rPr>
      </w:pPr>
      <w:r>
        <w:rPr>
          <w:rFonts w:hint="eastAsia" w:ascii="仿宋" w:hAnsi="仿宋" w:eastAsia="仿宋"/>
          <w:color w:val="auto"/>
          <w:sz w:val="24"/>
          <w:highlight w:val="none"/>
          <w:lang w:eastAsia="zh-CN"/>
        </w:rPr>
        <w:t>投标人(盖公章):</w:t>
      </w:r>
      <w:r>
        <w:rPr>
          <w:rFonts w:ascii="仿宋" w:hAnsi="仿宋" w:eastAsia="仿宋"/>
          <w:color w:val="auto"/>
          <w:sz w:val="24"/>
          <w:highlight w:val="none"/>
          <w:u w:val="single"/>
          <w:lang w:eastAsia="zh-CN"/>
        </w:rPr>
        <w:tab/>
      </w:r>
    </w:p>
    <w:p w14:paraId="46AA1EDE">
      <w:pPr>
        <w:pStyle w:val="12"/>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法定代表人或委托代理人（签字或签章）:</w:t>
      </w:r>
      <w:r>
        <w:rPr>
          <w:rFonts w:ascii="仿宋" w:hAnsi="仿宋" w:eastAsia="仿宋"/>
          <w:color w:val="auto"/>
          <w:sz w:val="24"/>
          <w:highlight w:val="none"/>
          <w:u w:val="single"/>
          <w:lang w:eastAsia="zh-CN"/>
        </w:rPr>
        <w:tab/>
      </w:r>
      <w:r>
        <w:rPr>
          <w:rFonts w:hint="eastAsia" w:ascii="仿宋" w:hAnsi="仿宋" w:eastAsia="仿宋"/>
          <w:color w:val="auto"/>
          <w:sz w:val="24"/>
          <w:highlight w:val="none"/>
          <w:u w:val="single"/>
          <w:lang w:eastAsia="zh-CN"/>
        </w:rPr>
        <w:t xml:space="preserve">       </w:t>
      </w:r>
    </w:p>
    <w:p w14:paraId="076F0ED5">
      <w:pPr>
        <w:pStyle w:val="12"/>
        <w:spacing w:line="360" w:lineRule="auto"/>
        <w:ind w:left="1080" w:leftChars="257" w:hanging="540"/>
        <w:rPr>
          <w:rFonts w:hint="eastAsia" w:ascii="仿宋" w:hAnsi="仿宋" w:eastAsia="仿宋"/>
          <w:color w:val="auto"/>
          <w:sz w:val="24"/>
          <w:highlight w:val="none"/>
          <w:lang w:eastAsia="zh-CN"/>
        </w:rPr>
      </w:pPr>
    </w:p>
    <w:p w14:paraId="4A98AF3C">
      <w:pPr>
        <w:pStyle w:val="12"/>
        <w:ind w:left="1079" w:leftChars="428" w:hanging="180" w:hangingChars="75"/>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注</w:t>
      </w:r>
    </w:p>
    <w:p w14:paraId="0D043607">
      <w:pPr>
        <w:pStyle w:val="12"/>
        <w:ind w:left="1079" w:leftChars="428" w:hanging="180" w:hangingChars="75"/>
        <w:rPr>
          <w:rFonts w:hint="eastAsia" w:ascii="仿宋" w:hAnsi="仿宋" w:eastAsia="仿宋"/>
          <w:b/>
          <w:bCs/>
          <w:color w:val="auto"/>
          <w:sz w:val="24"/>
          <w:highlight w:val="none"/>
          <w:lang w:eastAsia="zh-CN"/>
        </w:rPr>
      </w:pPr>
      <w:r>
        <w:rPr>
          <w:rFonts w:hint="eastAsia" w:ascii="仿宋" w:hAnsi="仿宋" w:eastAsia="仿宋"/>
          <w:color w:val="auto"/>
          <w:sz w:val="24"/>
          <w:highlight w:val="none"/>
          <w:lang w:eastAsia="zh-CN"/>
        </w:rPr>
        <w:t>1.为了方便采购人履约验收，本表内容尽可能的填写完善。</w:t>
      </w:r>
    </w:p>
    <w:p w14:paraId="75995CAB">
      <w:pPr>
        <w:pageBreakBefore/>
        <w:spacing w:line="307" w:lineRule="auto"/>
        <w:rPr>
          <w:rFonts w:hint="eastAsia" w:ascii="仿宋" w:hAnsi="仿宋" w:eastAsia="仿宋" w:cs="仿宋"/>
          <w:color w:val="auto"/>
          <w:highlight w:val="none"/>
          <w:lang w:eastAsia="zh-CN"/>
        </w:rPr>
        <w:sectPr>
          <w:pgSz w:w="16839" w:h="11906" w:orient="landscape"/>
          <w:pgMar w:top="1786" w:right="1219" w:bottom="1786" w:left="1389" w:header="868" w:footer="1185" w:gutter="0"/>
          <w:pgNumType w:fmt="numberInDash"/>
          <w:cols w:space="720" w:num="1"/>
        </w:sectPr>
      </w:pPr>
    </w:p>
    <w:p w14:paraId="1784F9D2">
      <w:pPr>
        <w:pageBreakBefore/>
        <w:spacing w:line="307" w:lineRule="auto"/>
        <w:rPr>
          <w:rFonts w:hint="eastAsia" w:ascii="仿宋" w:hAnsi="仿宋" w:eastAsia="仿宋" w:cs="仿宋"/>
          <w:color w:val="auto"/>
          <w:highlight w:val="none"/>
          <w:lang w:eastAsia="zh-CN"/>
        </w:rPr>
      </w:pPr>
    </w:p>
    <w:p w14:paraId="63709DC4">
      <w:pPr>
        <w:spacing w:before="78" w:line="221" w:lineRule="auto"/>
        <w:ind w:left="50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封面：</w:t>
      </w:r>
    </w:p>
    <w:p w14:paraId="7261560C">
      <w:pPr>
        <w:spacing w:line="278" w:lineRule="auto"/>
        <w:rPr>
          <w:rFonts w:hint="eastAsia" w:ascii="仿宋" w:hAnsi="仿宋" w:eastAsia="仿宋" w:cs="仿宋"/>
          <w:color w:val="auto"/>
          <w:highlight w:val="none"/>
          <w:lang w:eastAsia="zh-CN"/>
        </w:rPr>
      </w:pPr>
    </w:p>
    <w:p w14:paraId="1B2EEF24">
      <w:pPr>
        <w:spacing w:line="279" w:lineRule="auto"/>
        <w:rPr>
          <w:rFonts w:hint="eastAsia" w:ascii="仿宋" w:hAnsi="仿宋" w:eastAsia="仿宋" w:cs="仿宋"/>
          <w:color w:val="auto"/>
          <w:highlight w:val="none"/>
          <w:lang w:eastAsia="zh-CN"/>
        </w:rPr>
      </w:pPr>
    </w:p>
    <w:p w14:paraId="7298F764">
      <w:pPr>
        <w:spacing w:line="279" w:lineRule="auto"/>
        <w:rPr>
          <w:rFonts w:hint="eastAsia" w:ascii="仿宋" w:hAnsi="仿宋" w:eastAsia="仿宋" w:cs="仿宋"/>
          <w:color w:val="auto"/>
          <w:highlight w:val="none"/>
          <w:lang w:eastAsia="zh-CN"/>
        </w:rPr>
      </w:pPr>
    </w:p>
    <w:p w14:paraId="7157A3D2">
      <w:pPr>
        <w:spacing w:line="279" w:lineRule="auto"/>
        <w:rPr>
          <w:rFonts w:hint="eastAsia" w:ascii="仿宋" w:hAnsi="仿宋" w:eastAsia="仿宋" w:cs="仿宋"/>
          <w:color w:val="auto"/>
          <w:highlight w:val="none"/>
          <w:lang w:eastAsia="zh-CN"/>
        </w:rPr>
      </w:pPr>
    </w:p>
    <w:p w14:paraId="4A34B017">
      <w:pPr>
        <w:spacing w:line="279" w:lineRule="auto"/>
        <w:rPr>
          <w:rFonts w:hint="eastAsia" w:ascii="仿宋" w:hAnsi="仿宋" w:eastAsia="仿宋" w:cs="仿宋"/>
          <w:color w:val="auto"/>
          <w:highlight w:val="none"/>
          <w:lang w:eastAsia="zh-CN"/>
        </w:rPr>
      </w:pPr>
    </w:p>
    <w:p w14:paraId="6254457C">
      <w:pPr>
        <w:spacing w:before="270" w:line="268" w:lineRule="auto"/>
        <w:ind w:right="-30"/>
        <w:jc w:val="center"/>
        <w:rPr>
          <w:rFonts w:hint="eastAsia" w:ascii="仿宋" w:hAnsi="仿宋" w:eastAsia="仿宋" w:cs="仿宋"/>
          <w:b/>
          <w:bCs/>
          <w:color w:val="auto"/>
          <w:spacing w:val="-36"/>
          <w:sz w:val="83"/>
          <w:szCs w:val="83"/>
          <w:highlight w:val="none"/>
          <w:lang w:eastAsia="zh-CN"/>
        </w:rPr>
      </w:pPr>
      <w:r>
        <w:rPr>
          <w:rFonts w:hint="eastAsia" w:ascii="仿宋" w:hAnsi="仿宋" w:eastAsia="仿宋" w:cs="仿宋"/>
          <w:b/>
          <w:bCs/>
          <w:color w:val="auto"/>
          <w:spacing w:val="-36"/>
          <w:sz w:val="83"/>
          <w:szCs w:val="83"/>
          <w:highlight w:val="none"/>
          <w:lang w:eastAsia="zh-CN"/>
        </w:rPr>
        <w:t>投标文件</w:t>
      </w:r>
    </w:p>
    <w:p w14:paraId="55FA8BCC">
      <w:pPr>
        <w:spacing w:before="270" w:line="268" w:lineRule="auto"/>
        <w:ind w:right="-30"/>
        <w:jc w:val="center"/>
        <w:rPr>
          <w:rFonts w:hint="eastAsia" w:ascii="仿宋" w:hAnsi="仿宋" w:eastAsia="仿宋" w:cs="仿宋"/>
          <w:color w:val="auto"/>
          <w:sz w:val="55"/>
          <w:szCs w:val="55"/>
          <w:highlight w:val="none"/>
          <w:lang w:eastAsia="zh-CN"/>
        </w:rPr>
      </w:pPr>
      <w:r>
        <w:rPr>
          <w:rFonts w:hint="eastAsia" w:ascii="仿宋" w:hAnsi="仿宋" w:eastAsia="仿宋" w:cs="仿宋"/>
          <w:b/>
          <w:bCs/>
          <w:color w:val="auto"/>
          <w:sz w:val="55"/>
          <w:szCs w:val="55"/>
          <w:highlight w:val="none"/>
          <w:lang w:eastAsia="zh-CN"/>
        </w:rPr>
        <w:t>商务技术文件</w:t>
      </w:r>
    </w:p>
    <w:p w14:paraId="07D20494">
      <w:pPr>
        <w:spacing w:before="109" w:line="224" w:lineRule="auto"/>
        <w:jc w:val="center"/>
        <w:rPr>
          <w:rFonts w:hint="eastAsia" w:ascii="仿宋" w:hAnsi="仿宋" w:eastAsia="仿宋" w:cs="仿宋"/>
          <w:color w:val="auto"/>
          <w:sz w:val="35"/>
          <w:szCs w:val="35"/>
          <w:highlight w:val="none"/>
          <w:lang w:eastAsia="zh-CN"/>
        </w:rPr>
      </w:pPr>
      <w:r>
        <w:rPr>
          <w:rFonts w:hint="eastAsia" w:ascii="仿宋" w:hAnsi="仿宋" w:eastAsia="仿宋" w:cs="仿宋"/>
          <w:color w:val="auto"/>
          <w:spacing w:val="8"/>
          <w:sz w:val="35"/>
          <w:szCs w:val="35"/>
          <w:highlight w:val="none"/>
          <w:lang w:eastAsia="zh-CN"/>
        </w:rPr>
        <w:t>（第</w:t>
      </w:r>
      <w:r>
        <w:rPr>
          <w:rFonts w:hint="eastAsia" w:ascii="仿宋" w:hAnsi="仿宋" w:eastAsia="仿宋" w:cs="仿宋"/>
          <w:color w:val="auto"/>
          <w:sz w:val="35"/>
          <w:szCs w:val="35"/>
          <w:highlight w:val="none"/>
          <w:lang w:eastAsia="zh-CN"/>
        </w:rPr>
        <w:t>XX</w:t>
      </w:r>
      <w:r>
        <w:rPr>
          <w:rFonts w:hint="eastAsia" w:ascii="仿宋" w:hAnsi="仿宋" w:eastAsia="仿宋" w:cs="仿宋"/>
          <w:color w:val="auto"/>
          <w:spacing w:val="8"/>
          <w:sz w:val="35"/>
          <w:szCs w:val="35"/>
          <w:highlight w:val="none"/>
          <w:lang w:eastAsia="zh-CN"/>
        </w:rPr>
        <w:t>包）【如不分包，请删去本行】</w:t>
      </w:r>
    </w:p>
    <w:p w14:paraId="1F0651B9">
      <w:pPr>
        <w:spacing w:line="252" w:lineRule="auto"/>
        <w:rPr>
          <w:rFonts w:hint="eastAsia" w:ascii="仿宋" w:hAnsi="仿宋" w:eastAsia="仿宋" w:cs="仿宋"/>
          <w:color w:val="auto"/>
          <w:highlight w:val="none"/>
          <w:lang w:eastAsia="zh-CN"/>
        </w:rPr>
      </w:pPr>
    </w:p>
    <w:p w14:paraId="5079E346">
      <w:pPr>
        <w:spacing w:line="253" w:lineRule="auto"/>
        <w:rPr>
          <w:rFonts w:hint="eastAsia" w:ascii="仿宋" w:hAnsi="仿宋" w:eastAsia="仿宋" w:cs="仿宋"/>
          <w:color w:val="auto"/>
          <w:highlight w:val="none"/>
          <w:lang w:eastAsia="zh-CN"/>
        </w:rPr>
      </w:pPr>
    </w:p>
    <w:p w14:paraId="6F10CFB1">
      <w:pPr>
        <w:spacing w:line="253" w:lineRule="auto"/>
        <w:rPr>
          <w:rFonts w:hint="eastAsia" w:ascii="仿宋" w:hAnsi="仿宋" w:eastAsia="仿宋" w:cs="仿宋"/>
          <w:color w:val="auto"/>
          <w:highlight w:val="none"/>
          <w:lang w:eastAsia="zh-CN"/>
        </w:rPr>
      </w:pPr>
    </w:p>
    <w:p w14:paraId="72FC9C47">
      <w:pPr>
        <w:spacing w:line="253" w:lineRule="auto"/>
        <w:rPr>
          <w:rFonts w:hint="eastAsia" w:ascii="仿宋" w:hAnsi="仿宋" w:eastAsia="仿宋" w:cs="仿宋"/>
          <w:color w:val="auto"/>
          <w:highlight w:val="none"/>
          <w:lang w:eastAsia="zh-CN"/>
        </w:rPr>
      </w:pPr>
    </w:p>
    <w:p w14:paraId="60044E0C">
      <w:pPr>
        <w:spacing w:line="253" w:lineRule="auto"/>
        <w:rPr>
          <w:rFonts w:hint="eastAsia" w:ascii="仿宋" w:hAnsi="仿宋" w:eastAsia="仿宋" w:cs="仿宋"/>
          <w:color w:val="auto"/>
          <w:highlight w:val="none"/>
          <w:lang w:eastAsia="zh-CN"/>
        </w:rPr>
      </w:pPr>
    </w:p>
    <w:p w14:paraId="2032FEC0">
      <w:pPr>
        <w:spacing w:line="253" w:lineRule="auto"/>
        <w:rPr>
          <w:rFonts w:hint="eastAsia" w:ascii="仿宋" w:hAnsi="仿宋" w:eastAsia="仿宋" w:cs="仿宋"/>
          <w:color w:val="auto"/>
          <w:highlight w:val="none"/>
          <w:lang w:eastAsia="zh-CN"/>
        </w:rPr>
      </w:pPr>
    </w:p>
    <w:p w14:paraId="5F63BDCD">
      <w:pPr>
        <w:spacing w:line="253" w:lineRule="auto"/>
        <w:rPr>
          <w:rFonts w:hint="eastAsia" w:ascii="仿宋" w:hAnsi="仿宋" w:eastAsia="仿宋" w:cs="仿宋"/>
          <w:color w:val="auto"/>
          <w:highlight w:val="none"/>
          <w:lang w:eastAsia="zh-CN"/>
        </w:rPr>
      </w:pPr>
    </w:p>
    <w:p w14:paraId="10754834">
      <w:pPr>
        <w:spacing w:line="253" w:lineRule="auto"/>
        <w:rPr>
          <w:rFonts w:hint="eastAsia" w:ascii="仿宋" w:hAnsi="仿宋" w:eastAsia="仿宋" w:cs="仿宋"/>
          <w:color w:val="auto"/>
          <w:highlight w:val="none"/>
          <w:lang w:eastAsia="zh-CN"/>
        </w:rPr>
      </w:pPr>
    </w:p>
    <w:p w14:paraId="7E5FA77D">
      <w:pPr>
        <w:spacing w:line="253" w:lineRule="auto"/>
        <w:rPr>
          <w:rFonts w:hint="eastAsia" w:ascii="仿宋" w:hAnsi="仿宋" w:eastAsia="仿宋" w:cs="仿宋"/>
          <w:color w:val="auto"/>
          <w:highlight w:val="none"/>
          <w:lang w:eastAsia="zh-CN"/>
        </w:rPr>
      </w:pPr>
    </w:p>
    <w:p w14:paraId="36A953E2">
      <w:pPr>
        <w:spacing w:line="253" w:lineRule="auto"/>
        <w:rPr>
          <w:rFonts w:hint="eastAsia" w:ascii="仿宋" w:hAnsi="仿宋" w:eastAsia="仿宋" w:cs="仿宋"/>
          <w:color w:val="auto"/>
          <w:highlight w:val="none"/>
          <w:lang w:eastAsia="zh-CN"/>
        </w:rPr>
      </w:pPr>
    </w:p>
    <w:p w14:paraId="1903C71E">
      <w:pPr>
        <w:spacing w:line="253" w:lineRule="auto"/>
        <w:rPr>
          <w:rFonts w:hint="eastAsia" w:ascii="仿宋" w:hAnsi="仿宋" w:eastAsia="仿宋" w:cs="仿宋"/>
          <w:color w:val="auto"/>
          <w:highlight w:val="none"/>
          <w:lang w:eastAsia="zh-CN"/>
        </w:rPr>
      </w:pPr>
    </w:p>
    <w:p w14:paraId="40FA7E59">
      <w:pPr>
        <w:spacing w:line="253" w:lineRule="auto"/>
        <w:rPr>
          <w:rFonts w:hint="eastAsia" w:ascii="仿宋" w:hAnsi="仿宋" w:eastAsia="仿宋" w:cs="仿宋"/>
          <w:color w:val="auto"/>
          <w:highlight w:val="none"/>
          <w:lang w:eastAsia="zh-CN"/>
        </w:rPr>
      </w:pPr>
    </w:p>
    <w:p w14:paraId="64CDFBDD">
      <w:pPr>
        <w:pStyle w:val="9"/>
        <w:tabs>
          <w:tab w:val="left" w:pos="8364"/>
        </w:tabs>
        <w:spacing w:before="100"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项目编号：</w:t>
      </w:r>
      <w:r>
        <w:rPr>
          <w:rFonts w:hint="eastAsia" w:ascii="仿宋" w:hAnsi="仿宋" w:eastAsia="仿宋" w:cs="仿宋"/>
          <w:color w:val="auto"/>
          <w:highlight w:val="none"/>
          <w:u w:val="single"/>
          <w:lang w:eastAsia="zh-CN"/>
        </w:rPr>
        <w:tab/>
      </w:r>
    </w:p>
    <w:p w14:paraId="4D443DD4">
      <w:pPr>
        <w:pStyle w:val="9"/>
        <w:tabs>
          <w:tab w:val="left" w:pos="8364"/>
        </w:tabs>
        <w:spacing w:before="100" w:line="362" w:lineRule="auto"/>
        <w:ind w:left="443" w:right="14" w:firstLine="2"/>
        <w:jc w:val="both"/>
        <w:rPr>
          <w:rFonts w:hint="eastAsia" w:ascii="仿宋" w:hAnsi="仿宋" w:eastAsia="仿宋" w:cs="仿宋"/>
          <w:color w:val="auto"/>
          <w:highlight w:val="none"/>
          <w:u w:val="single"/>
          <w:lang w:eastAsia="zh-CN"/>
        </w:rPr>
      </w:pPr>
      <w:r>
        <w:rPr>
          <w:rFonts w:hint="eastAsia" w:ascii="仿宋" w:hAnsi="仿宋" w:eastAsia="仿宋" w:cs="仿宋"/>
          <w:color w:val="auto"/>
          <w:spacing w:val="5"/>
          <w:highlight w:val="none"/>
          <w:lang w:eastAsia="zh-CN"/>
        </w:rPr>
        <w:t>项目名称：</w:t>
      </w:r>
      <w:r>
        <w:rPr>
          <w:rFonts w:hint="eastAsia" w:ascii="仿宋" w:hAnsi="仿宋" w:eastAsia="仿宋" w:cs="仿宋"/>
          <w:color w:val="auto"/>
          <w:highlight w:val="none"/>
          <w:u w:val="single"/>
          <w:lang w:eastAsia="zh-CN"/>
        </w:rPr>
        <w:tab/>
      </w:r>
    </w:p>
    <w:p w14:paraId="4E04C11C">
      <w:pPr>
        <w:pStyle w:val="9"/>
        <w:tabs>
          <w:tab w:val="left" w:pos="8364"/>
        </w:tabs>
        <w:spacing w:before="100" w:line="362" w:lineRule="auto"/>
        <w:ind w:left="443" w:right="14" w:firstLine="2"/>
        <w:jc w:val="both"/>
        <w:rPr>
          <w:rFonts w:hint="eastAsia" w:ascii="仿宋" w:hAnsi="仿宋" w:eastAsia="仿宋" w:cs="仿宋"/>
          <w:color w:val="auto"/>
          <w:highlight w:val="none"/>
          <w:lang w:eastAsia="zh-CN"/>
        </w:rPr>
      </w:pPr>
      <w:r>
        <w:rPr>
          <w:rFonts w:hint="eastAsia" w:ascii="仿宋" w:hAnsi="仿宋" w:eastAsia="仿宋" w:cs="仿宋"/>
          <w:color w:val="auto"/>
          <w:spacing w:val="3"/>
          <w:highlight w:val="none"/>
          <w:lang w:eastAsia="zh-CN"/>
        </w:rPr>
        <w:t>投标人：</w:t>
      </w:r>
      <w:r>
        <w:rPr>
          <w:rFonts w:hint="eastAsia" w:ascii="仿宋" w:hAnsi="仿宋" w:eastAsia="仿宋" w:cs="仿宋"/>
          <w:color w:val="auto"/>
          <w:highlight w:val="none"/>
          <w:u w:val="single"/>
          <w:lang w:eastAsia="zh-CN"/>
        </w:rPr>
        <w:tab/>
      </w:r>
    </w:p>
    <w:p w14:paraId="277139DF">
      <w:pPr>
        <w:spacing w:line="297" w:lineRule="auto"/>
        <w:rPr>
          <w:rFonts w:hint="eastAsia" w:ascii="仿宋" w:hAnsi="仿宋" w:eastAsia="仿宋" w:cs="仿宋"/>
          <w:color w:val="auto"/>
          <w:highlight w:val="none"/>
          <w:lang w:eastAsia="zh-CN"/>
        </w:rPr>
      </w:pPr>
    </w:p>
    <w:p w14:paraId="3DC5ECAA">
      <w:pPr>
        <w:spacing w:line="297" w:lineRule="auto"/>
        <w:rPr>
          <w:rFonts w:hint="eastAsia" w:ascii="仿宋" w:hAnsi="仿宋" w:eastAsia="仿宋" w:cs="仿宋"/>
          <w:color w:val="auto"/>
          <w:highlight w:val="none"/>
          <w:lang w:eastAsia="zh-CN"/>
        </w:rPr>
      </w:pPr>
    </w:p>
    <w:p w14:paraId="6D1508A0">
      <w:pPr>
        <w:spacing w:line="297" w:lineRule="auto"/>
        <w:rPr>
          <w:rFonts w:hint="eastAsia" w:ascii="仿宋" w:hAnsi="仿宋" w:eastAsia="仿宋" w:cs="仿宋"/>
          <w:color w:val="auto"/>
          <w:highlight w:val="none"/>
          <w:lang w:eastAsia="zh-CN"/>
        </w:rPr>
      </w:pPr>
    </w:p>
    <w:p w14:paraId="5AF8DE48">
      <w:pPr>
        <w:spacing w:line="298" w:lineRule="auto"/>
        <w:rPr>
          <w:rFonts w:hint="eastAsia" w:ascii="仿宋" w:hAnsi="仿宋" w:eastAsia="仿宋" w:cs="仿宋"/>
          <w:color w:val="auto"/>
          <w:highlight w:val="none"/>
          <w:lang w:eastAsia="zh-CN"/>
        </w:rPr>
      </w:pPr>
    </w:p>
    <w:p w14:paraId="18744940">
      <w:pPr>
        <w:pStyle w:val="9"/>
        <w:spacing w:before="102" w:line="228" w:lineRule="auto"/>
        <w:ind w:left="3140"/>
        <w:rPr>
          <w:rFonts w:hint="eastAsia" w:ascii="仿宋" w:hAnsi="仿宋" w:eastAsia="仿宋" w:cs="仿宋"/>
          <w:color w:val="auto"/>
          <w:highlight w:val="none"/>
          <w:lang w:eastAsia="zh-CN"/>
        </w:rPr>
      </w:pPr>
      <w:r>
        <w:rPr>
          <w:rFonts w:hint="eastAsia" w:ascii="仿宋" w:hAnsi="仿宋" w:eastAsia="仿宋" w:cs="仿宋"/>
          <w:color w:val="auto"/>
          <w:spacing w:val="-6"/>
          <w:highlight w:val="none"/>
          <w:lang w:eastAsia="zh-CN"/>
        </w:rPr>
        <w:t>年  月  日</w:t>
      </w:r>
    </w:p>
    <w:p w14:paraId="402ACE9A">
      <w:pPr>
        <w:spacing w:line="274" w:lineRule="auto"/>
        <w:rPr>
          <w:rFonts w:hint="eastAsia" w:ascii="仿宋" w:hAnsi="仿宋" w:eastAsia="仿宋" w:cs="仿宋"/>
          <w:color w:val="auto"/>
          <w:highlight w:val="none"/>
          <w:lang w:eastAsia="zh-CN"/>
        </w:rPr>
      </w:pPr>
    </w:p>
    <w:p w14:paraId="4544C62F">
      <w:pPr>
        <w:pageBreakBefore/>
        <w:spacing w:before="101" w:line="226" w:lineRule="auto"/>
        <w:ind w:left="3379"/>
        <w:outlineLvl w:val="1"/>
        <w:rPr>
          <w:rFonts w:hint="eastAsia" w:ascii="仿宋" w:hAnsi="仿宋" w:eastAsia="仿宋" w:cs="仿宋"/>
          <w:color w:val="auto"/>
          <w:sz w:val="31"/>
          <w:szCs w:val="31"/>
          <w:highlight w:val="none"/>
          <w:lang w:eastAsia="zh-CN"/>
        </w:rPr>
      </w:pPr>
      <w:bookmarkStart w:id="419" w:name="bookmark256"/>
      <w:bookmarkEnd w:id="419"/>
      <w:bookmarkStart w:id="420" w:name="bookmark255"/>
      <w:bookmarkEnd w:id="420"/>
      <w:bookmarkStart w:id="421" w:name="_Toc186477812"/>
      <w:bookmarkStart w:id="422" w:name="_Toc13720"/>
      <w:r>
        <w:rPr>
          <w:rFonts w:hint="eastAsia" w:ascii="仿宋" w:hAnsi="仿宋" w:eastAsia="仿宋" w:cs="仿宋"/>
          <w:b/>
          <w:bCs/>
          <w:color w:val="auto"/>
          <w:spacing w:val="3"/>
          <w:sz w:val="31"/>
          <w:szCs w:val="31"/>
          <w:highlight w:val="none"/>
          <w:lang w:eastAsia="zh-CN"/>
        </w:rPr>
        <w:t>一、投标函</w:t>
      </w:r>
      <w:bookmarkEnd w:id="421"/>
      <w:bookmarkEnd w:id="422"/>
    </w:p>
    <w:p w14:paraId="7A73C38D">
      <w:pPr>
        <w:tabs>
          <w:tab w:val="left" w:pos="5580"/>
        </w:tabs>
        <w:spacing w:line="360" w:lineRule="auto"/>
        <w:ind w:left="1080" w:hanging="108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致：</w:t>
      </w:r>
      <w:r>
        <w:rPr>
          <w:rFonts w:hint="eastAsia" w:ascii="仿宋" w:hAnsi="仿宋" w:eastAsia="仿宋"/>
          <w:color w:val="auto"/>
          <w:sz w:val="24"/>
          <w:highlight w:val="none"/>
          <w:u w:val="single"/>
          <w:lang w:eastAsia="zh-CN"/>
        </w:rPr>
        <w:t xml:space="preserve">（采购人名称） </w:t>
      </w:r>
    </w:p>
    <w:p w14:paraId="4621E731">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根据贵方(</w:t>
      </w:r>
      <w:r>
        <w:rPr>
          <w:rFonts w:hint="eastAsia" w:ascii="仿宋" w:hAnsi="仿宋" w:eastAsia="仿宋"/>
          <w:i/>
          <w:color w:val="auto"/>
          <w:sz w:val="24"/>
          <w:highlight w:val="none"/>
          <w:u w:val="single"/>
          <w:lang w:eastAsia="zh-CN"/>
        </w:rPr>
        <w:t>项目名称)</w:t>
      </w:r>
      <w:r>
        <w:rPr>
          <w:rFonts w:ascii="仿宋" w:hAnsi="仿宋" w:eastAsia="仿宋"/>
          <w:i/>
          <w:color w:val="auto"/>
          <w:sz w:val="24"/>
          <w:highlight w:val="none"/>
          <w:u w:val="single"/>
          <w:lang w:eastAsia="zh-CN"/>
        </w:rPr>
        <w:t xml:space="preserve"> （项目编号）</w:t>
      </w:r>
      <w:r>
        <w:rPr>
          <w:rFonts w:hint="eastAsia" w:ascii="仿宋" w:hAnsi="仿宋" w:eastAsia="仿宋"/>
          <w:color w:val="auto"/>
          <w:sz w:val="24"/>
          <w:highlight w:val="none"/>
          <w:lang w:eastAsia="zh-CN"/>
        </w:rPr>
        <w:t>项目的投标邀请,签字代表(</w:t>
      </w:r>
      <w:r>
        <w:rPr>
          <w:rFonts w:hint="eastAsia" w:ascii="仿宋" w:hAnsi="仿宋" w:eastAsia="仿宋"/>
          <w:i/>
          <w:color w:val="auto"/>
          <w:sz w:val="24"/>
          <w:highlight w:val="none"/>
          <w:u w:val="single"/>
          <w:lang w:eastAsia="zh-CN"/>
        </w:rPr>
        <w:t>姓名、职务</w:t>
      </w:r>
      <w:r>
        <w:rPr>
          <w:rFonts w:hint="eastAsia" w:ascii="仿宋" w:hAnsi="仿宋" w:eastAsia="仿宋"/>
          <w:color w:val="auto"/>
          <w:sz w:val="24"/>
          <w:highlight w:val="none"/>
          <w:lang w:eastAsia="zh-CN"/>
        </w:rPr>
        <w:t>)经正式授权并代表投标人（</w:t>
      </w:r>
      <w:r>
        <w:rPr>
          <w:rFonts w:hint="eastAsia" w:ascii="仿宋" w:hAnsi="仿宋" w:eastAsia="仿宋"/>
          <w:i/>
          <w:color w:val="auto"/>
          <w:sz w:val="24"/>
          <w:highlight w:val="none"/>
          <w:u w:val="single"/>
          <w:lang w:eastAsia="zh-CN"/>
        </w:rPr>
        <w:t>名称、地址</w:t>
      </w:r>
      <w:r>
        <w:rPr>
          <w:rFonts w:hint="eastAsia" w:ascii="仿宋" w:hAnsi="仿宋" w:eastAsia="仿宋"/>
          <w:color w:val="auto"/>
          <w:sz w:val="24"/>
          <w:highlight w:val="none"/>
          <w:lang w:eastAsia="zh-CN"/>
        </w:rPr>
        <w:t>）提交电子投标响应文件。</w:t>
      </w:r>
    </w:p>
    <w:p w14:paraId="1DAF1D17">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据此，签字代表宣布同意如下：</w:t>
      </w:r>
    </w:p>
    <w:p w14:paraId="61FBD079">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（1）已详细审查全部招标文件，包括所有补充通知（如果有的话），完全理解并同意放弃对这方面有不明、误解的权利。</w:t>
      </w:r>
    </w:p>
    <w:p w14:paraId="147998FD">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ascii="仿宋" w:hAnsi="仿宋" w:eastAsia="仿宋"/>
          <w:color w:val="auto"/>
          <w:sz w:val="24"/>
          <w:highlight w:val="none"/>
          <w:lang w:eastAsia="zh-CN"/>
        </w:rPr>
        <w:t>（2）</w:t>
      </w:r>
      <w:r>
        <w:rPr>
          <w:rFonts w:hint="eastAsia" w:ascii="仿宋" w:hAnsi="仿宋" w:eastAsia="仿宋"/>
          <w:color w:val="auto"/>
          <w:sz w:val="24"/>
          <w:highlight w:val="none"/>
          <w:lang w:eastAsia="zh-CN"/>
        </w:rPr>
        <w:t>附投标分项报价表中规定的应提供货物及伴随服务</w:t>
      </w:r>
      <w:r>
        <w:rPr>
          <w:rFonts w:ascii="仿宋" w:hAnsi="仿宋" w:eastAsia="仿宋"/>
          <w:color w:val="auto"/>
          <w:sz w:val="24"/>
          <w:highlight w:val="none"/>
          <w:lang w:eastAsia="zh-CN"/>
        </w:rPr>
        <w:t>的</w:t>
      </w:r>
      <w:r>
        <w:rPr>
          <w:rFonts w:hint="eastAsia" w:ascii="仿宋" w:hAnsi="仿宋" w:eastAsia="仿宋"/>
          <w:color w:val="auto"/>
          <w:sz w:val="24"/>
          <w:highlight w:val="none"/>
          <w:lang w:eastAsia="zh-CN"/>
        </w:rPr>
        <w:t>投标总价（包括</w:t>
      </w:r>
      <w:r>
        <w:rPr>
          <w:rFonts w:ascii="仿宋" w:hAnsi="仿宋" w:eastAsia="仿宋"/>
          <w:color w:val="auto"/>
          <w:sz w:val="24"/>
          <w:highlight w:val="none"/>
          <w:lang w:eastAsia="zh-CN"/>
        </w:rPr>
        <w:t>满足本次招标全部采购需求所应提供的</w:t>
      </w:r>
      <w:r>
        <w:rPr>
          <w:rFonts w:hint="eastAsia" w:ascii="仿宋" w:hAnsi="仿宋" w:eastAsia="仿宋"/>
          <w:color w:val="auto"/>
          <w:sz w:val="24"/>
          <w:highlight w:val="none"/>
          <w:lang w:eastAsia="zh-CN"/>
        </w:rPr>
        <w:t>货物</w:t>
      </w:r>
      <w:r>
        <w:rPr>
          <w:rFonts w:ascii="仿宋" w:hAnsi="仿宋" w:eastAsia="仿宋"/>
          <w:color w:val="auto"/>
          <w:sz w:val="24"/>
          <w:highlight w:val="none"/>
          <w:lang w:eastAsia="zh-CN"/>
        </w:rPr>
        <w:t>以及伴随的</w:t>
      </w:r>
      <w:r>
        <w:rPr>
          <w:rFonts w:hint="eastAsia" w:ascii="仿宋" w:hAnsi="仿宋" w:eastAsia="仿宋"/>
          <w:color w:val="auto"/>
          <w:sz w:val="24"/>
          <w:highlight w:val="none"/>
          <w:lang w:eastAsia="zh-CN"/>
        </w:rPr>
        <w:t>服务）详见开标</w:t>
      </w:r>
      <w:r>
        <w:rPr>
          <w:rFonts w:ascii="仿宋" w:hAnsi="仿宋" w:eastAsia="仿宋"/>
          <w:color w:val="auto"/>
          <w:sz w:val="24"/>
          <w:highlight w:val="none"/>
          <w:lang w:eastAsia="zh-CN"/>
        </w:rPr>
        <w:t>一览表。</w:t>
      </w:r>
    </w:p>
    <w:p w14:paraId="17EECC06">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（3）本投标有效期为自投标截止之日起</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日历日。</w:t>
      </w:r>
    </w:p>
    <w:p w14:paraId="3F15B8CE">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（4）我方不是</w:t>
      </w:r>
      <w:r>
        <w:rPr>
          <w:rFonts w:ascii="仿宋" w:hAnsi="仿宋" w:eastAsia="仿宋"/>
          <w:color w:val="auto"/>
          <w:sz w:val="24"/>
          <w:highlight w:val="none"/>
          <w:lang w:eastAsia="zh-CN"/>
        </w:rPr>
        <w:t>为</w:t>
      </w:r>
      <w:r>
        <w:rPr>
          <w:rFonts w:hint="eastAsia" w:ascii="仿宋" w:hAnsi="仿宋" w:eastAsia="仿宋"/>
          <w:color w:val="auto"/>
          <w:sz w:val="24"/>
          <w:highlight w:val="none"/>
          <w:lang w:eastAsia="zh-CN"/>
        </w:rPr>
        <w:t>本</w:t>
      </w:r>
      <w:r>
        <w:rPr>
          <w:rFonts w:ascii="仿宋" w:hAnsi="仿宋" w:eastAsia="仿宋"/>
          <w:color w:val="auto"/>
          <w:sz w:val="24"/>
          <w:highlight w:val="none"/>
          <w:lang w:eastAsia="zh-CN"/>
        </w:rPr>
        <w:t>项目提供整体</w:t>
      </w:r>
      <w:r>
        <w:rPr>
          <w:rFonts w:hint="eastAsia" w:ascii="仿宋" w:hAnsi="仿宋" w:eastAsia="仿宋"/>
          <w:color w:val="auto"/>
          <w:sz w:val="24"/>
          <w:highlight w:val="none"/>
          <w:lang w:eastAsia="zh-CN"/>
        </w:rPr>
        <w:t>设计</w:t>
      </w:r>
      <w:r>
        <w:rPr>
          <w:rFonts w:ascii="仿宋" w:hAnsi="仿宋" w:eastAsia="仿宋"/>
          <w:color w:val="auto"/>
          <w:sz w:val="24"/>
          <w:highlight w:val="none"/>
          <w:lang w:eastAsia="zh-CN"/>
        </w:rPr>
        <w:t>、规范编制或者项目管理、监理、检测等服务的投标人</w:t>
      </w:r>
      <w:r>
        <w:rPr>
          <w:rFonts w:hint="eastAsia" w:ascii="仿宋" w:hAnsi="仿宋" w:eastAsia="仿宋"/>
          <w:color w:val="auto"/>
          <w:sz w:val="24"/>
          <w:highlight w:val="none"/>
          <w:lang w:eastAsia="zh-CN"/>
        </w:rPr>
        <w:t>，我方不是采购代理</w:t>
      </w:r>
      <w:r>
        <w:rPr>
          <w:rFonts w:ascii="仿宋" w:hAnsi="仿宋" w:eastAsia="仿宋"/>
          <w:color w:val="auto"/>
          <w:sz w:val="24"/>
          <w:highlight w:val="none"/>
          <w:lang w:eastAsia="zh-CN"/>
        </w:rPr>
        <w:t>机构</w:t>
      </w:r>
      <w:r>
        <w:rPr>
          <w:rFonts w:hint="eastAsia" w:ascii="仿宋" w:hAnsi="仿宋" w:eastAsia="仿宋"/>
          <w:color w:val="auto"/>
          <w:sz w:val="24"/>
          <w:highlight w:val="none"/>
          <w:lang w:eastAsia="zh-CN"/>
        </w:rPr>
        <w:t>的附属机构。</w:t>
      </w:r>
    </w:p>
    <w:p w14:paraId="3F5F7A46">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（5）所报的各分项投标报价在合同履行过程中是固定不变的，不得以任何理由予以变更。</w:t>
      </w:r>
    </w:p>
    <w:p w14:paraId="4CE29530">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（6）接受价格的算术修正。</w:t>
      </w:r>
    </w:p>
    <w:p w14:paraId="2B823066">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7</w:t>
      </w: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 xml:space="preserve">一旦我方中标，我方保证在贵方约定的时间交付货物。 </w:t>
      </w:r>
    </w:p>
    <w:p w14:paraId="3C878A5A">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8</w:t>
      </w:r>
      <w:r>
        <w:rPr>
          <w:rFonts w:ascii="仿宋" w:hAnsi="仿宋" w:eastAsia="仿宋"/>
          <w:color w:val="auto"/>
          <w:sz w:val="24"/>
          <w:highlight w:val="none"/>
          <w:lang w:eastAsia="zh-CN"/>
        </w:rPr>
        <w:t>）</w:t>
      </w:r>
      <w:r>
        <w:rPr>
          <w:rFonts w:hint="eastAsia" w:ascii="仿宋" w:hAnsi="仿宋" w:eastAsia="仿宋"/>
          <w:color w:val="auto"/>
          <w:sz w:val="24"/>
          <w:highlight w:val="none"/>
          <w:lang w:eastAsia="zh-CN"/>
        </w:rPr>
        <w:t>如果我方中标，非贵方原因，我方保证将按下列质量要求完成本项目产品质量，质量要求：</w:t>
      </w:r>
      <w:r>
        <w:rPr>
          <w:rFonts w:hint="eastAsia" w:ascii="仿宋" w:hAnsi="仿宋" w:eastAsia="仿宋"/>
          <w:color w:val="auto"/>
          <w:sz w:val="24"/>
          <w:highlight w:val="none"/>
          <w:u w:val="single"/>
          <w:lang w:eastAsia="zh-CN"/>
        </w:rPr>
        <w:t>合格，必须达到国家规定的标准</w:t>
      </w:r>
      <w:r>
        <w:rPr>
          <w:rFonts w:hint="eastAsia" w:ascii="仿宋" w:hAnsi="仿宋" w:eastAsia="仿宋"/>
          <w:color w:val="auto"/>
          <w:sz w:val="24"/>
          <w:highlight w:val="none"/>
          <w:lang w:eastAsia="zh-CN"/>
        </w:rPr>
        <w:t>。</w:t>
      </w:r>
    </w:p>
    <w:p w14:paraId="36D37B9B">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（9）如果我方中标，我方将按招标文件规定的时间内签订合同。如果违约，我方愿以投标保证金作为赔偿金，同时贵方有权终止我方中标并选择其他投标人。</w:t>
      </w:r>
    </w:p>
    <w:p w14:paraId="6A39CC23">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（10）如果我方中标，到达现场的货物质量、品牌、型号与招标文件要求不一致的，质量达不到一次性合格,我方将进行整改直至贵方验收合格为止，并愿以中标价的</w:t>
      </w:r>
      <w:r>
        <w:rPr>
          <w:rFonts w:hint="eastAsia" w:ascii="仿宋" w:hAnsi="仿宋" w:eastAsia="仿宋"/>
          <w:color w:val="auto"/>
          <w:sz w:val="24"/>
          <w:highlight w:val="none"/>
          <w:u w:val="single"/>
          <w:lang w:eastAsia="zh-CN"/>
        </w:rPr>
        <w:t>10%</w:t>
      </w:r>
      <w:r>
        <w:rPr>
          <w:rFonts w:hint="eastAsia" w:ascii="仿宋" w:hAnsi="仿宋" w:eastAsia="仿宋"/>
          <w:color w:val="auto"/>
          <w:sz w:val="24"/>
          <w:highlight w:val="none"/>
          <w:lang w:eastAsia="zh-CN"/>
        </w:rPr>
        <w:t>作为违约金。</w:t>
      </w:r>
    </w:p>
    <w:p w14:paraId="46594AF5">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（11）供货地点：</w:t>
      </w:r>
      <w:r>
        <w:rPr>
          <w:rFonts w:hint="eastAsia" w:ascii="仿宋" w:hAnsi="仿宋" w:eastAsia="仿宋"/>
          <w:color w:val="auto"/>
          <w:sz w:val="24"/>
          <w:highlight w:val="none"/>
          <w:u w:val="single"/>
          <w:lang w:eastAsia="zh-CN"/>
        </w:rPr>
        <w:t xml:space="preserve">              </w:t>
      </w:r>
      <w:r>
        <w:rPr>
          <w:rFonts w:hint="eastAsia" w:ascii="仿宋" w:hAnsi="仿宋" w:eastAsia="仿宋"/>
          <w:color w:val="auto"/>
          <w:sz w:val="24"/>
          <w:highlight w:val="none"/>
          <w:lang w:eastAsia="zh-CN"/>
        </w:rPr>
        <w:t>。</w:t>
      </w:r>
    </w:p>
    <w:p w14:paraId="6A9D7696">
      <w:pPr>
        <w:pStyle w:val="12"/>
        <w:widowControl w:val="0"/>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（12）按照招标文件的规定，在</w:t>
      </w:r>
      <w:r>
        <w:rPr>
          <w:rFonts w:ascii="仿宋" w:hAnsi="仿宋" w:eastAsia="仿宋"/>
          <w:color w:val="auto"/>
          <w:sz w:val="24"/>
          <w:highlight w:val="none"/>
          <w:lang w:eastAsia="zh-CN"/>
        </w:rPr>
        <w:t>中标后</w:t>
      </w:r>
      <w:r>
        <w:rPr>
          <w:rFonts w:hint="eastAsia" w:ascii="仿宋" w:hAnsi="仿宋" w:eastAsia="仿宋"/>
          <w:color w:val="auto"/>
          <w:sz w:val="24"/>
          <w:highlight w:val="none"/>
          <w:lang w:eastAsia="zh-CN"/>
        </w:rPr>
        <w:t>向采购代理机构一次性支付招标代理费。</w:t>
      </w:r>
    </w:p>
    <w:p w14:paraId="35DB53AD">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（13）按照贵方可能的要求，提供与投标有关的一切数据或资料，完全理解贵方不一定接受最低价的投标或收到的任何投标。</w:t>
      </w:r>
    </w:p>
    <w:p w14:paraId="3A25DF00">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（14）按照招标文件的规定履行合同责任和义务。</w:t>
      </w:r>
    </w:p>
    <w:p w14:paraId="59E8E3F5">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（15）我单位保证提供的投标文件的内容真实有效，如有不符，视为提供虚假资料谋取中标，我单位愿承担相应法律责任。</w:t>
      </w:r>
    </w:p>
    <w:p w14:paraId="567E097E">
      <w:pPr>
        <w:pStyle w:val="12"/>
        <w:tabs>
          <w:tab w:val="left" w:pos="5580"/>
        </w:tabs>
        <w:spacing w:line="360" w:lineRule="auto"/>
        <w:ind w:left="2" w:leftChars="1"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（16）完全理解并</w:t>
      </w:r>
      <w:r>
        <w:rPr>
          <w:rFonts w:ascii="仿宋" w:hAnsi="仿宋" w:eastAsia="仿宋"/>
          <w:color w:val="auto"/>
          <w:sz w:val="24"/>
          <w:highlight w:val="none"/>
          <w:lang w:eastAsia="zh-CN"/>
        </w:rPr>
        <w:t>无条件承担</w:t>
      </w:r>
      <w:r>
        <w:rPr>
          <w:rFonts w:hint="eastAsia" w:ascii="仿宋" w:hAnsi="仿宋" w:eastAsia="仿宋"/>
          <w:color w:val="auto"/>
          <w:sz w:val="24"/>
          <w:highlight w:val="none"/>
          <w:lang w:eastAsia="zh-CN"/>
        </w:rPr>
        <w:t>中标后</w:t>
      </w:r>
      <w:r>
        <w:rPr>
          <w:rFonts w:ascii="仿宋" w:hAnsi="仿宋" w:eastAsia="仿宋"/>
          <w:color w:val="auto"/>
          <w:sz w:val="24"/>
          <w:highlight w:val="none"/>
          <w:lang w:eastAsia="zh-CN"/>
        </w:rPr>
        <w:t>不依法与</w:t>
      </w:r>
      <w:r>
        <w:rPr>
          <w:rFonts w:hint="eastAsia" w:ascii="仿宋" w:hAnsi="仿宋" w:eastAsia="仿宋"/>
          <w:color w:val="auto"/>
          <w:sz w:val="24"/>
          <w:highlight w:val="none"/>
          <w:lang w:eastAsia="zh-CN"/>
        </w:rPr>
        <w:t>贵方</w:t>
      </w:r>
      <w:r>
        <w:rPr>
          <w:rFonts w:ascii="仿宋" w:hAnsi="仿宋" w:eastAsia="仿宋"/>
          <w:color w:val="auto"/>
          <w:sz w:val="24"/>
          <w:highlight w:val="none"/>
          <w:lang w:eastAsia="zh-CN"/>
        </w:rPr>
        <w:t>签订合同的法律后果</w:t>
      </w:r>
      <w:r>
        <w:rPr>
          <w:rFonts w:hint="eastAsia" w:ascii="仿宋" w:hAnsi="仿宋" w:eastAsia="仿宋"/>
          <w:color w:val="auto"/>
          <w:sz w:val="24"/>
          <w:highlight w:val="none"/>
          <w:lang w:eastAsia="zh-CN"/>
        </w:rPr>
        <w:t>。</w:t>
      </w:r>
    </w:p>
    <w:p w14:paraId="3C3EF84C">
      <w:pPr>
        <w:spacing w:line="360" w:lineRule="auto"/>
        <w:ind w:left="509"/>
        <w:rPr>
          <w:rFonts w:hint="eastAsia" w:ascii="仿宋" w:hAnsi="仿宋" w:eastAsia="仿宋" w:cs="宋体"/>
          <w:color w:val="auto"/>
          <w:sz w:val="24"/>
          <w:szCs w:val="24"/>
          <w:highlight w:val="none"/>
          <w:lang w:eastAsia="zh-CN"/>
        </w:rPr>
      </w:pPr>
      <w:r>
        <w:rPr>
          <w:rFonts w:hint="eastAsia" w:ascii="仿宋" w:hAnsi="仿宋" w:eastAsia="仿宋"/>
          <w:color w:val="auto"/>
          <w:sz w:val="24"/>
          <w:highlight w:val="none"/>
          <w:lang w:eastAsia="zh-CN"/>
        </w:rPr>
        <w:t>（17）</w:t>
      </w:r>
      <w:r>
        <w:rPr>
          <w:rFonts w:hint="eastAsia" w:ascii="仿宋" w:hAnsi="仿宋" w:eastAsia="仿宋" w:cs="宋体"/>
          <w:color w:val="auto"/>
          <w:spacing w:val="-3"/>
          <w:sz w:val="24"/>
          <w:szCs w:val="24"/>
          <w:highlight w:val="none"/>
          <w:lang w:eastAsia="zh-CN"/>
        </w:rPr>
        <w:t>重要声明：</w:t>
      </w:r>
    </w:p>
    <w:p w14:paraId="56C84710">
      <w:pPr>
        <w:spacing w:line="360" w:lineRule="auto"/>
        <w:ind w:left="509"/>
        <w:rPr>
          <w:rFonts w:hint="eastAsia" w:ascii="仿宋" w:hAnsi="仿宋" w:eastAsia="仿宋"/>
          <w:color w:val="auto"/>
          <w:sz w:val="24"/>
          <w:highlight w:val="none"/>
          <w:lang w:eastAsia="zh-CN"/>
        </w:rPr>
      </w:pPr>
      <w:r>
        <w:rPr>
          <w:rFonts w:ascii="仿宋" w:hAnsi="仿宋" w:eastAsia="仿宋"/>
          <w:color w:val="auto"/>
          <w:sz w:val="24"/>
          <w:highlight w:val="none"/>
          <w:lang w:eastAsia="zh-CN"/>
        </w:rPr>
        <w:t>1</w:t>
      </w:r>
      <w:r>
        <w:rPr>
          <w:rFonts w:hint="eastAsia" w:ascii="仿宋" w:hAnsi="仿宋" w:eastAsia="仿宋"/>
          <w:color w:val="auto"/>
          <w:sz w:val="24"/>
          <w:highlight w:val="none"/>
          <w:lang w:eastAsia="zh-CN"/>
        </w:rPr>
        <w:t>）与我方单位负责人为同一人的其他单位名称：</w:t>
      </w:r>
    </w:p>
    <w:p w14:paraId="5C5B0747">
      <w:pPr>
        <w:spacing w:line="360" w:lineRule="auto"/>
        <w:ind w:left="859"/>
        <w:rPr>
          <w:rFonts w:hint="eastAsia" w:ascii="仿宋" w:hAnsi="仿宋" w:eastAsia="仿宋" w:cs="宋体"/>
          <w:color w:val="auto"/>
          <w:sz w:val="24"/>
          <w:szCs w:val="24"/>
          <w:highlight w:val="none"/>
          <w:lang w:eastAsia="zh-CN"/>
        </w:rPr>
      </w:pP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无；</w:t>
      </w: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有，具体单位名称为</w:t>
      </w:r>
      <w:r>
        <w:rPr>
          <w:rFonts w:hint="eastAsia" w:ascii="仿宋" w:hAnsi="仿宋" w:eastAsia="仿宋" w:cs="宋体"/>
          <w:color w:val="auto"/>
          <w:spacing w:val="-42"/>
          <w:sz w:val="24"/>
          <w:szCs w:val="24"/>
          <w:highlight w:val="none"/>
          <w:lang w:eastAsia="zh-CN"/>
        </w:rPr>
        <w:t>：</w:t>
      </w:r>
      <w:r>
        <w:rPr>
          <w:rFonts w:hint="eastAsia" w:ascii="仿宋" w:hAnsi="仿宋" w:eastAsia="仿宋" w:cs="宋体"/>
          <w:i/>
          <w:iCs/>
          <w:color w:val="auto"/>
          <w:spacing w:val="-42"/>
          <w:sz w:val="24"/>
          <w:szCs w:val="24"/>
          <w:highlight w:val="none"/>
          <w:u w:val="single"/>
          <w:lang w:eastAsia="zh-CN"/>
        </w:rPr>
        <w:t>（</w:t>
      </w:r>
      <w:r>
        <w:rPr>
          <w:rFonts w:hint="eastAsia" w:ascii="仿宋" w:hAnsi="仿宋" w:eastAsia="仿宋" w:cs="宋体"/>
          <w:i/>
          <w:iCs/>
          <w:color w:val="auto"/>
          <w:spacing w:val="-12"/>
          <w:sz w:val="24"/>
          <w:szCs w:val="24"/>
          <w:highlight w:val="none"/>
          <w:u w:val="single"/>
          <w:lang w:eastAsia="zh-CN"/>
        </w:rPr>
        <w:t>由供应商如实填写</w:t>
      </w:r>
      <w:r>
        <w:rPr>
          <w:rFonts w:hint="eastAsia" w:ascii="仿宋" w:hAnsi="仿宋" w:eastAsia="仿宋" w:cs="宋体"/>
          <w:i/>
          <w:iCs/>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w:t>
      </w:r>
    </w:p>
    <w:p w14:paraId="2B332029">
      <w:pPr>
        <w:spacing w:line="360" w:lineRule="auto"/>
        <w:ind w:left="509"/>
        <w:rPr>
          <w:rFonts w:hint="eastAsia" w:ascii="仿宋" w:hAnsi="仿宋" w:eastAsia="仿宋"/>
          <w:color w:val="auto"/>
          <w:sz w:val="24"/>
          <w:highlight w:val="none"/>
          <w:lang w:eastAsia="zh-CN"/>
        </w:rPr>
      </w:pPr>
      <w:r>
        <w:rPr>
          <w:rFonts w:ascii="仿宋" w:hAnsi="仿宋" w:eastAsia="仿宋"/>
          <w:color w:val="auto"/>
          <w:sz w:val="24"/>
          <w:highlight w:val="none"/>
          <w:lang w:eastAsia="zh-CN"/>
        </w:rPr>
        <w:t>2</w:t>
      </w:r>
      <w:r>
        <w:rPr>
          <w:rFonts w:hint="eastAsia" w:ascii="仿宋" w:hAnsi="仿宋" w:eastAsia="仿宋"/>
          <w:color w:val="auto"/>
          <w:sz w:val="24"/>
          <w:highlight w:val="none"/>
          <w:lang w:eastAsia="zh-CN"/>
        </w:rPr>
        <w:t>）与我方存在控股、管理关系的其他单位的名称：</w:t>
      </w:r>
    </w:p>
    <w:p w14:paraId="636597EA">
      <w:pPr>
        <w:spacing w:line="360" w:lineRule="auto"/>
        <w:ind w:left="859"/>
        <w:rPr>
          <w:rFonts w:hint="eastAsia" w:ascii="仿宋" w:hAnsi="仿宋" w:eastAsia="仿宋" w:cs="宋体"/>
          <w:color w:val="auto"/>
          <w:sz w:val="24"/>
          <w:szCs w:val="24"/>
          <w:highlight w:val="none"/>
          <w:lang w:eastAsia="zh-CN"/>
        </w:rPr>
      </w:pP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无；</w:t>
      </w:r>
      <w:r>
        <w:rPr>
          <w:rFonts w:ascii="仿宋" w:hAnsi="仿宋" w:eastAsia="仿宋" w:cs="宋体"/>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有，具体单位名称为</w:t>
      </w:r>
      <w:r>
        <w:rPr>
          <w:rFonts w:hint="eastAsia" w:ascii="仿宋" w:hAnsi="仿宋" w:eastAsia="仿宋" w:cs="宋体"/>
          <w:color w:val="auto"/>
          <w:spacing w:val="8"/>
          <w:sz w:val="24"/>
          <w:szCs w:val="24"/>
          <w:highlight w:val="none"/>
          <w:lang w:eastAsia="zh-CN"/>
        </w:rPr>
        <w:t>：</w:t>
      </w:r>
      <w:r>
        <w:rPr>
          <w:rFonts w:hint="eastAsia" w:ascii="仿宋" w:hAnsi="仿宋" w:eastAsia="仿宋" w:cs="宋体"/>
          <w:i/>
          <w:iCs/>
          <w:color w:val="auto"/>
          <w:spacing w:val="8"/>
          <w:sz w:val="24"/>
          <w:szCs w:val="24"/>
          <w:highlight w:val="none"/>
          <w:u w:val="single"/>
          <w:lang w:eastAsia="zh-CN"/>
        </w:rPr>
        <w:t>（</w:t>
      </w:r>
      <w:r>
        <w:rPr>
          <w:rFonts w:hint="eastAsia" w:ascii="仿宋" w:hAnsi="仿宋" w:eastAsia="仿宋" w:cs="宋体"/>
          <w:i/>
          <w:iCs/>
          <w:color w:val="auto"/>
          <w:spacing w:val="-12"/>
          <w:sz w:val="24"/>
          <w:szCs w:val="24"/>
          <w:highlight w:val="none"/>
          <w:u w:val="single"/>
          <w:lang w:eastAsia="zh-CN"/>
        </w:rPr>
        <w:t>由供应商如实填写</w:t>
      </w:r>
      <w:r>
        <w:rPr>
          <w:rFonts w:hint="eastAsia" w:ascii="仿宋" w:hAnsi="仿宋" w:eastAsia="仿宋" w:cs="宋体"/>
          <w:i/>
          <w:iCs/>
          <w:color w:val="auto"/>
          <w:spacing w:val="-12"/>
          <w:sz w:val="24"/>
          <w:szCs w:val="24"/>
          <w:highlight w:val="none"/>
          <w:lang w:eastAsia="zh-CN"/>
        </w:rPr>
        <w:t>）</w:t>
      </w:r>
      <w:r>
        <w:rPr>
          <w:rFonts w:hint="eastAsia" w:ascii="仿宋" w:hAnsi="仿宋" w:eastAsia="仿宋" w:cs="宋体"/>
          <w:color w:val="auto"/>
          <w:spacing w:val="-12"/>
          <w:sz w:val="24"/>
          <w:szCs w:val="24"/>
          <w:highlight w:val="none"/>
          <w:lang w:eastAsia="zh-CN"/>
        </w:rPr>
        <w:t>。</w:t>
      </w:r>
    </w:p>
    <w:p w14:paraId="4B81CFBD">
      <w:pPr>
        <w:pStyle w:val="12"/>
        <w:tabs>
          <w:tab w:val="left" w:pos="5580"/>
        </w:tabs>
        <w:spacing w:line="360" w:lineRule="auto"/>
        <w:ind w:left="2" w:leftChars="1" w:firstLine="464" w:firstLineChars="200"/>
        <w:rPr>
          <w:rFonts w:hint="eastAsia" w:ascii="仿宋" w:hAnsi="仿宋" w:eastAsia="仿宋"/>
          <w:color w:val="auto"/>
          <w:sz w:val="24"/>
          <w:highlight w:val="none"/>
          <w:lang w:eastAsia="zh-CN"/>
        </w:rPr>
      </w:pPr>
      <w:r>
        <w:rPr>
          <w:rFonts w:hint="eastAsia" w:ascii="仿宋" w:hAnsi="仿宋" w:eastAsia="仿宋" w:cs="宋体"/>
          <w:color w:val="auto"/>
          <w:spacing w:val="-4"/>
          <w:sz w:val="24"/>
          <w:szCs w:val="24"/>
          <w:highlight w:val="none"/>
          <w:lang w:eastAsia="zh-CN"/>
        </w:rPr>
        <w:t>（备注：以上2项声明，必须如实选择，选中项用</w:t>
      </w:r>
      <w:r>
        <w:rPr>
          <w:rFonts w:hint="eastAsia" w:ascii="仿宋" w:hAnsi="MS Mincho" w:eastAsia="MS Mincho" w:cs="MS Mincho"/>
          <w:color w:val="auto"/>
          <w:spacing w:val="-5"/>
          <w:sz w:val="24"/>
          <w:szCs w:val="24"/>
          <w:highlight w:val="none"/>
          <w:lang w:eastAsia="zh-CN"/>
        </w:rPr>
        <w:t>☑</w:t>
      </w:r>
      <w:r>
        <w:rPr>
          <w:rFonts w:hint="eastAsia" w:ascii="仿宋" w:hAnsi="仿宋" w:eastAsia="仿宋" w:cs="宋体"/>
          <w:color w:val="auto"/>
          <w:spacing w:val="-5"/>
          <w:sz w:val="24"/>
          <w:szCs w:val="24"/>
          <w:highlight w:val="none"/>
          <w:lang w:eastAsia="zh-CN"/>
        </w:rPr>
        <w:t>表示，未选中项用</w:t>
      </w:r>
      <w:r>
        <w:rPr>
          <w:rFonts w:ascii="仿宋" w:hAnsi="仿宋" w:eastAsia="仿宋" w:cs="宋体"/>
          <w:color w:val="auto"/>
          <w:spacing w:val="-5"/>
          <w:sz w:val="24"/>
          <w:szCs w:val="24"/>
          <w:highlight w:val="none"/>
          <w:lang w:eastAsia="zh-CN"/>
        </w:rPr>
        <w:t>□</w:t>
      </w:r>
      <w:r>
        <w:rPr>
          <w:rFonts w:hint="eastAsia" w:ascii="仿宋" w:hAnsi="仿宋" w:eastAsia="仿宋" w:cs="宋体"/>
          <w:color w:val="auto"/>
          <w:spacing w:val="-5"/>
          <w:sz w:val="24"/>
          <w:szCs w:val="24"/>
          <w:highlight w:val="none"/>
          <w:lang w:eastAsia="zh-CN"/>
        </w:rPr>
        <w:t>表</w:t>
      </w:r>
      <w:r>
        <w:rPr>
          <w:rFonts w:hint="eastAsia" w:ascii="仿宋" w:hAnsi="仿宋" w:eastAsia="仿宋" w:cs="宋体"/>
          <w:color w:val="auto"/>
          <w:spacing w:val="-4"/>
          <w:sz w:val="24"/>
          <w:szCs w:val="24"/>
          <w:highlight w:val="none"/>
          <w:lang w:eastAsia="zh-CN"/>
        </w:rPr>
        <w:t>示。①</w:t>
      </w:r>
      <w:r>
        <w:rPr>
          <w:rFonts w:ascii="仿宋" w:hAnsi="仿宋" w:eastAsia="仿宋" w:cs="Times New Roman"/>
          <w:color w:val="auto"/>
          <w:spacing w:val="-4"/>
          <w:sz w:val="24"/>
          <w:szCs w:val="24"/>
          <w:highlight w:val="none"/>
          <w:lang w:eastAsia="zh-CN"/>
        </w:rPr>
        <w:t>“</w:t>
      </w:r>
      <w:r>
        <w:rPr>
          <w:rFonts w:hint="eastAsia" w:ascii="仿宋" w:hAnsi="仿宋" w:eastAsia="仿宋" w:cs="宋体"/>
          <w:color w:val="auto"/>
          <w:spacing w:val="-4"/>
          <w:sz w:val="24"/>
          <w:szCs w:val="24"/>
          <w:highlight w:val="none"/>
          <w:lang w:eastAsia="zh-CN"/>
        </w:rPr>
        <w:t>单位负责人</w:t>
      </w:r>
      <w:r>
        <w:rPr>
          <w:rFonts w:ascii="仿宋" w:hAnsi="仿宋" w:eastAsia="仿宋" w:cs="宋体"/>
          <w:color w:val="auto"/>
          <w:spacing w:val="-4"/>
          <w:sz w:val="24"/>
          <w:szCs w:val="24"/>
          <w:highlight w:val="none"/>
          <w:lang w:eastAsia="zh-CN"/>
        </w:rPr>
        <w:t>”</w:t>
      </w:r>
      <w:r>
        <w:rPr>
          <w:rFonts w:hint="eastAsia" w:ascii="仿宋" w:hAnsi="仿宋" w:eastAsia="仿宋" w:cs="宋体"/>
          <w:color w:val="auto"/>
          <w:spacing w:val="-4"/>
          <w:sz w:val="24"/>
          <w:szCs w:val="24"/>
          <w:highlight w:val="none"/>
          <w:lang w:eastAsia="zh-CN"/>
        </w:rPr>
        <w:t>是指单位法定代表人或者法律、行政法规规定代表单位行</w:t>
      </w:r>
      <w:r>
        <w:rPr>
          <w:rFonts w:hint="eastAsia" w:ascii="仿宋" w:hAnsi="仿宋" w:eastAsia="仿宋" w:cs="宋体"/>
          <w:color w:val="auto"/>
          <w:spacing w:val="-3"/>
          <w:sz w:val="24"/>
          <w:szCs w:val="24"/>
          <w:highlight w:val="none"/>
          <w:lang w:eastAsia="zh-CN"/>
        </w:rPr>
        <w:t>使职权的主要负责人。②本条所规定的控股、管理关系仅限于直接控股、直接管理关系，不包括间接的控股或管理关系。③供应商如未如实填报，视为提供虚假</w:t>
      </w:r>
      <w:r>
        <w:rPr>
          <w:rFonts w:hint="eastAsia" w:ascii="仿宋" w:hAnsi="仿宋" w:eastAsia="仿宋" w:cs="宋体"/>
          <w:color w:val="auto"/>
          <w:spacing w:val="-6"/>
          <w:sz w:val="24"/>
          <w:szCs w:val="24"/>
          <w:highlight w:val="none"/>
          <w:lang w:eastAsia="zh-CN"/>
        </w:rPr>
        <w:t>材料谋取中标，应承担相应法律责任。）</w:t>
      </w:r>
    </w:p>
    <w:p w14:paraId="4E0B566F">
      <w:pPr>
        <w:pStyle w:val="12"/>
        <w:tabs>
          <w:tab w:val="left" w:pos="5580"/>
        </w:tabs>
        <w:spacing w:line="360" w:lineRule="auto"/>
        <w:ind w:left="359" w:leftChars="68" w:hanging="216" w:hangingChars="90"/>
        <w:rPr>
          <w:rFonts w:hint="eastAsia" w:ascii="仿宋" w:hAnsi="仿宋" w:eastAsia="仿宋"/>
          <w:color w:val="auto"/>
          <w:sz w:val="24"/>
          <w:highlight w:val="none"/>
          <w:lang w:eastAsia="zh-CN"/>
        </w:rPr>
      </w:pPr>
    </w:p>
    <w:p w14:paraId="23FFB2D3">
      <w:pPr>
        <w:pStyle w:val="12"/>
        <w:tabs>
          <w:tab w:val="left" w:pos="5580"/>
        </w:tabs>
        <w:spacing w:line="360" w:lineRule="auto"/>
        <w:ind w:left="382" w:leftChars="182" w:firstLine="24" w:firstLineChars="1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与本投标有关的一切正式往来信函请寄：</w:t>
      </w:r>
    </w:p>
    <w:p w14:paraId="237BFB9B">
      <w:pPr>
        <w:pStyle w:val="12"/>
        <w:tabs>
          <w:tab w:val="left" w:pos="5580"/>
        </w:tabs>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地址：     传真：</w:t>
      </w:r>
    </w:p>
    <w:p w14:paraId="66703090">
      <w:pPr>
        <w:pStyle w:val="12"/>
        <w:tabs>
          <w:tab w:val="left" w:pos="5580"/>
        </w:tabs>
        <w:spacing w:line="360" w:lineRule="auto"/>
        <w:ind w:left="1080" w:leftChars="257" w:hanging="540"/>
        <w:rPr>
          <w:rFonts w:hint="eastAsia" w:ascii="仿宋" w:hAnsi="仿宋" w:eastAsia="仿宋"/>
          <w:b/>
          <w:color w:val="auto"/>
          <w:sz w:val="24"/>
          <w:highlight w:val="none"/>
          <w:lang w:eastAsia="zh-CN"/>
        </w:rPr>
      </w:pPr>
      <w:r>
        <w:rPr>
          <w:rFonts w:hint="eastAsia" w:ascii="仿宋" w:hAnsi="仿宋" w:eastAsia="仿宋"/>
          <w:color w:val="auto"/>
          <w:sz w:val="24"/>
          <w:highlight w:val="none"/>
          <w:lang w:eastAsia="zh-CN"/>
        </w:rPr>
        <w:t>电话：     电子函件：</w:t>
      </w:r>
    </w:p>
    <w:p w14:paraId="7903FA8C">
      <w:pPr>
        <w:pStyle w:val="12"/>
        <w:tabs>
          <w:tab w:val="left" w:pos="5580"/>
        </w:tabs>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法定代表人或委托代理人（签字或签章）：</w:t>
      </w:r>
    </w:p>
    <w:p w14:paraId="28AFBED4">
      <w:pPr>
        <w:pStyle w:val="12"/>
        <w:tabs>
          <w:tab w:val="left" w:pos="5580"/>
        </w:tabs>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投标人（盖公章）：</w:t>
      </w:r>
    </w:p>
    <w:p w14:paraId="79388921">
      <w:pPr>
        <w:pStyle w:val="12"/>
        <w:tabs>
          <w:tab w:val="left" w:pos="5580"/>
        </w:tabs>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投标人开户银行（全称）：</w:t>
      </w:r>
    </w:p>
    <w:p w14:paraId="08F1A716">
      <w:pPr>
        <w:pStyle w:val="12"/>
        <w:tabs>
          <w:tab w:val="left" w:pos="5580"/>
        </w:tabs>
        <w:spacing w:line="360" w:lineRule="auto"/>
        <w:ind w:left="1080" w:leftChars="257" w:hanging="54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投标人银行帐号：</w:t>
      </w:r>
    </w:p>
    <w:p w14:paraId="39A3A047">
      <w:pPr>
        <w:pStyle w:val="12"/>
        <w:spacing w:line="360" w:lineRule="auto"/>
        <w:ind w:firstLine="480" w:firstLineChars="200"/>
        <w:rPr>
          <w:rFonts w:hint="eastAsia" w:ascii="仿宋" w:hAnsi="仿宋" w:eastAsia="仿宋"/>
          <w:color w:val="auto"/>
          <w:sz w:val="24"/>
          <w:highlight w:val="none"/>
          <w:lang w:eastAsia="zh-CN"/>
        </w:rPr>
      </w:pPr>
      <w:r>
        <w:rPr>
          <w:rFonts w:hint="eastAsia" w:ascii="仿宋" w:hAnsi="仿宋" w:eastAsia="仿宋"/>
          <w:color w:val="auto"/>
          <w:sz w:val="24"/>
          <w:highlight w:val="none"/>
          <w:lang w:eastAsia="zh-CN"/>
        </w:rPr>
        <w:t>日期：</w:t>
      </w:r>
      <w:bookmarkStart w:id="423" w:name="_Hlt520355938"/>
      <w:bookmarkEnd w:id="423"/>
      <w:bookmarkStart w:id="424" w:name="_Toc1266"/>
      <w:bookmarkEnd w:id="424"/>
      <w:bookmarkStart w:id="425" w:name="_Toc532473506"/>
      <w:bookmarkEnd w:id="425"/>
      <w:bookmarkStart w:id="426" w:name="_Hlt520356243"/>
      <w:bookmarkEnd w:id="426"/>
      <w:bookmarkStart w:id="427" w:name="_Toc23473"/>
      <w:bookmarkEnd w:id="427"/>
    </w:p>
    <w:p w14:paraId="5548A0DA">
      <w:pPr>
        <w:spacing w:line="273" w:lineRule="auto"/>
        <w:rPr>
          <w:rFonts w:hint="eastAsia" w:ascii="仿宋" w:hAnsi="仿宋" w:eastAsia="仿宋" w:cs="仿宋"/>
          <w:color w:val="auto"/>
          <w:highlight w:val="none"/>
          <w:lang w:eastAsia="zh-CN"/>
        </w:rPr>
      </w:pPr>
    </w:p>
    <w:p w14:paraId="5E4FBBF6">
      <w:pPr>
        <w:pageBreakBefore/>
        <w:spacing w:before="100" w:line="226" w:lineRule="auto"/>
        <w:ind w:left="1389"/>
        <w:outlineLvl w:val="1"/>
        <w:rPr>
          <w:rFonts w:hint="eastAsia" w:ascii="仿宋" w:hAnsi="仿宋" w:eastAsia="仿宋" w:cs="仿宋"/>
          <w:color w:val="auto"/>
          <w:sz w:val="31"/>
          <w:szCs w:val="31"/>
          <w:highlight w:val="none"/>
          <w:lang w:eastAsia="zh-CN"/>
        </w:rPr>
      </w:pPr>
      <w:bookmarkStart w:id="428" w:name="bookmark265"/>
      <w:bookmarkEnd w:id="428"/>
      <w:bookmarkStart w:id="429" w:name="bookmark258"/>
      <w:bookmarkEnd w:id="429"/>
      <w:bookmarkStart w:id="430" w:name="_Toc27420"/>
      <w:bookmarkStart w:id="431" w:name="_Toc186477814"/>
      <w:r>
        <w:rPr>
          <w:rFonts w:hint="eastAsia" w:ascii="仿宋" w:hAnsi="仿宋" w:eastAsia="仿宋" w:cs="仿宋"/>
          <w:b/>
          <w:bCs/>
          <w:color w:val="auto"/>
          <w:spacing w:val="6"/>
          <w:sz w:val="31"/>
          <w:szCs w:val="31"/>
          <w:highlight w:val="none"/>
          <w:lang w:eastAsia="zh-CN"/>
        </w:rPr>
        <w:t>二、法定代表人（单位负责人）身份证明</w:t>
      </w:r>
      <w:bookmarkEnd w:id="430"/>
      <w:bookmarkEnd w:id="431"/>
    </w:p>
    <w:p w14:paraId="33EAB45E">
      <w:pPr>
        <w:spacing w:line="303" w:lineRule="auto"/>
        <w:rPr>
          <w:rFonts w:hint="eastAsia" w:ascii="仿宋" w:hAnsi="仿宋" w:eastAsia="仿宋" w:cs="仿宋"/>
          <w:color w:val="auto"/>
          <w:highlight w:val="none"/>
          <w:lang w:eastAsia="zh-CN"/>
        </w:rPr>
      </w:pPr>
    </w:p>
    <w:p w14:paraId="4E16587C">
      <w:pPr>
        <w:spacing w:before="78" w:line="467" w:lineRule="auto"/>
        <w:ind w:left="1085" w:right="4604" w:hanging="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致</w:t>
      </w:r>
      <w:r>
        <w:rPr>
          <w:rFonts w:hint="eastAsia" w:ascii="仿宋" w:hAnsi="仿宋" w:eastAsia="仿宋" w:cs="仿宋"/>
          <w:color w:val="auto"/>
          <w:spacing w:val="-28"/>
          <w:sz w:val="24"/>
          <w:szCs w:val="24"/>
          <w:highlight w:val="none"/>
          <w:lang w:eastAsia="zh-CN"/>
        </w:rPr>
        <w:t>：（</w:t>
      </w:r>
      <w:r>
        <w:rPr>
          <w:rFonts w:hint="eastAsia" w:ascii="仿宋" w:hAnsi="仿宋" w:eastAsia="仿宋" w:cs="仿宋"/>
          <w:color w:val="auto"/>
          <w:spacing w:val="2"/>
          <w:sz w:val="24"/>
          <w:szCs w:val="24"/>
          <w:highlight w:val="none"/>
          <w:lang w:eastAsia="zh-CN"/>
        </w:rPr>
        <w:t>采购人或采购代理机构）</w:t>
      </w:r>
      <w:r>
        <w:rPr>
          <w:rFonts w:hint="eastAsia" w:ascii="仿宋" w:hAnsi="仿宋" w:eastAsia="仿宋" w:cs="仿宋"/>
          <w:color w:val="auto"/>
          <w:spacing w:val="-4"/>
          <w:sz w:val="24"/>
          <w:szCs w:val="24"/>
          <w:highlight w:val="none"/>
          <w:lang w:eastAsia="zh-CN"/>
        </w:rPr>
        <w:t>兹证明，</w:t>
      </w:r>
    </w:p>
    <w:p w14:paraId="4A4D5AD2">
      <w:pPr>
        <w:spacing w:before="34" w:line="219" w:lineRule="auto"/>
        <w:ind w:left="60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姓名：性别：年龄：职务：</w:t>
      </w:r>
    </w:p>
    <w:p w14:paraId="14A218F6">
      <w:pPr>
        <w:spacing w:line="259" w:lineRule="auto"/>
        <w:rPr>
          <w:rFonts w:hint="eastAsia" w:ascii="仿宋" w:hAnsi="仿宋" w:eastAsia="仿宋" w:cs="仿宋"/>
          <w:color w:val="auto"/>
          <w:highlight w:val="none"/>
          <w:lang w:eastAsia="zh-CN"/>
        </w:rPr>
      </w:pPr>
    </w:p>
    <w:p w14:paraId="29A453B6">
      <w:pPr>
        <w:spacing w:before="79" w:line="219" w:lineRule="auto"/>
        <w:ind w:left="60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系 （投标人名</w:t>
      </w:r>
      <w:r>
        <w:rPr>
          <w:rFonts w:hint="eastAsia" w:ascii="仿宋" w:hAnsi="仿宋" w:eastAsia="仿宋" w:cs="仿宋"/>
          <w:color w:val="auto"/>
          <w:spacing w:val="-1"/>
          <w:sz w:val="24"/>
          <w:szCs w:val="24"/>
          <w:highlight w:val="none"/>
          <w:lang w:eastAsia="zh-CN"/>
        </w:rPr>
        <w:t>称）的法定代表人（单位负责人）。</w:t>
      </w:r>
    </w:p>
    <w:p w14:paraId="202C2564">
      <w:pPr>
        <w:spacing w:line="258" w:lineRule="auto"/>
        <w:rPr>
          <w:rFonts w:hint="eastAsia" w:ascii="仿宋" w:hAnsi="仿宋" w:eastAsia="仿宋" w:cs="仿宋"/>
          <w:color w:val="auto"/>
          <w:highlight w:val="none"/>
          <w:lang w:eastAsia="zh-CN"/>
        </w:rPr>
      </w:pPr>
    </w:p>
    <w:p w14:paraId="58A3309D">
      <w:pPr>
        <w:spacing w:before="78" w:line="219" w:lineRule="auto"/>
        <w:ind w:left="6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附：法定代表人（单位负责人）身份证、护照等身份证明文件电子件：</w:t>
      </w:r>
    </w:p>
    <w:p w14:paraId="078CD539">
      <w:pPr>
        <w:spacing w:before="7"/>
        <w:rPr>
          <w:rFonts w:hint="eastAsia" w:ascii="仿宋" w:hAnsi="仿宋" w:eastAsia="仿宋" w:cs="仿宋"/>
          <w:color w:val="auto"/>
          <w:highlight w:val="none"/>
          <w:lang w:eastAsia="zh-CN"/>
        </w:rPr>
      </w:pPr>
    </w:p>
    <w:p w14:paraId="40DCAB8C">
      <w:pPr>
        <w:spacing w:before="7"/>
        <w:rPr>
          <w:rFonts w:hint="eastAsia" w:ascii="仿宋" w:hAnsi="仿宋" w:eastAsia="仿宋" w:cs="仿宋"/>
          <w:color w:val="auto"/>
          <w:highlight w:val="none"/>
          <w:lang w:eastAsia="zh-CN"/>
        </w:rPr>
      </w:pPr>
    </w:p>
    <w:p w14:paraId="6CADEA68">
      <w:pPr>
        <w:spacing w:before="7"/>
        <w:rPr>
          <w:rFonts w:hint="eastAsia" w:ascii="仿宋" w:hAnsi="仿宋" w:eastAsia="仿宋" w:cs="仿宋"/>
          <w:color w:val="auto"/>
          <w:highlight w:val="none"/>
          <w:lang w:eastAsia="zh-CN"/>
        </w:rPr>
      </w:pPr>
    </w:p>
    <w:p w14:paraId="67067BBC">
      <w:pPr>
        <w:spacing w:before="6"/>
        <w:rPr>
          <w:rFonts w:hint="eastAsia" w:ascii="仿宋" w:hAnsi="仿宋" w:eastAsia="仿宋" w:cs="仿宋"/>
          <w:color w:val="auto"/>
          <w:highlight w:val="none"/>
          <w:lang w:eastAsia="zh-CN"/>
        </w:rPr>
      </w:pPr>
    </w:p>
    <w:p w14:paraId="7EC5C11F">
      <w:pPr>
        <w:spacing w:before="6"/>
        <w:rPr>
          <w:rFonts w:hint="eastAsia" w:ascii="仿宋" w:hAnsi="仿宋" w:eastAsia="仿宋" w:cs="仿宋"/>
          <w:color w:val="auto"/>
          <w:highlight w:val="none"/>
          <w:lang w:eastAsia="zh-CN"/>
        </w:rPr>
      </w:pPr>
    </w:p>
    <w:tbl>
      <w:tblPr>
        <w:tblStyle w:val="22"/>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15E9CB0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3940" w:hRule="atLeast"/>
        </w:trPr>
        <w:tc>
          <w:tcPr>
            <w:tcW w:w="8531" w:type="dxa"/>
          </w:tcPr>
          <w:p w14:paraId="038EBCB3">
            <w:pPr>
              <w:rPr>
                <w:rFonts w:hint="eastAsia" w:ascii="仿宋" w:hAnsi="仿宋" w:eastAsia="仿宋" w:cs="仿宋"/>
                <w:color w:val="auto"/>
                <w:highlight w:val="none"/>
                <w:lang w:eastAsia="zh-CN"/>
              </w:rPr>
            </w:pPr>
          </w:p>
        </w:tc>
      </w:tr>
    </w:tbl>
    <w:p w14:paraId="451DFD78">
      <w:pPr>
        <w:spacing w:line="292" w:lineRule="auto"/>
        <w:rPr>
          <w:rFonts w:hint="eastAsia" w:ascii="仿宋" w:hAnsi="仿宋" w:eastAsia="仿宋" w:cs="仿宋"/>
          <w:color w:val="auto"/>
          <w:highlight w:val="none"/>
          <w:lang w:eastAsia="zh-CN"/>
        </w:rPr>
      </w:pPr>
    </w:p>
    <w:p w14:paraId="2A91B418">
      <w:pPr>
        <w:spacing w:line="292" w:lineRule="auto"/>
        <w:rPr>
          <w:rFonts w:hint="eastAsia" w:ascii="仿宋" w:hAnsi="仿宋" w:eastAsia="仿宋" w:cs="仿宋"/>
          <w:color w:val="auto"/>
          <w:highlight w:val="none"/>
          <w:lang w:eastAsia="zh-CN"/>
        </w:rPr>
      </w:pPr>
    </w:p>
    <w:p w14:paraId="32B6CBD8">
      <w:pPr>
        <w:spacing w:before="79" w:line="219" w:lineRule="auto"/>
        <w:ind w:left="1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29B6F01E">
      <w:pPr>
        <w:spacing w:line="259" w:lineRule="auto"/>
        <w:rPr>
          <w:rFonts w:hint="eastAsia" w:ascii="仿宋" w:hAnsi="仿宋" w:eastAsia="仿宋" w:cs="仿宋"/>
          <w:color w:val="auto"/>
          <w:highlight w:val="none"/>
          <w:lang w:eastAsia="zh-CN"/>
        </w:rPr>
      </w:pPr>
    </w:p>
    <w:p w14:paraId="6A266FC9">
      <w:pPr>
        <w:spacing w:before="78" w:line="219" w:lineRule="auto"/>
        <w:ind w:left="1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法定代表人（单位负责人</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1"/>
          <w:sz w:val="24"/>
          <w:szCs w:val="24"/>
          <w:highlight w:val="none"/>
          <w:lang w:eastAsia="zh-CN"/>
        </w:rPr>
        <w:t>签字或盖章</w:t>
      </w:r>
      <w:r>
        <w:rPr>
          <w:rFonts w:hint="eastAsia" w:ascii="仿宋" w:hAnsi="仿宋" w:eastAsia="仿宋" w:cs="仿宋"/>
          <w:color w:val="auto"/>
          <w:spacing w:val="-9"/>
          <w:sz w:val="24"/>
          <w:szCs w:val="24"/>
          <w:highlight w:val="none"/>
          <w:lang w:eastAsia="zh-CN"/>
        </w:rPr>
        <w:t>）：</w:t>
      </w:r>
    </w:p>
    <w:p w14:paraId="5F9B5765">
      <w:pPr>
        <w:spacing w:line="241" w:lineRule="auto"/>
        <w:rPr>
          <w:rFonts w:hint="eastAsia" w:ascii="仿宋" w:hAnsi="仿宋" w:eastAsia="仿宋" w:cs="仿宋"/>
          <w:color w:val="auto"/>
          <w:highlight w:val="none"/>
          <w:lang w:eastAsia="zh-CN"/>
        </w:rPr>
      </w:pPr>
    </w:p>
    <w:p w14:paraId="6574B4AD">
      <w:pPr>
        <w:spacing w:line="242" w:lineRule="auto"/>
        <w:rPr>
          <w:rFonts w:hint="eastAsia" w:ascii="仿宋" w:hAnsi="仿宋" w:eastAsia="仿宋" w:cs="仿宋"/>
          <w:color w:val="auto"/>
          <w:highlight w:val="none"/>
          <w:lang w:eastAsia="zh-CN"/>
        </w:rPr>
      </w:pPr>
    </w:p>
    <w:p w14:paraId="49443BC5">
      <w:pPr>
        <w:spacing w:line="242" w:lineRule="auto"/>
        <w:rPr>
          <w:rFonts w:hint="eastAsia" w:ascii="仿宋" w:hAnsi="仿宋" w:eastAsia="仿宋" w:cs="仿宋"/>
          <w:color w:val="auto"/>
          <w:highlight w:val="none"/>
          <w:lang w:eastAsia="zh-CN"/>
        </w:rPr>
      </w:pPr>
    </w:p>
    <w:p w14:paraId="59B5D61F">
      <w:pPr>
        <w:spacing w:before="79" w:line="219" w:lineRule="auto"/>
        <w:ind w:left="16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日期：年月日</w:t>
      </w:r>
    </w:p>
    <w:p w14:paraId="2FE45022">
      <w:pPr>
        <w:spacing w:line="273" w:lineRule="auto"/>
        <w:rPr>
          <w:rFonts w:hint="eastAsia" w:ascii="仿宋" w:hAnsi="仿宋" w:eastAsia="仿宋" w:cs="仿宋"/>
          <w:color w:val="auto"/>
          <w:highlight w:val="none"/>
          <w:lang w:eastAsia="zh-CN"/>
        </w:rPr>
      </w:pPr>
    </w:p>
    <w:p w14:paraId="64E2FF44">
      <w:pPr>
        <w:pageBreakBefore/>
        <w:spacing w:before="101" w:line="223" w:lineRule="auto"/>
        <w:ind w:left="3153"/>
        <w:outlineLvl w:val="1"/>
        <w:rPr>
          <w:rFonts w:hint="eastAsia" w:ascii="仿宋" w:hAnsi="仿宋" w:eastAsia="仿宋" w:cs="仿宋"/>
          <w:color w:val="auto"/>
          <w:sz w:val="31"/>
          <w:szCs w:val="31"/>
          <w:highlight w:val="none"/>
          <w:lang w:eastAsia="zh-CN"/>
        </w:rPr>
      </w:pPr>
      <w:bookmarkStart w:id="432" w:name="bookmark259"/>
      <w:bookmarkEnd w:id="432"/>
      <w:bookmarkStart w:id="433" w:name="bookmark260"/>
      <w:bookmarkEnd w:id="433"/>
      <w:bookmarkStart w:id="434" w:name="_Toc186477815"/>
      <w:bookmarkStart w:id="435" w:name="_Toc16842"/>
      <w:r>
        <w:rPr>
          <w:rFonts w:hint="eastAsia" w:ascii="仿宋" w:hAnsi="仿宋" w:eastAsia="仿宋" w:cs="仿宋"/>
          <w:b/>
          <w:bCs/>
          <w:color w:val="auto"/>
          <w:spacing w:val="5"/>
          <w:sz w:val="31"/>
          <w:szCs w:val="31"/>
          <w:highlight w:val="none"/>
          <w:lang w:eastAsia="zh-CN"/>
        </w:rPr>
        <w:t>三、授权委托书</w:t>
      </w:r>
      <w:bookmarkEnd w:id="434"/>
      <w:bookmarkEnd w:id="435"/>
    </w:p>
    <w:p w14:paraId="7367C883">
      <w:pPr>
        <w:spacing w:before="310" w:line="353" w:lineRule="auto"/>
        <w:ind w:left="122" w:right="37"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本人（姓名）系（投标人名称</w:t>
      </w:r>
      <w:r>
        <w:rPr>
          <w:rFonts w:hint="eastAsia" w:ascii="仿宋" w:hAnsi="仿宋" w:eastAsia="仿宋" w:cs="仿宋"/>
          <w:color w:val="auto"/>
          <w:spacing w:val="-1"/>
          <w:sz w:val="24"/>
          <w:szCs w:val="24"/>
          <w:highlight w:val="none"/>
          <w:lang w:eastAsia="zh-CN"/>
        </w:rPr>
        <w:t>）的法定代表人（单位负责</w:t>
      </w:r>
      <w:r>
        <w:rPr>
          <w:rFonts w:hint="eastAsia" w:ascii="仿宋" w:hAnsi="仿宋" w:eastAsia="仿宋" w:cs="仿宋"/>
          <w:color w:val="auto"/>
          <w:spacing w:val="-3"/>
          <w:sz w:val="24"/>
          <w:szCs w:val="24"/>
          <w:highlight w:val="none"/>
          <w:lang w:eastAsia="zh-CN"/>
        </w:rPr>
        <w:t>人</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3"/>
          <w:sz w:val="24"/>
          <w:szCs w:val="24"/>
          <w:highlight w:val="none"/>
          <w:lang w:eastAsia="zh-CN"/>
        </w:rPr>
        <w:t>现委托（姓名）为我方代理人。</w:t>
      </w:r>
      <w:r>
        <w:rPr>
          <w:rFonts w:hint="eastAsia" w:ascii="仿宋" w:hAnsi="仿宋" w:eastAsia="仿宋" w:cs="仿宋"/>
          <w:color w:val="auto"/>
          <w:spacing w:val="-4"/>
          <w:sz w:val="24"/>
          <w:szCs w:val="24"/>
          <w:highlight w:val="none"/>
          <w:lang w:eastAsia="zh-CN"/>
        </w:rPr>
        <w:t>代理人根据授权，以我方名义签署、</w:t>
      </w:r>
      <w:r>
        <w:rPr>
          <w:rFonts w:hint="eastAsia" w:ascii="仿宋" w:hAnsi="仿宋" w:eastAsia="仿宋" w:cs="仿宋"/>
          <w:color w:val="auto"/>
          <w:spacing w:val="-3"/>
          <w:sz w:val="24"/>
          <w:szCs w:val="24"/>
          <w:highlight w:val="none"/>
          <w:lang w:eastAsia="zh-CN"/>
        </w:rPr>
        <w:t>澄清确认、说明、补正、递交、撤回、修改</w:t>
      </w:r>
      <w:r>
        <w:rPr>
          <w:rFonts w:hint="eastAsia" w:ascii="仿宋" w:hAnsi="仿宋" w:eastAsia="仿宋" w:cs="仿宋"/>
          <w:color w:val="auto"/>
          <w:spacing w:val="-4"/>
          <w:sz w:val="24"/>
          <w:szCs w:val="24"/>
          <w:highlight w:val="none"/>
          <w:lang w:eastAsia="zh-CN"/>
        </w:rPr>
        <w:t>（项目名称）投标文件、</w:t>
      </w:r>
      <w:r>
        <w:rPr>
          <w:rFonts w:hint="eastAsia" w:ascii="仿宋" w:hAnsi="仿宋" w:eastAsia="仿宋" w:cs="仿宋"/>
          <w:color w:val="auto"/>
          <w:spacing w:val="-1"/>
          <w:sz w:val="24"/>
          <w:szCs w:val="24"/>
          <w:highlight w:val="none"/>
          <w:lang w:eastAsia="zh-CN"/>
        </w:rPr>
        <w:t>签订合同和处理有关事宜，其法律后果由我方承担。</w:t>
      </w:r>
    </w:p>
    <w:p w14:paraId="6F84509C">
      <w:pPr>
        <w:spacing w:before="33" w:line="347" w:lineRule="auto"/>
        <w:ind w:left="601" w:right="102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委托期限：自本授权委托书签署之日起至投标有效期届满之日止。</w:t>
      </w:r>
      <w:r>
        <w:rPr>
          <w:rFonts w:hint="eastAsia" w:ascii="仿宋" w:hAnsi="仿宋" w:eastAsia="仿宋" w:cs="仿宋"/>
          <w:color w:val="auto"/>
          <w:spacing w:val="-1"/>
          <w:sz w:val="24"/>
          <w:szCs w:val="24"/>
          <w:highlight w:val="none"/>
          <w:lang w:eastAsia="zh-CN"/>
        </w:rPr>
        <w:t>代理人无转委托权。</w:t>
      </w:r>
    </w:p>
    <w:p w14:paraId="421556CD">
      <w:pPr>
        <w:spacing w:line="278" w:lineRule="auto"/>
        <w:rPr>
          <w:rFonts w:hint="eastAsia" w:ascii="仿宋" w:hAnsi="仿宋" w:eastAsia="仿宋" w:cs="仿宋"/>
          <w:color w:val="auto"/>
          <w:highlight w:val="none"/>
          <w:lang w:eastAsia="zh-CN"/>
        </w:rPr>
      </w:pPr>
    </w:p>
    <w:p w14:paraId="47AFC021">
      <w:pPr>
        <w:spacing w:before="78" w:line="219" w:lineRule="auto"/>
        <w:ind w:left="1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3C6A7AAB">
      <w:pPr>
        <w:spacing w:line="259" w:lineRule="auto"/>
        <w:rPr>
          <w:rFonts w:hint="eastAsia" w:ascii="仿宋" w:hAnsi="仿宋" w:eastAsia="仿宋" w:cs="仿宋"/>
          <w:color w:val="auto"/>
          <w:highlight w:val="none"/>
          <w:lang w:eastAsia="zh-CN"/>
        </w:rPr>
      </w:pPr>
    </w:p>
    <w:p w14:paraId="5BF0D34D">
      <w:pPr>
        <w:spacing w:before="78" w:line="219" w:lineRule="auto"/>
        <w:ind w:left="12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法定代表人（单位负责人</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z w:val="24"/>
          <w:szCs w:val="24"/>
          <w:highlight w:val="none"/>
          <w:lang w:eastAsia="zh-CN"/>
        </w:rPr>
        <w:t>签字或盖章)：</w:t>
      </w:r>
    </w:p>
    <w:p w14:paraId="40E7215E">
      <w:pPr>
        <w:spacing w:line="259" w:lineRule="auto"/>
        <w:rPr>
          <w:rFonts w:hint="eastAsia" w:ascii="仿宋" w:hAnsi="仿宋" w:eastAsia="仿宋" w:cs="仿宋"/>
          <w:color w:val="auto"/>
          <w:highlight w:val="none"/>
          <w:lang w:eastAsia="zh-CN"/>
        </w:rPr>
      </w:pPr>
    </w:p>
    <w:p w14:paraId="7DF7D84E">
      <w:pPr>
        <w:spacing w:before="79" w:line="219" w:lineRule="auto"/>
        <w:ind w:left="1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委托代理人（签字或盖章)：    联系电话：</w:t>
      </w:r>
    </w:p>
    <w:p w14:paraId="28321B47">
      <w:pPr>
        <w:spacing w:line="260" w:lineRule="auto"/>
        <w:rPr>
          <w:rFonts w:hint="eastAsia" w:ascii="仿宋" w:hAnsi="仿宋" w:eastAsia="仿宋" w:cs="仿宋"/>
          <w:color w:val="auto"/>
          <w:highlight w:val="none"/>
          <w:lang w:eastAsia="zh-CN"/>
        </w:rPr>
      </w:pPr>
    </w:p>
    <w:p w14:paraId="254D3ED9">
      <w:pPr>
        <w:spacing w:before="78" w:line="219" w:lineRule="auto"/>
        <w:ind w:left="16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日期：年月日</w:t>
      </w:r>
    </w:p>
    <w:p w14:paraId="1F70CC52">
      <w:pPr>
        <w:spacing w:line="413" w:lineRule="auto"/>
        <w:rPr>
          <w:rFonts w:hint="eastAsia" w:ascii="仿宋" w:hAnsi="仿宋" w:eastAsia="仿宋" w:cs="仿宋"/>
          <w:color w:val="auto"/>
          <w:highlight w:val="none"/>
          <w:lang w:eastAsia="zh-CN"/>
        </w:rPr>
      </w:pPr>
    </w:p>
    <w:p w14:paraId="455B3630">
      <w:pPr>
        <w:spacing w:before="79" w:line="219" w:lineRule="auto"/>
        <w:ind w:left="14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附：法定代表人及委托代理人身份证明文件电子件：</w:t>
      </w:r>
    </w:p>
    <w:p w14:paraId="573AA574">
      <w:pPr>
        <w:spacing w:line="69" w:lineRule="exact"/>
        <w:rPr>
          <w:rFonts w:hint="eastAsia" w:ascii="仿宋" w:hAnsi="仿宋" w:eastAsia="仿宋" w:cs="仿宋"/>
          <w:color w:val="auto"/>
          <w:highlight w:val="none"/>
          <w:lang w:eastAsia="zh-CN"/>
        </w:rPr>
      </w:pPr>
    </w:p>
    <w:tbl>
      <w:tblPr>
        <w:tblStyle w:val="22"/>
        <w:tblW w:w="8531"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8531"/>
      </w:tblGrid>
      <w:tr w14:paraId="58CEC83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2030" w:hRule="atLeast"/>
        </w:trPr>
        <w:tc>
          <w:tcPr>
            <w:tcW w:w="8531" w:type="dxa"/>
          </w:tcPr>
          <w:p w14:paraId="7FEA410F">
            <w:pPr>
              <w:rPr>
                <w:rFonts w:hint="eastAsia" w:ascii="仿宋" w:hAnsi="仿宋" w:eastAsia="仿宋" w:cs="仿宋"/>
                <w:color w:val="auto"/>
                <w:highlight w:val="none"/>
                <w:lang w:eastAsia="zh-CN"/>
              </w:rPr>
            </w:pPr>
          </w:p>
        </w:tc>
      </w:tr>
    </w:tbl>
    <w:p w14:paraId="0FE307CD">
      <w:pPr>
        <w:spacing w:before="115" w:line="219" w:lineRule="auto"/>
        <w:ind w:left="6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说明：</w:t>
      </w:r>
    </w:p>
    <w:p w14:paraId="13AEEA97">
      <w:pPr>
        <w:spacing w:before="182" w:line="347" w:lineRule="auto"/>
        <w:ind w:left="126" w:right="18" w:firstLine="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1.若投标人为事业单位或其他组织或分支机构，则法定代表人（单位负责人）</w:t>
      </w:r>
      <w:r>
        <w:rPr>
          <w:rFonts w:hint="eastAsia" w:ascii="仿宋" w:hAnsi="仿宋" w:eastAsia="仿宋" w:cs="仿宋"/>
          <w:color w:val="auto"/>
          <w:spacing w:val="-2"/>
          <w:sz w:val="24"/>
          <w:szCs w:val="24"/>
          <w:highlight w:val="none"/>
          <w:lang w:eastAsia="zh-CN"/>
        </w:rPr>
        <w:t>处的签署人可为单位负责人。</w:t>
      </w:r>
    </w:p>
    <w:p w14:paraId="386A4F4A">
      <w:pPr>
        <w:spacing w:before="35" w:line="346" w:lineRule="auto"/>
        <w:ind w:left="123" w:right="117"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2.若投标文件中签字之处均为法定代表人（单位负责人）本人签</w:t>
      </w:r>
      <w:r>
        <w:rPr>
          <w:rFonts w:hint="eastAsia" w:ascii="仿宋" w:hAnsi="仿宋" w:eastAsia="仿宋" w:cs="仿宋"/>
          <w:color w:val="auto"/>
          <w:spacing w:val="-4"/>
          <w:sz w:val="24"/>
          <w:szCs w:val="24"/>
          <w:highlight w:val="none"/>
          <w:lang w:eastAsia="zh-CN"/>
        </w:rPr>
        <w:t>署，则可不</w:t>
      </w:r>
      <w:r>
        <w:rPr>
          <w:rFonts w:hint="eastAsia" w:ascii="仿宋" w:hAnsi="仿宋" w:eastAsia="仿宋" w:cs="仿宋"/>
          <w:color w:val="auto"/>
          <w:sz w:val="24"/>
          <w:szCs w:val="24"/>
          <w:highlight w:val="none"/>
          <w:lang w:eastAsia="zh-CN"/>
        </w:rPr>
        <w:t>提供本《授权委托书》，但须提供《法定代表人（</w:t>
      </w:r>
      <w:r>
        <w:rPr>
          <w:rFonts w:hint="eastAsia" w:ascii="仿宋" w:hAnsi="仿宋" w:eastAsia="仿宋" w:cs="仿宋"/>
          <w:color w:val="auto"/>
          <w:spacing w:val="-1"/>
          <w:sz w:val="24"/>
          <w:szCs w:val="24"/>
          <w:highlight w:val="none"/>
          <w:lang w:eastAsia="zh-CN"/>
        </w:rPr>
        <w:t>单位负责人）身份证明》。</w:t>
      </w:r>
    </w:p>
    <w:p w14:paraId="617098B5">
      <w:pPr>
        <w:spacing w:before="35" w:line="219" w:lineRule="auto"/>
        <w:ind w:left="6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3.投标人为自然人的情形，可不提供本《授权委托书》。</w:t>
      </w:r>
    </w:p>
    <w:p w14:paraId="379F34E4">
      <w:pPr>
        <w:spacing w:before="184" w:line="351" w:lineRule="auto"/>
        <w:ind w:left="121" w:right="117"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4.投标人应随本《授权委托书》同时提供法定代表人（单位负责人）及</w:t>
      </w:r>
      <w:r>
        <w:rPr>
          <w:rFonts w:hint="eastAsia" w:ascii="仿宋" w:hAnsi="仿宋" w:eastAsia="仿宋" w:cs="仿宋"/>
          <w:color w:val="auto"/>
          <w:spacing w:val="-4"/>
          <w:sz w:val="24"/>
          <w:szCs w:val="24"/>
          <w:highlight w:val="none"/>
          <w:lang w:eastAsia="zh-CN"/>
        </w:rPr>
        <w:t>委托</w:t>
      </w:r>
      <w:r>
        <w:rPr>
          <w:rFonts w:hint="eastAsia" w:ascii="仿宋" w:hAnsi="仿宋" w:eastAsia="仿宋" w:cs="仿宋"/>
          <w:color w:val="auto"/>
          <w:spacing w:val="-3"/>
          <w:sz w:val="24"/>
          <w:szCs w:val="24"/>
          <w:highlight w:val="none"/>
          <w:lang w:eastAsia="zh-CN"/>
        </w:rPr>
        <w:t>代理人的有效的身份证、护照等身份证明文件电子件。提供身份证的，应同时提</w:t>
      </w:r>
      <w:r>
        <w:rPr>
          <w:rFonts w:hint="eastAsia" w:ascii="仿宋" w:hAnsi="仿宋" w:eastAsia="仿宋" w:cs="仿宋"/>
          <w:color w:val="auto"/>
          <w:spacing w:val="-2"/>
          <w:sz w:val="24"/>
          <w:szCs w:val="24"/>
          <w:highlight w:val="none"/>
          <w:lang w:eastAsia="zh-CN"/>
        </w:rPr>
        <w:t>供身份证</w:t>
      </w:r>
      <w:r>
        <w:rPr>
          <w:rFonts w:hint="eastAsia" w:ascii="仿宋" w:hAnsi="仿宋" w:eastAsia="仿宋" w:cs="仿宋"/>
          <w:b/>
          <w:bCs/>
          <w:color w:val="auto"/>
          <w:spacing w:val="-2"/>
          <w:sz w:val="24"/>
          <w:szCs w:val="24"/>
          <w:highlight w:val="none"/>
          <w:lang w:eastAsia="zh-CN"/>
        </w:rPr>
        <w:t>双面</w:t>
      </w:r>
      <w:r>
        <w:rPr>
          <w:rFonts w:hint="eastAsia" w:ascii="仿宋" w:hAnsi="仿宋" w:eastAsia="仿宋" w:cs="仿宋"/>
          <w:color w:val="auto"/>
          <w:spacing w:val="-2"/>
          <w:sz w:val="24"/>
          <w:szCs w:val="24"/>
          <w:highlight w:val="none"/>
          <w:lang w:eastAsia="zh-CN"/>
        </w:rPr>
        <w:t>电子件。</w:t>
      </w:r>
    </w:p>
    <w:p w14:paraId="71BCE033">
      <w:pPr>
        <w:pageBreakBefore/>
        <w:spacing w:before="101" w:line="223" w:lineRule="auto"/>
        <w:ind w:left="1639"/>
        <w:outlineLvl w:val="1"/>
        <w:rPr>
          <w:rFonts w:hint="eastAsia" w:ascii="仿宋" w:hAnsi="仿宋" w:eastAsia="仿宋" w:cs="仿宋"/>
          <w:color w:val="auto"/>
          <w:sz w:val="31"/>
          <w:szCs w:val="31"/>
          <w:highlight w:val="none"/>
          <w:lang w:eastAsia="zh-CN"/>
        </w:rPr>
      </w:pPr>
      <w:bookmarkStart w:id="436" w:name="bookmark264"/>
      <w:bookmarkEnd w:id="436"/>
      <w:bookmarkStart w:id="437" w:name="bookmark262"/>
      <w:bookmarkEnd w:id="437"/>
      <w:bookmarkStart w:id="438" w:name="bookmark266"/>
      <w:bookmarkEnd w:id="438"/>
      <w:bookmarkStart w:id="439" w:name="_Toc186477816"/>
      <w:bookmarkStart w:id="440" w:name="_Toc9027"/>
      <w:r>
        <w:rPr>
          <w:rFonts w:hint="eastAsia" w:ascii="仿宋" w:hAnsi="仿宋" w:eastAsia="仿宋" w:cs="仿宋"/>
          <w:b/>
          <w:bCs/>
          <w:color w:val="auto"/>
          <w:spacing w:val="5"/>
          <w:sz w:val="31"/>
          <w:szCs w:val="31"/>
          <w:highlight w:val="none"/>
          <w:lang w:eastAsia="zh-CN"/>
        </w:rPr>
        <w:t>四、政府采购投标人廉洁自律承诺书</w:t>
      </w:r>
      <w:bookmarkEnd w:id="439"/>
      <w:bookmarkEnd w:id="440"/>
    </w:p>
    <w:p w14:paraId="75F1E867">
      <w:pPr>
        <w:spacing w:line="289" w:lineRule="auto"/>
        <w:rPr>
          <w:rFonts w:hint="eastAsia" w:ascii="仿宋" w:hAnsi="仿宋" w:eastAsia="仿宋" w:cs="仿宋"/>
          <w:color w:val="auto"/>
          <w:highlight w:val="none"/>
          <w:lang w:eastAsia="zh-CN"/>
        </w:rPr>
      </w:pPr>
    </w:p>
    <w:p w14:paraId="5C6DBC90">
      <w:pPr>
        <w:spacing w:before="78" w:line="219" w:lineRule="auto"/>
        <w:ind w:left="3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（采购人）、（采购代理机构</w:t>
      </w:r>
      <w:r>
        <w:rPr>
          <w:rFonts w:hint="eastAsia" w:ascii="仿宋" w:hAnsi="仿宋" w:eastAsia="仿宋" w:cs="仿宋"/>
          <w:color w:val="auto"/>
          <w:spacing w:val="2"/>
          <w:sz w:val="24"/>
          <w:szCs w:val="24"/>
          <w:highlight w:val="none"/>
          <w:lang w:eastAsia="zh-CN"/>
        </w:rPr>
        <w:t>）：</w:t>
      </w:r>
    </w:p>
    <w:p w14:paraId="78E7D7F8">
      <w:pPr>
        <w:spacing w:before="259" w:line="347" w:lineRule="auto"/>
        <w:ind w:left="25" w:right="178"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我单位响应你单位项目招标要求参加投标。在这次投</w:t>
      </w:r>
      <w:r>
        <w:rPr>
          <w:rFonts w:hint="eastAsia" w:ascii="仿宋" w:hAnsi="仿宋" w:eastAsia="仿宋" w:cs="仿宋"/>
          <w:color w:val="auto"/>
          <w:spacing w:val="-4"/>
          <w:sz w:val="24"/>
          <w:szCs w:val="24"/>
          <w:highlight w:val="none"/>
          <w:lang w:eastAsia="zh-CN"/>
        </w:rPr>
        <w:t>标过程中和中标后，我</w:t>
      </w:r>
      <w:r>
        <w:rPr>
          <w:rFonts w:hint="eastAsia" w:ascii="仿宋" w:hAnsi="仿宋" w:eastAsia="仿宋" w:cs="仿宋"/>
          <w:color w:val="auto"/>
          <w:spacing w:val="-1"/>
          <w:sz w:val="24"/>
          <w:szCs w:val="24"/>
          <w:highlight w:val="none"/>
          <w:lang w:eastAsia="zh-CN"/>
        </w:rPr>
        <w:t>们将严格遵守国家法律法规要求，并郑重承诺：</w:t>
      </w:r>
    </w:p>
    <w:p w14:paraId="7155485E">
      <w:pPr>
        <w:spacing w:before="35" w:line="289" w:lineRule="auto"/>
        <w:ind w:left="25" w:right="122"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一、不向项目有关人员及部门赠送礼金礼物、有价证券、回扣以及中介费、</w:t>
      </w:r>
      <w:r>
        <w:rPr>
          <w:rFonts w:hint="eastAsia" w:ascii="仿宋" w:hAnsi="仿宋" w:eastAsia="仿宋" w:cs="仿宋"/>
          <w:color w:val="auto"/>
          <w:spacing w:val="-1"/>
          <w:sz w:val="24"/>
          <w:szCs w:val="24"/>
          <w:highlight w:val="none"/>
          <w:lang w:eastAsia="zh-CN"/>
        </w:rPr>
        <w:t>介绍费、咨询费等好处费；</w:t>
      </w:r>
    </w:p>
    <w:p w14:paraId="6FC620FA">
      <w:pPr>
        <w:spacing w:before="184" w:line="219" w:lineRule="auto"/>
        <w:ind w:left="50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二、不为项目有关人员及部门报销应由你方单位或个人支付的费用；</w:t>
      </w:r>
    </w:p>
    <w:p w14:paraId="1EEC0724">
      <w:pPr>
        <w:spacing w:before="182" w:line="219"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三、不向项目有关人员及部门提供有可能影响公正的宴请和健身娱乐等活动；</w:t>
      </w:r>
    </w:p>
    <w:p w14:paraId="5FDAAE58">
      <w:pPr>
        <w:spacing w:before="183" w:line="219" w:lineRule="auto"/>
        <w:ind w:left="52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四、不为项目有关人员及部门出国（境）、旅游</w:t>
      </w:r>
      <w:r>
        <w:rPr>
          <w:rFonts w:hint="eastAsia" w:ascii="仿宋" w:hAnsi="仿宋" w:eastAsia="仿宋" w:cs="仿宋"/>
          <w:color w:val="auto"/>
          <w:spacing w:val="-2"/>
          <w:sz w:val="24"/>
          <w:szCs w:val="24"/>
          <w:highlight w:val="none"/>
          <w:lang w:eastAsia="zh-CN"/>
        </w:rPr>
        <w:t>等提供方便；</w:t>
      </w:r>
    </w:p>
    <w:p w14:paraId="635F3DA2">
      <w:pPr>
        <w:spacing w:before="183" w:line="290" w:lineRule="auto"/>
        <w:ind w:left="25" w:right="178"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五、不为项目有关人员个人装修住房、婚丧嫁娶</w:t>
      </w:r>
      <w:r>
        <w:rPr>
          <w:rFonts w:hint="eastAsia" w:ascii="仿宋" w:hAnsi="仿宋" w:eastAsia="仿宋" w:cs="仿宋"/>
          <w:color w:val="auto"/>
          <w:spacing w:val="-4"/>
          <w:sz w:val="24"/>
          <w:szCs w:val="24"/>
          <w:highlight w:val="none"/>
          <w:lang w:eastAsia="zh-CN"/>
        </w:rPr>
        <w:t>、配偶子女工作安排等提供好处；</w:t>
      </w:r>
    </w:p>
    <w:p w14:paraId="57CC5D9F">
      <w:pPr>
        <w:spacing w:before="182" w:line="290" w:lineRule="auto"/>
        <w:ind w:left="31" w:right="178" w:firstLine="47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六、严格遵守《中华人民共和国政府采购法》《中华</w:t>
      </w:r>
      <w:r>
        <w:rPr>
          <w:rFonts w:hint="eastAsia" w:ascii="仿宋" w:hAnsi="仿宋" w:eastAsia="仿宋" w:cs="仿宋"/>
          <w:color w:val="auto"/>
          <w:spacing w:val="-4"/>
          <w:sz w:val="24"/>
          <w:szCs w:val="24"/>
          <w:highlight w:val="none"/>
          <w:lang w:eastAsia="zh-CN"/>
        </w:rPr>
        <w:t>人民共和国政府采购法</w:t>
      </w:r>
      <w:r>
        <w:rPr>
          <w:rFonts w:hint="eastAsia" w:ascii="仿宋" w:hAnsi="仿宋" w:eastAsia="仿宋" w:cs="仿宋"/>
          <w:color w:val="auto"/>
          <w:spacing w:val="-3"/>
          <w:sz w:val="24"/>
          <w:szCs w:val="24"/>
          <w:highlight w:val="none"/>
          <w:lang w:eastAsia="zh-CN"/>
        </w:rPr>
        <w:t>实施条例》《中华人民共和国民法典》等法律法规，诚实守信</w:t>
      </w:r>
      <w:r>
        <w:rPr>
          <w:rFonts w:hint="eastAsia" w:ascii="仿宋" w:hAnsi="仿宋" w:eastAsia="仿宋" w:cs="仿宋"/>
          <w:color w:val="auto"/>
          <w:spacing w:val="-4"/>
          <w:sz w:val="24"/>
          <w:szCs w:val="24"/>
          <w:highlight w:val="none"/>
          <w:lang w:eastAsia="zh-CN"/>
        </w:rPr>
        <w:t>，合法经营，坚决</w:t>
      </w:r>
      <w:r>
        <w:rPr>
          <w:rFonts w:hint="eastAsia" w:ascii="仿宋" w:hAnsi="仿宋" w:eastAsia="仿宋" w:cs="仿宋"/>
          <w:color w:val="auto"/>
          <w:spacing w:val="-1"/>
          <w:sz w:val="24"/>
          <w:szCs w:val="24"/>
          <w:highlight w:val="none"/>
          <w:lang w:eastAsia="zh-CN"/>
        </w:rPr>
        <w:t>抵制各种违法违纪行为。</w:t>
      </w:r>
    </w:p>
    <w:p w14:paraId="56307A92">
      <w:pPr>
        <w:spacing w:before="183" w:line="351" w:lineRule="auto"/>
        <w:ind w:left="31" w:right="141" w:firstLine="478"/>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如违反上述承诺，你单位有权立即取消我单位投</w:t>
      </w:r>
      <w:r>
        <w:rPr>
          <w:rFonts w:hint="eastAsia" w:ascii="仿宋" w:hAnsi="仿宋" w:eastAsia="仿宋" w:cs="仿宋"/>
          <w:color w:val="auto"/>
          <w:spacing w:val="-4"/>
          <w:sz w:val="24"/>
          <w:szCs w:val="24"/>
          <w:highlight w:val="none"/>
          <w:lang w:eastAsia="zh-CN"/>
        </w:rPr>
        <w:t>标、中标或在建项目的建设</w:t>
      </w:r>
      <w:r>
        <w:rPr>
          <w:rFonts w:hint="eastAsia" w:ascii="仿宋" w:hAnsi="仿宋" w:eastAsia="仿宋" w:cs="仿宋"/>
          <w:color w:val="auto"/>
          <w:spacing w:val="-2"/>
          <w:sz w:val="24"/>
          <w:szCs w:val="24"/>
          <w:highlight w:val="none"/>
          <w:lang w:eastAsia="zh-CN"/>
        </w:rPr>
        <w:t>资格，有权拒绝我单位在一定时期内进入你单位进行项目建设或其他</w:t>
      </w:r>
      <w:r>
        <w:rPr>
          <w:rFonts w:hint="eastAsia" w:ascii="仿宋" w:hAnsi="仿宋" w:eastAsia="仿宋" w:cs="仿宋"/>
          <w:color w:val="auto"/>
          <w:spacing w:val="-3"/>
          <w:sz w:val="24"/>
          <w:szCs w:val="24"/>
          <w:highlight w:val="none"/>
          <w:lang w:eastAsia="zh-CN"/>
        </w:rPr>
        <w:t>经营活动，</w:t>
      </w:r>
      <w:r>
        <w:rPr>
          <w:rFonts w:hint="eastAsia" w:ascii="仿宋" w:hAnsi="仿宋" w:eastAsia="仿宋" w:cs="仿宋"/>
          <w:color w:val="auto"/>
          <w:spacing w:val="-1"/>
          <w:sz w:val="24"/>
          <w:szCs w:val="24"/>
          <w:highlight w:val="none"/>
          <w:lang w:eastAsia="zh-CN"/>
        </w:rPr>
        <w:t>并通报主管部门。由此引起的相应损失均由我单位承担。</w:t>
      </w:r>
    </w:p>
    <w:p w14:paraId="1CDB1CC4">
      <w:pPr>
        <w:spacing w:line="270" w:lineRule="auto"/>
        <w:rPr>
          <w:rFonts w:hint="eastAsia" w:ascii="仿宋" w:hAnsi="仿宋" w:eastAsia="仿宋" w:cs="仿宋"/>
          <w:color w:val="auto"/>
          <w:highlight w:val="none"/>
          <w:lang w:eastAsia="zh-CN"/>
        </w:rPr>
      </w:pPr>
    </w:p>
    <w:p w14:paraId="1CEB49FF">
      <w:pPr>
        <w:spacing w:line="270" w:lineRule="auto"/>
        <w:rPr>
          <w:rFonts w:hint="eastAsia" w:ascii="仿宋" w:hAnsi="仿宋" w:eastAsia="仿宋" w:cs="仿宋"/>
          <w:color w:val="auto"/>
          <w:highlight w:val="none"/>
          <w:lang w:eastAsia="zh-CN"/>
        </w:rPr>
      </w:pPr>
    </w:p>
    <w:p w14:paraId="0982775C">
      <w:pPr>
        <w:spacing w:line="270" w:lineRule="auto"/>
        <w:rPr>
          <w:rFonts w:hint="eastAsia" w:ascii="仿宋" w:hAnsi="仿宋" w:eastAsia="仿宋" w:cs="仿宋"/>
          <w:color w:val="auto"/>
          <w:highlight w:val="none"/>
          <w:lang w:eastAsia="zh-CN"/>
        </w:rPr>
      </w:pPr>
    </w:p>
    <w:p w14:paraId="6D29AEFB">
      <w:pPr>
        <w:spacing w:line="270" w:lineRule="auto"/>
        <w:rPr>
          <w:rFonts w:hint="eastAsia" w:ascii="仿宋" w:hAnsi="仿宋" w:eastAsia="仿宋" w:cs="仿宋"/>
          <w:color w:val="auto"/>
          <w:highlight w:val="none"/>
          <w:lang w:eastAsia="zh-CN"/>
        </w:rPr>
      </w:pPr>
    </w:p>
    <w:p w14:paraId="732AB39D">
      <w:pPr>
        <w:spacing w:line="271" w:lineRule="auto"/>
        <w:rPr>
          <w:rFonts w:hint="eastAsia" w:ascii="仿宋" w:hAnsi="仿宋" w:eastAsia="仿宋" w:cs="仿宋"/>
          <w:color w:val="auto"/>
          <w:highlight w:val="none"/>
          <w:lang w:eastAsia="zh-CN"/>
        </w:rPr>
      </w:pPr>
    </w:p>
    <w:p w14:paraId="4839858C">
      <w:pPr>
        <w:spacing w:before="78" w:line="219" w:lineRule="auto"/>
        <w:ind w:left="45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投标人名称（公章)：</w:t>
      </w:r>
    </w:p>
    <w:p w14:paraId="61C51AE8">
      <w:pPr>
        <w:spacing w:before="185" w:line="219" w:lineRule="auto"/>
        <w:ind w:left="462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日期：年月日</w:t>
      </w:r>
    </w:p>
    <w:p w14:paraId="61A62852">
      <w:pPr>
        <w:spacing w:line="272" w:lineRule="auto"/>
        <w:rPr>
          <w:rFonts w:hint="eastAsia" w:ascii="仿宋" w:hAnsi="仿宋" w:eastAsia="仿宋" w:cs="仿宋"/>
          <w:color w:val="auto"/>
          <w:highlight w:val="none"/>
          <w:lang w:eastAsia="zh-CN"/>
        </w:rPr>
      </w:pPr>
    </w:p>
    <w:p w14:paraId="3E65BD29">
      <w:pPr>
        <w:rPr>
          <w:rFonts w:hint="eastAsia" w:ascii="仿宋" w:hAnsi="仿宋" w:eastAsia="仿宋" w:cs="仿宋"/>
          <w:color w:val="auto"/>
          <w:highlight w:val="none"/>
          <w:lang w:eastAsia="zh-CN"/>
        </w:rPr>
      </w:pPr>
    </w:p>
    <w:p w14:paraId="6016B2E5">
      <w:pPr>
        <w:spacing w:line="273" w:lineRule="auto"/>
        <w:rPr>
          <w:rFonts w:hint="eastAsia" w:ascii="仿宋" w:hAnsi="仿宋" w:eastAsia="仿宋" w:cs="仿宋"/>
          <w:color w:val="auto"/>
          <w:highlight w:val="none"/>
          <w:lang w:eastAsia="zh-CN"/>
        </w:rPr>
      </w:pPr>
    </w:p>
    <w:p w14:paraId="61D9F5B3">
      <w:pPr>
        <w:pageBreakBefore/>
        <w:numPr>
          <w:ilvl w:val="0"/>
          <w:numId w:val="13"/>
        </w:numPr>
        <w:spacing w:before="101" w:line="226" w:lineRule="auto"/>
        <w:jc w:val="center"/>
        <w:outlineLvl w:val="2"/>
        <w:rPr>
          <w:rFonts w:hint="eastAsia" w:ascii="仿宋" w:hAnsi="仿宋" w:eastAsia="仿宋" w:cs="仿宋"/>
          <w:b/>
          <w:bCs/>
          <w:color w:val="auto"/>
          <w:spacing w:val="1"/>
          <w:sz w:val="31"/>
          <w:szCs w:val="31"/>
          <w:highlight w:val="none"/>
          <w:lang w:eastAsia="zh-CN"/>
        </w:rPr>
      </w:pPr>
      <w:bookmarkStart w:id="441" w:name="_Toc11108"/>
      <w:bookmarkStart w:id="442" w:name="_Toc186477818"/>
      <w:r>
        <w:rPr>
          <w:rFonts w:hint="eastAsia" w:ascii="仿宋" w:hAnsi="仿宋" w:eastAsia="仿宋" w:cs="仿宋"/>
          <w:b/>
          <w:bCs/>
          <w:color w:val="auto"/>
          <w:spacing w:val="1"/>
          <w:sz w:val="31"/>
          <w:szCs w:val="31"/>
          <w:highlight w:val="none"/>
          <w:lang w:eastAsia="zh-CN"/>
        </w:rPr>
        <w:t>商务、技术要求偏离表</w:t>
      </w:r>
      <w:bookmarkEnd w:id="441"/>
      <w:bookmarkEnd w:id="442"/>
    </w:p>
    <w:p w14:paraId="01B3AD32">
      <w:pPr>
        <w:spacing w:line="360" w:lineRule="auto"/>
        <w:jc w:val="center"/>
        <w:rPr>
          <w:rFonts w:hint="eastAsia" w:ascii="宋体" w:hAnsi="宋体" w:eastAsia="宋体" w:cs="宋体"/>
          <w:b/>
          <w:bCs/>
          <w:color w:val="auto"/>
          <w:sz w:val="24"/>
          <w:szCs w:val="32"/>
          <w:highlight w:val="none"/>
          <w:lang w:eastAsia="zh-CN"/>
        </w:rPr>
      </w:pPr>
      <w:r>
        <w:rPr>
          <w:rFonts w:hint="eastAsia" w:ascii="宋体" w:hAnsi="宋体" w:cs="宋体"/>
          <w:b/>
          <w:bCs/>
          <w:color w:val="auto"/>
          <w:sz w:val="24"/>
          <w:szCs w:val="32"/>
          <w:highlight w:val="none"/>
          <w:lang w:eastAsia="zh-CN"/>
        </w:rPr>
        <w:t>（一）商务条款偏离表</w:t>
      </w:r>
    </w:p>
    <w:tbl>
      <w:tblPr>
        <w:tblStyle w:val="22"/>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5759"/>
        <w:gridCol w:w="1147"/>
        <w:gridCol w:w="947"/>
      </w:tblGrid>
      <w:tr w14:paraId="327A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842" w:type="dxa"/>
            <w:shd w:val="clear" w:color="auto" w:fill="F3F3F3"/>
            <w:vAlign w:val="center"/>
          </w:tcPr>
          <w:p w14:paraId="6508107B">
            <w:pPr>
              <w:widowControl w:val="0"/>
              <w:kinsoku/>
              <w:wordWrap w:val="0"/>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5759" w:type="dxa"/>
            <w:shd w:val="clear" w:color="auto" w:fill="F3F3F3"/>
            <w:vAlign w:val="center"/>
          </w:tcPr>
          <w:p w14:paraId="016D3D2B">
            <w:pPr>
              <w:widowControl w:val="0"/>
              <w:kinsoku/>
              <w:wordWrap w:val="0"/>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主要商务条款</w:t>
            </w:r>
          </w:p>
        </w:tc>
        <w:tc>
          <w:tcPr>
            <w:tcW w:w="1147" w:type="dxa"/>
            <w:shd w:val="clear" w:color="auto" w:fill="F3F3F3"/>
            <w:vAlign w:val="center"/>
          </w:tcPr>
          <w:p w14:paraId="56D0561D">
            <w:pPr>
              <w:widowControl w:val="0"/>
              <w:kinsoku/>
              <w:wordWrap w:val="0"/>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是否</w:t>
            </w:r>
          </w:p>
          <w:p w14:paraId="118478EC">
            <w:pP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响应</w:t>
            </w:r>
          </w:p>
        </w:tc>
        <w:tc>
          <w:tcPr>
            <w:tcW w:w="947" w:type="dxa"/>
            <w:shd w:val="clear" w:color="auto" w:fill="F3F3F3"/>
            <w:vAlign w:val="center"/>
          </w:tcPr>
          <w:p w14:paraId="221FA145">
            <w:pPr>
              <w:widowControl w:val="0"/>
              <w:kinsoku/>
              <w:wordWrap w:val="0"/>
              <w:snapToGrid/>
              <w:spacing w:line="400" w:lineRule="exact"/>
              <w:jc w:val="center"/>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34DCD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14:paraId="24BF6DDD">
            <w:pPr>
              <w:widowControl w:val="0"/>
              <w:kinsoku/>
              <w:wordWrap w:val="0"/>
              <w:snapToGrid/>
              <w:spacing w:line="400" w:lineRule="exact"/>
              <w:jc w:val="center"/>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1</w:t>
            </w:r>
          </w:p>
        </w:tc>
        <w:tc>
          <w:tcPr>
            <w:tcW w:w="5759" w:type="dxa"/>
            <w:vAlign w:val="center"/>
          </w:tcPr>
          <w:p w14:paraId="5EE68429">
            <w:pPr>
              <w:widowControl w:val="0"/>
              <w:kinsoku/>
              <w:wordWrap w:val="0"/>
              <w:snapToGrid/>
              <w:spacing w:line="400" w:lineRule="exact"/>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完全理解并接受对合格供应商、合格的服务质量和其他服务要求；</w:t>
            </w:r>
          </w:p>
        </w:tc>
        <w:tc>
          <w:tcPr>
            <w:tcW w:w="1147" w:type="dxa"/>
            <w:vAlign w:val="center"/>
          </w:tcPr>
          <w:p w14:paraId="4C6900AB">
            <w:pPr>
              <w:adjustRightInd/>
              <w:spacing w:line="360" w:lineRule="auto"/>
              <w:textAlignment w:val="auto"/>
              <w:rPr>
                <w:rFonts w:hint="eastAsia" w:ascii="宋体" w:hAnsi="宋体" w:eastAsia="宋体" w:cs="宋体"/>
                <w:snapToGrid/>
                <w:color w:val="auto"/>
                <w:kern w:val="2"/>
                <w:szCs w:val="24"/>
                <w:highlight w:val="none"/>
                <w:lang w:eastAsia="zh-CN"/>
              </w:rPr>
            </w:pPr>
          </w:p>
        </w:tc>
        <w:tc>
          <w:tcPr>
            <w:tcW w:w="947" w:type="dxa"/>
            <w:vAlign w:val="center"/>
          </w:tcPr>
          <w:p w14:paraId="734B8FE9">
            <w:pPr>
              <w:spacing w:line="360" w:lineRule="auto"/>
              <w:jc w:val="center"/>
              <w:rPr>
                <w:rFonts w:hint="eastAsia" w:ascii="宋体" w:hAnsi="宋体" w:eastAsia="宋体" w:cs="宋体"/>
                <w:color w:val="auto"/>
                <w:sz w:val="24"/>
                <w:highlight w:val="none"/>
                <w:lang w:eastAsia="zh-CN"/>
              </w:rPr>
            </w:pPr>
          </w:p>
        </w:tc>
      </w:tr>
      <w:tr w14:paraId="0B789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vAlign w:val="center"/>
          </w:tcPr>
          <w:p w14:paraId="18431F10">
            <w:pPr>
              <w:widowControl w:val="0"/>
              <w:kinsoku/>
              <w:wordWrap w:val="0"/>
              <w:snapToGrid/>
              <w:spacing w:line="400" w:lineRule="exact"/>
              <w:jc w:val="center"/>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2</w:t>
            </w:r>
          </w:p>
        </w:tc>
        <w:tc>
          <w:tcPr>
            <w:tcW w:w="5759" w:type="dxa"/>
            <w:vAlign w:val="center"/>
          </w:tcPr>
          <w:p w14:paraId="620B78AF">
            <w:pPr>
              <w:widowControl w:val="0"/>
              <w:kinsoku/>
              <w:wordWrap w:val="0"/>
              <w:snapToGrid/>
              <w:spacing w:line="400" w:lineRule="exact"/>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完全理解并接受对供应商的各项须知、规约要求和责任义务；</w:t>
            </w:r>
          </w:p>
        </w:tc>
        <w:tc>
          <w:tcPr>
            <w:tcW w:w="1147" w:type="dxa"/>
            <w:vAlign w:val="center"/>
          </w:tcPr>
          <w:p w14:paraId="6D21C38A">
            <w:pPr>
              <w:spacing w:line="360" w:lineRule="auto"/>
              <w:jc w:val="center"/>
              <w:rPr>
                <w:rFonts w:hint="eastAsia" w:ascii="宋体" w:hAnsi="宋体" w:eastAsia="宋体" w:cs="宋体"/>
                <w:color w:val="auto"/>
                <w:sz w:val="24"/>
                <w:highlight w:val="none"/>
                <w:lang w:eastAsia="zh-CN"/>
              </w:rPr>
            </w:pPr>
          </w:p>
        </w:tc>
        <w:tc>
          <w:tcPr>
            <w:tcW w:w="947" w:type="dxa"/>
            <w:vAlign w:val="center"/>
          </w:tcPr>
          <w:p w14:paraId="43576989">
            <w:pPr>
              <w:spacing w:line="360" w:lineRule="auto"/>
              <w:ind w:right="-35"/>
              <w:jc w:val="center"/>
              <w:rPr>
                <w:rFonts w:hint="eastAsia" w:ascii="宋体" w:hAnsi="宋体" w:eastAsia="宋体" w:cs="宋体"/>
                <w:color w:val="auto"/>
                <w:sz w:val="24"/>
                <w:highlight w:val="none"/>
                <w:lang w:eastAsia="zh-CN"/>
              </w:rPr>
            </w:pPr>
          </w:p>
        </w:tc>
      </w:tr>
      <w:tr w14:paraId="4A50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shd w:val="clear" w:color="auto" w:fill="auto"/>
            <w:vAlign w:val="center"/>
          </w:tcPr>
          <w:p w14:paraId="2C1B45F6">
            <w:pPr>
              <w:widowControl w:val="0"/>
              <w:kinsoku/>
              <w:wordWrap w:val="0"/>
              <w:snapToGrid/>
              <w:spacing w:line="400" w:lineRule="exact"/>
              <w:jc w:val="center"/>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3</w:t>
            </w:r>
          </w:p>
        </w:tc>
        <w:tc>
          <w:tcPr>
            <w:tcW w:w="5759" w:type="dxa"/>
            <w:vAlign w:val="center"/>
          </w:tcPr>
          <w:p w14:paraId="2D57CB0E">
            <w:pPr>
              <w:widowControl w:val="0"/>
              <w:kinsoku/>
              <w:wordWrap w:val="0"/>
              <w:snapToGrid/>
              <w:spacing w:line="400" w:lineRule="exact"/>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完全理解并接受第三章采购需求中“（一）商务要求”的各项要求。</w:t>
            </w:r>
          </w:p>
        </w:tc>
        <w:tc>
          <w:tcPr>
            <w:tcW w:w="1147" w:type="dxa"/>
            <w:vAlign w:val="center"/>
          </w:tcPr>
          <w:p w14:paraId="1C15A604">
            <w:pPr>
              <w:spacing w:line="360" w:lineRule="auto"/>
              <w:jc w:val="center"/>
              <w:rPr>
                <w:rFonts w:hint="eastAsia" w:ascii="宋体" w:hAnsi="宋体" w:eastAsia="宋体" w:cs="宋体"/>
                <w:color w:val="auto"/>
                <w:sz w:val="24"/>
                <w:highlight w:val="none"/>
                <w:lang w:eastAsia="zh-CN"/>
              </w:rPr>
            </w:pPr>
          </w:p>
        </w:tc>
        <w:tc>
          <w:tcPr>
            <w:tcW w:w="947" w:type="dxa"/>
            <w:vAlign w:val="center"/>
          </w:tcPr>
          <w:p w14:paraId="058E9756">
            <w:pPr>
              <w:spacing w:line="360" w:lineRule="auto"/>
              <w:ind w:right="-35"/>
              <w:jc w:val="center"/>
              <w:rPr>
                <w:rFonts w:hint="eastAsia" w:ascii="宋体" w:hAnsi="宋体" w:eastAsia="宋体" w:cs="宋体"/>
                <w:color w:val="auto"/>
                <w:sz w:val="24"/>
                <w:highlight w:val="none"/>
                <w:lang w:eastAsia="zh-CN"/>
              </w:rPr>
            </w:pPr>
          </w:p>
        </w:tc>
      </w:tr>
      <w:tr w14:paraId="2663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shd w:val="clear" w:color="auto" w:fill="auto"/>
            <w:vAlign w:val="center"/>
          </w:tcPr>
          <w:p w14:paraId="0B8C0CFE">
            <w:pPr>
              <w:widowControl w:val="0"/>
              <w:kinsoku/>
              <w:wordWrap w:val="0"/>
              <w:snapToGrid/>
              <w:spacing w:line="400" w:lineRule="exact"/>
              <w:jc w:val="center"/>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4</w:t>
            </w:r>
          </w:p>
        </w:tc>
        <w:tc>
          <w:tcPr>
            <w:tcW w:w="5759" w:type="dxa"/>
            <w:vAlign w:val="center"/>
          </w:tcPr>
          <w:p w14:paraId="16DB2885">
            <w:pPr>
              <w:widowControl w:val="0"/>
              <w:kinsoku/>
              <w:wordWrap w:val="0"/>
              <w:snapToGrid/>
              <w:spacing w:line="400" w:lineRule="exact"/>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同意按本项目要求缴付相关款项；</w:t>
            </w:r>
          </w:p>
        </w:tc>
        <w:tc>
          <w:tcPr>
            <w:tcW w:w="1147" w:type="dxa"/>
            <w:vAlign w:val="center"/>
          </w:tcPr>
          <w:p w14:paraId="70AE2B4A">
            <w:pPr>
              <w:spacing w:line="360" w:lineRule="auto"/>
              <w:jc w:val="center"/>
              <w:rPr>
                <w:rFonts w:hint="eastAsia" w:ascii="宋体" w:hAnsi="宋体" w:eastAsia="宋体" w:cs="宋体"/>
                <w:color w:val="auto"/>
                <w:sz w:val="24"/>
                <w:highlight w:val="none"/>
                <w:lang w:eastAsia="zh-CN"/>
              </w:rPr>
            </w:pPr>
          </w:p>
        </w:tc>
        <w:tc>
          <w:tcPr>
            <w:tcW w:w="947" w:type="dxa"/>
            <w:vAlign w:val="center"/>
          </w:tcPr>
          <w:p w14:paraId="64BF9FD4">
            <w:pPr>
              <w:spacing w:line="360" w:lineRule="auto"/>
              <w:ind w:right="-35"/>
              <w:jc w:val="center"/>
              <w:rPr>
                <w:rFonts w:hint="eastAsia" w:ascii="宋体" w:hAnsi="宋体" w:eastAsia="宋体" w:cs="宋体"/>
                <w:color w:val="auto"/>
                <w:sz w:val="24"/>
                <w:highlight w:val="none"/>
                <w:lang w:eastAsia="zh-CN"/>
              </w:rPr>
            </w:pPr>
          </w:p>
        </w:tc>
      </w:tr>
      <w:tr w14:paraId="2DA5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42" w:type="dxa"/>
            <w:shd w:val="clear" w:color="auto" w:fill="auto"/>
            <w:vAlign w:val="center"/>
          </w:tcPr>
          <w:p w14:paraId="5287A85C">
            <w:pPr>
              <w:widowControl w:val="0"/>
              <w:kinsoku/>
              <w:wordWrap w:val="0"/>
              <w:snapToGrid/>
              <w:spacing w:line="400" w:lineRule="exact"/>
              <w:jc w:val="center"/>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5</w:t>
            </w:r>
          </w:p>
        </w:tc>
        <w:tc>
          <w:tcPr>
            <w:tcW w:w="5759" w:type="dxa"/>
            <w:vAlign w:val="center"/>
          </w:tcPr>
          <w:p w14:paraId="3952C197">
            <w:pPr>
              <w:widowControl w:val="0"/>
              <w:kinsoku/>
              <w:wordWrap w:val="0"/>
              <w:snapToGrid/>
              <w:spacing w:line="400" w:lineRule="exact"/>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投标有效期：投标截止时间后 90 日历日。；</w:t>
            </w:r>
          </w:p>
        </w:tc>
        <w:tc>
          <w:tcPr>
            <w:tcW w:w="1147" w:type="dxa"/>
            <w:vAlign w:val="center"/>
          </w:tcPr>
          <w:p w14:paraId="36D99479">
            <w:pPr>
              <w:spacing w:line="360" w:lineRule="auto"/>
              <w:jc w:val="center"/>
              <w:rPr>
                <w:rFonts w:hint="eastAsia" w:ascii="宋体" w:hAnsi="宋体" w:eastAsia="宋体" w:cs="宋体"/>
                <w:color w:val="auto"/>
                <w:sz w:val="24"/>
                <w:highlight w:val="none"/>
              </w:rPr>
            </w:pPr>
          </w:p>
        </w:tc>
        <w:tc>
          <w:tcPr>
            <w:tcW w:w="947" w:type="dxa"/>
            <w:vAlign w:val="center"/>
          </w:tcPr>
          <w:p w14:paraId="5421BEE5">
            <w:pPr>
              <w:spacing w:line="360" w:lineRule="auto"/>
              <w:ind w:right="-35"/>
              <w:jc w:val="center"/>
              <w:rPr>
                <w:rFonts w:hint="eastAsia" w:ascii="宋体" w:hAnsi="宋体" w:eastAsia="宋体" w:cs="宋体"/>
                <w:color w:val="auto"/>
                <w:sz w:val="24"/>
                <w:highlight w:val="none"/>
              </w:rPr>
            </w:pPr>
          </w:p>
        </w:tc>
      </w:tr>
      <w:tr w14:paraId="3EF78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shd w:val="clear" w:color="auto" w:fill="auto"/>
            <w:vAlign w:val="center"/>
          </w:tcPr>
          <w:p w14:paraId="38D4C95C">
            <w:pPr>
              <w:widowControl w:val="0"/>
              <w:kinsoku/>
              <w:wordWrap w:val="0"/>
              <w:snapToGrid/>
              <w:spacing w:line="400" w:lineRule="exact"/>
              <w:jc w:val="center"/>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6</w:t>
            </w:r>
          </w:p>
        </w:tc>
        <w:tc>
          <w:tcPr>
            <w:tcW w:w="5759" w:type="dxa"/>
            <w:vAlign w:val="center"/>
          </w:tcPr>
          <w:p w14:paraId="563D9826">
            <w:pPr>
              <w:widowControl w:val="0"/>
              <w:kinsoku/>
              <w:wordWrap w:val="0"/>
              <w:snapToGrid/>
              <w:spacing w:line="400" w:lineRule="exact"/>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响应内容均涵盖招标要求及一切费用和伴随服务；</w:t>
            </w:r>
          </w:p>
        </w:tc>
        <w:tc>
          <w:tcPr>
            <w:tcW w:w="1147" w:type="dxa"/>
            <w:vAlign w:val="center"/>
          </w:tcPr>
          <w:p w14:paraId="1402DFD2">
            <w:pPr>
              <w:spacing w:line="360" w:lineRule="auto"/>
              <w:jc w:val="center"/>
              <w:rPr>
                <w:rFonts w:hint="eastAsia" w:ascii="宋体" w:hAnsi="宋体" w:eastAsia="宋体" w:cs="宋体"/>
                <w:color w:val="auto"/>
                <w:sz w:val="24"/>
                <w:highlight w:val="none"/>
                <w:lang w:eastAsia="zh-CN"/>
              </w:rPr>
            </w:pPr>
          </w:p>
        </w:tc>
        <w:tc>
          <w:tcPr>
            <w:tcW w:w="947" w:type="dxa"/>
            <w:vAlign w:val="center"/>
          </w:tcPr>
          <w:p w14:paraId="4D5131FC">
            <w:pPr>
              <w:adjustRightInd/>
              <w:spacing w:line="360" w:lineRule="auto"/>
              <w:textAlignment w:val="auto"/>
              <w:rPr>
                <w:rFonts w:hint="eastAsia" w:ascii="宋体" w:hAnsi="宋体" w:eastAsia="宋体" w:cs="宋体"/>
                <w:snapToGrid/>
                <w:color w:val="auto"/>
                <w:kern w:val="2"/>
                <w:szCs w:val="24"/>
                <w:highlight w:val="none"/>
                <w:lang w:eastAsia="zh-CN"/>
              </w:rPr>
            </w:pPr>
          </w:p>
        </w:tc>
      </w:tr>
      <w:tr w14:paraId="57102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2" w:type="dxa"/>
            <w:shd w:val="clear" w:color="auto" w:fill="auto"/>
            <w:vAlign w:val="center"/>
          </w:tcPr>
          <w:p w14:paraId="3828C210">
            <w:pPr>
              <w:widowControl w:val="0"/>
              <w:kinsoku/>
              <w:wordWrap w:val="0"/>
              <w:snapToGrid/>
              <w:spacing w:line="400" w:lineRule="exact"/>
              <w:jc w:val="center"/>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7</w:t>
            </w:r>
          </w:p>
        </w:tc>
        <w:tc>
          <w:tcPr>
            <w:tcW w:w="5759" w:type="dxa"/>
            <w:vAlign w:val="center"/>
          </w:tcPr>
          <w:p w14:paraId="0EA9BE27">
            <w:pPr>
              <w:widowControl w:val="0"/>
              <w:kinsoku/>
              <w:wordWrap w:val="0"/>
              <w:snapToGrid/>
              <w:spacing w:line="400" w:lineRule="exact"/>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同意接受本项目服务期、付款进度或相关实施部署进度安排要求；</w:t>
            </w:r>
          </w:p>
        </w:tc>
        <w:tc>
          <w:tcPr>
            <w:tcW w:w="1147" w:type="dxa"/>
            <w:vAlign w:val="center"/>
          </w:tcPr>
          <w:p w14:paraId="20F08595">
            <w:pPr>
              <w:spacing w:line="360" w:lineRule="auto"/>
              <w:jc w:val="center"/>
              <w:rPr>
                <w:rFonts w:hint="eastAsia" w:ascii="宋体" w:hAnsi="宋体" w:eastAsia="宋体" w:cs="宋体"/>
                <w:color w:val="auto"/>
                <w:sz w:val="24"/>
                <w:highlight w:val="none"/>
                <w:lang w:eastAsia="zh-CN"/>
              </w:rPr>
            </w:pPr>
          </w:p>
        </w:tc>
        <w:tc>
          <w:tcPr>
            <w:tcW w:w="947" w:type="dxa"/>
            <w:vAlign w:val="center"/>
          </w:tcPr>
          <w:p w14:paraId="46416D6F">
            <w:pPr>
              <w:spacing w:line="360" w:lineRule="auto"/>
              <w:jc w:val="center"/>
              <w:rPr>
                <w:rFonts w:hint="eastAsia" w:ascii="宋体" w:hAnsi="宋体" w:eastAsia="宋体" w:cs="宋体"/>
                <w:color w:val="auto"/>
                <w:sz w:val="24"/>
                <w:highlight w:val="none"/>
                <w:lang w:eastAsia="zh-CN"/>
              </w:rPr>
            </w:pPr>
          </w:p>
        </w:tc>
      </w:tr>
      <w:tr w14:paraId="5542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2" w:type="dxa"/>
            <w:vAlign w:val="center"/>
          </w:tcPr>
          <w:p w14:paraId="20A98B2E">
            <w:pPr>
              <w:widowControl w:val="0"/>
              <w:kinsoku/>
              <w:wordWrap w:val="0"/>
              <w:snapToGrid/>
              <w:spacing w:line="400" w:lineRule="exact"/>
              <w:jc w:val="center"/>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8</w:t>
            </w:r>
          </w:p>
        </w:tc>
        <w:tc>
          <w:tcPr>
            <w:tcW w:w="5759" w:type="dxa"/>
            <w:vAlign w:val="center"/>
          </w:tcPr>
          <w:p w14:paraId="234D2700">
            <w:pPr>
              <w:widowControl w:val="0"/>
              <w:kinsoku/>
              <w:wordWrap w:val="0"/>
              <w:snapToGrid/>
              <w:spacing w:line="400" w:lineRule="exact"/>
              <w:textAlignment w:val="auto"/>
              <w:rPr>
                <w:rFonts w:hint="eastAsia" w:ascii="仿宋" w:hAnsi="仿宋" w:eastAsia="仿宋" w:cs="仿宋"/>
                <w:color w:val="auto"/>
                <w:spacing w:val="-5"/>
                <w:highlight w:val="none"/>
                <w:lang w:eastAsia="zh-CN"/>
              </w:rPr>
            </w:pPr>
            <w:r>
              <w:rPr>
                <w:rFonts w:hint="eastAsia" w:ascii="仿宋" w:hAnsi="仿宋" w:eastAsia="仿宋" w:cs="仿宋"/>
                <w:color w:val="auto"/>
                <w:spacing w:val="-5"/>
                <w:highlight w:val="none"/>
                <w:lang w:eastAsia="zh-CN"/>
              </w:rPr>
              <w:t>同意采购人以任何形式对我方的投标文件内容的真实性和有效性进行审查、验证；</w:t>
            </w:r>
          </w:p>
        </w:tc>
        <w:tc>
          <w:tcPr>
            <w:tcW w:w="1147" w:type="dxa"/>
            <w:vAlign w:val="center"/>
          </w:tcPr>
          <w:p w14:paraId="61DDE2D2">
            <w:pPr>
              <w:tabs>
                <w:tab w:val="left" w:pos="0"/>
                <w:tab w:val="left" w:pos="720"/>
                <w:tab w:val="left" w:pos="1160"/>
              </w:tabs>
              <w:spacing w:line="360" w:lineRule="auto"/>
              <w:rPr>
                <w:rFonts w:hint="eastAsia" w:ascii="宋体" w:hAnsi="宋体" w:eastAsia="宋体" w:cs="宋体"/>
                <w:color w:val="auto"/>
                <w:sz w:val="24"/>
                <w:szCs w:val="24"/>
                <w:highlight w:val="none"/>
                <w:lang w:eastAsia="zh-CN"/>
              </w:rPr>
            </w:pPr>
          </w:p>
        </w:tc>
        <w:tc>
          <w:tcPr>
            <w:tcW w:w="947" w:type="dxa"/>
            <w:vAlign w:val="center"/>
          </w:tcPr>
          <w:p w14:paraId="1853787E">
            <w:pPr>
              <w:adjustRightInd/>
              <w:spacing w:line="360" w:lineRule="auto"/>
              <w:jc w:val="both"/>
              <w:textAlignment w:val="auto"/>
              <w:rPr>
                <w:rFonts w:hint="eastAsia" w:ascii="宋体" w:hAnsi="宋体" w:eastAsia="宋体" w:cs="宋体"/>
                <w:snapToGrid/>
                <w:color w:val="auto"/>
                <w:kern w:val="2"/>
                <w:szCs w:val="24"/>
                <w:highlight w:val="none"/>
                <w:lang w:eastAsia="zh-CN"/>
              </w:rPr>
            </w:pPr>
          </w:p>
        </w:tc>
      </w:tr>
    </w:tbl>
    <w:p w14:paraId="6B2A0FB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p w14:paraId="47AAD1B3">
      <w:pPr>
        <w:numPr>
          <w:ilvl w:val="0"/>
          <w:numId w:val="14"/>
        </w:numPr>
        <w:spacing w:line="360" w:lineRule="auto"/>
        <w:rPr>
          <w:rFonts w:hint="eastAsia" w:ascii="仿宋" w:hAnsi="仿宋" w:eastAsia="仿宋" w:cs="仿宋"/>
          <w:color w:val="auto"/>
          <w:sz w:val="24"/>
          <w:highlight w:val="none"/>
          <w:lang w:val="en-GB" w:eastAsia="zh-CN"/>
        </w:rPr>
      </w:pPr>
      <w:r>
        <w:rPr>
          <w:rFonts w:hint="eastAsia" w:ascii="仿宋" w:hAnsi="仿宋" w:eastAsia="仿宋" w:cs="仿宋"/>
          <w:color w:val="auto"/>
          <w:sz w:val="24"/>
          <w:highlight w:val="none"/>
          <w:lang w:eastAsia="zh-CN"/>
        </w:rPr>
        <w:t>对</w:t>
      </w:r>
      <w:r>
        <w:rPr>
          <w:rFonts w:hint="eastAsia" w:ascii="仿宋" w:hAnsi="仿宋" w:eastAsia="仿宋" w:cs="仿宋"/>
          <w:color w:val="auto"/>
          <w:sz w:val="24"/>
          <w:highlight w:val="none"/>
          <w:lang w:val="en-GB" w:eastAsia="zh-CN"/>
        </w:rPr>
        <w:t>于上述要求，如供应商完全响应，则请在“是否响应”栏内打“√”，对打“×”视为偏离，请在“偏离说明”栏内扼要说明偏离情况；</w:t>
      </w:r>
    </w:p>
    <w:p w14:paraId="7F3BAC98">
      <w:pPr>
        <w:numPr>
          <w:ilvl w:val="0"/>
          <w:numId w:val="14"/>
        </w:numPr>
        <w:spacing w:line="360" w:lineRule="auto"/>
        <w:rPr>
          <w:rFonts w:hint="eastAsia" w:ascii="仿宋" w:hAnsi="仿宋" w:eastAsia="仿宋" w:cs="仿宋"/>
          <w:color w:val="auto"/>
          <w:sz w:val="24"/>
          <w:highlight w:val="none"/>
          <w:lang w:val="en-GB" w:eastAsia="zh-CN"/>
        </w:rPr>
      </w:pPr>
      <w:r>
        <w:rPr>
          <w:rFonts w:hint="eastAsia" w:ascii="仿宋" w:hAnsi="仿宋" w:eastAsia="仿宋" w:cs="仿宋"/>
          <w:color w:val="auto"/>
          <w:sz w:val="24"/>
          <w:highlight w:val="none"/>
          <w:lang w:val="en-GB" w:eastAsia="zh-CN"/>
        </w:rPr>
        <w:t>供应商应认真填写本响应表，若</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lang w:val="en-GB" w:eastAsia="zh-CN"/>
        </w:rPr>
        <w:t>在评审期间，发现有虚假填写本响应表的，则将可能被视为存在两个</w:t>
      </w:r>
      <w:r>
        <w:rPr>
          <w:rFonts w:hint="eastAsia" w:ascii="仿宋" w:hAnsi="仿宋" w:eastAsia="仿宋" w:cs="仿宋"/>
          <w:color w:val="auto"/>
          <w:sz w:val="24"/>
          <w:highlight w:val="none"/>
          <w:lang w:eastAsia="zh-CN"/>
        </w:rPr>
        <w:t>响应方案</w:t>
      </w:r>
      <w:r>
        <w:rPr>
          <w:rFonts w:hint="eastAsia" w:ascii="仿宋" w:hAnsi="仿宋" w:eastAsia="仿宋" w:cs="仿宋"/>
          <w:color w:val="auto"/>
          <w:sz w:val="24"/>
          <w:highlight w:val="none"/>
          <w:lang w:val="en-GB" w:eastAsia="zh-CN"/>
        </w:rPr>
        <w:t>，</w:t>
      </w:r>
      <w:r>
        <w:rPr>
          <w:rFonts w:hint="eastAsia" w:ascii="仿宋" w:hAnsi="仿宋" w:eastAsia="仿宋" w:cs="仿宋"/>
          <w:color w:val="auto"/>
          <w:sz w:val="24"/>
          <w:highlight w:val="none"/>
          <w:lang w:eastAsia="zh-CN"/>
        </w:rPr>
        <w:t>评标委员会</w:t>
      </w:r>
      <w:r>
        <w:rPr>
          <w:rFonts w:hint="eastAsia" w:ascii="仿宋" w:hAnsi="仿宋" w:eastAsia="仿宋" w:cs="仿宋"/>
          <w:color w:val="auto"/>
          <w:sz w:val="24"/>
          <w:highlight w:val="none"/>
          <w:lang w:val="en-GB" w:eastAsia="zh-CN"/>
        </w:rPr>
        <w:t>将按本</w:t>
      </w:r>
      <w:r>
        <w:rPr>
          <w:rFonts w:hint="eastAsia" w:ascii="仿宋" w:hAnsi="仿宋" w:eastAsia="仿宋" w:cs="仿宋"/>
          <w:color w:val="auto"/>
          <w:sz w:val="24"/>
          <w:highlight w:val="none"/>
          <w:lang w:eastAsia="zh-CN"/>
        </w:rPr>
        <w:t>招标</w:t>
      </w:r>
      <w:r>
        <w:rPr>
          <w:rFonts w:hint="eastAsia" w:ascii="仿宋" w:hAnsi="仿宋" w:eastAsia="仿宋" w:cs="仿宋"/>
          <w:color w:val="auto"/>
          <w:sz w:val="24"/>
          <w:highlight w:val="none"/>
          <w:lang w:val="en-GB" w:eastAsia="zh-CN"/>
        </w:rPr>
        <w:t>文件相关规定执行；</w:t>
      </w:r>
    </w:p>
    <w:p w14:paraId="2F594AFD">
      <w:pPr>
        <w:numPr>
          <w:ilvl w:val="0"/>
          <w:numId w:val="14"/>
        </w:numPr>
        <w:spacing w:line="360" w:lineRule="auto"/>
        <w:rPr>
          <w:rFonts w:hint="eastAsia" w:ascii="仿宋" w:hAnsi="仿宋" w:eastAsia="仿宋" w:cs="仿宋"/>
          <w:color w:val="auto"/>
          <w:sz w:val="24"/>
          <w:highlight w:val="none"/>
          <w:lang w:val="en-GB" w:eastAsia="zh-CN"/>
        </w:rPr>
      </w:pPr>
      <w:r>
        <w:rPr>
          <w:rFonts w:hint="eastAsia" w:ascii="仿宋" w:hAnsi="仿宋" w:eastAsia="仿宋" w:cs="仿宋"/>
          <w:color w:val="auto"/>
          <w:sz w:val="24"/>
          <w:highlight w:val="none"/>
          <w:lang w:val="en-GB" w:eastAsia="zh-CN"/>
        </w:rPr>
        <w:t>本表内容不得擅自修改。</w:t>
      </w:r>
    </w:p>
    <w:p w14:paraId="0F9EAAD9">
      <w:pPr>
        <w:rPr>
          <w:rFonts w:hint="eastAsia" w:ascii="宋体" w:hAnsi="宋体" w:cs="宋体"/>
          <w:sz w:val="24"/>
          <w:szCs w:val="24"/>
          <w:highlight w:val="none"/>
          <w:lang w:eastAsia="zh-CN"/>
        </w:rPr>
      </w:pPr>
      <w:r>
        <w:rPr>
          <w:rFonts w:hint="eastAsia" w:ascii="宋体" w:hAnsi="宋体" w:cs="宋体"/>
          <w:sz w:val="24"/>
          <w:szCs w:val="24"/>
          <w:highlight w:val="none"/>
          <w:lang w:eastAsia="zh-CN"/>
        </w:rPr>
        <w:br w:type="page"/>
      </w:r>
    </w:p>
    <w:p w14:paraId="550CFFA0">
      <w:pPr>
        <w:spacing w:line="360" w:lineRule="auto"/>
        <w:jc w:val="center"/>
        <w:rPr>
          <w:rFonts w:hint="eastAsia" w:ascii="宋体" w:hAnsi="宋体" w:cs="宋体"/>
          <w:b/>
          <w:bCs/>
          <w:color w:val="auto"/>
          <w:sz w:val="24"/>
          <w:szCs w:val="32"/>
          <w:highlight w:val="none"/>
          <w:lang w:eastAsia="zh-CN"/>
        </w:rPr>
      </w:pPr>
      <w:r>
        <w:rPr>
          <w:rFonts w:hint="eastAsia" w:ascii="宋体" w:hAnsi="宋体" w:cs="宋体"/>
          <w:b/>
          <w:bCs/>
          <w:color w:val="auto"/>
          <w:sz w:val="24"/>
          <w:szCs w:val="32"/>
          <w:highlight w:val="none"/>
          <w:lang w:eastAsia="zh-CN"/>
        </w:rPr>
        <w:t>（二）技术要求偏离表</w:t>
      </w:r>
    </w:p>
    <w:p w14:paraId="6EB79130">
      <w:pPr>
        <w:spacing w:line="360" w:lineRule="auto"/>
        <w:ind w:firstLine="440" w:firstLineChars="200"/>
        <w:rPr>
          <w:rFonts w:hint="eastAsia" w:ascii="仿宋" w:hAnsi="仿宋" w:eastAsia="仿宋" w:cs="仿宋"/>
          <w:sz w:val="22"/>
          <w:highlight w:val="none"/>
          <w:lang w:eastAsia="zh-CN"/>
        </w:rPr>
      </w:pPr>
      <w:r>
        <w:rPr>
          <w:rFonts w:hint="eastAsia" w:ascii="宋体" w:hAnsi="宋体" w:cs="宋体"/>
          <w:sz w:val="22"/>
          <w:highlight w:val="none"/>
          <w:lang w:eastAsia="zh-CN"/>
        </w:rPr>
        <w:t>　</w:t>
      </w:r>
      <w:r>
        <w:rPr>
          <w:rFonts w:hint="eastAsia" w:ascii="仿宋" w:hAnsi="仿宋" w:eastAsia="仿宋" w:cs="仿宋"/>
          <w:sz w:val="22"/>
          <w:highlight w:val="none"/>
          <w:lang w:eastAsia="zh-CN"/>
        </w:rPr>
        <w:t>项目名称：</w:t>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ab/>
      </w:r>
      <w:r>
        <w:rPr>
          <w:rFonts w:hint="eastAsia" w:ascii="仿宋" w:hAnsi="仿宋" w:eastAsia="仿宋" w:cs="仿宋"/>
          <w:sz w:val="22"/>
          <w:highlight w:val="none"/>
          <w:lang w:eastAsia="zh-CN"/>
        </w:rPr>
        <w:t>项目编号：</w:t>
      </w:r>
    </w:p>
    <w:p w14:paraId="1349C624">
      <w:pPr>
        <w:spacing w:line="360" w:lineRule="auto"/>
        <w:ind w:firstLine="440" w:firstLineChars="200"/>
        <w:rPr>
          <w:rFonts w:hint="eastAsia" w:ascii="仿宋" w:hAnsi="仿宋" w:eastAsia="仿宋" w:cs="仿宋"/>
          <w:sz w:val="22"/>
          <w:highlight w:val="none"/>
        </w:rPr>
      </w:pPr>
      <w:r>
        <w:rPr>
          <w:rFonts w:hint="eastAsia" w:ascii="仿宋" w:hAnsi="仿宋" w:eastAsia="仿宋" w:cs="仿宋"/>
          <w:sz w:val="22"/>
          <w:highlight w:val="none"/>
          <w:lang w:eastAsia="zh-CN"/>
        </w:rPr>
        <w:t>　</w:t>
      </w:r>
      <w:r>
        <w:rPr>
          <w:rFonts w:hint="eastAsia" w:ascii="仿宋" w:hAnsi="仿宋" w:eastAsia="仿宋" w:cs="仿宋"/>
          <w:sz w:val="22"/>
          <w:highlight w:val="none"/>
        </w:rPr>
        <w:t>包号：</w:t>
      </w:r>
    </w:p>
    <w:tbl>
      <w:tblPr>
        <w:tblStyle w:val="22"/>
        <w:tblW w:w="7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152"/>
        <w:gridCol w:w="1260"/>
        <w:gridCol w:w="1128"/>
        <w:gridCol w:w="1140"/>
        <w:gridCol w:w="624"/>
        <w:gridCol w:w="788"/>
        <w:gridCol w:w="788"/>
      </w:tblGrid>
      <w:tr w14:paraId="6E57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1043158B">
            <w:pPr>
              <w:spacing w:line="360" w:lineRule="auto"/>
              <w:jc w:val="center"/>
              <w:rPr>
                <w:rFonts w:hint="eastAsia" w:ascii="仿宋" w:hAnsi="仿宋" w:eastAsia="仿宋" w:cs="仿宋"/>
                <w:sz w:val="22"/>
                <w:highlight w:val="none"/>
              </w:rPr>
            </w:pPr>
            <w:r>
              <w:rPr>
                <w:rFonts w:hint="eastAsia" w:ascii="仿宋" w:hAnsi="仿宋" w:eastAsia="仿宋" w:cs="仿宋"/>
                <w:sz w:val="22"/>
                <w:highlight w:val="none"/>
              </w:rPr>
              <w:t>品目号</w:t>
            </w:r>
          </w:p>
        </w:tc>
        <w:tc>
          <w:tcPr>
            <w:tcW w:w="1152" w:type="dxa"/>
            <w:vAlign w:val="center"/>
          </w:tcPr>
          <w:p w14:paraId="789E2D64">
            <w:pPr>
              <w:spacing w:line="360" w:lineRule="auto"/>
              <w:jc w:val="center"/>
              <w:rPr>
                <w:rFonts w:hint="eastAsia" w:ascii="仿宋" w:hAnsi="仿宋" w:eastAsia="仿宋" w:cs="仿宋"/>
                <w:sz w:val="22"/>
                <w:highlight w:val="none"/>
              </w:rPr>
            </w:pPr>
            <w:r>
              <w:rPr>
                <w:rFonts w:hint="eastAsia" w:ascii="仿宋" w:hAnsi="仿宋" w:eastAsia="仿宋" w:cs="仿宋"/>
                <w:sz w:val="22"/>
                <w:highlight w:val="none"/>
              </w:rPr>
              <w:t>货物名称</w:t>
            </w:r>
          </w:p>
        </w:tc>
        <w:tc>
          <w:tcPr>
            <w:tcW w:w="1260" w:type="dxa"/>
            <w:vAlign w:val="center"/>
          </w:tcPr>
          <w:p w14:paraId="6740427F">
            <w:pPr>
              <w:spacing w:line="360" w:lineRule="auto"/>
              <w:jc w:val="center"/>
              <w:rPr>
                <w:rFonts w:hint="eastAsia" w:ascii="仿宋" w:hAnsi="仿宋" w:eastAsia="仿宋" w:cs="仿宋"/>
                <w:sz w:val="22"/>
                <w:highlight w:val="none"/>
              </w:rPr>
            </w:pPr>
            <w:r>
              <w:rPr>
                <w:rFonts w:hint="eastAsia" w:ascii="仿宋" w:hAnsi="仿宋" w:eastAsia="仿宋" w:cs="仿宋"/>
                <w:sz w:val="22"/>
                <w:highlight w:val="none"/>
              </w:rPr>
              <w:t>招标规格</w:t>
            </w:r>
          </w:p>
        </w:tc>
        <w:tc>
          <w:tcPr>
            <w:tcW w:w="1128" w:type="dxa"/>
            <w:vAlign w:val="center"/>
          </w:tcPr>
          <w:p w14:paraId="2743F501">
            <w:pPr>
              <w:spacing w:line="360" w:lineRule="auto"/>
              <w:jc w:val="center"/>
              <w:rPr>
                <w:rFonts w:hint="eastAsia" w:ascii="仿宋" w:hAnsi="仿宋" w:eastAsia="仿宋" w:cs="仿宋"/>
                <w:sz w:val="22"/>
                <w:highlight w:val="none"/>
              </w:rPr>
            </w:pPr>
            <w:r>
              <w:rPr>
                <w:rFonts w:hint="eastAsia" w:ascii="仿宋" w:hAnsi="仿宋" w:eastAsia="仿宋" w:cs="仿宋"/>
                <w:sz w:val="22"/>
                <w:highlight w:val="none"/>
              </w:rPr>
              <w:t>技术指标要求</w:t>
            </w:r>
          </w:p>
        </w:tc>
        <w:tc>
          <w:tcPr>
            <w:tcW w:w="1140" w:type="dxa"/>
            <w:vAlign w:val="center"/>
          </w:tcPr>
          <w:p w14:paraId="751AEC4B">
            <w:pPr>
              <w:spacing w:line="360" w:lineRule="auto"/>
              <w:jc w:val="center"/>
              <w:rPr>
                <w:rFonts w:hint="eastAsia" w:ascii="仿宋" w:hAnsi="仿宋" w:eastAsia="仿宋" w:cs="仿宋"/>
                <w:sz w:val="22"/>
                <w:highlight w:val="none"/>
              </w:rPr>
            </w:pPr>
            <w:r>
              <w:rPr>
                <w:rFonts w:hint="eastAsia" w:ascii="仿宋" w:hAnsi="仿宋" w:eastAsia="仿宋" w:cs="仿宋"/>
                <w:sz w:val="22"/>
                <w:highlight w:val="none"/>
              </w:rPr>
              <w:t>投标投标情况</w:t>
            </w:r>
          </w:p>
        </w:tc>
        <w:tc>
          <w:tcPr>
            <w:tcW w:w="624" w:type="dxa"/>
            <w:vAlign w:val="center"/>
          </w:tcPr>
          <w:p w14:paraId="24E7FDA5">
            <w:pPr>
              <w:spacing w:line="360" w:lineRule="auto"/>
              <w:jc w:val="center"/>
              <w:rPr>
                <w:rFonts w:hint="eastAsia" w:ascii="仿宋" w:hAnsi="仿宋" w:eastAsia="仿宋" w:cs="仿宋"/>
                <w:sz w:val="22"/>
                <w:highlight w:val="none"/>
              </w:rPr>
            </w:pPr>
            <w:r>
              <w:rPr>
                <w:rFonts w:hint="eastAsia" w:ascii="仿宋" w:hAnsi="仿宋" w:eastAsia="仿宋" w:cs="仿宋"/>
                <w:sz w:val="22"/>
                <w:highlight w:val="none"/>
              </w:rPr>
              <w:t>偏离</w:t>
            </w:r>
          </w:p>
        </w:tc>
        <w:tc>
          <w:tcPr>
            <w:tcW w:w="788" w:type="dxa"/>
            <w:vAlign w:val="center"/>
          </w:tcPr>
          <w:p w14:paraId="72FA7B47">
            <w:pPr>
              <w:spacing w:line="360" w:lineRule="auto"/>
              <w:jc w:val="center"/>
              <w:rPr>
                <w:rFonts w:hint="eastAsia" w:ascii="仿宋" w:hAnsi="仿宋" w:eastAsia="仿宋" w:cs="仿宋"/>
                <w:sz w:val="22"/>
                <w:highlight w:val="none"/>
              </w:rPr>
            </w:pPr>
            <w:r>
              <w:rPr>
                <w:rFonts w:hint="eastAsia" w:ascii="仿宋" w:hAnsi="仿宋" w:eastAsia="仿宋" w:cs="仿宋"/>
                <w:sz w:val="22"/>
                <w:highlight w:val="none"/>
              </w:rPr>
              <w:t>说明</w:t>
            </w:r>
          </w:p>
        </w:tc>
        <w:tc>
          <w:tcPr>
            <w:tcW w:w="788" w:type="dxa"/>
            <w:vAlign w:val="center"/>
          </w:tcPr>
          <w:p w14:paraId="0E5858EB">
            <w:pPr>
              <w:spacing w:line="360" w:lineRule="auto"/>
              <w:jc w:val="center"/>
              <w:rPr>
                <w:rFonts w:hint="eastAsia" w:ascii="仿宋" w:hAnsi="仿宋" w:eastAsia="仿宋" w:cs="仿宋"/>
                <w:sz w:val="22"/>
                <w:highlight w:val="none"/>
              </w:rPr>
            </w:pPr>
            <w:r>
              <w:rPr>
                <w:rFonts w:hint="eastAsia" w:ascii="仿宋" w:hAnsi="仿宋" w:eastAsia="仿宋" w:cs="仿宋"/>
                <w:color w:val="auto"/>
                <w:spacing w:val="-3"/>
                <w:highlight w:val="none"/>
              </w:rPr>
              <w:t>索引</w:t>
            </w:r>
            <w:r>
              <w:rPr>
                <w:rFonts w:hint="eastAsia" w:ascii="仿宋" w:hAnsi="仿宋" w:eastAsia="仿宋" w:cs="仿宋"/>
                <w:color w:val="auto"/>
                <w:spacing w:val="-3"/>
                <w:highlight w:val="none"/>
                <w:lang w:eastAsia="zh-CN"/>
              </w:rPr>
              <w:t>及页码</w:t>
            </w:r>
          </w:p>
        </w:tc>
      </w:tr>
      <w:tr w14:paraId="1CBCC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3D756731">
            <w:pPr>
              <w:spacing w:line="360" w:lineRule="auto"/>
              <w:jc w:val="center"/>
              <w:rPr>
                <w:rFonts w:hint="eastAsia" w:ascii="仿宋" w:hAnsi="仿宋" w:eastAsia="仿宋" w:cs="仿宋"/>
                <w:sz w:val="22"/>
                <w:highlight w:val="none"/>
              </w:rPr>
            </w:pPr>
          </w:p>
        </w:tc>
        <w:tc>
          <w:tcPr>
            <w:tcW w:w="1152" w:type="dxa"/>
            <w:vAlign w:val="center"/>
          </w:tcPr>
          <w:p w14:paraId="5C04A687">
            <w:pPr>
              <w:spacing w:line="360" w:lineRule="auto"/>
              <w:jc w:val="center"/>
              <w:rPr>
                <w:rFonts w:hint="eastAsia" w:ascii="仿宋" w:hAnsi="仿宋" w:eastAsia="仿宋" w:cs="仿宋"/>
                <w:sz w:val="22"/>
                <w:highlight w:val="none"/>
              </w:rPr>
            </w:pPr>
          </w:p>
        </w:tc>
        <w:tc>
          <w:tcPr>
            <w:tcW w:w="1260" w:type="dxa"/>
            <w:vAlign w:val="center"/>
          </w:tcPr>
          <w:p w14:paraId="3975802E">
            <w:pPr>
              <w:spacing w:line="360" w:lineRule="auto"/>
              <w:jc w:val="center"/>
              <w:rPr>
                <w:rFonts w:hint="eastAsia" w:ascii="仿宋" w:hAnsi="仿宋" w:eastAsia="仿宋" w:cs="仿宋"/>
                <w:sz w:val="22"/>
                <w:highlight w:val="none"/>
              </w:rPr>
            </w:pPr>
          </w:p>
        </w:tc>
        <w:tc>
          <w:tcPr>
            <w:tcW w:w="1128" w:type="dxa"/>
            <w:vAlign w:val="center"/>
          </w:tcPr>
          <w:p w14:paraId="6BC33734">
            <w:pPr>
              <w:spacing w:line="360" w:lineRule="auto"/>
              <w:jc w:val="center"/>
              <w:rPr>
                <w:rFonts w:hint="eastAsia" w:ascii="仿宋" w:hAnsi="仿宋" w:eastAsia="仿宋" w:cs="仿宋"/>
                <w:sz w:val="22"/>
                <w:highlight w:val="none"/>
              </w:rPr>
            </w:pPr>
          </w:p>
        </w:tc>
        <w:tc>
          <w:tcPr>
            <w:tcW w:w="1140" w:type="dxa"/>
            <w:vAlign w:val="center"/>
          </w:tcPr>
          <w:p w14:paraId="3B29C592">
            <w:pPr>
              <w:spacing w:line="360" w:lineRule="auto"/>
              <w:jc w:val="center"/>
              <w:rPr>
                <w:rFonts w:hint="eastAsia" w:ascii="仿宋" w:hAnsi="仿宋" w:eastAsia="仿宋" w:cs="仿宋"/>
                <w:sz w:val="22"/>
                <w:highlight w:val="none"/>
              </w:rPr>
            </w:pPr>
          </w:p>
        </w:tc>
        <w:tc>
          <w:tcPr>
            <w:tcW w:w="624" w:type="dxa"/>
            <w:vAlign w:val="center"/>
          </w:tcPr>
          <w:p w14:paraId="4C8D394C">
            <w:pPr>
              <w:spacing w:line="360" w:lineRule="auto"/>
              <w:jc w:val="center"/>
              <w:rPr>
                <w:rFonts w:hint="eastAsia" w:ascii="仿宋" w:hAnsi="仿宋" w:eastAsia="仿宋" w:cs="仿宋"/>
                <w:sz w:val="22"/>
                <w:highlight w:val="none"/>
              </w:rPr>
            </w:pPr>
          </w:p>
        </w:tc>
        <w:tc>
          <w:tcPr>
            <w:tcW w:w="788" w:type="dxa"/>
            <w:vAlign w:val="center"/>
          </w:tcPr>
          <w:p w14:paraId="60DBE87B">
            <w:pPr>
              <w:spacing w:line="360" w:lineRule="auto"/>
              <w:jc w:val="center"/>
              <w:rPr>
                <w:rFonts w:hint="eastAsia" w:ascii="仿宋" w:hAnsi="仿宋" w:eastAsia="仿宋" w:cs="仿宋"/>
                <w:sz w:val="22"/>
                <w:highlight w:val="none"/>
              </w:rPr>
            </w:pPr>
          </w:p>
        </w:tc>
        <w:tc>
          <w:tcPr>
            <w:tcW w:w="788" w:type="dxa"/>
            <w:vAlign w:val="center"/>
          </w:tcPr>
          <w:p w14:paraId="6F72A8A6">
            <w:pPr>
              <w:spacing w:line="360" w:lineRule="auto"/>
              <w:jc w:val="center"/>
              <w:rPr>
                <w:rFonts w:hint="eastAsia" w:ascii="仿宋" w:hAnsi="仿宋" w:eastAsia="仿宋" w:cs="仿宋"/>
                <w:sz w:val="22"/>
                <w:highlight w:val="none"/>
              </w:rPr>
            </w:pPr>
          </w:p>
        </w:tc>
      </w:tr>
      <w:tr w14:paraId="3D47C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120624E2">
            <w:pPr>
              <w:spacing w:line="360" w:lineRule="auto"/>
              <w:jc w:val="center"/>
              <w:rPr>
                <w:rFonts w:hint="eastAsia" w:ascii="仿宋" w:hAnsi="仿宋" w:eastAsia="仿宋" w:cs="仿宋"/>
                <w:sz w:val="22"/>
                <w:highlight w:val="none"/>
              </w:rPr>
            </w:pPr>
          </w:p>
        </w:tc>
        <w:tc>
          <w:tcPr>
            <w:tcW w:w="1152" w:type="dxa"/>
            <w:vAlign w:val="center"/>
          </w:tcPr>
          <w:p w14:paraId="10C19F83">
            <w:pPr>
              <w:spacing w:line="360" w:lineRule="auto"/>
              <w:jc w:val="center"/>
              <w:rPr>
                <w:rFonts w:hint="eastAsia" w:ascii="仿宋" w:hAnsi="仿宋" w:eastAsia="仿宋" w:cs="仿宋"/>
                <w:sz w:val="22"/>
                <w:highlight w:val="none"/>
              </w:rPr>
            </w:pPr>
          </w:p>
        </w:tc>
        <w:tc>
          <w:tcPr>
            <w:tcW w:w="1260" w:type="dxa"/>
            <w:vAlign w:val="center"/>
          </w:tcPr>
          <w:p w14:paraId="6F111AE9">
            <w:pPr>
              <w:spacing w:line="360" w:lineRule="auto"/>
              <w:jc w:val="center"/>
              <w:rPr>
                <w:rFonts w:hint="eastAsia" w:ascii="仿宋" w:hAnsi="仿宋" w:eastAsia="仿宋" w:cs="仿宋"/>
                <w:sz w:val="22"/>
                <w:highlight w:val="none"/>
              </w:rPr>
            </w:pPr>
          </w:p>
        </w:tc>
        <w:tc>
          <w:tcPr>
            <w:tcW w:w="1128" w:type="dxa"/>
            <w:vAlign w:val="center"/>
          </w:tcPr>
          <w:p w14:paraId="7E4250EE">
            <w:pPr>
              <w:spacing w:line="360" w:lineRule="auto"/>
              <w:jc w:val="center"/>
              <w:rPr>
                <w:rFonts w:hint="eastAsia" w:ascii="仿宋" w:hAnsi="仿宋" w:eastAsia="仿宋" w:cs="仿宋"/>
                <w:sz w:val="22"/>
                <w:highlight w:val="none"/>
              </w:rPr>
            </w:pPr>
          </w:p>
        </w:tc>
        <w:tc>
          <w:tcPr>
            <w:tcW w:w="1140" w:type="dxa"/>
            <w:vAlign w:val="center"/>
          </w:tcPr>
          <w:p w14:paraId="5127B711">
            <w:pPr>
              <w:spacing w:line="360" w:lineRule="auto"/>
              <w:jc w:val="center"/>
              <w:rPr>
                <w:rFonts w:hint="eastAsia" w:ascii="仿宋" w:hAnsi="仿宋" w:eastAsia="仿宋" w:cs="仿宋"/>
                <w:sz w:val="22"/>
                <w:highlight w:val="none"/>
              </w:rPr>
            </w:pPr>
          </w:p>
        </w:tc>
        <w:tc>
          <w:tcPr>
            <w:tcW w:w="624" w:type="dxa"/>
            <w:vAlign w:val="center"/>
          </w:tcPr>
          <w:p w14:paraId="7BA6E3B5">
            <w:pPr>
              <w:spacing w:line="360" w:lineRule="auto"/>
              <w:jc w:val="center"/>
              <w:rPr>
                <w:rFonts w:hint="eastAsia" w:ascii="仿宋" w:hAnsi="仿宋" w:eastAsia="仿宋" w:cs="仿宋"/>
                <w:sz w:val="22"/>
                <w:highlight w:val="none"/>
              </w:rPr>
            </w:pPr>
          </w:p>
        </w:tc>
        <w:tc>
          <w:tcPr>
            <w:tcW w:w="788" w:type="dxa"/>
            <w:vAlign w:val="center"/>
          </w:tcPr>
          <w:p w14:paraId="4C7AA378">
            <w:pPr>
              <w:spacing w:line="360" w:lineRule="auto"/>
              <w:jc w:val="center"/>
              <w:rPr>
                <w:rFonts w:hint="eastAsia" w:ascii="仿宋" w:hAnsi="仿宋" w:eastAsia="仿宋" w:cs="仿宋"/>
                <w:sz w:val="22"/>
                <w:highlight w:val="none"/>
              </w:rPr>
            </w:pPr>
          </w:p>
        </w:tc>
        <w:tc>
          <w:tcPr>
            <w:tcW w:w="788" w:type="dxa"/>
            <w:vAlign w:val="center"/>
          </w:tcPr>
          <w:p w14:paraId="17DE113B">
            <w:pPr>
              <w:spacing w:line="360" w:lineRule="auto"/>
              <w:jc w:val="center"/>
              <w:rPr>
                <w:rFonts w:hint="eastAsia" w:ascii="仿宋" w:hAnsi="仿宋" w:eastAsia="仿宋" w:cs="仿宋"/>
                <w:sz w:val="22"/>
                <w:highlight w:val="none"/>
              </w:rPr>
            </w:pPr>
          </w:p>
        </w:tc>
      </w:tr>
      <w:tr w14:paraId="7442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05C5BC08">
            <w:pPr>
              <w:spacing w:line="360" w:lineRule="auto"/>
              <w:jc w:val="center"/>
              <w:rPr>
                <w:rFonts w:hint="eastAsia" w:ascii="仿宋" w:hAnsi="仿宋" w:eastAsia="仿宋" w:cs="仿宋"/>
                <w:sz w:val="22"/>
                <w:highlight w:val="none"/>
              </w:rPr>
            </w:pPr>
          </w:p>
        </w:tc>
        <w:tc>
          <w:tcPr>
            <w:tcW w:w="1152" w:type="dxa"/>
            <w:vAlign w:val="center"/>
          </w:tcPr>
          <w:p w14:paraId="0DCB3EC0">
            <w:pPr>
              <w:spacing w:line="360" w:lineRule="auto"/>
              <w:jc w:val="center"/>
              <w:rPr>
                <w:rFonts w:hint="eastAsia" w:ascii="仿宋" w:hAnsi="仿宋" w:eastAsia="仿宋" w:cs="仿宋"/>
                <w:sz w:val="22"/>
                <w:highlight w:val="none"/>
              </w:rPr>
            </w:pPr>
          </w:p>
        </w:tc>
        <w:tc>
          <w:tcPr>
            <w:tcW w:w="1260" w:type="dxa"/>
            <w:vAlign w:val="center"/>
          </w:tcPr>
          <w:p w14:paraId="4932F5EF">
            <w:pPr>
              <w:spacing w:line="360" w:lineRule="auto"/>
              <w:jc w:val="center"/>
              <w:rPr>
                <w:rFonts w:hint="eastAsia" w:ascii="仿宋" w:hAnsi="仿宋" w:eastAsia="仿宋" w:cs="仿宋"/>
                <w:sz w:val="22"/>
                <w:highlight w:val="none"/>
              </w:rPr>
            </w:pPr>
          </w:p>
        </w:tc>
        <w:tc>
          <w:tcPr>
            <w:tcW w:w="1128" w:type="dxa"/>
            <w:vAlign w:val="center"/>
          </w:tcPr>
          <w:p w14:paraId="4311B5C7">
            <w:pPr>
              <w:spacing w:line="360" w:lineRule="auto"/>
              <w:jc w:val="center"/>
              <w:rPr>
                <w:rFonts w:hint="eastAsia" w:ascii="仿宋" w:hAnsi="仿宋" w:eastAsia="仿宋" w:cs="仿宋"/>
                <w:sz w:val="22"/>
                <w:highlight w:val="none"/>
              </w:rPr>
            </w:pPr>
          </w:p>
        </w:tc>
        <w:tc>
          <w:tcPr>
            <w:tcW w:w="1140" w:type="dxa"/>
            <w:vAlign w:val="center"/>
          </w:tcPr>
          <w:p w14:paraId="197778F9">
            <w:pPr>
              <w:spacing w:line="360" w:lineRule="auto"/>
              <w:jc w:val="center"/>
              <w:rPr>
                <w:rFonts w:hint="eastAsia" w:ascii="仿宋" w:hAnsi="仿宋" w:eastAsia="仿宋" w:cs="仿宋"/>
                <w:sz w:val="22"/>
                <w:highlight w:val="none"/>
              </w:rPr>
            </w:pPr>
          </w:p>
        </w:tc>
        <w:tc>
          <w:tcPr>
            <w:tcW w:w="624" w:type="dxa"/>
            <w:vAlign w:val="center"/>
          </w:tcPr>
          <w:p w14:paraId="1768AE98">
            <w:pPr>
              <w:spacing w:line="360" w:lineRule="auto"/>
              <w:jc w:val="center"/>
              <w:rPr>
                <w:rFonts w:hint="eastAsia" w:ascii="仿宋" w:hAnsi="仿宋" w:eastAsia="仿宋" w:cs="仿宋"/>
                <w:sz w:val="22"/>
                <w:highlight w:val="none"/>
              </w:rPr>
            </w:pPr>
          </w:p>
        </w:tc>
        <w:tc>
          <w:tcPr>
            <w:tcW w:w="788" w:type="dxa"/>
            <w:vAlign w:val="center"/>
          </w:tcPr>
          <w:p w14:paraId="25FEB14C">
            <w:pPr>
              <w:spacing w:line="360" w:lineRule="auto"/>
              <w:jc w:val="center"/>
              <w:rPr>
                <w:rFonts w:hint="eastAsia" w:ascii="仿宋" w:hAnsi="仿宋" w:eastAsia="仿宋" w:cs="仿宋"/>
                <w:sz w:val="22"/>
                <w:highlight w:val="none"/>
              </w:rPr>
            </w:pPr>
          </w:p>
        </w:tc>
        <w:tc>
          <w:tcPr>
            <w:tcW w:w="788" w:type="dxa"/>
            <w:vAlign w:val="center"/>
          </w:tcPr>
          <w:p w14:paraId="36E46D4D">
            <w:pPr>
              <w:spacing w:line="360" w:lineRule="auto"/>
              <w:jc w:val="center"/>
              <w:rPr>
                <w:rFonts w:hint="eastAsia" w:ascii="仿宋" w:hAnsi="仿宋" w:eastAsia="仿宋" w:cs="仿宋"/>
                <w:sz w:val="22"/>
                <w:highlight w:val="none"/>
              </w:rPr>
            </w:pPr>
          </w:p>
        </w:tc>
      </w:tr>
      <w:tr w14:paraId="38D98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234A40B3">
            <w:pPr>
              <w:spacing w:line="360" w:lineRule="auto"/>
              <w:jc w:val="center"/>
              <w:rPr>
                <w:rFonts w:hint="eastAsia" w:ascii="仿宋" w:hAnsi="仿宋" w:eastAsia="仿宋" w:cs="仿宋"/>
                <w:sz w:val="22"/>
                <w:highlight w:val="none"/>
              </w:rPr>
            </w:pPr>
          </w:p>
        </w:tc>
        <w:tc>
          <w:tcPr>
            <w:tcW w:w="1152" w:type="dxa"/>
            <w:vAlign w:val="center"/>
          </w:tcPr>
          <w:p w14:paraId="72A0E8F8">
            <w:pPr>
              <w:spacing w:line="360" w:lineRule="auto"/>
              <w:jc w:val="center"/>
              <w:rPr>
                <w:rFonts w:hint="eastAsia" w:ascii="仿宋" w:hAnsi="仿宋" w:eastAsia="仿宋" w:cs="仿宋"/>
                <w:sz w:val="22"/>
                <w:highlight w:val="none"/>
              </w:rPr>
            </w:pPr>
          </w:p>
        </w:tc>
        <w:tc>
          <w:tcPr>
            <w:tcW w:w="1260" w:type="dxa"/>
            <w:vAlign w:val="center"/>
          </w:tcPr>
          <w:p w14:paraId="2216590C">
            <w:pPr>
              <w:spacing w:line="360" w:lineRule="auto"/>
              <w:jc w:val="center"/>
              <w:rPr>
                <w:rFonts w:hint="eastAsia" w:ascii="仿宋" w:hAnsi="仿宋" w:eastAsia="仿宋" w:cs="仿宋"/>
                <w:sz w:val="22"/>
                <w:highlight w:val="none"/>
              </w:rPr>
            </w:pPr>
          </w:p>
        </w:tc>
        <w:tc>
          <w:tcPr>
            <w:tcW w:w="1128" w:type="dxa"/>
            <w:vAlign w:val="center"/>
          </w:tcPr>
          <w:p w14:paraId="4E62EB03">
            <w:pPr>
              <w:spacing w:line="360" w:lineRule="auto"/>
              <w:jc w:val="center"/>
              <w:rPr>
                <w:rFonts w:hint="eastAsia" w:ascii="仿宋" w:hAnsi="仿宋" w:eastAsia="仿宋" w:cs="仿宋"/>
                <w:sz w:val="22"/>
                <w:highlight w:val="none"/>
              </w:rPr>
            </w:pPr>
          </w:p>
        </w:tc>
        <w:tc>
          <w:tcPr>
            <w:tcW w:w="1140" w:type="dxa"/>
            <w:vAlign w:val="center"/>
          </w:tcPr>
          <w:p w14:paraId="43DEC122">
            <w:pPr>
              <w:spacing w:line="360" w:lineRule="auto"/>
              <w:jc w:val="center"/>
              <w:rPr>
                <w:rFonts w:hint="eastAsia" w:ascii="仿宋" w:hAnsi="仿宋" w:eastAsia="仿宋" w:cs="仿宋"/>
                <w:sz w:val="22"/>
                <w:highlight w:val="none"/>
              </w:rPr>
            </w:pPr>
          </w:p>
        </w:tc>
        <w:tc>
          <w:tcPr>
            <w:tcW w:w="624" w:type="dxa"/>
            <w:vAlign w:val="center"/>
          </w:tcPr>
          <w:p w14:paraId="53A41688">
            <w:pPr>
              <w:spacing w:line="360" w:lineRule="auto"/>
              <w:jc w:val="center"/>
              <w:rPr>
                <w:rFonts w:hint="eastAsia" w:ascii="仿宋" w:hAnsi="仿宋" w:eastAsia="仿宋" w:cs="仿宋"/>
                <w:sz w:val="22"/>
                <w:highlight w:val="none"/>
              </w:rPr>
            </w:pPr>
          </w:p>
        </w:tc>
        <w:tc>
          <w:tcPr>
            <w:tcW w:w="788" w:type="dxa"/>
            <w:vAlign w:val="center"/>
          </w:tcPr>
          <w:p w14:paraId="59014FCC">
            <w:pPr>
              <w:spacing w:line="360" w:lineRule="auto"/>
              <w:jc w:val="center"/>
              <w:rPr>
                <w:rFonts w:hint="eastAsia" w:ascii="仿宋" w:hAnsi="仿宋" w:eastAsia="仿宋" w:cs="仿宋"/>
                <w:sz w:val="22"/>
                <w:highlight w:val="none"/>
              </w:rPr>
            </w:pPr>
          </w:p>
        </w:tc>
        <w:tc>
          <w:tcPr>
            <w:tcW w:w="788" w:type="dxa"/>
            <w:vAlign w:val="center"/>
          </w:tcPr>
          <w:p w14:paraId="225F30A2">
            <w:pPr>
              <w:spacing w:line="360" w:lineRule="auto"/>
              <w:jc w:val="center"/>
              <w:rPr>
                <w:rFonts w:hint="eastAsia" w:ascii="仿宋" w:hAnsi="仿宋" w:eastAsia="仿宋" w:cs="仿宋"/>
                <w:sz w:val="22"/>
                <w:highlight w:val="none"/>
              </w:rPr>
            </w:pPr>
          </w:p>
        </w:tc>
      </w:tr>
      <w:tr w14:paraId="78A5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0B93DEDE">
            <w:pPr>
              <w:spacing w:line="360" w:lineRule="auto"/>
              <w:jc w:val="center"/>
              <w:rPr>
                <w:rFonts w:hint="eastAsia" w:ascii="仿宋" w:hAnsi="仿宋" w:eastAsia="仿宋" w:cs="仿宋"/>
                <w:sz w:val="22"/>
                <w:highlight w:val="none"/>
              </w:rPr>
            </w:pPr>
          </w:p>
        </w:tc>
        <w:tc>
          <w:tcPr>
            <w:tcW w:w="1152" w:type="dxa"/>
            <w:vAlign w:val="center"/>
          </w:tcPr>
          <w:p w14:paraId="42D99E33">
            <w:pPr>
              <w:spacing w:line="360" w:lineRule="auto"/>
              <w:jc w:val="center"/>
              <w:rPr>
                <w:rFonts w:hint="eastAsia" w:ascii="仿宋" w:hAnsi="仿宋" w:eastAsia="仿宋" w:cs="仿宋"/>
                <w:sz w:val="22"/>
                <w:highlight w:val="none"/>
              </w:rPr>
            </w:pPr>
          </w:p>
        </w:tc>
        <w:tc>
          <w:tcPr>
            <w:tcW w:w="1260" w:type="dxa"/>
            <w:vAlign w:val="center"/>
          </w:tcPr>
          <w:p w14:paraId="3196E32B">
            <w:pPr>
              <w:spacing w:line="360" w:lineRule="auto"/>
              <w:jc w:val="center"/>
              <w:rPr>
                <w:rFonts w:hint="eastAsia" w:ascii="仿宋" w:hAnsi="仿宋" w:eastAsia="仿宋" w:cs="仿宋"/>
                <w:sz w:val="22"/>
                <w:highlight w:val="none"/>
              </w:rPr>
            </w:pPr>
          </w:p>
        </w:tc>
        <w:tc>
          <w:tcPr>
            <w:tcW w:w="1128" w:type="dxa"/>
            <w:vAlign w:val="center"/>
          </w:tcPr>
          <w:p w14:paraId="0495BDE5">
            <w:pPr>
              <w:spacing w:line="360" w:lineRule="auto"/>
              <w:jc w:val="center"/>
              <w:rPr>
                <w:rFonts w:hint="eastAsia" w:ascii="仿宋" w:hAnsi="仿宋" w:eastAsia="仿宋" w:cs="仿宋"/>
                <w:sz w:val="22"/>
                <w:highlight w:val="none"/>
              </w:rPr>
            </w:pPr>
          </w:p>
        </w:tc>
        <w:tc>
          <w:tcPr>
            <w:tcW w:w="1140" w:type="dxa"/>
            <w:vAlign w:val="center"/>
          </w:tcPr>
          <w:p w14:paraId="7FA2A26D">
            <w:pPr>
              <w:spacing w:line="360" w:lineRule="auto"/>
              <w:jc w:val="center"/>
              <w:rPr>
                <w:rFonts w:hint="eastAsia" w:ascii="仿宋" w:hAnsi="仿宋" w:eastAsia="仿宋" w:cs="仿宋"/>
                <w:sz w:val="22"/>
                <w:highlight w:val="none"/>
              </w:rPr>
            </w:pPr>
          </w:p>
        </w:tc>
        <w:tc>
          <w:tcPr>
            <w:tcW w:w="624" w:type="dxa"/>
            <w:vAlign w:val="center"/>
          </w:tcPr>
          <w:p w14:paraId="1D3E1E32">
            <w:pPr>
              <w:spacing w:line="360" w:lineRule="auto"/>
              <w:jc w:val="center"/>
              <w:rPr>
                <w:rFonts w:hint="eastAsia" w:ascii="仿宋" w:hAnsi="仿宋" w:eastAsia="仿宋" w:cs="仿宋"/>
                <w:sz w:val="22"/>
                <w:highlight w:val="none"/>
              </w:rPr>
            </w:pPr>
          </w:p>
        </w:tc>
        <w:tc>
          <w:tcPr>
            <w:tcW w:w="788" w:type="dxa"/>
            <w:vAlign w:val="center"/>
          </w:tcPr>
          <w:p w14:paraId="73191B89">
            <w:pPr>
              <w:spacing w:line="360" w:lineRule="auto"/>
              <w:jc w:val="center"/>
              <w:rPr>
                <w:rFonts w:hint="eastAsia" w:ascii="仿宋" w:hAnsi="仿宋" w:eastAsia="仿宋" w:cs="仿宋"/>
                <w:sz w:val="22"/>
                <w:highlight w:val="none"/>
              </w:rPr>
            </w:pPr>
          </w:p>
        </w:tc>
        <w:tc>
          <w:tcPr>
            <w:tcW w:w="788" w:type="dxa"/>
            <w:vAlign w:val="center"/>
          </w:tcPr>
          <w:p w14:paraId="25423987">
            <w:pPr>
              <w:spacing w:line="360" w:lineRule="auto"/>
              <w:jc w:val="center"/>
              <w:rPr>
                <w:rFonts w:hint="eastAsia" w:ascii="仿宋" w:hAnsi="仿宋" w:eastAsia="仿宋" w:cs="仿宋"/>
                <w:sz w:val="22"/>
                <w:highlight w:val="none"/>
              </w:rPr>
            </w:pPr>
          </w:p>
        </w:tc>
      </w:tr>
      <w:tr w14:paraId="5E89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6" w:type="dxa"/>
            <w:vAlign w:val="center"/>
          </w:tcPr>
          <w:p w14:paraId="07D4DC18">
            <w:pPr>
              <w:spacing w:line="360" w:lineRule="auto"/>
              <w:jc w:val="center"/>
              <w:rPr>
                <w:rFonts w:hint="eastAsia" w:ascii="仿宋" w:hAnsi="仿宋" w:eastAsia="仿宋" w:cs="仿宋"/>
                <w:sz w:val="22"/>
                <w:highlight w:val="none"/>
              </w:rPr>
            </w:pPr>
          </w:p>
        </w:tc>
        <w:tc>
          <w:tcPr>
            <w:tcW w:w="1152" w:type="dxa"/>
            <w:vAlign w:val="center"/>
          </w:tcPr>
          <w:p w14:paraId="0C0C2AB6">
            <w:pPr>
              <w:spacing w:line="360" w:lineRule="auto"/>
              <w:jc w:val="center"/>
              <w:rPr>
                <w:rFonts w:hint="eastAsia" w:ascii="仿宋" w:hAnsi="仿宋" w:eastAsia="仿宋" w:cs="仿宋"/>
                <w:sz w:val="22"/>
                <w:highlight w:val="none"/>
              </w:rPr>
            </w:pPr>
          </w:p>
        </w:tc>
        <w:tc>
          <w:tcPr>
            <w:tcW w:w="1260" w:type="dxa"/>
            <w:vAlign w:val="center"/>
          </w:tcPr>
          <w:p w14:paraId="49CF3F1D">
            <w:pPr>
              <w:spacing w:line="360" w:lineRule="auto"/>
              <w:jc w:val="center"/>
              <w:rPr>
                <w:rFonts w:hint="eastAsia" w:ascii="仿宋" w:hAnsi="仿宋" w:eastAsia="仿宋" w:cs="仿宋"/>
                <w:sz w:val="22"/>
                <w:highlight w:val="none"/>
              </w:rPr>
            </w:pPr>
          </w:p>
        </w:tc>
        <w:tc>
          <w:tcPr>
            <w:tcW w:w="1128" w:type="dxa"/>
            <w:vAlign w:val="center"/>
          </w:tcPr>
          <w:p w14:paraId="2EB521D0">
            <w:pPr>
              <w:spacing w:line="360" w:lineRule="auto"/>
              <w:jc w:val="center"/>
              <w:rPr>
                <w:rFonts w:hint="eastAsia" w:ascii="仿宋" w:hAnsi="仿宋" w:eastAsia="仿宋" w:cs="仿宋"/>
                <w:sz w:val="22"/>
                <w:highlight w:val="none"/>
              </w:rPr>
            </w:pPr>
          </w:p>
        </w:tc>
        <w:tc>
          <w:tcPr>
            <w:tcW w:w="1140" w:type="dxa"/>
            <w:vAlign w:val="center"/>
          </w:tcPr>
          <w:p w14:paraId="75DF0013">
            <w:pPr>
              <w:spacing w:line="360" w:lineRule="auto"/>
              <w:jc w:val="center"/>
              <w:rPr>
                <w:rFonts w:hint="eastAsia" w:ascii="仿宋" w:hAnsi="仿宋" w:eastAsia="仿宋" w:cs="仿宋"/>
                <w:sz w:val="22"/>
                <w:highlight w:val="none"/>
              </w:rPr>
            </w:pPr>
          </w:p>
        </w:tc>
        <w:tc>
          <w:tcPr>
            <w:tcW w:w="624" w:type="dxa"/>
            <w:vAlign w:val="center"/>
          </w:tcPr>
          <w:p w14:paraId="0712DF1A">
            <w:pPr>
              <w:spacing w:line="360" w:lineRule="auto"/>
              <w:jc w:val="center"/>
              <w:rPr>
                <w:rFonts w:hint="eastAsia" w:ascii="仿宋" w:hAnsi="仿宋" w:eastAsia="仿宋" w:cs="仿宋"/>
                <w:sz w:val="22"/>
                <w:highlight w:val="none"/>
              </w:rPr>
            </w:pPr>
          </w:p>
        </w:tc>
        <w:tc>
          <w:tcPr>
            <w:tcW w:w="788" w:type="dxa"/>
            <w:vAlign w:val="center"/>
          </w:tcPr>
          <w:p w14:paraId="7A05A835">
            <w:pPr>
              <w:spacing w:line="360" w:lineRule="auto"/>
              <w:jc w:val="center"/>
              <w:rPr>
                <w:rFonts w:hint="eastAsia" w:ascii="仿宋" w:hAnsi="仿宋" w:eastAsia="仿宋" w:cs="仿宋"/>
                <w:sz w:val="22"/>
                <w:highlight w:val="none"/>
              </w:rPr>
            </w:pPr>
          </w:p>
        </w:tc>
        <w:tc>
          <w:tcPr>
            <w:tcW w:w="788" w:type="dxa"/>
            <w:vAlign w:val="center"/>
          </w:tcPr>
          <w:p w14:paraId="4612E932">
            <w:pPr>
              <w:spacing w:line="360" w:lineRule="auto"/>
              <w:jc w:val="center"/>
              <w:rPr>
                <w:rFonts w:hint="eastAsia" w:ascii="仿宋" w:hAnsi="仿宋" w:eastAsia="仿宋" w:cs="仿宋"/>
                <w:sz w:val="22"/>
                <w:highlight w:val="none"/>
              </w:rPr>
            </w:pPr>
          </w:p>
        </w:tc>
      </w:tr>
    </w:tbl>
    <w:p w14:paraId="4A86C834">
      <w:pPr>
        <w:spacing w:line="360" w:lineRule="auto"/>
        <w:ind w:firstLine="440" w:firstLineChars="200"/>
        <w:rPr>
          <w:rFonts w:hint="eastAsia" w:ascii="仿宋" w:hAnsi="仿宋" w:eastAsia="仿宋" w:cs="仿宋"/>
          <w:sz w:val="22"/>
          <w:highlight w:val="none"/>
          <w:lang w:eastAsia="zh-CN"/>
        </w:rPr>
      </w:pPr>
      <w:r>
        <w:rPr>
          <w:rFonts w:hint="eastAsia" w:ascii="仿宋" w:hAnsi="仿宋" w:eastAsia="仿宋" w:cs="仿宋"/>
          <w:sz w:val="22"/>
          <w:highlight w:val="none"/>
          <w:lang w:eastAsia="zh-CN"/>
        </w:rPr>
        <w:t>说明：在偏离项必须注明正偏离、负偏离或无偏离。</w:t>
      </w:r>
    </w:p>
    <w:p w14:paraId="2FBB5AAB">
      <w:pPr>
        <w:spacing w:line="360" w:lineRule="auto"/>
        <w:ind w:firstLine="440" w:firstLineChars="200"/>
        <w:rPr>
          <w:rFonts w:hint="eastAsia" w:ascii="仿宋" w:hAnsi="仿宋" w:eastAsia="仿宋" w:cs="仿宋"/>
          <w:sz w:val="22"/>
          <w:highlight w:val="none"/>
          <w:lang w:eastAsia="zh-CN"/>
        </w:rPr>
      </w:pPr>
      <w:r>
        <w:rPr>
          <w:rFonts w:hint="eastAsia" w:ascii="仿宋" w:hAnsi="仿宋" w:eastAsia="仿宋" w:cs="仿宋"/>
          <w:sz w:val="22"/>
          <w:highlight w:val="none"/>
          <w:lang w:eastAsia="zh-CN"/>
        </w:rPr>
        <w:t>投标人名称(公章)：____________</w:t>
      </w:r>
    </w:p>
    <w:p w14:paraId="41921B8D">
      <w:pPr>
        <w:spacing w:line="360" w:lineRule="auto"/>
        <w:ind w:firstLine="440" w:firstLineChars="200"/>
        <w:rPr>
          <w:rFonts w:hint="eastAsia" w:ascii="仿宋" w:hAnsi="仿宋" w:eastAsia="仿宋" w:cs="仿宋"/>
          <w:sz w:val="22"/>
          <w:highlight w:val="none"/>
          <w:lang w:eastAsia="zh-CN"/>
        </w:rPr>
      </w:pPr>
      <w:r>
        <w:rPr>
          <w:rFonts w:hint="eastAsia" w:ascii="仿宋" w:hAnsi="仿宋" w:eastAsia="仿宋" w:cs="仿宋"/>
          <w:sz w:val="22"/>
          <w:highlight w:val="none"/>
          <w:lang w:eastAsia="zh-CN"/>
        </w:rPr>
        <w:t>法定代表人或其授权代表(签字或盖章)：____________</w:t>
      </w:r>
    </w:p>
    <w:p w14:paraId="1D37CA5D">
      <w:pPr>
        <w:spacing w:line="360" w:lineRule="auto"/>
        <w:ind w:firstLine="440" w:firstLineChars="200"/>
        <w:rPr>
          <w:rFonts w:hint="eastAsia" w:ascii="仿宋" w:hAnsi="仿宋" w:eastAsia="仿宋" w:cs="仿宋"/>
          <w:sz w:val="22"/>
          <w:highlight w:val="none"/>
          <w:lang w:eastAsia="zh-CN"/>
        </w:rPr>
      </w:pPr>
      <w:r>
        <w:rPr>
          <w:rFonts w:hint="eastAsia" w:ascii="仿宋" w:hAnsi="仿宋" w:eastAsia="仿宋" w:cs="仿宋"/>
          <w:sz w:val="22"/>
          <w:highlight w:val="none"/>
          <w:lang w:eastAsia="zh-CN"/>
        </w:rPr>
        <w:t>日期：______年____月____日</w:t>
      </w:r>
    </w:p>
    <w:p w14:paraId="005B18F9">
      <w:pPr>
        <w:spacing w:line="360" w:lineRule="auto"/>
        <w:ind w:firstLine="440" w:firstLineChars="200"/>
        <w:rPr>
          <w:rFonts w:hint="eastAsia" w:ascii="仿宋" w:hAnsi="仿宋" w:eastAsia="仿宋" w:cs="仿宋"/>
          <w:sz w:val="22"/>
          <w:highlight w:val="none"/>
          <w:lang w:eastAsia="zh-CN"/>
        </w:rPr>
      </w:pPr>
    </w:p>
    <w:p w14:paraId="41D9AB00">
      <w:pPr>
        <w:spacing w:line="258" w:lineRule="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注：</w:t>
      </w:r>
    </w:p>
    <w:p w14:paraId="5681EEB9">
      <w:pPr>
        <w:spacing w:line="258" w:lineRule="auto"/>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1.投标人应按照招标文件“第三章 采购需求”中的“需求清单”填写，投标人针对采购需求内容要求有差异的，则在此表中列明实际响应的内容提要并加以说明，以便查对。无差异说明表示完全响应。</w:t>
      </w:r>
    </w:p>
    <w:p w14:paraId="51B0219F">
      <w:pPr>
        <w:spacing w:line="258" w:lineRule="auto"/>
        <w:rPr>
          <w:rFonts w:hint="eastAsia" w:ascii="仿宋" w:hAnsi="仿宋" w:eastAsia="仿宋" w:cs="仿宋"/>
          <w:color w:val="auto"/>
          <w:highlight w:val="none"/>
          <w:lang w:eastAsia="zh-CN"/>
        </w:rPr>
      </w:pPr>
      <w:r>
        <w:rPr>
          <w:rFonts w:hint="eastAsia" w:ascii="仿宋" w:hAnsi="仿宋" w:eastAsia="仿宋" w:cs="仿宋"/>
          <w:b/>
          <w:bCs/>
          <w:sz w:val="24"/>
          <w:szCs w:val="24"/>
          <w:highlight w:val="none"/>
          <w:lang w:eastAsia="zh-CN"/>
        </w:rPr>
        <w:t>2.投标人须根据“第三章 采购需求”中的“需求清单”，逐一提供与所投产品或产品技术参数相关的证明材料（如投标人或所投产品制造商出具的产品规格表或产品检测报告或鉴定证书或制造商产品彩页或制造商官网截图或制造商产品说明书、彩色实物图片等证明材料，不提供或不清楚或不准确，不予认可）。</w:t>
      </w:r>
    </w:p>
    <w:p w14:paraId="6D06B89C">
      <w:pPr>
        <w:spacing w:line="259" w:lineRule="auto"/>
        <w:rPr>
          <w:rFonts w:hint="eastAsia" w:ascii="仿宋" w:hAnsi="仿宋" w:eastAsia="仿宋" w:cs="仿宋"/>
          <w:color w:val="auto"/>
          <w:highlight w:val="none"/>
          <w:lang w:eastAsia="zh-CN"/>
        </w:rPr>
      </w:pPr>
    </w:p>
    <w:p w14:paraId="35E52F6F">
      <w:pPr>
        <w:pageBreakBefore/>
        <w:spacing w:before="101" w:line="226" w:lineRule="auto"/>
        <w:jc w:val="center"/>
        <w:outlineLvl w:val="2"/>
        <w:rPr>
          <w:rFonts w:hint="eastAsia" w:ascii="仿宋" w:hAnsi="仿宋" w:eastAsia="仿宋" w:cs="仿宋"/>
          <w:b/>
          <w:bCs/>
          <w:color w:val="auto"/>
          <w:spacing w:val="1"/>
          <w:sz w:val="31"/>
          <w:szCs w:val="31"/>
          <w:highlight w:val="none"/>
          <w:lang w:eastAsia="zh-CN"/>
        </w:rPr>
      </w:pPr>
      <w:bookmarkStart w:id="443" w:name="bookmark267"/>
      <w:bookmarkEnd w:id="443"/>
      <w:bookmarkStart w:id="444" w:name="bookmark268"/>
      <w:bookmarkEnd w:id="444"/>
      <w:bookmarkStart w:id="445" w:name="_Toc12335"/>
      <w:bookmarkStart w:id="446" w:name="_Toc186477819"/>
      <w:r>
        <w:rPr>
          <w:rFonts w:hint="eastAsia" w:ascii="仿宋" w:hAnsi="仿宋" w:eastAsia="仿宋" w:cs="仿宋"/>
          <w:b/>
          <w:bCs/>
          <w:color w:val="auto"/>
          <w:spacing w:val="1"/>
          <w:sz w:val="31"/>
          <w:szCs w:val="31"/>
          <w:highlight w:val="none"/>
          <w:lang w:eastAsia="zh-CN"/>
        </w:rPr>
        <w:t>六、业绩证明文件</w:t>
      </w:r>
      <w:bookmarkEnd w:id="445"/>
      <w:bookmarkEnd w:id="446"/>
    </w:p>
    <w:p w14:paraId="34598B6B">
      <w:pPr>
        <w:spacing w:before="307" w:line="220" w:lineRule="auto"/>
        <w:ind w:left="42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项目名称：</w:t>
      </w:r>
    </w:p>
    <w:p w14:paraId="6A465665">
      <w:pPr>
        <w:spacing w:before="182" w:line="219" w:lineRule="auto"/>
        <w:ind w:left="426"/>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项目（包）编号：</w:t>
      </w:r>
    </w:p>
    <w:p w14:paraId="276D4852">
      <w:pPr>
        <w:spacing w:line="68" w:lineRule="exact"/>
        <w:rPr>
          <w:rFonts w:hint="eastAsia" w:ascii="仿宋" w:hAnsi="仿宋" w:eastAsia="仿宋" w:cs="仿宋"/>
          <w:color w:val="auto"/>
          <w:highlight w:val="none"/>
        </w:rPr>
      </w:pPr>
    </w:p>
    <w:tbl>
      <w:tblPr>
        <w:tblStyle w:val="22"/>
        <w:tblW w:w="88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73"/>
        <w:gridCol w:w="1134"/>
        <w:gridCol w:w="1276"/>
        <w:gridCol w:w="1134"/>
        <w:gridCol w:w="1418"/>
        <w:gridCol w:w="1134"/>
        <w:gridCol w:w="992"/>
        <w:gridCol w:w="1134"/>
      </w:tblGrid>
      <w:tr w14:paraId="24354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673" w:type="dxa"/>
            <w:vAlign w:val="center"/>
          </w:tcPr>
          <w:p w14:paraId="267C2D49">
            <w:pPr>
              <w:pStyle w:val="31"/>
              <w:spacing w:before="78" w:line="221" w:lineRule="auto"/>
              <w:jc w:val="center"/>
              <w:rPr>
                <w:rFonts w:hint="eastAsia" w:ascii="仿宋" w:hAnsi="仿宋" w:eastAsia="仿宋" w:cs="仿宋"/>
                <w:color w:val="auto"/>
                <w:sz w:val="21"/>
                <w:szCs w:val="21"/>
                <w:highlight w:val="none"/>
              </w:rPr>
            </w:pPr>
            <w:r>
              <w:rPr>
                <w:rFonts w:hint="eastAsia" w:ascii="仿宋" w:hAnsi="仿宋" w:eastAsia="仿宋" w:cs="仿宋"/>
                <w:color w:val="auto"/>
                <w:spacing w:val="-5"/>
                <w:sz w:val="21"/>
                <w:szCs w:val="21"/>
                <w:highlight w:val="none"/>
              </w:rPr>
              <w:t>序号</w:t>
            </w:r>
          </w:p>
        </w:tc>
        <w:tc>
          <w:tcPr>
            <w:tcW w:w="1134" w:type="dxa"/>
            <w:vAlign w:val="center"/>
          </w:tcPr>
          <w:p w14:paraId="04E2058B">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完成时间</w:t>
            </w:r>
          </w:p>
        </w:tc>
        <w:tc>
          <w:tcPr>
            <w:tcW w:w="1276" w:type="dxa"/>
            <w:vAlign w:val="center"/>
          </w:tcPr>
          <w:p w14:paraId="6DFB4590">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项目名称</w:t>
            </w:r>
          </w:p>
        </w:tc>
        <w:tc>
          <w:tcPr>
            <w:tcW w:w="1134" w:type="dxa"/>
            <w:vAlign w:val="center"/>
          </w:tcPr>
          <w:p w14:paraId="5BA89B9F">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标的内容</w:t>
            </w:r>
          </w:p>
        </w:tc>
        <w:tc>
          <w:tcPr>
            <w:tcW w:w="1418" w:type="dxa"/>
            <w:vAlign w:val="center"/>
          </w:tcPr>
          <w:p w14:paraId="6E671BC5">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采购人名称</w:t>
            </w:r>
          </w:p>
        </w:tc>
        <w:tc>
          <w:tcPr>
            <w:tcW w:w="1134" w:type="dxa"/>
            <w:vAlign w:val="center"/>
          </w:tcPr>
          <w:p w14:paraId="04A13BD2">
            <w:pPr>
              <w:pStyle w:val="31"/>
              <w:spacing w:before="118" w:line="221" w:lineRule="auto"/>
              <w:ind w:right="4"/>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中标（成交）金额</w:t>
            </w:r>
          </w:p>
        </w:tc>
        <w:tc>
          <w:tcPr>
            <w:tcW w:w="992" w:type="dxa"/>
            <w:vAlign w:val="center"/>
          </w:tcPr>
          <w:p w14:paraId="3880A674">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联系人</w:t>
            </w:r>
          </w:p>
        </w:tc>
        <w:tc>
          <w:tcPr>
            <w:tcW w:w="1134" w:type="dxa"/>
            <w:vAlign w:val="center"/>
          </w:tcPr>
          <w:p w14:paraId="3A7E8EB3">
            <w:pPr>
              <w:pStyle w:val="31"/>
              <w:spacing w:before="78" w:line="221" w:lineRule="auto"/>
              <w:jc w:val="center"/>
              <w:rPr>
                <w:rFonts w:hint="eastAsia" w:ascii="仿宋" w:hAnsi="仿宋" w:eastAsia="仿宋" w:cs="仿宋"/>
                <w:color w:val="auto"/>
                <w:spacing w:val="-5"/>
                <w:sz w:val="21"/>
                <w:szCs w:val="21"/>
                <w:highlight w:val="none"/>
              </w:rPr>
            </w:pPr>
            <w:r>
              <w:rPr>
                <w:rFonts w:hint="eastAsia" w:ascii="仿宋" w:hAnsi="仿宋" w:eastAsia="仿宋" w:cs="仿宋"/>
                <w:color w:val="auto"/>
                <w:spacing w:val="-5"/>
                <w:sz w:val="21"/>
                <w:szCs w:val="21"/>
                <w:highlight w:val="none"/>
              </w:rPr>
              <w:t>联系电话</w:t>
            </w:r>
          </w:p>
        </w:tc>
      </w:tr>
      <w:tr w14:paraId="772E0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2BA64110">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34" w:type="dxa"/>
          </w:tcPr>
          <w:p w14:paraId="241AC247">
            <w:pPr>
              <w:rPr>
                <w:rFonts w:hint="eastAsia" w:ascii="仿宋" w:hAnsi="仿宋" w:eastAsia="仿宋" w:cs="仿宋"/>
                <w:color w:val="auto"/>
                <w:highlight w:val="none"/>
              </w:rPr>
            </w:pPr>
          </w:p>
        </w:tc>
        <w:tc>
          <w:tcPr>
            <w:tcW w:w="1276" w:type="dxa"/>
          </w:tcPr>
          <w:p w14:paraId="319BF1DD">
            <w:pPr>
              <w:rPr>
                <w:rFonts w:hint="eastAsia" w:ascii="仿宋" w:hAnsi="仿宋" w:eastAsia="仿宋" w:cs="仿宋"/>
                <w:color w:val="auto"/>
                <w:highlight w:val="none"/>
              </w:rPr>
            </w:pPr>
          </w:p>
        </w:tc>
        <w:tc>
          <w:tcPr>
            <w:tcW w:w="1134" w:type="dxa"/>
          </w:tcPr>
          <w:p w14:paraId="469A7D7B">
            <w:pPr>
              <w:rPr>
                <w:rFonts w:hint="eastAsia" w:ascii="仿宋" w:hAnsi="仿宋" w:eastAsia="仿宋" w:cs="仿宋"/>
                <w:color w:val="auto"/>
                <w:highlight w:val="none"/>
              </w:rPr>
            </w:pPr>
          </w:p>
        </w:tc>
        <w:tc>
          <w:tcPr>
            <w:tcW w:w="1418" w:type="dxa"/>
          </w:tcPr>
          <w:p w14:paraId="2FCCBB7D">
            <w:pPr>
              <w:rPr>
                <w:rFonts w:hint="eastAsia" w:ascii="仿宋" w:hAnsi="仿宋" w:eastAsia="仿宋" w:cs="仿宋"/>
                <w:color w:val="auto"/>
                <w:highlight w:val="none"/>
              </w:rPr>
            </w:pPr>
          </w:p>
        </w:tc>
        <w:tc>
          <w:tcPr>
            <w:tcW w:w="1134" w:type="dxa"/>
          </w:tcPr>
          <w:p w14:paraId="5C418226">
            <w:pPr>
              <w:rPr>
                <w:rFonts w:hint="eastAsia" w:ascii="仿宋" w:hAnsi="仿宋" w:eastAsia="仿宋" w:cs="仿宋"/>
                <w:color w:val="auto"/>
                <w:highlight w:val="none"/>
              </w:rPr>
            </w:pPr>
          </w:p>
        </w:tc>
        <w:tc>
          <w:tcPr>
            <w:tcW w:w="992" w:type="dxa"/>
          </w:tcPr>
          <w:p w14:paraId="582AE08B">
            <w:pPr>
              <w:rPr>
                <w:rFonts w:hint="eastAsia" w:ascii="仿宋" w:hAnsi="仿宋" w:eastAsia="仿宋" w:cs="仿宋"/>
                <w:color w:val="auto"/>
                <w:highlight w:val="none"/>
              </w:rPr>
            </w:pPr>
          </w:p>
        </w:tc>
        <w:tc>
          <w:tcPr>
            <w:tcW w:w="1134" w:type="dxa"/>
          </w:tcPr>
          <w:p w14:paraId="7FF50E2F">
            <w:pPr>
              <w:rPr>
                <w:rFonts w:hint="eastAsia" w:ascii="仿宋" w:hAnsi="仿宋" w:eastAsia="仿宋" w:cs="仿宋"/>
                <w:color w:val="auto"/>
                <w:highlight w:val="none"/>
              </w:rPr>
            </w:pPr>
          </w:p>
        </w:tc>
      </w:tr>
      <w:tr w14:paraId="6E7AC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6" w:hRule="atLeast"/>
        </w:trPr>
        <w:tc>
          <w:tcPr>
            <w:tcW w:w="673" w:type="dxa"/>
          </w:tcPr>
          <w:p w14:paraId="3C6F789E">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34" w:type="dxa"/>
          </w:tcPr>
          <w:p w14:paraId="1B7312F4">
            <w:pPr>
              <w:rPr>
                <w:rFonts w:hint="eastAsia" w:ascii="仿宋" w:hAnsi="仿宋" w:eastAsia="仿宋" w:cs="仿宋"/>
                <w:color w:val="auto"/>
                <w:highlight w:val="none"/>
              </w:rPr>
            </w:pPr>
          </w:p>
        </w:tc>
        <w:tc>
          <w:tcPr>
            <w:tcW w:w="1276" w:type="dxa"/>
          </w:tcPr>
          <w:p w14:paraId="28AACE0B">
            <w:pPr>
              <w:rPr>
                <w:rFonts w:hint="eastAsia" w:ascii="仿宋" w:hAnsi="仿宋" w:eastAsia="仿宋" w:cs="仿宋"/>
                <w:color w:val="auto"/>
                <w:highlight w:val="none"/>
              </w:rPr>
            </w:pPr>
          </w:p>
        </w:tc>
        <w:tc>
          <w:tcPr>
            <w:tcW w:w="1134" w:type="dxa"/>
          </w:tcPr>
          <w:p w14:paraId="3BAF46B3">
            <w:pPr>
              <w:rPr>
                <w:rFonts w:hint="eastAsia" w:ascii="仿宋" w:hAnsi="仿宋" w:eastAsia="仿宋" w:cs="仿宋"/>
                <w:color w:val="auto"/>
                <w:highlight w:val="none"/>
              </w:rPr>
            </w:pPr>
          </w:p>
        </w:tc>
        <w:tc>
          <w:tcPr>
            <w:tcW w:w="1418" w:type="dxa"/>
          </w:tcPr>
          <w:p w14:paraId="4E381E8A">
            <w:pPr>
              <w:rPr>
                <w:rFonts w:hint="eastAsia" w:ascii="仿宋" w:hAnsi="仿宋" w:eastAsia="仿宋" w:cs="仿宋"/>
                <w:color w:val="auto"/>
                <w:highlight w:val="none"/>
              </w:rPr>
            </w:pPr>
          </w:p>
        </w:tc>
        <w:tc>
          <w:tcPr>
            <w:tcW w:w="1134" w:type="dxa"/>
          </w:tcPr>
          <w:p w14:paraId="59F861FB">
            <w:pPr>
              <w:rPr>
                <w:rFonts w:hint="eastAsia" w:ascii="仿宋" w:hAnsi="仿宋" w:eastAsia="仿宋" w:cs="仿宋"/>
                <w:color w:val="auto"/>
                <w:highlight w:val="none"/>
              </w:rPr>
            </w:pPr>
          </w:p>
        </w:tc>
        <w:tc>
          <w:tcPr>
            <w:tcW w:w="992" w:type="dxa"/>
          </w:tcPr>
          <w:p w14:paraId="28D3CFD3">
            <w:pPr>
              <w:rPr>
                <w:rFonts w:hint="eastAsia" w:ascii="仿宋" w:hAnsi="仿宋" w:eastAsia="仿宋" w:cs="仿宋"/>
                <w:color w:val="auto"/>
                <w:highlight w:val="none"/>
              </w:rPr>
            </w:pPr>
          </w:p>
        </w:tc>
        <w:tc>
          <w:tcPr>
            <w:tcW w:w="1134" w:type="dxa"/>
          </w:tcPr>
          <w:p w14:paraId="60D88BDF">
            <w:pPr>
              <w:rPr>
                <w:rFonts w:hint="eastAsia" w:ascii="仿宋" w:hAnsi="仿宋" w:eastAsia="仿宋" w:cs="仿宋"/>
                <w:color w:val="auto"/>
                <w:highlight w:val="none"/>
              </w:rPr>
            </w:pPr>
          </w:p>
        </w:tc>
      </w:tr>
      <w:tr w14:paraId="59DB9E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777EAAF1">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1134" w:type="dxa"/>
          </w:tcPr>
          <w:p w14:paraId="5170CF91">
            <w:pPr>
              <w:rPr>
                <w:rFonts w:hint="eastAsia" w:ascii="仿宋" w:hAnsi="仿宋" w:eastAsia="仿宋" w:cs="仿宋"/>
                <w:color w:val="auto"/>
                <w:highlight w:val="none"/>
              </w:rPr>
            </w:pPr>
          </w:p>
        </w:tc>
        <w:tc>
          <w:tcPr>
            <w:tcW w:w="1276" w:type="dxa"/>
          </w:tcPr>
          <w:p w14:paraId="6FD7DCCB">
            <w:pPr>
              <w:rPr>
                <w:rFonts w:hint="eastAsia" w:ascii="仿宋" w:hAnsi="仿宋" w:eastAsia="仿宋" w:cs="仿宋"/>
                <w:color w:val="auto"/>
                <w:highlight w:val="none"/>
              </w:rPr>
            </w:pPr>
          </w:p>
        </w:tc>
        <w:tc>
          <w:tcPr>
            <w:tcW w:w="1134" w:type="dxa"/>
          </w:tcPr>
          <w:p w14:paraId="473E3FE5">
            <w:pPr>
              <w:rPr>
                <w:rFonts w:hint="eastAsia" w:ascii="仿宋" w:hAnsi="仿宋" w:eastAsia="仿宋" w:cs="仿宋"/>
                <w:color w:val="auto"/>
                <w:highlight w:val="none"/>
              </w:rPr>
            </w:pPr>
          </w:p>
        </w:tc>
        <w:tc>
          <w:tcPr>
            <w:tcW w:w="1418" w:type="dxa"/>
          </w:tcPr>
          <w:p w14:paraId="3A26209D">
            <w:pPr>
              <w:rPr>
                <w:rFonts w:hint="eastAsia" w:ascii="仿宋" w:hAnsi="仿宋" w:eastAsia="仿宋" w:cs="仿宋"/>
                <w:color w:val="auto"/>
                <w:highlight w:val="none"/>
              </w:rPr>
            </w:pPr>
          </w:p>
        </w:tc>
        <w:tc>
          <w:tcPr>
            <w:tcW w:w="1134" w:type="dxa"/>
          </w:tcPr>
          <w:p w14:paraId="63BDFA81">
            <w:pPr>
              <w:rPr>
                <w:rFonts w:hint="eastAsia" w:ascii="仿宋" w:hAnsi="仿宋" w:eastAsia="仿宋" w:cs="仿宋"/>
                <w:color w:val="auto"/>
                <w:highlight w:val="none"/>
              </w:rPr>
            </w:pPr>
          </w:p>
        </w:tc>
        <w:tc>
          <w:tcPr>
            <w:tcW w:w="992" w:type="dxa"/>
          </w:tcPr>
          <w:p w14:paraId="0A400E0B">
            <w:pPr>
              <w:rPr>
                <w:rFonts w:hint="eastAsia" w:ascii="仿宋" w:hAnsi="仿宋" w:eastAsia="仿宋" w:cs="仿宋"/>
                <w:color w:val="auto"/>
                <w:highlight w:val="none"/>
              </w:rPr>
            </w:pPr>
          </w:p>
        </w:tc>
        <w:tc>
          <w:tcPr>
            <w:tcW w:w="1134" w:type="dxa"/>
          </w:tcPr>
          <w:p w14:paraId="5667740B">
            <w:pPr>
              <w:rPr>
                <w:rFonts w:hint="eastAsia" w:ascii="仿宋" w:hAnsi="仿宋" w:eastAsia="仿宋" w:cs="仿宋"/>
                <w:color w:val="auto"/>
                <w:highlight w:val="none"/>
              </w:rPr>
            </w:pPr>
          </w:p>
        </w:tc>
      </w:tr>
      <w:tr w14:paraId="01F413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5965A335">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w:t>
            </w:r>
          </w:p>
        </w:tc>
        <w:tc>
          <w:tcPr>
            <w:tcW w:w="1134" w:type="dxa"/>
          </w:tcPr>
          <w:p w14:paraId="2B330D55">
            <w:pPr>
              <w:rPr>
                <w:rFonts w:hint="eastAsia" w:ascii="仿宋" w:hAnsi="仿宋" w:eastAsia="仿宋" w:cs="仿宋"/>
                <w:color w:val="auto"/>
                <w:highlight w:val="none"/>
              </w:rPr>
            </w:pPr>
          </w:p>
        </w:tc>
        <w:tc>
          <w:tcPr>
            <w:tcW w:w="1276" w:type="dxa"/>
          </w:tcPr>
          <w:p w14:paraId="609350FD">
            <w:pPr>
              <w:rPr>
                <w:rFonts w:hint="eastAsia" w:ascii="仿宋" w:hAnsi="仿宋" w:eastAsia="仿宋" w:cs="仿宋"/>
                <w:color w:val="auto"/>
                <w:highlight w:val="none"/>
              </w:rPr>
            </w:pPr>
          </w:p>
        </w:tc>
        <w:tc>
          <w:tcPr>
            <w:tcW w:w="1134" w:type="dxa"/>
          </w:tcPr>
          <w:p w14:paraId="0E96F552">
            <w:pPr>
              <w:rPr>
                <w:rFonts w:hint="eastAsia" w:ascii="仿宋" w:hAnsi="仿宋" w:eastAsia="仿宋" w:cs="仿宋"/>
                <w:color w:val="auto"/>
                <w:highlight w:val="none"/>
              </w:rPr>
            </w:pPr>
          </w:p>
        </w:tc>
        <w:tc>
          <w:tcPr>
            <w:tcW w:w="1418" w:type="dxa"/>
          </w:tcPr>
          <w:p w14:paraId="504E047C">
            <w:pPr>
              <w:rPr>
                <w:rFonts w:hint="eastAsia" w:ascii="仿宋" w:hAnsi="仿宋" w:eastAsia="仿宋" w:cs="仿宋"/>
                <w:color w:val="auto"/>
                <w:highlight w:val="none"/>
              </w:rPr>
            </w:pPr>
          </w:p>
        </w:tc>
        <w:tc>
          <w:tcPr>
            <w:tcW w:w="1134" w:type="dxa"/>
          </w:tcPr>
          <w:p w14:paraId="5C0EDDA4">
            <w:pPr>
              <w:rPr>
                <w:rFonts w:hint="eastAsia" w:ascii="仿宋" w:hAnsi="仿宋" w:eastAsia="仿宋" w:cs="仿宋"/>
                <w:color w:val="auto"/>
                <w:highlight w:val="none"/>
              </w:rPr>
            </w:pPr>
          </w:p>
        </w:tc>
        <w:tc>
          <w:tcPr>
            <w:tcW w:w="992" w:type="dxa"/>
          </w:tcPr>
          <w:p w14:paraId="4159B931">
            <w:pPr>
              <w:rPr>
                <w:rFonts w:hint="eastAsia" w:ascii="仿宋" w:hAnsi="仿宋" w:eastAsia="仿宋" w:cs="仿宋"/>
                <w:color w:val="auto"/>
                <w:highlight w:val="none"/>
              </w:rPr>
            </w:pPr>
          </w:p>
        </w:tc>
        <w:tc>
          <w:tcPr>
            <w:tcW w:w="1134" w:type="dxa"/>
          </w:tcPr>
          <w:p w14:paraId="2A2253C2">
            <w:pPr>
              <w:rPr>
                <w:rFonts w:hint="eastAsia" w:ascii="仿宋" w:hAnsi="仿宋" w:eastAsia="仿宋" w:cs="仿宋"/>
                <w:color w:val="auto"/>
                <w:highlight w:val="none"/>
              </w:rPr>
            </w:pPr>
          </w:p>
        </w:tc>
      </w:tr>
      <w:tr w14:paraId="533DA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75" w:hRule="atLeast"/>
        </w:trPr>
        <w:tc>
          <w:tcPr>
            <w:tcW w:w="673" w:type="dxa"/>
          </w:tcPr>
          <w:p w14:paraId="0BA9FB32">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1134" w:type="dxa"/>
          </w:tcPr>
          <w:p w14:paraId="131669B6">
            <w:pPr>
              <w:rPr>
                <w:rFonts w:hint="eastAsia" w:ascii="仿宋" w:hAnsi="仿宋" w:eastAsia="仿宋" w:cs="仿宋"/>
                <w:color w:val="auto"/>
                <w:highlight w:val="none"/>
              </w:rPr>
            </w:pPr>
          </w:p>
        </w:tc>
        <w:tc>
          <w:tcPr>
            <w:tcW w:w="1276" w:type="dxa"/>
          </w:tcPr>
          <w:p w14:paraId="5DE22C98">
            <w:pPr>
              <w:rPr>
                <w:rFonts w:hint="eastAsia" w:ascii="仿宋" w:hAnsi="仿宋" w:eastAsia="仿宋" w:cs="仿宋"/>
                <w:color w:val="auto"/>
                <w:highlight w:val="none"/>
              </w:rPr>
            </w:pPr>
          </w:p>
        </w:tc>
        <w:tc>
          <w:tcPr>
            <w:tcW w:w="1134" w:type="dxa"/>
          </w:tcPr>
          <w:p w14:paraId="48D5AABB">
            <w:pPr>
              <w:rPr>
                <w:rFonts w:hint="eastAsia" w:ascii="仿宋" w:hAnsi="仿宋" w:eastAsia="仿宋" w:cs="仿宋"/>
                <w:color w:val="auto"/>
                <w:highlight w:val="none"/>
              </w:rPr>
            </w:pPr>
          </w:p>
        </w:tc>
        <w:tc>
          <w:tcPr>
            <w:tcW w:w="1418" w:type="dxa"/>
          </w:tcPr>
          <w:p w14:paraId="4803B27B">
            <w:pPr>
              <w:rPr>
                <w:rFonts w:hint="eastAsia" w:ascii="仿宋" w:hAnsi="仿宋" w:eastAsia="仿宋" w:cs="仿宋"/>
                <w:color w:val="auto"/>
                <w:highlight w:val="none"/>
              </w:rPr>
            </w:pPr>
          </w:p>
        </w:tc>
        <w:tc>
          <w:tcPr>
            <w:tcW w:w="1134" w:type="dxa"/>
          </w:tcPr>
          <w:p w14:paraId="50E2FDC3">
            <w:pPr>
              <w:rPr>
                <w:rFonts w:hint="eastAsia" w:ascii="仿宋" w:hAnsi="仿宋" w:eastAsia="仿宋" w:cs="仿宋"/>
                <w:color w:val="auto"/>
                <w:highlight w:val="none"/>
              </w:rPr>
            </w:pPr>
          </w:p>
        </w:tc>
        <w:tc>
          <w:tcPr>
            <w:tcW w:w="992" w:type="dxa"/>
          </w:tcPr>
          <w:p w14:paraId="2F2DFCF4">
            <w:pPr>
              <w:rPr>
                <w:rFonts w:hint="eastAsia" w:ascii="仿宋" w:hAnsi="仿宋" w:eastAsia="仿宋" w:cs="仿宋"/>
                <w:color w:val="auto"/>
                <w:highlight w:val="none"/>
              </w:rPr>
            </w:pPr>
          </w:p>
        </w:tc>
        <w:tc>
          <w:tcPr>
            <w:tcW w:w="1134" w:type="dxa"/>
          </w:tcPr>
          <w:p w14:paraId="124DF1B0">
            <w:pPr>
              <w:rPr>
                <w:rFonts w:hint="eastAsia" w:ascii="仿宋" w:hAnsi="仿宋" w:eastAsia="仿宋" w:cs="仿宋"/>
                <w:color w:val="auto"/>
                <w:highlight w:val="none"/>
              </w:rPr>
            </w:pPr>
          </w:p>
        </w:tc>
      </w:tr>
      <w:tr w14:paraId="58C5E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4" w:hRule="atLeast"/>
        </w:trPr>
        <w:tc>
          <w:tcPr>
            <w:tcW w:w="673" w:type="dxa"/>
          </w:tcPr>
          <w:p w14:paraId="7F2E6971">
            <w:pPr>
              <w:pStyle w:val="31"/>
              <w:spacing w:before="252" w:line="184" w:lineRule="auto"/>
              <w:ind w:left="-2"/>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w:t>
            </w:r>
          </w:p>
        </w:tc>
        <w:tc>
          <w:tcPr>
            <w:tcW w:w="1134" w:type="dxa"/>
          </w:tcPr>
          <w:p w14:paraId="32901707">
            <w:pPr>
              <w:rPr>
                <w:rFonts w:hint="eastAsia" w:ascii="仿宋" w:hAnsi="仿宋" w:eastAsia="仿宋" w:cs="仿宋"/>
                <w:color w:val="auto"/>
                <w:highlight w:val="none"/>
              </w:rPr>
            </w:pPr>
          </w:p>
        </w:tc>
        <w:tc>
          <w:tcPr>
            <w:tcW w:w="1276" w:type="dxa"/>
          </w:tcPr>
          <w:p w14:paraId="5CD02E80">
            <w:pPr>
              <w:rPr>
                <w:rFonts w:hint="eastAsia" w:ascii="仿宋" w:hAnsi="仿宋" w:eastAsia="仿宋" w:cs="仿宋"/>
                <w:color w:val="auto"/>
                <w:highlight w:val="none"/>
              </w:rPr>
            </w:pPr>
          </w:p>
        </w:tc>
        <w:tc>
          <w:tcPr>
            <w:tcW w:w="1134" w:type="dxa"/>
          </w:tcPr>
          <w:p w14:paraId="3994BEDD">
            <w:pPr>
              <w:rPr>
                <w:rFonts w:hint="eastAsia" w:ascii="仿宋" w:hAnsi="仿宋" w:eastAsia="仿宋" w:cs="仿宋"/>
                <w:color w:val="auto"/>
                <w:highlight w:val="none"/>
              </w:rPr>
            </w:pPr>
          </w:p>
        </w:tc>
        <w:tc>
          <w:tcPr>
            <w:tcW w:w="1418" w:type="dxa"/>
          </w:tcPr>
          <w:p w14:paraId="1A6B0060">
            <w:pPr>
              <w:rPr>
                <w:rFonts w:hint="eastAsia" w:ascii="仿宋" w:hAnsi="仿宋" w:eastAsia="仿宋" w:cs="仿宋"/>
                <w:color w:val="auto"/>
                <w:highlight w:val="none"/>
              </w:rPr>
            </w:pPr>
          </w:p>
        </w:tc>
        <w:tc>
          <w:tcPr>
            <w:tcW w:w="1134" w:type="dxa"/>
          </w:tcPr>
          <w:p w14:paraId="15FA1F6C">
            <w:pPr>
              <w:rPr>
                <w:rFonts w:hint="eastAsia" w:ascii="仿宋" w:hAnsi="仿宋" w:eastAsia="仿宋" w:cs="仿宋"/>
                <w:color w:val="auto"/>
                <w:highlight w:val="none"/>
              </w:rPr>
            </w:pPr>
          </w:p>
        </w:tc>
        <w:tc>
          <w:tcPr>
            <w:tcW w:w="992" w:type="dxa"/>
          </w:tcPr>
          <w:p w14:paraId="37941CB8">
            <w:pPr>
              <w:rPr>
                <w:rFonts w:hint="eastAsia" w:ascii="仿宋" w:hAnsi="仿宋" w:eastAsia="仿宋" w:cs="仿宋"/>
                <w:color w:val="auto"/>
                <w:highlight w:val="none"/>
              </w:rPr>
            </w:pPr>
          </w:p>
        </w:tc>
        <w:tc>
          <w:tcPr>
            <w:tcW w:w="1134" w:type="dxa"/>
          </w:tcPr>
          <w:p w14:paraId="481E984F">
            <w:pPr>
              <w:rPr>
                <w:rFonts w:hint="eastAsia" w:ascii="仿宋" w:hAnsi="仿宋" w:eastAsia="仿宋" w:cs="仿宋"/>
                <w:color w:val="auto"/>
                <w:highlight w:val="none"/>
              </w:rPr>
            </w:pPr>
          </w:p>
        </w:tc>
      </w:tr>
    </w:tbl>
    <w:p w14:paraId="3AC48FD3">
      <w:pPr>
        <w:spacing w:before="116" w:line="347" w:lineRule="auto"/>
        <w:ind w:right="-30"/>
        <w:rPr>
          <w:rFonts w:hint="eastAsia" w:ascii="仿宋" w:hAnsi="仿宋" w:eastAsia="仿宋" w:cs="仿宋"/>
          <w:color w:val="auto"/>
          <w:spacing w:val="-3"/>
          <w:sz w:val="24"/>
          <w:szCs w:val="24"/>
          <w:highlight w:val="none"/>
          <w:lang w:eastAsia="zh-CN"/>
        </w:rPr>
      </w:pPr>
      <w:r>
        <w:rPr>
          <w:rFonts w:hint="eastAsia" w:ascii="仿宋" w:hAnsi="仿宋" w:eastAsia="仿宋" w:cs="仿宋"/>
          <w:color w:val="auto"/>
          <w:spacing w:val="-3"/>
          <w:sz w:val="24"/>
          <w:szCs w:val="24"/>
          <w:highlight w:val="none"/>
          <w:lang w:eastAsia="zh-CN"/>
        </w:rPr>
        <w:t>注：</w:t>
      </w:r>
      <w:r>
        <w:rPr>
          <w:rFonts w:hint="eastAsia" w:ascii="仿宋" w:hAnsi="仿宋" w:eastAsia="仿宋" w:cs="仿宋"/>
          <w:color w:val="auto"/>
          <w:highlight w:val="none"/>
          <w:lang w:eastAsia="zh-CN"/>
        </w:rPr>
        <w:t>须提供业绩相关证明材料。</w:t>
      </w:r>
    </w:p>
    <w:p w14:paraId="21CE5E02">
      <w:pPr>
        <w:spacing w:line="244" w:lineRule="auto"/>
        <w:rPr>
          <w:rFonts w:hint="eastAsia" w:ascii="仿宋" w:hAnsi="仿宋" w:eastAsia="仿宋" w:cs="仿宋"/>
          <w:color w:val="auto"/>
          <w:highlight w:val="none"/>
          <w:lang w:eastAsia="zh-CN"/>
        </w:rPr>
      </w:pPr>
    </w:p>
    <w:p w14:paraId="04F929BA">
      <w:pPr>
        <w:spacing w:line="244" w:lineRule="auto"/>
        <w:rPr>
          <w:rFonts w:hint="eastAsia" w:ascii="仿宋" w:hAnsi="仿宋" w:eastAsia="仿宋" w:cs="仿宋"/>
          <w:color w:val="auto"/>
          <w:highlight w:val="none"/>
          <w:lang w:eastAsia="zh-CN"/>
        </w:rPr>
      </w:pPr>
    </w:p>
    <w:p w14:paraId="65C2847B">
      <w:pPr>
        <w:spacing w:line="244" w:lineRule="auto"/>
        <w:rPr>
          <w:rFonts w:hint="eastAsia" w:ascii="仿宋" w:hAnsi="仿宋" w:eastAsia="仿宋" w:cs="仿宋"/>
          <w:color w:val="auto"/>
          <w:highlight w:val="none"/>
          <w:lang w:eastAsia="zh-CN"/>
        </w:rPr>
      </w:pPr>
    </w:p>
    <w:p w14:paraId="7261608F">
      <w:pPr>
        <w:spacing w:line="244" w:lineRule="auto"/>
        <w:rPr>
          <w:rFonts w:hint="eastAsia" w:ascii="仿宋" w:hAnsi="仿宋" w:eastAsia="仿宋" w:cs="仿宋"/>
          <w:color w:val="auto"/>
          <w:highlight w:val="none"/>
          <w:lang w:eastAsia="zh-CN"/>
        </w:rPr>
      </w:pPr>
    </w:p>
    <w:p w14:paraId="1CC25426">
      <w:pPr>
        <w:spacing w:before="78" w:line="347" w:lineRule="auto"/>
        <w:ind w:left="567" w:right="-30"/>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8"/>
          <w:sz w:val="24"/>
          <w:szCs w:val="24"/>
          <w:highlight w:val="none"/>
          <w:lang w:eastAsia="zh-CN"/>
        </w:rPr>
        <w:t>投标人名称（公章)：</w:t>
      </w:r>
    </w:p>
    <w:p w14:paraId="6622F591">
      <w:pPr>
        <w:spacing w:before="78" w:line="347" w:lineRule="auto"/>
        <w:ind w:left="567" w:right="-3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1"/>
          <w:sz w:val="24"/>
          <w:szCs w:val="24"/>
          <w:highlight w:val="none"/>
          <w:lang w:eastAsia="zh-CN"/>
        </w:rPr>
        <w:t>日期：</w:t>
      </w:r>
    </w:p>
    <w:p w14:paraId="6633AB9E">
      <w:pPr>
        <w:spacing w:line="273" w:lineRule="auto"/>
        <w:rPr>
          <w:rFonts w:hint="eastAsia" w:ascii="仿宋" w:hAnsi="仿宋" w:eastAsia="仿宋" w:cs="仿宋"/>
          <w:color w:val="auto"/>
          <w:highlight w:val="none"/>
          <w:lang w:eastAsia="zh-CN"/>
        </w:rPr>
      </w:pPr>
    </w:p>
    <w:p w14:paraId="674BB479">
      <w:pPr>
        <w:pageBreakBefore/>
        <w:spacing w:before="101" w:line="226" w:lineRule="auto"/>
        <w:jc w:val="center"/>
        <w:outlineLvl w:val="2"/>
        <w:rPr>
          <w:rFonts w:hint="eastAsia" w:ascii="仿宋" w:hAnsi="仿宋" w:eastAsia="仿宋" w:cs="仿宋"/>
          <w:b/>
          <w:bCs/>
          <w:color w:val="auto"/>
          <w:spacing w:val="1"/>
          <w:sz w:val="31"/>
          <w:szCs w:val="31"/>
          <w:highlight w:val="none"/>
          <w:lang w:eastAsia="zh-CN"/>
        </w:rPr>
      </w:pPr>
      <w:bookmarkStart w:id="447" w:name="bookmark269"/>
      <w:bookmarkEnd w:id="447"/>
      <w:bookmarkStart w:id="448" w:name="bookmark270"/>
      <w:bookmarkEnd w:id="448"/>
      <w:bookmarkStart w:id="449" w:name="_Toc186477820"/>
      <w:bookmarkStart w:id="450" w:name="_Toc27032"/>
      <w:r>
        <w:rPr>
          <w:rFonts w:hint="eastAsia" w:ascii="仿宋" w:hAnsi="仿宋" w:eastAsia="仿宋" w:cs="仿宋"/>
          <w:b/>
          <w:bCs/>
          <w:color w:val="auto"/>
          <w:spacing w:val="1"/>
          <w:sz w:val="31"/>
          <w:szCs w:val="31"/>
          <w:highlight w:val="none"/>
          <w:lang w:eastAsia="zh-CN"/>
        </w:rPr>
        <w:t>七、拟派项目团队</w:t>
      </w:r>
      <w:bookmarkEnd w:id="449"/>
      <w:bookmarkEnd w:id="450"/>
    </w:p>
    <w:p w14:paraId="5E576B42">
      <w:pPr>
        <w:spacing w:line="193" w:lineRule="exact"/>
        <w:rPr>
          <w:rFonts w:hint="eastAsia" w:ascii="仿宋" w:hAnsi="仿宋" w:eastAsia="仿宋" w:cs="仿宋"/>
          <w:color w:val="auto"/>
          <w:highlight w:val="none"/>
        </w:rPr>
      </w:pPr>
    </w:p>
    <w:tbl>
      <w:tblPr>
        <w:tblStyle w:val="22"/>
        <w:tblW w:w="92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78"/>
        <w:gridCol w:w="1266"/>
        <w:gridCol w:w="1295"/>
        <w:gridCol w:w="1772"/>
        <w:gridCol w:w="1887"/>
        <w:gridCol w:w="1438"/>
        <w:gridCol w:w="820"/>
      </w:tblGrid>
      <w:tr w14:paraId="0D437A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945" w:hRule="atLeast"/>
        </w:trPr>
        <w:tc>
          <w:tcPr>
            <w:tcW w:w="778" w:type="dxa"/>
            <w:vAlign w:val="center"/>
          </w:tcPr>
          <w:p w14:paraId="5ABAB2FE">
            <w:pPr>
              <w:pStyle w:val="31"/>
              <w:spacing w:before="197" w:line="230" w:lineRule="auto"/>
              <w:ind w:left="-71" w:right="-13"/>
              <w:jc w:val="center"/>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序号</w:t>
            </w:r>
          </w:p>
        </w:tc>
        <w:tc>
          <w:tcPr>
            <w:tcW w:w="1266" w:type="dxa"/>
            <w:vAlign w:val="center"/>
          </w:tcPr>
          <w:p w14:paraId="4771A951">
            <w:pPr>
              <w:pStyle w:val="31"/>
              <w:spacing w:before="197" w:line="230" w:lineRule="auto"/>
              <w:ind w:left="-71" w:right="-13"/>
              <w:jc w:val="center"/>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团队成员姓名</w:t>
            </w:r>
          </w:p>
        </w:tc>
        <w:tc>
          <w:tcPr>
            <w:tcW w:w="1295" w:type="dxa"/>
            <w:vAlign w:val="center"/>
          </w:tcPr>
          <w:p w14:paraId="6E79699B">
            <w:pPr>
              <w:pStyle w:val="31"/>
              <w:spacing w:before="197" w:line="230" w:lineRule="auto"/>
              <w:ind w:left="-71" w:right="-13"/>
              <w:jc w:val="center"/>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工作单位</w:t>
            </w:r>
          </w:p>
        </w:tc>
        <w:tc>
          <w:tcPr>
            <w:tcW w:w="1772" w:type="dxa"/>
            <w:vAlign w:val="center"/>
          </w:tcPr>
          <w:p w14:paraId="42D54FB4">
            <w:pPr>
              <w:pStyle w:val="31"/>
              <w:spacing w:before="197" w:line="230" w:lineRule="auto"/>
              <w:ind w:left="-71" w:right="-13"/>
              <w:jc w:val="center"/>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身份证号</w:t>
            </w:r>
          </w:p>
        </w:tc>
        <w:tc>
          <w:tcPr>
            <w:tcW w:w="1887" w:type="dxa"/>
            <w:vAlign w:val="center"/>
          </w:tcPr>
          <w:p w14:paraId="0C5F718E">
            <w:pPr>
              <w:pStyle w:val="31"/>
              <w:spacing w:before="197" w:line="230" w:lineRule="auto"/>
              <w:ind w:left="-71" w:right="-13"/>
              <w:jc w:val="center"/>
              <w:rPr>
                <w:rFonts w:hint="eastAsia" w:ascii="仿宋" w:hAnsi="仿宋" w:eastAsia="仿宋" w:cs="仿宋"/>
                <w:color w:val="auto"/>
                <w:spacing w:val="-8"/>
                <w:highlight w:val="none"/>
                <w:lang w:eastAsia="zh-CN"/>
              </w:rPr>
            </w:pPr>
            <w:r>
              <w:rPr>
                <w:rFonts w:hint="eastAsia" w:ascii="仿宋" w:hAnsi="仿宋" w:eastAsia="仿宋" w:cs="仿宋"/>
                <w:color w:val="auto"/>
                <w:spacing w:val="-8"/>
                <w:highlight w:val="none"/>
                <w:lang w:eastAsia="zh-CN"/>
              </w:rPr>
              <w:t>证书名称及编号</w:t>
            </w:r>
          </w:p>
        </w:tc>
        <w:tc>
          <w:tcPr>
            <w:tcW w:w="1438" w:type="dxa"/>
            <w:vAlign w:val="center"/>
          </w:tcPr>
          <w:p w14:paraId="4493FACD">
            <w:pPr>
              <w:pStyle w:val="31"/>
              <w:spacing w:before="197" w:line="230" w:lineRule="auto"/>
              <w:ind w:left="-71" w:right="-13" w:hanging="2"/>
              <w:jc w:val="center"/>
              <w:rPr>
                <w:rFonts w:hint="eastAsia" w:ascii="仿宋" w:hAnsi="仿宋" w:eastAsia="仿宋" w:cs="仿宋"/>
                <w:color w:val="auto"/>
                <w:spacing w:val="-8"/>
                <w:highlight w:val="none"/>
                <w:lang w:eastAsia="zh-CN"/>
              </w:rPr>
            </w:pPr>
            <w:r>
              <w:rPr>
                <w:rFonts w:hint="eastAsia" w:ascii="仿宋" w:hAnsi="仿宋" w:eastAsia="仿宋" w:cs="仿宋"/>
                <w:color w:val="auto"/>
                <w:spacing w:val="-8"/>
                <w:highlight w:val="none"/>
                <w:lang w:eastAsia="zh-CN"/>
              </w:rPr>
              <w:t>在团队中职务（岗位）</w:t>
            </w:r>
          </w:p>
        </w:tc>
        <w:tc>
          <w:tcPr>
            <w:tcW w:w="820" w:type="dxa"/>
            <w:vAlign w:val="center"/>
          </w:tcPr>
          <w:p w14:paraId="7C09565F">
            <w:pPr>
              <w:pStyle w:val="31"/>
              <w:spacing w:before="197" w:line="230" w:lineRule="auto"/>
              <w:ind w:left="-71" w:right="-13" w:hanging="25"/>
              <w:jc w:val="center"/>
              <w:rPr>
                <w:rFonts w:hint="eastAsia" w:ascii="仿宋" w:hAnsi="仿宋" w:eastAsia="仿宋" w:cs="仿宋"/>
                <w:color w:val="auto"/>
                <w:spacing w:val="-8"/>
                <w:highlight w:val="none"/>
              </w:rPr>
            </w:pPr>
            <w:r>
              <w:rPr>
                <w:rFonts w:hint="eastAsia" w:ascii="仿宋" w:hAnsi="仿宋" w:eastAsia="仿宋" w:cs="仿宋"/>
                <w:color w:val="auto"/>
                <w:spacing w:val="-8"/>
                <w:highlight w:val="none"/>
              </w:rPr>
              <w:t>自有/外聘</w:t>
            </w:r>
          </w:p>
        </w:tc>
      </w:tr>
      <w:tr w14:paraId="1F142F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70CA7005">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266" w:type="dxa"/>
            <w:vAlign w:val="center"/>
          </w:tcPr>
          <w:p w14:paraId="21386B73">
            <w:pPr>
              <w:jc w:val="center"/>
              <w:rPr>
                <w:rFonts w:hint="eastAsia" w:ascii="仿宋" w:hAnsi="仿宋" w:eastAsia="仿宋" w:cs="仿宋"/>
                <w:color w:val="auto"/>
                <w:sz w:val="24"/>
                <w:szCs w:val="24"/>
                <w:highlight w:val="none"/>
              </w:rPr>
            </w:pPr>
          </w:p>
        </w:tc>
        <w:tc>
          <w:tcPr>
            <w:tcW w:w="1295" w:type="dxa"/>
            <w:vAlign w:val="center"/>
          </w:tcPr>
          <w:p w14:paraId="0C7EE988">
            <w:pPr>
              <w:jc w:val="center"/>
              <w:rPr>
                <w:rFonts w:hint="eastAsia" w:ascii="仿宋" w:hAnsi="仿宋" w:eastAsia="仿宋" w:cs="仿宋"/>
                <w:color w:val="auto"/>
                <w:sz w:val="24"/>
                <w:szCs w:val="24"/>
                <w:highlight w:val="none"/>
              </w:rPr>
            </w:pPr>
          </w:p>
        </w:tc>
        <w:tc>
          <w:tcPr>
            <w:tcW w:w="1772" w:type="dxa"/>
            <w:vAlign w:val="center"/>
          </w:tcPr>
          <w:p w14:paraId="7BD1B635">
            <w:pPr>
              <w:jc w:val="center"/>
              <w:rPr>
                <w:rFonts w:hint="eastAsia" w:ascii="仿宋" w:hAnsi="仿宋" w:eastAsia="仿宋" w:cs="仿宋"/>
                <w:color w:val="auto"/>
                <w:sz w:val="24"/>
                <w:szCs w:val="24"/>
                <w:highlight w:val="none"/>
              </w:rPr>
            </w:pPr>
          </w:p>
        </w:tc>
        <w:tc>
          <w:tcPr>
            <w:tcW w:w="1887" w:type="dxa"/>
            <w:vAlign w:val="center"/>
          </w:tcPr>
          <w:p w14:paraId="37480B1C">
            <w:pPr>
              <w:jc w:val="center"/>
              <w:rPr>
                <w:rFonts w:hint="eastAsia" w:ascii="仿宋" w:hAnsi="仿宋" w:eastAsia="仿宋" w:cs="仿宋"/>
                <w:color w:val="auto"/>
                <w:sz w:val="24"/>
                <w:szCs w:val="24"/>
                <w:highlight w:val="none"/>
              </w:rPr>
            </w:pPr>
          </w:p>
        </w:tc>
        <w:tc>
          <w:tcPr>
            <w:tcW w:w="1438" w:type="dxa"/>
            <w:vAlign w:val="center"/>
          </w:tcPr>
          <w:p w14:paraId="61DF14C0">
            <w:pPr>
              <w:jc w:val="center"/>
              <w:rPr>
                <w:rFonts w:hint="eastAsia" w:ascii="仿宋" w:hAnsi="仿宋" w:eastAsia="仿宋" w:cs="仿宋"/>
                <w:color w:val="auto"/>
                <w:sz w:val="24"/>
                <w:szCs w:val="24"/>
                <w:highlight w:val="none"/>
              </w:rPr>
            </w:pPr>
          </w:p>
        </w:tc>
        <w:tc>
          <w:tcPr>
            <w:tcW w:w="820" w:type="dxa"/>
            <w:vAlign w:val="center"/>
          </w:tcPr>
          <w:p w14:paraId="462BF2F3">
            <w:pPr>
              <w:jc w:val="center"/>
              <w:rPr>
                <w:rFonts w:hint="eastAsia" w:ascii="仿宋" w:hAnsi="仿宋" w:eastAsia="仿宋" w:cs="仿宋"/>
                <w:color w:val="auto"/>
                <w:sz w:val="24"/>
                <w:szCs w:val="24"/>
                <w:highlight w:val="none"/>
              </w:rPr>
            </w:pPr>
          </w:p>
        </w:tc>
      </w:tr>
      <w:tr w14:paraId="4F6DDA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645C8504">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266" w:type="dxa"/>
            <w:vAlign w:val="center"/>
          </w:tcPr>
          <w:p w14:paraId="4C67DF1E">
            <w:pPr>
              <w:jc w:val="center"/>
              <w:rPr>
                <w:rFonts w:hint="eastAsia" w:ascii="仿宋" w:hAnsi="仿宋" w:eastAsia="仿宋" w:cs="仿宋"/>
                <w:color w:val="auto"/>
                <w:sz w:val="24"/>
                <w:szCs w:val="24"/>
                <w:highlight w:val="none"/>
              </w:rPr>
            </w:pPr>
          </w:p>
        </w:tc>
        <w:tc>
          <w:tcPr>
            <w:tcW w:w="1295" w:type="dxa"/>
            <w:vAlign w:val="center"/>
          </w:tcPr>
          <w:p w14:paraId="47E7549E">
            <w:pPr>
              <w:jc w:val="center"/>
              <w:rPr>
                <w:rFonts w:hint="eastAsia" w:ascii="仿宋" w:hAnsi="仿宋" w:eastAsia="仿宋" w:cs="仿宋"/>
                <w:color w:val="auto"/>
                <w:sz w:val="24"/>
                <w:szCs w:val="24"/>
                <w:highlight w:val="none"/>
              </w:rPr>
            </w:pPr>
          </w:p>
        </w:tc>
        <w:tc>
          <w:tcPr>
            <w:tcW w:w="1772" w:type="dxa"/>
            <w:vAlign w:val="center"/>
          </w:tcPr>
          <w:p w14:paraId="10A61F9F">
            <w:pPr>
              <w:jc w:val="center"/>
              <w:rPr>
                <w:rFonts w:hint="eastAsia" w:ascii="仿宋" w:hAnsi="仿宋" w:eastAsia="仿宋" w:cs="仿宋"/>
                <w:color w:val="auto"/>
                <w:sz w:val="24"/>
                <w:szCs w:val="24"/>
                <w:highlight w:val="none"/>
              </w:rPr>
            </w:pPr>
          </w:p>
        </w:tc>
        <w:tc>
          <w:tcPr>
            <w:tcW w:w="1887" w:type="dxa"/>
            <w:vAlign w:val="center"/>
          </w:tcPr>
          <w:p w14:paraId="5017D1A8">
            <w:pPr>
              <w:jc w:val="center"/>
              <w:rPr>
                <w:rFonts w:hint="eastAsia" w:ascii="仿宋" w:hAnsi="仿宋" w:eastAsia="仿宋" w:cs="仿宋"/>
                <w:color w:val="auto"/>
                <w:sz w:val="24"/>
                <w:szCs w:val="24"/>
                <w:highlight w:val="none"/>
              </w:rPr>
            </w:pPr>
          </w:p>
        </w:tc>
        <w:tc>
          <w:tcPr>
            <w:tcW w:w="1438" w:type="dxa"/>
            <w:vAlign w:val="center"/>
          </w:tcPr>
          <w:p w14:paraId="3CD2EB07">
            <w:pPr>
              <w:jc w:val="center"/>
              <w:rPr>
                <w:rFonts w:hint="eastAsia" w:ascii="仿宋" w:hAnsi="仿宋" w:eastAsia="仿宋" w:cs="仿宋"/>
                <w:color w:val="auto"/>
                <w:sz w:val="24"/>
                <w:szCs w:val="24"/>
                <w:highlight w:val="none"/>
              </w:rPr>
            </w:pPr>
          </w:p>
        </w:tc>
        <w:tc>
          <w:tcPr>
            <w:tcW w:w="820" w:type="dxa"/>
            <w:vAlign w:val="center"/>
          </w:tcPr>
          <w:p w14:paraId="028F52F3">
            <w:pPr>
              <w:jc w:val="center"/>
              <w:rPr>
                <w:rFonts w:hint="eastAsia" w:ascii="仿宋" w:hAnsi="仿宋" w:eastAsia="仿宋" w:cs="仿宋"/>
                <w:color w:val="auto"/>
                <w:sz w:val="24"/>
                <w:szCs w:val="24"/>
                <w:highlight w:val="none"/>
              </w:rPr>
            </w:pPr>
          </w:p>
        </w:tc>
      </w:tr>
      <w:tr w14:paraId="2D75F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44723F08">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266" w:type="dxa"/>
            <w:vAlign w:val="center"/>
          </w:tcPr>
          <w:p w14:paraId="6DE8F237">
            <w:pPr>
              <w:jc w:val="center"/>
              <w:rPr>
                <w:rFonts w:hint="eastAsia" w:ascii="仿宋" w:hAnsi="仿宋" w:eastAsia="仿宋" w:cs="仿宋"/>
                <w:color w:val="auto"/>
                <w:sz w:val="24"/>
                <w:szCs w:val="24"/>
                <w:highlight w:val="none"/>
              </w:rPr>
            </w:pPr>
          </w:p>
        </w:tc>
        <w:tc>
          <w:tcPr>
            <w:tcW w:w="1295" w:type="dxa"/>
            <w:vAlign w:val="center"/>
          </w:tcPr>
          <w:p w14:paraId="1CA11FCB">
            <w:pPr>
              <w:jc w:val="center"/>
              <w:rPr>
                <w:rFonts w:hint="eastAsia" w:ascii="仿宋" w:hAnsi="仿宋" w:eastAsia="仿宋" w:cs="仿宋"/>
                <w:color w:val="auto"/>
                <w:sz w:val="24"/>
                <w:szCs w:val="24"/>
                <w:highlight w:val="none"/>
              </w:rPr>
            </w:pPr>
          </w:p>
        </w:tc>
        <w:tc>
          <w:tcPr>
            <w:tcW w:w="1772" w:type="dxa"/>
            <w:vAlign w:val="center"/>
          </w:tcPr>
          <w:p w14:paraId="6C4D734E">
            <w:pPr>
              <w:jc w:val="center"/>
              <w:rPr>
                <w:rFonts w:hint="eastAsia" w:ascii="仿宋" w:hAnsi="仿宋" w:eastAsia="仿宋" w:cs="仿宋"/>
                <w:color w:val="auto"/>
                <w:sz w:val="24"/>
                <w:szCs w:val="24"/>
                <w:highlight w:val="none"/>
              </w:rPr>
            </w:pPr>
          </w:p>
        </w:tc>
        <w:tc>
          <w:tcPr>
            <w:tcW w:w="1887" w:type="dxa"/>
            <w:vAlign w:val="center"/>
          </w:tcPr>
          <w:p w14:paraId="724D58E4">
            <w:pPr>
              <w:jc w:val="center"/>
              <w:rPr>
                <w:rFonts w:hint="eastAsia" w:ascii="仿宋" w:hAnsi="仿宋" w:eastAsia="仿宋" w:cs="仿宋"/>
                <w:color w:val="auto"/>
                <w:sz w:val="24"/>
                <w:szCs w:val="24"/>
                <w:highlight w:val="none"/>
              </w:rPr>
            </w:pPr>
          </w:p>
        </w:tc>
        <w:tc>
          <w:tcPr>
            <w:tcW w:w="1438" w:type="dxa"/>
            <w:vAlign w:val="center"/>
          </w:tcPr>
          <w:p w14:paraId="1C580FDA">
            <w:pPr>
              <w:jc w:val="center"/>
              <w:rPr>
                <w:rFonts w:hint="eastAsia" w:ascii="仿宋" w:hAnsi="仿宋" w:eastAsia="仿宋" w:cs="仿宋"/>
                <w:color w:val="auto"/>
                <w:sz w:val="24"/>
                <w:szCs w:val="24"/>
                <w:highlight w:val="none"/>
              </w:rPr>
            </w:pPr>
          </w:p>
        </w:tc>
        <w:tc>
          <w:tcPr>
            <w:tcW w:w="820" w:type="dxa"/>
            <w:vAlign w:val="center"/>
          </w:tcPr>
          <w:p w14:paraId="7964DCC2">
            <w:pPr>
              <w:jc w:val="center"/>
              <w:rPr>
                <w:rFonts w:hint="eastAsia" w:ascii="仿宋" w:hAnsi="仿宋" w:eastAsia="仿宋" w:cs="仿宋"/>
                <w:color w:val="auto"/>
                <w:sz w:val="24"/>
                <w:szCs w:val="24"/>
                <w:highlight w:val="none"/>
              </w:rPr>
            </w:pPr>
          </w:p>
        </w:tc>
      </w:tr>
      <w:tr w14:paraId="316C6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20D260E4">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266" w:type="dxa"/>
            <w:vAlign w:val="center"/>
          </w:tcPr>
          <w:p w14:paraId="41DBD1B6">
            <w:pPr>
              <w:jc w:val="center"/>
              <w:rPr>
                <w:rFonts w:hint="eastAsia" w:ascii="仿宋" w:hAnsi="仿宋" w:eastAsia="仿宋" w:cs="仿宋"/>
                <w:color w:val="auto"/>
                <w:sz w:val="24"/>
                <w:szCs w:val="24"/>
                <w:highlight w:val="none"/>
              </w:rPr>
            </w:pPr>
          </w:p>
        </w:tc>
        <w:tc>
          <w:tcPr>
            <w:tcW w:w="1295" w:type="dxa"/>
            <w:vAlign w:val="center"/>
          </w:tcPr>
          <w:p w14:paraId="29090684">
            <w:pPr>
              <w:jc w:val="center"/>
              <w:rPr>
                <w:rFonts w:hint="eastAsia" w:ascii="仿宋" w:hAnsi="仿宋" w:eastAsia="仿宋" w:cs="仿宋"/>
                <w:color w:val="auto"/>
                <w:sz w:val="24"/>
                <w:szCs w:val="24"/>
                <w:highlight w:val="none"/>
              </w:rPr>
            </w:pPr>
          </w:p>
        </w:tc>
        <w:tc>
          <w:tcPr>
            <w:tcW w:w="1772" w:type="dxa"/>
            <w:vAlign w:val="center"/>
          </w:tcPr>
          <w:p w14:paraId="5A4BAFCC">
            <w:pPr>
              <w:jc w:val="center"/>
              <w:rPr>
                <w:rFonts w:hint="eastAsia" w:ascii="仿宋" w:hAnsi="仿宋" w:eastAsia="仿宋" w:cs="仿宋"/>
                <w:color w:val="auto"/>
                <w:sz w:val="24"/>
                <w:szCs w:val="24"/>
                <w:highlight w:val="none"/>
              </w:rPr>
            </w:pPr>
          </w:p>
        </w:tc>
        <w:tc>
          <w:tcPr>
            <w:tcW w:w="1887" w:type="dxa"/>
            <w:vAlign w:val="center"/>
          </w:tcPr>
          <w:p w14:paraId="24A407A4">
            <w:pPr>
              <w:jc w:val="center"/>
              <w:rPr>
                <w:rFonts w:hint="eastAsia" w:ascii="仿宋" w:hAnsi="仿宋" w:eastAsia="仿宋" w:cs="仿宋"/>
                <w:color w:val="auto"/>
                <w:sz w:val="24"/>
                <w:szCs w:val="24"/>
                <w:highlight w:val="none"/>
              </w:rPr>
            </w:pPr>
          </w:p>
        </w:tc>
        <w:tc>
          <w:tcPr>
            <w:tcW w:w="1438" w:type="dxa"/>
            <w:vAlign w:val="center"/>
          </w:tcPr>
          <w:p w14:paraId="43C5F2F3">
            <w:pPr>
              <w:jc w:val="center"/>
              <w:rPr>
                <w:rFonts w:hint="eastAsia" w:ascii="仿宋" w:hAnsi="仿宋" w:eastAsia="仿宋" w:cs="仿宋"/>
                <w:color w:val="auto"/>
                <w:sz w:val="24"/>
                <w:szCs w:val="24"/>
                <w:highlight w:val="none"/>
              </w:rPr>
            </w:pPr>
          </w:p>
        </w:tc>
        <w:tc>
          <w:tcPr>
            <w:tcW w:w="820" w:type="dxa"/>
            <w:vAlign w:val="center"/>
          </w:tcPr>
          <w:p w14:paraId="1C061BFC">
            <w:pPr>
              <w:jc w:val="center"/>
              <w:rPr>
                <w:rFonts w:hint="eastAsia" w:ascii="仿宋" w:hAnsi="仿宋" w:eastAsia="仿宋" w:cs="仿宋"/>
                <w:color w:val="auto"/>
                <w:sz w:val="24"/>
                <w:szCs w:val="24"/>
                <w:highlight w:val="none"/>
              </w:rPr>
            </w:pPr>
          </w:p>
        </w:tc>
      </w:tr>
      <w:tr w14:paraId="570E6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1" w:hRule="atLeast"/>
        </w:trPr>
        <w:tc>
          <w:tcPr>
            <w:tcW w:w="778" w:type="dxa"/>
            <w:vAlign w:val="center"/>
          </w:tcPr>
          <w:p w14:paraId="268CCEE4">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266" w:type="dxa"/>
            <w:vAlign w:val="center"/>
          </w:tcPr>
          <w:p w14:paraId="02E9C11F">
            <w:pPr>
              <w:jc w:val="center"/>
              <w:rPr>
                <w:rFonts w:hint="eastAsia" w:ascii="仿宋" w:hAnsi="仿宋" w:eastAsia="仿宋" w:cs="仿宋"/>
                <w:color w:val="auto"/>
                <w:sz w:val="24"/>
                <w:szCs w:val="24"/>
                <w:highlight w:val="none"/>
              </w:rPr>
            </w:pPr>
          </w:p>
        </w:tc>
        <w:tc>
          <w:tcPr>
            <w:tcW w:w="1295" w:type="dxa"/>
            <w:vAlign w:val="center"/>
          </w:tcPr>
          <w:p w14:paraId="5CA26FE4">
            <w:pPr>
              <w:jc w:val="center"/>
              <w:rPr>
                <w:rFonts w:hint="eastAsia" w:ascii="仿宋" w:hAnsi="仿宋" w:eastAsia="仿宋" w:cs="仿宋"/>
                <w:color w:val="auto"/>
                <w:sz w:val="24"/>
                <w:szCs w:val="24"/>
                <w:highlight w:val="none"/>
              </w:rPr>
            </w:pPr>
          </w:p>
        </w:tc>
        <w:tc>
          <w:tcPr>
            <w:tcW w:w="1772" w:type="dxa"/>
            <w:vAlign w:val="center"/>
          </w:tcPr>
          <w:p w14:paraId="5EAB6F6C">
            <w:pPr>
              <w:jc w:val="center"/>
              <w:rPr>
                <w:rFonts w:hint="eastAsia" w:ascii="仿宋" w:hAnsi="仿宋" w:eastAsia="仿宋" w:cs="仿宋"/>
                <w:color w:val="auto"/>
                <w:sz w:val="24"/>
                <w:szCs w:val="24"/>
                <w:highlight w:val="none"/>
              </w:rPr>
            </w:pPr>
          </w:p>
        </w:tc>
        <w:tc>
          <w:tcPr>
            <w:tcW w:w="1887" w:type="dxa"/>
            <w:vAlign w:val="center"/>
          </w:tcPr>
          <w:p w14:paraId="71DE5ACC">
            <w:pPr>
              <w:jc w:val="center"/>
              <w:rPr>
                <w:rFonts w:hint="eastAsia" w:ascii="仿宋" w:hAnsi="仿宋" w:eastAsia="仿宋" w:cs="仿宋"/>
                <w:color w:val="auto"/>
                <w:sz w:val="24"/>
                <w:szCs w:val="24"/>
                <w:highlight w:val="none"/>
              </w:rPr>
            </w:pPr>
          </w:p>
        </w:tc>
        <w:tc>
          <w:tcPr>
            <w:tcW w:w="1438" w:type="dxa"/>
            <w:vAlign w:val="center"/>
          </w:tcPr>
          <w:p w14:paraId="7A4E38C5">
            <w:pPr>
              <w:jc w:val="center"/>
              <w:rPr>
                <w:rFonts w:hint="eastAsia" w:ascii="仿宋" w:hAnsi="仿宋" w:eastAsia="仿宋" w:cs="仿宋"/>
                <w:color w:val="auto"/>
                <w:sz w:val="24"/>
                <w:szCs w:val="24"/>
                <w:highlight w:val="none"/>
              </w:rPr>
            </w:pPr>
          </w:p>
        </w:tc>
        <w:tc>
          <w:tcPr>
            <w:tcW w:w="820" w:type="dxa"/>
            <w:vAlign w:val="center"/>
          </w:tcPr>
          <w:p w14:paraId="25E4D6BA">
            <w:pPr>
              <w:jc w:val="center"/>
              <w:rPr>
                <w:rFonts w:hint="eastAsia" w:ascii="仿宋" w:hAnsi="仿宋" w:eastAsia="仿宋" w:cs="仿宋"/>
                <w:color w:val="auto"/>
                <w:sz w:val="24"/>
                <w:szCs w:val="24"/>
                <w:highlight w:val="none"/>
              </w:rPr>
            </w:pPr>
          </w:p>
        </w:tc>
      </w:tr>
      <w:tr w14:paraId="386A6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5F641BB2">
            <w:pPr>
              <w:pStyle w:val="31"/>
              <w:spacing w:before="257" w:line="184" w:lineRule="auto"/>
              <w:ind w:left="-144" w:right="-2" w:rightChars="-1"/>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w:t>
            </w:r>
          </w:p>
        </w:tc>
        <w:tc>
          <w:tcPr>
            <w:tcW w:w="1266" w:type="dxa"/>
            <w:vAlign w:val="center"/>
          </w:tcPr>
          <w:p w14:paraId="1E876F48">
            <w:pPr>
              <w:jc w:val="center"/>
              <w:rPr>
                <w:rFonts w:hint="eastAsia" w:ascii="仿宋" w:hAnsi="仿宋" w:eastAsia="仿宋" w:cs="仿宋"/>
                <w:color w:val="auto"/>
                <w:sz w:val="24"/>
                <w:szCs w:val="24"/>
                <w:highlight w:val="none"/>
              </w:rPr>
            </w:pPr>
          </w:p>
        </w:tc>
        <w:tc>
          <w:tcPr>
            <w:tcW w:w="1295" w:type="dxa"/>
            <w:vAlign w:val="center"/>
          </w:tcPr>
          <w:p w14:paraId="4CC4DB0C">
            <w:pPr>
              <w:jc w:val="center"/>
              <w:rPr>
                <w:rFonts w:hint="eastAsia" w:ascii="仿宋" w:hAnsi="仿宋" w:eastAsia="仿宋" w:cs="仿宋"/>
                <w:color w:val="auto"/>
                <w:sz w:val="24"/>
                <w:szCs w:val="24"/>
                <w:highlight w:val="none"/>
              </w:rPr>
            </w:pPr>
          </w:p>
        </w:tc>
        <w:tc>
          <w:tcPr>
            <w:tcW w:w="1772" w:type="dxa"/>
            <w:vAlign w:val="center"/>
          </w:tcPr>
          <w:p w14:paraId="3714368C">
            <w:pPr>
              <w:jc w:val="center"/>
              <w:rPr>
                <w:rFonts w:hint="eastAsia" w:ascii="仿宋" w:hAnsi="仿宋" w:eastAsia="仿宋" w:cs="仿宋"/>
                <w:color w:val="auto"/>
                <w:sz w:val="24"/>
                <w:szCs w:val="24"/>
                <w:highlight w:val="none"/>
              </w:rPr>
            </w:pPr>
          </w:p>
        </w:tc>
        <w:tc>
          <w:tcPr>
            <w:tcW w:w="1887" w:type="dxa"/>
            <w:vAlign w:val="center"/>
          </w:tcPr>
          <w:p w14:paraId="1D7D74E0">
            <w:pPr>
              <w:jc w:val="center"/>
              <w:rPr>
                <w:rFonts w:hint="eastAsia" w:ascii="仿宋" w:hAnsi="仿宋" w:eastAsia="仿宋" w:cs="仿宋"/>
                <w:color w:val="auto"/>
                <w:sz w:val="24"/>
                <w:szCs w:val="24"/>
                <w:highlight w:val="none"/>
              </w:rPr>
            </w:pPr>
          </w:p>
        </w:tc>
        <w:tc>
          <w:tcPr>
            <w:tcW w:w="1438" w:type="dxa"/>
            <w:vAlign w:val="center"/>
          </w:tcPr>
          <w:p w14:paraId="70F96AF2">
            <w:pPr>
              <w:jc w:val="center"/>
              <w:rPr>
                <w:rFonts w:hint="eastAsia" w:ascii="仿宋" w:hAnsi="仿宋" w:eastAsia="仿宋" w:cs="仿宋"/>
                <w:color w:val="auto"/>
                <w:sz w:val="24"/>
                <w:szCs w:val="24"/>
                <w:highlight w:val="none"/>
              </w:rPr>
            </w:pPr>
          </w:p>
        </w:tc>
        <w:tc>
          <w:tcPr>
            <w:tcW w:w="820" w:type="dxa"/>
            <w:vAlign w:val="center"/>
          </w:tcPr>
          <w:p w14:paraId="2B88C13F">
            <w:pPr>
              <w:jc w:val="center"/>
              <w:rPr>
                <w:rFonts w:hint="eastAsia" w:ascii="仿宋" w:hAnsi="仿宋" w:eastAsia="仿宋" w:cs="仿宋"/>
                <w:color w:val="auto"/>
                <w:sz w:val="24"/>
                <w:szCs w:val="24"/>
                <w:highlight w:val="none"/>
              </w:rPr>
            </w:pPr>
          </w:p>
        </w:tc>
      </w:tr>
      <w:tr w14:paraId="033DC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65031D46">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438700CA">
            <w:pPr>
              <w:jc w:val="center"/>
              <w:rPr>
                <w:rFonts w:hint="eastAsia" w:ascii="仿宋" w:hAnsi="仿宋" w:eastAsia="仿宋" w:cs="仿宋"/>
                <w:color w:val="auto"/>
                <w:sz w:val="24"/>
                <w:szCs w:val="24"/>
                <w:highlight w:val="none"/>
              </w:rPr>
            </w:pPr>
          </w:p>
        </w:tc>
        <w:tc>
          <w:tcPr>
            <w:tcW w:w="1295" w:type="dxa"/>
            <w:vAlign w:val="center"/>
          </w:tcPr>
          <w:p w14:paraId="2D36109D">
            <w:pPr>
              <w:jc w:val="center"/>
              <w:rPr>
                <w:rFonts w:hint="eastAsia" w:ascii="仿宋" w:hAnsi="仿宋" w:eastAsia="仿宋" w:cs="仿宋"/>
                <w:color w:val="auto"/>
                <w:sz w:val="24"/>
                <w:szCs w:val="24"/>
                <w:highlight w:val="none"/>
              </w:rPr>
            </w:pPr>
          </w:p>
        </w:tc>
        <w:tc>
          <w:tcPr>
            <w:tcW w:w="1772" w:type="dxa"/>
            <w:vAlign w:val="center"/>
          </w:tcPr>
          <w:p w14:paraId="0E28189A">
            <w:pPr>
              <w:jc w:val="center"/>
              <w:rPr>
                <w:rFonts w:hint="eastAsia" w:ascii="仿宋" w:hAnsi="仿宋" w:eastAsia="仿宋" w:cs="仿宋"/>
                <w:color w:val="auto"/>
                <w:sz w:val="24"/>
                <w:szCs w:val="24"/>
                <w:highlight w:val="none"/>
              </w:rPr>
            </w:pPr>
          </w:p>
        </w:tc>
        <w:tc>
          <w:tcPr>
            <w:tcW w:w="1887" w:type="dxa"/>
            <w:vAlign w:val="center"/>
          </w:tcPr>
          <w:p w14:paraId="33447CF3">
            <w:pPr>
              <w:jc w:val="center"/>
              <w:rPr>
                <w:rFonts w:hint="eastAsia" w:ascii="仿宋" w:hAnsi="仿宋" w:eastAsia="仿宋" w:cs="仿宋"/>
                <w:color w:val="auto"/>
                <w:sz w:val="24"/>
                <w:szCs w:val="24"/>
                <w:highlight w:val="none"/>
              </w:rPr>
            </w:pPr>
          </w:p>
        </w:tc>
        <w:tc>
          <w:tcPr>
            <w:tcW w:w="1438" w:type="dxa"/>
            <w:vAlign w:val="center"/>
          </w:tcPr>
          <w:p w14:paraId="657A482C">
            <w:pPr>
              <w:jc w:val="center"/>
              <w:rPr>
                <w:rFonts w:hint="eastAsia" w:ascii="仿宋" w:hAnsi="仿宋" w:eastAsia="仿宋" w:cs="仿宋"/>
                <w:color w:val="auto"/>
                <w:sz w:val="24"/>
                <w:szCs w:val="24"/>
                <w:highlight w:val="none"/>
              </w:rPr>
            </w:pPr>
          </w:p>
        </w:tc>
        <w:tc>
          <w:tcPr>
            <w:tcW w:w="820" w:type="dxa"/>
            <w:vAlign w:val="center"/>
          </w:tcPr>
          <w:p w14:paraId="1F2FAE48">
            <w:pPr>
              <w:jc w:val="center"/>
              <w:rPr>
                <w:rFonts w:hint="eastAsia" w:ascii="仿宋" w:hAnsi="仿宋" w:eastAsia="仿宋" w:cs="仿宋"/>
                <w:color w:val="auto"/>
                <w:sz w:val="24"/>
                <w:szCs w:val="24"/>
                <w:highlight w:val="none"/>
              </w:rPr>
            </w:pPr>
          </w:p>
        </w:tc>
      </w:tr>
      <w:tr w14:paraId="310A02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734906B1">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53929C14">
            <w:pPr>
              <w:jc w:val="center"/>
              <w:rPr>
                <w:rFonts w:hint="eastAsia" w:ascii="仿宋" w:hAnsi="仿宋" w:eastAsia="仿宋" w:cs="仿宋"/>
                <w:color w:val="auto"/>
                <w:sz w:val="24"/>
                <w:szCs w:val="24"/>
                <w:highlight w:val="none"/>
              </w:rPr>
            </w:pPr>
          </w:p>
        </w:tc>
        <w:tc>
          <w:tcPr>
            <w:tcW w:w="1295" w:type="dxa"/>
            <w:vAlign w:val="center"/>
          </w:tcPr>
          <w:p w14:paraId="3A7A8BB3">
            <w:pPr>
              <w:jc w:val="center"/>
              <w:rPr>
                <w:rFonts w:hint="eastAsia" w:ascii="仿宋" w:hAnsi="仿宋" w:eastAsia="仿宋" w:cs="仿宋"/>
                <w:color w:val="auto"/>
                <w:sz w:val="24"/>
                <w:szCs w:val="24"/>
                <w:highlight w:val="none"/>
              </w:rPr>
            </w:pPr>
          </w:p>
        </w:tc>
        <w:tc>
          <w:tcPr>
            <w:tcW w:w="1772" w:type="dxa"/>
            <w:vAlign w:val="center"/>
          </w:tcPr>
          <w:p w14:paraId="0A4E231A">
            <w:pPr>
              <w:jc w:val="center"/>
              <w:rPr>
                <w:rFonts w:hint="eastAsia" w:ascii="仿宋" w:hAnsi="仿宋" w:eastAsia="仿宋" w:cs="仿宋"/>
                <w:color w:val="auto"/>
                <w:sz w:val="24"/>
                <w:szCs w:val="24"/>
                <w:highlight w:val="none"/>
              </w:rPr>
            </w:pPr>
          </w:p>
        </w:tc>
        <w:tc>
          <w:tcPr>
            <w:tcW w:w="1887" w:type="dxa"/>
            <w:vAlign w:val="center"/>
          </w:tcPr>
          <w:p w14:paraId="72A56473">
            <w:pPr>
              <w:jc w:val="center"/>
              <w:rPr>
                <w:rFonts w:hint="eastAsia" w:ascii="仿宋" w:hAnsi="仿宋" w:eastAsia="仿宋" w:cs="仿宋"/>
                <w:color w:val="auto"/>
                <w:sz w:val="24"/>
                <w:szCs w:val="24"/>
                <w:highlight w:val="none"/>
              </w:rPr>
            </w:pPr>
          </w:p>
        </w:tc>
        <w:tc>
          <w:tcPr>
            <w:tcW w:w="1438" w:type="dxa"/>
            <w:vAlign w:val="center"/>
          </w:tcPr>
          <w:p w14:paraId="4E0B7EF8">
            <w:pPr>
              <w:jc w:val="center"/>
              <w:rPr>
                <w:rFonts w:hint="eastAsia" w:ascii="仿宋" w:hAnsi="仿宋" w:eastAsia="仿宋" w:cs="仿宋"/>
                <w:color w:val="auto"/>
                <w:sz w:val="24"/>
                <w:szCs w:val="24"/>
                <w:highlight w:val="none"/>
              </w:rPr>
            </w:pPr>
          </w:p>
        </w:tc>
        <w:tc>
          <w:tcPr>
            <w:tcW w:w="820" w:type="dxa"/>
            <w:vAlign w:val="center"/>
          </w:tcPr>
          <w:p w14:paraId="2A12DF37">
            <w:pPr>
              <w:jc w:val="center"/>
              <w:rPr>
                <w:rFonts w:hint="eastAsia" w:ascii="仿宋" w:hAnsi="仿宋" w:eastAsia="仿宋" w:cs="仿宋"/>
                <w:color w:val="auto"/>
                <w:sz w:val="24"/>
                <w:szCs w:val="24"/>
                <w:highlight w:val="none"/>
              </w:rPr>
            </w:pPr>
          </w:p>
        </w:tc>
      </w:tr>
      <w:tr w14:paraId="68A4D6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82" w:hRule="atLeast"/>
        </w:trPr>
        <w:tc>
          <w:tcPr>
            <w:tcW w:w="778" w:type="dxa"/>
            <w:vAlign w:val="center"/>
          </w:tcPr>
          <w:p w14:paraId="68190579">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22F3DEDB">
            <w:pPr>
              <w:jc w:val="center"/>
              <w:rPr>
                <w:rFonts w:hint="eastAsia" w:ascii="仿宋" w:hAnsi="仿宋" w:eastAsia="仿宋" w:cs="仿宋"/>
                <w:color w:val="auto"/>
                <w:sz w:val="24"/>
                <w:szCs w:val="24"/>
                <w:highlight w:val="none"/>
              </w:rPr>
            </w:pPr>
          </w:p>
        </w:tc>
        <w:tc>
          <w:tcPr>
            <w:tcW w:w="1295" w:type="dxa"/>
            <w:vAlign w:val="center"/>
          </w:tcPr>
          <w:p w14:paraId="00B9409E">
            <w:pPr>
              <w:jc w:val="center"/>
              <w:rPr>
                <w:rFonts w:hint="eastAsia" w:ascii="仿宋" w:hAnsi="仿宋" w:eastAsia="仿宋" w:cs="仿宋"/>
                <w:color w:val="auto"/>
                <w:sz w:val="24"/>
                <w:szCs w:val="24"/>
                <w:highlight w:val="none"/>
              </w:rPr>
            </w:pPr>
          </w:p>
        </w:tc>
        <w:tc>
          <w:tcPr>
            <w:tcW w:w="1772" w:type="dxa"/>
            <w:vAlign w:val="center"/>
          </w:tcPr>
          <w:p w14:paraId="5DF0A4B2">
            <w:pPr>
              <w:jc w:val="center"/>
              <w:rPr>
                <w:rFonts w:hint="eastAsia" w:ascii="仿宋" w:hAnsi="仿宋" w:eastAsia="仿宋" w:cs="仿宋"/>
                <w:color w:val="auto"/>
                <w:sz w:val="24"/>
                <w:szCs w:val="24"/>
                <w:highlight w:val="none"/>
              </w:rPr>
            </w:pPr>
          </w:p>
        </w:tc>
        <w:tc>
          <w:tcPr>
            <w:tcW w:w="1887" w:type="dxa"/>
            <w:vAlign w:val="center"/>
          </w:tcPr>
          <w:p w14:paraId="73EB1C73">
            <w:pPr>
              <w:jc w:val="center"/>
              <w:rPr>
                <w:rFonts w:hint="eastAsia" w:ascii="仿宋" w:hAnsi="仿宋" w:eastAsia="仿宋" w:cs="仿宋"/>
                <w:color w:val="auto"/>
                <w:sz w:val="24"/>
                <w:szCs w:val="24"/>
                <w:highlight w:val="none"/>
              </w:rPr>
            </w:pPr>
          </w:p>
        </w:tc>
        <w:tc>
          <w:tcPr>
            <w:tcW w:w="1438" w:type="dxa"/>
            <w:vAlign w:val="center"/>
          </w:tcPr>
          <w:p w14:paraId="1DAF60A4">
            <w:pPr>
              <w:jc w:val="center"/>
              <w:rPr>
                <w:rFonts w:hint="eastAsia" w:ascii="仿宋" w:hAnsi="仿宋" w:eastAsia="仿宋" w:cs="仿宋"/>
                <w:color w:val="auto"/>
                <w:sz w:val="24"/>
                <w:szCs w:val="24"/>
                <w:highlight w:val="none"/>
              </w:rPr>
            </w:pPr>
          </w:p>
        </w:tc>
        <w:tc>
          <w:tcPr>
            <w:tcW w:w="820" w:type="dxa"/>
            <w:vAlign w:val="center"/>
          </w:tcPr>
          <w:p w14:paraId="6C1B269A">
            <w:pPr>
              <w:jc w:val="center"/>
              <w:rPr>
                <w:rFonts w:hint="eastAsia" w:ascii="仿宋" w:hAnsi="仿宋" w:eastAsia="仿宋" w:cs="仿宋"/>
                <w:color w:val="auto"/>
                <w:sz w:val="24"/>
                <w:szCs w:val="24"/>
                <w:highlight w:val="none"/>
              </w:rPr>
            </w:pPr>
          </w:p>
        </w:tc>
      </w:tr>
      <w:tr w14:paraId="5C24C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98" w:hRule="atLeast"/>
        </w:trPr>
        <w:tc>
          <w:tcPr>
            <w:tcW w:w="778" w:type="dxa"/>
            <w:vAlign w:val="center"/>
          </w:tcPr>
          <w:p w14:paraId="16C71186">
            <w:pPr>
              <w:pStyle w:val="31"/>
              <w:spacing w:before="257" w:line="184" w:lineRule="auto"/>
              <w:ind w:left="-144" w:right="-2" w:rightChars="-1"/>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w:t>
            </w:r>
          </w:p>
        </w:tc>
        <w:tc>
          <w:tcPr>
            <w:tcW w:w="1266" w:type="dxa"/>
            <w:vAlign w:val="center"/>
          </w:tcPr>
          <w:p w14:paraId="6DF80DA8">
            <w:pPr>
              <w:jc w:val="center"/>
              <w:rPr>
                <w:rFonts w:hint="eastAsia" w:ascii="仿宋" w:hAnsi="仿宋" w:eastAsia="仿宋" w:cs="仿宋"/>
                <w:color w:val="auto"/>
                <w:sz w:val="24"/>
                <w:szCs w:val="24"/>
                <w:highlight w:val="none"/>
              </w:rPr>
            </w:pPr>
          </w:p>
        </w:tc>
        <w:tc>
          <w:tcPr>
            <w:tcW w:w="1295" w:type="dxa"/>
            <w:vAlign w:val="center"/>
          </w:tcPr>
          <w:p w14:paraId="6030C6E9">
            <w:pPr>
              <w:jc w:val="center"/>
              <w:rPr>
                <w:rFonts w:hint="eastAsia" w:ascii="仿宋" w:hAnsi="仿宋" w:eastAsia="仿宋" w:cs="仿宋"/>
                <w:color w:val="auto"/>
                <w:sz w:val="24"/>
                <w:szCs w:val="24"/>
                <w:highlight w:val="none"/>
              </w:rPr>
            </w:pPr>
          </w:p>
        </w:tc>
        <w:tc>
          <w:tcPr>
            <w:tcW w:w="1772" w:type="dxa"/>
            <w:vAlign w:val="center"/>
          </w:tcPr>
          <w:p w14:paraId="4A4BD39A">
            <w:pPr>
              <w:jc w:val="center"/>
              <w:rPr>
                <w:rFonts w:hint="eastAsia" w:ascii="仿宋" w:hAnsi="仿宋" w:eastAsia="仿宋" w:cs="仿宋"/>
                <w:color w:val="auto"/>
                <w:sz w:val="24"/>
                <w:szCs w:val="24"/>
                <w:highlight w:val="none"/>
              </w:rPr>
            </w:pPr>
          </w:p>
        </w:tc>
        <w:tc>
          <w:tcPr>
            <w:tcW w:w="1887" w:type="dxa"/>
            <w:vAlign w:val="center"/>
          </w:tcPr>
          <w:p w14:paraId="5A01978E">
            <w:pPr>
              <w:jc w:val="center"/>
              <w:rPr>
                <w:rFonts w:hint="eastAsia" w:ascii="仿宋" w:hAnsi="仿宋" w:eastAsia="仿宋" w:cs="仿宋"/>
                <w:color w:val="auto"/>
                <w:sz w:val="24"/>
                <w:szCs w:val="24"/>
                <w:highlight w:val="none"/>
              </w:rPr>
            </w:pPr>
          </w:p>
        </w:tc>
        <w:tc>
          <w:tcPr>
            <w:tcW w:w="1438" w:type="dxa"/>
            <w:vAlign w:val="center"/>
          </w:tcPr>
          <w:p w14:paraId="0A200FE9">
            <w:pPr>
              <w:jc w:val="center"/>
              <w:rPr>
                <w:rFonts w:hint="eastAsia" w:ascii="仿宋" w:hAnsi="仿宋" w:eastAsia="仿宋" w:cs="仿宋"/>
                <w:color w:val="auto"/>
                <w:sz w:val="24"/>
                <w:szCs w:val="24"/>
                <w:highlight w:val="none"/>
              </w:rPr>
            </w:pPr>
          </w:p>
        </w:tc>
        <w:tc>
          <w:tcPr>
            <w:tcW w:w="820" w:type="dxa"/>
            <w:vAlign w:val="center"/>
          </w:tcPr>
          <w:p w14:paraId="0B0F11A6">
            <w:pPr>
              <w:jc w:val="center"/>
              <w:rPr>
                <w:rFonts w:hint="eastAsia" w:ascii="仿宋" w:hAnsi="仿宋" w:eastAsia="仿宋" w:cs="仿宋"/>
                <w:color w:val="auto"/>
                <w:sz w:val="24"/>
                <w:szCs w:val="24"/>
                <w:highlight w:val="none"/>
              </w:rPr>
            </w:pPr>
          </w:p>
        </w:tc>
      </w:tr>
    </w:tbl>
    <w:p w14:paraId="095AC674">
      <w:pPr>
        <w:rPr>
          <w:rFonts w:hint="eastAsia" w:ascii="仿宋" w:hAnsi="仿宋" w:eastAsia="仿宋" w:cs="仿宋"/>
          <w:color w:val="auto"/>
          <w:highlight w:val="none"/>
        </w:rPr>
      </w:pPr>
    </w:p>
    <w:p w14:paraId="7A7BFA9F">
      <w:pPr>
        <w:spacing w:before="116" w:line="347" w:lineRule="auto"/>
        <w:ind w:right="-30"/>
        <w:rPr>
          <w:rFonts w:hint="eastAsia" w:ascii="仿宋" w:hAnsi="仿宋" w:eastAsia="仿宋" w:cs="仿宋"/>
          <w:color w:val="auto"/>
          <w:spacing w:val="-3"/>
          <w:sz w:val="24"/>
          <w:szCs w:val="24"/>
          <w:highlight w:val="none"/>
          <w:lang w:eastAsia="zh-CN"/>
        </w:rPr>
      </w:pPr>
      <w:bookmarkStart w:id="451" w:name="bookmark271"/>
      <w:bookmarkEnd w:id="451"/>
      <w:bookmarkStart w:id="452" w:name="bookmark272"/>
      <w:bookmarkEnd w:id="452"/>
      <w:r>
        <w:rPr>
          <w:rFonts w:hint="eastAsia" w:ascii="仿宋" w:hAnsi="仿宋" w:eastAsia="仿宋" w:cs="仿宋"/>
          <w:color w:val="auto"/>
          <w:spacing w:val="-3"/>
          <w:sz w:val="24"/>
          <w:szCs w:val="24"/>
          <w:highlight w:val="none"/>
          <w:lang w:eastAsia="zh-CN"/>
        </w:rPr>
        <w:t>注：</w:t>
      </w:r>
      <w:r>
        <w:rPr>
          <w:rFonts w:hint="eastAsia" w:ascii="仿宋" w:hAnsi="仿宋" w:eastAsia="仿宋" w:cs="仿宋"/>
          <w:color w:val="auto"/>
          <w:highlight w:val="none"/>
          <w:lang w:eastAsia="zh-CN"/>
        </w:rPr>
        <w:t>须提供拟派项目团队相关证明材料。</w:t>
      </w:r>
    </w:p>
    <w:p w14:paraId="014AA598">
      <w:pPr>
        <w:spacing w:line="248" w:lineRule="auto"/>
        <w:rPr>
          <w:rFonts w:hint="eastAsia" w:ascii="仿宋" w:hAnsi="仿宋" w:eastAsia="仿宋" w:cs="仿宋"/>
          <w:color w:val="auto"/>
          <w:highlight w:val="none"/>
          <w:lang w:eastAsia="zh-CN"/>
        </w:rPr>
      </w:pPr>
    </w:p>
    <w:p w14:paraId="27BF6733">
      <w:pPr>
        <w:spacing w:line="248" w:lineRule="auto"/>
        <w:rPr>
          <w:rFonts w:hint="eastAsia" w:ascii="仿宋" w:hAnsi="仿宋" w:eastAsia="仿宋" w:cs="仿宋"/>
          <w:color w:val="auto"/>
          <w:highlight w:val="none"/>
          <w:lang w:eastAsia="zh-CN"/>
        </w:rPr>
      </w:pPr>
    </w:p>
    <w:p w14:paraId="74E6E518">
      <w:pPr>
        <w:spacing w:line="248" w:lineRule="auto"/>
        <w:rPr>
          <w:rFonts w:hint="eastAsia" w:ascii="仿宋" w:hAnsi="仿宋" w:eastAsia="仿宋" w:cs="仿宋"/>
          <w:color w:val="auto"/>
          <w:highlight w:val="none"/>
          <w:lang w:eastAsia="zh-CN"/>
        </w:rPr>
      </w:pPr>
    </w:p>
    <w:p w14:paraId="58EFBFB1">
      <w:pPr>
        <w:spacing w:line="249" w:lineRule="auto"/>
        <w:rPr>
          <w:rFonts w:hint="eastAsia" w:ascii="仿宋" w:hAnsi="仿宋" w:eastAsia="仿宋" w:cs="仿宋"/>
          <w:color w:val="auto"/>
          <w:highlight w:val="none"/>
          <w:lang w:eastAsia="zh-CN"/>
        </w:rPr>
      </w:pPr>
    </w:p>
    <w:p w14:paraId="0099D62D">
      <w:pPr>
        <w:rPr>
          <w:rFonts w:hint="eastAsia" w:ascii="仿宋" w:hAnsi="仿宋" w:eastAsia="仿宋" w:cs="仿宋"/>
          <w:b/>
          <w:bCs/>
          <w:color w:val="auto"/>
          <w:spacing w:val="4"/>
          <w:sz w:val="31"/>
          <w:szCs w:val="31"/>
          <w:highlight w:val="none"/>
          <w:lang w:eastAsia="zh-CN"/>
        </w:rPr>
      </w:pPr>
      <w:bookmarkStart w:id="453" w:name="bookmark273"/>
      <w:bookmarkEnd w:id="453"/>
      <w:bookmarkStart w:id="454" w:name="bookmark274"/>
      <w:bookmarkEnd w:id="454"/>
      <w:bookmarkStart w:id="455" w:name="_Toc186477822"/>
      <w:bookmarkStart w:id="456" w:name="_Toc11103"/>
      <w:r>
        <w:rPr>
          <w:rFonts w:hint="eastAsia" w:ascii="仿宋" w:hAnsi="仿宋" w:eastAsia="仿宋" w:cs="仿宋"/>
          <w:b/>
          <w:bCs/>
          <w:color w:val="auto"/>
          <w:spacing w:val="4"/>
          <w:sz w:val="31"/>
          <w:szCs w:val="31"/>
          <w:highlight w:val="none"/>
          <w:lang w:eastAsia="zh-CN"/>
        </w:rPr>
        <w:br w:type="page"/>
      </w:r>
    </w:p>
    <w:p w14:paraId="28BA2CE7">
      <w:pPr>
        <w:spacing w:before="101" w:line="225" w:lineRule="auto"/>
        <w:ind w:left="3217"/>
        <w:outlineLvl w:val="1"/>
        <w:rPr>
          <w:rFonts w:hint="eastAsia" w:ascii="仿宋" w:hAnsi="仿宋" w:eastAsia="仿宋" w:cs="仿宋"/>
          <w:color w:val="auto"/>
          <w:sz w:val="31"/>
          <w:szCs w:val="31"/>
          <w:highlight w:val="none"/>
          <w:lang w:eastAsia="zh-CN"/>
        </w:rPr>
      </w:pPr>
      <w:r>
        <w:rPr>
          <w:rFonts w:hint="eastAsia" w:ascii="仿宋" w:hAnsi="仿宋" w:eastAsia="仿宋" w:cs="仿宋"/>
          <w:b/>
          <w:bCs/>
          <w:color w:val="auto"/>
          <w:spacing w:val="4"/>
          <w:sz w:val="31"/>
          <w:szCs w:val="31"/>
          <w:highlight w:val="none"/>
          <w:lang w:eastAsia="zh-CN"/>
        </w:rPr>
        <w:t>八、技术方案</w:t>
      </w:r>
      <w:bookmarkEnd w:id="455"/>
      <w:bookmarkEnd w:id="456"/>
    </w:p>
    <w:p w14:paraId="0959685F">
      <w:pPr>
        <w:spacing w:before="308" w:line="346" w:lineRule="auto"/>
        <w:ind w:left="25" w:right="1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投标人应按照招标文件的要求，提供详细的供货及相关服</w:t>
      </w:r>
      <w:r>
        <w:rPr>
          <w:rFonts w:hint="eastAsia" w:ascii="仿宋" w:hAnsi="仿宋" w:eastAsia="仿宋" w:cs="仿宋"/>
          <w:color w:val="auto"/>
          <w:spacing w:val="-4"/>
          <w:sz w:val="24"/>
          <w:szCs w:val="24"/>
          <w:highlight w:val="none"/>
          <w:lang w:eastAsia="zh-CN"/>
        </w:rPr>
        <w:t>务方案，包括文字</w:t>
      </w:r>
      <w:r>
        <w:rPr>
          <w:rFonts w:hint="eastAsia" w:ascii="仿宋" w:hAnsi="仿宋" w:eastAsia="仿宋" w:cs="仿宋"/>
          <w:color w:val="auto"/>
          <w:spacing w:val="-1"/>
          <w:sz w:val="24"/>
          <w:szCs w:val="24"/>
          <w:highlight w:val="none"/>
          <w:lang w:eastAsia="zh-CN"/>
        </w:rPr>
        <w:t>描述或图表显示。格式自拟。</w:t>
      </w:r>
    </w:p>
    <w:p w14:paraId="4605CA4F">
      <w:pPr>
        <w:spacing w:line="248" w:lineRule="auto"/>
        <w:rPr>
          <w:rFonts w:hint="eastAsia" w:ascii="仿宋" w:hAnsi="仿宋" w:eastAsia="仿宋" w:cs="仿宋"/>
          <w:color w:val="auto"/>
          <w:highlight w:val="none"/>
          <w:lang w:eastAsia="zh-CN"/>
        </w:rPr>
      </w:pPr>
    </w:p>
    <w:p w14:paraId="672F06F6">
      <w:pPr>
        <w:spacing w:before="101" w:line="225" w:lineRule="auto"/>
        <w:ind w:left="3056"/>
        <w:outlineLvl w:val="1"/>
        <w:rPr>
          <w:rFonts w:hint="eastAsia" w:ascii="仿宋" w:hAnsi="仿宋" w:eastAsia="仿宋" w:cs="仿宋"/>
          <w:color w:val="auto"/>
          <w:sz w:val="31"/>
          <w:szCs w:val="31"/>
          <w:highlight w:val="none"/>
          <w:lang w:eastAsia="zh-CN"/>
        </w:rPr>
      </w:pPr>
      <w:bookmarkStart w:id="457" w:name="bookmark276"/>
      <w:bookmarkEnd w:id="457"/>
      <w:bookmarkStart w:id="458" w:name="_Toc29725"/>
      <w:bookmarkStart w:id="459" w:name="_Toc186477823"/>
      <w:r>
        <w:rPr>
          <w:rFonts w:hint="eastAsia" w:ascii="仿宋" w:hAnsi="仿宋" w:eastAsia="仿宋" w:cs="仿宋"/>
          <w:b/>
          <w:bCs/>
          <w:color w:val="auto"/>
          <w:spacing w:val="5"/>
          <w:sz w:val="31"/>
          <w:szCs w:val="31"/>
          <w:highlight w:val="none"/>
          <w:lang w:eastAsia="zh-CN"/>
        </w:rPr>
        <w:t>九、其他文件</w:t>
      </w:r>
      <w:bookmarkEnd w:id="458"/>
      <w:bookmarkEnd w:id="459"/>
    </w:p>
    <w:p w14:paraId="122AEDD3">
      <w:pPr>
        <w:spacing w:line="271" w:lineRule="auto"/>
        <w:rPr>
          <w:rFonts w:hint="eastAsia" w:ascii="仿宋" w:hAnsi="仿宋" w:eastAsia="仿宋" w:cs="仿宋"/>
          <w:color w:val="auto"/>
          <w:highlight w:val="none"/>
          <w:lang w:eastAsia="zh-CN"/>
        </w:rPr>
      </w:pPr>
    </w:p>
    <w:p w14:paraId="13F2850E">
      <w:pPr>
        <w:spacing w:before="91" w:line="219" w:lineRule="auto"/>
        <w:ind w:left="33"/>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3"/>
          <w:sz w:val="28"/>
          <w:szCs w:val="28"/>
          <w:highlight w:val="none"/>
          <w:lang w:eastAsia="zh-CN"/>
        </w:rPr>
        <w:t>（一）招标文件要求提供的其它商务、技术资料和证明材料；</w:t>
      </w:r>
    </w:p>
    <w:p w14:paraId="59E735EA">
      <w:pPr>
        <w:spacing w:line="264"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投标保证金缴纳凭证/保函</w:t>
      </w:r>
    </w:p>
    <w:p w14:paraId="160C24F5">
      <w:pPr>
        <w:spacing w:line="264" w:lineRule="auto"/>
        <w:rPr>
          <w:rFonts w:hint="eastAsia" w:ascii="仿宋" w:hAnsi="仿宋" w:eastAsia="仿宋" w:cs="仿宋"/>
          <w:color w:val="auto"/>
          <w:highlight w:val="none"/>
          <w:lang w:eastAsia="zh-CN"/>
        </w:rPr>
      </w:pPr>
    </w:p>
    <w:p w14:paraId="6AF28166">
      <w:pPr>
        <w:spacing w:line="273" w:lineRule="auto"/>
        <w:rPr>
          <w:rFonts w:hint="eastAsia" w:ascii="仿宋" w:hAnsi="仿宋" w:eastAsia="仿宋" w:cs="仿宋"/>
          <w:color w:val="auto"/>
          <w:highlight w:val="none"/>
          <w:lang w:eastAsia="zh-CN"/>
        </w:rPr>
      </w:pPr>
    </w:p>
    <w:p w14:paraId="745B214F">
      <w:pPr>
        <w:spacing w:line="273" w:lineRule="auto"/>
        <w:rPr>
          <w:rFonts w:hint="eastAsia" w:ascii="仿宋" w:hAnsi="仿宋" w:eastAsia="仿宋" w:cs="仿宋"/>
          <w:color w:val="auto"/>
          <w:highlight w:val="none"/>
          <w:lang w:eastAsia="zh-CN"/>
        </w:rPr>
      </w:pPr>
    </w:p>
    <w:p w14:paraId="6719CC42">
      <w:pPr>
        <w:spacing w:line="273" w:lineRule="auto"/>
        <w:rPr>
          <w:rFonts w:hint="eastAsia" w:ascii="仿宋" w:hAnsi="仿宋" w:eastAsia="仿宋" w:cs="仿宋"/>
          <w:color w:val="auto"/>
          <w:highlight w:val="none"/>
          <w:lang w:eastAsia="zh-CN"/>
        </w:rPr>
      </w:pPr>
    </w:p>
    <w:p w14:paraId="71C43A83">
      <w:pPr>
        <w:spacing w:before="91" w:line="219" w:lineRule="auto"/>
        <w:ind w:left="33"/>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3"/>
          <w:sz w:val="28"/>
          <w:szCs w:val="28"/>
          <w:highlight w:val="none"/>
          <w:lang w:eastAsia="zh-CN"/>
        </w:rPr>
        <w:t>（二）投标人认为需要提供的其它商务、技术资料和说明。</w:t>
      </w:r>
    </w:p>
    <w:sectPr>
      <w:pgSz w:w="11906" w:h="16839"/>
      <w:pgMar w:top="1219" w:right="1416" w:bottom="1389" w:left="1786" w:header="868" w:footer="1185"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BC1F8">
    <w:pPr>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A0586">
    <w:pPr>
      <w:pStyle w:val="15"/>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BC5D5">
    <w:pPr>
      <w:pStyle w:val="15"/>
      <w:rPr>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E728B6">
                          <w:pPr>
                            <w:pStyle w:val="15"/>
                          </w:pPr>
                          <w:r>
                            <w:fldChar w:fldCharType="begin"/>
                          </w:r>
                          <w:r>
                            <w:instrText xml:space="preserve"> PAGE  \* MERGEFORMAT </w:instrText>
                          </w:r>
                          <w:r>
                            <w:fldChar w:fldCharType="separate"/>
                          </w:r>
                          <w:r>
                            <w:t>- 52 -</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41E728B6">
                    <w:pPr>
                      <w:pStyle w:val="15"/>
                    </w:pPr>
                    <w:r>
                      <w:fldChar w:fldCharType="begin"/>
                    </w:r>
                    <w:r>
                      <w:instrText xml:space="preserve"> PAGE  \* MERGEFORMAT </w:instrText>
                    </w:r>
                    <w:r>
                      <w:fldChar w:fldCharType="separate"/>
                    </w:r>
                    <w:r>
                      <w:t>- 52 -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9426">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016"/>
                          </w:sdtPr>
                          <w:sdtContent>
                            <w:p w14:paraId="2A378CC4">
                              <w:pPr>
                                <w:pStyle w:val="15"/>
                                <w:jc w:val="center"/>
                              </w:pPr>
                              <w:r>
                                <w:fldChar w:fldCharType="begin"/>
                              </w:r>
                              <w:r>
                                <w:instrText xml:space="preserve"> PAGE   \* MERGEFORMAT </w:instrText>
                              </w:r>
                              <w:r>
                                <w:fldChar w:fldCharType="separate"/>
                              </w:r>
                              <w:r>
                                <w:rPr>
                                  <w:lang w:val="zh-CN"/>
                                </w:rPr>
                                <w:t>88</w:t>
                              </w:r>
                              <w:r>
                                <w:rPr>
                                  <w:lang w:val="zh-CN"/>
                                </w:rPr>
                                <w:fldChar w:fldCharType="end"/>
                              </w:r>
                            </w:p>
                          </w:sdtContent>
                        </w:sdt>
                        <w:p w14:paraId="30200E73"/>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sdt>
                    <w:sdtPr>
                      <w:id w:val="147467016"/>
                    </w:sdtPr>
                    <w:sdtContent>
                      <w:p w14:paraId="2A378CC4">
                        <w:pPr>
                          <w:pStyle w:val="15"/>
                          <w:jc w:val="center"/>
                        </w:pPr>
                        <w:r>
                          <w:fldChar w:fldCharType="begin"/>
                        </w:r>
                        <w:r>
                          <w:instrText xml:space="preserve"> PAGE   \* MERGEFORMAT </w:instrText>
                        </w:r>
                        <w:r>
                          <w:fldChar w:fldCharType="separate"/>
                        </w:r>
                        <w:r>
                          <w:rPr>
                            <w:lang w:val="zh-CN"/>
                          </w:rPr>
                          <w:t>88</w:t>
                        </w:r>
                        <w:r>
                          <w:rPr>
                            <w:lang w:val="zh-CN"/>
                          </w:rPr>
                          <w:fldChar w:fldCharType="end"/>
                        </w:r>
                      </w:p>
                    </w:sdtContent>
                  </w:sdt>
                  <w:p w14:paraId="30200E73"/>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4D212">
    <w:pPr>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D617B">
    <w:pPr>
      <w:pStyle w:val="16"/>
      <w:ind w:firstLine="540" w:firstLineChars="300"/>
      <w:jc w:val="both"/>
      <w:rPr>
        <w:lang w:eastAsia="zh-CN"/>
      </w:rPr>
    </w:pPr>
    <w:r>
      <w:rPr>
        <w:lang w:eastAsia="zh-CN"/>
      </w:rPr>
      <w:drawing>
        <wp:anchor distT="0" distB="0" distL="114300" distR="114300" simplePos="0" relativeHeight="251659264" behindDoc="0" locked="0" layoutInCell="1" allowOverlap="1">
          <wp:simplePos x="0" y="0"/>
          <wp:positionH relativeFrom="column">
            <wp:posOffset>25400</wp:posOffset>
          </wp:positionH>
          <wp:positionV relativeFrom="paragraph">
            <wp:posOffset>-62865</wp:posOffset>
          </wp:positionV>
          <wp:extent cx="267335" cy="225425"/>
          <wp:effectExtent l="0" t="0" r="18415" b="317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267335" cy="225425"/>
                  </a:xfrm>
                  <a:prstGeom prst="rect">
                    <a:avLst/>
                  </a:prstGeom>
                  <a:noFill/>
                  <a:ln>
                    <a:noFill/>
                  </a:ln>
                </pic:spPr>
              </pic:pic>
            </a:graphicData>
          </a:graphic>
        </wp:anchor>
      </w:drawing>
    </w:r>
    <w:r>
      <w:rPr>
        <w:rFonts w:hint="eastAsia" w:ascii="仿宋" w:hAnsi="仿宋" w:eastAsia="仿宋"/>
        <w:b/>
        <w:bCs/>
        <w:sz w:val="21"/>
        <w:szCs w:val="21"/>
        <w:lang w:eastAsia="zh-CN"/>
      </w:rPr>
      <w:t>新疆新诚泰工程咨询有限公司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CA8E4">
    <w:pPr>
      <w:pStyle w:val="16"/>
      <w:jc w:val="right"/>
      <w:rPr>
        <w:lang w:eastAsia="zh-CN"/>
      </w:rPr>
    </w:pPr>
    <w:r>
      <w:rPr>
        <w:rFonts w:hint="eastAsia"/>
        <w:lang w:eastAsia="zh-CN"/>
      </w:rPr>
      <w:t>新疆新诚泰工程咨询有限公司</w:t>
    </w:r>
  </w:p>
  <w:p w14:paraId="09D82971">
    <w:pPr>
      <w:spacing w:before="21" w:line="219" w:lineRule="auto"/>
      <w:ind w:right="28"/>
      <w:jc w:val="right"/>
      <w:rPr>
        <w:rFonts w:hint="eastAsia" w:ascii="宋体" w:hAnsi="宋体" w:eastAsia="宋体" w:cs="宋体"/>
        <w:sz w:val="24"/>
        <w:szCs w:val="24"/>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D1BFB87"/>
    <w:multiLevelType w:val="singleLevel"/>
    <w:tmpl w:val="CD1BFB87"/>
    <w:lvl w:ilvl="0" w:tentative="0">
      <w:start w:val="3"/>
      <w:numFmt w:val="decimal"/>
      <w:lvlText w:val="%1."/>
      <w:lvlJc w:val="left"/>
      <w:pPr>
        <w:tabs>
          <w:tab w:val="left" w:pos="312"/>
        </w:tabs>
      </w:pPr>
    </w:lvl>
  </w:abstractNum>
  <w:abstractNum w:abstractNumId="2">
    <w:nsid w:val="D2930EBC"/>
    <w:multiLevelType w:val="singleLevel"/>
    <w:tmpl w:val="D2930EBC"/>
    <w:lvl w:ilvl="0" w:tentative="0">
      <w:start w:val="5"/>
      <w:numFmt w:val="chineseCounting"/>
      <w:suff w:val="nothing"/>
      <w:lvlText w:val="%1、"/>
      <w:lvlJc w:val="left"/>
      <w:rPr>
        <w:rFonts w:hint="eastAsia"/>
      </w:rPr>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981F65C"/>
    <w:multiLevelType w:val="singleLevel"/>
    <w:tmpl w:val="F981F65C"/>
    <w:lvl w:ilvl="0" w:tentative="0">
      <w:start w:val="1"/>
      <w:numFmt w:val="decimal"/>
      <w:lvlText w:val="%1."/>
      <w:lvlJc w:val="left"/>
      <w:pPr>
        <w:ind w:left="425" w:hanging="425"/>
      </w:pPr>
      <w:rPr>
        <w:rFonts w:hint="default"/>
      </w:rPr>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0000000B"/>
    <w:multiLevelType w:val="singleLevel"/>
    <w:tmpl w:val="0000000B"/>
    <w:lvl w:ilvl="0" w:tentative="0">
      <w:start w:val="1"/>
      <w:numFmt w:val="decimal"/>
      <w:suff w:val="nothing"/>
      <w:lvlText w:val="%1、"/>
      <w:lvlJc w:val="left"/>
    </w:lvl>
  </w:abstractNum>
  <w:abstractNum w:abstractNumId="9">
    <w:nsid w:val="00E5CB9B"/>
    <w:multiLevelType w:val="singleLevel"/>
    <w:tmpl w:val="00E5CB9B"/>
    <w:lvl w:ilvl="0" w:tentative="0">
      <w:start w:val="2"/>
      <w:numFmt w:val="decimal"/>
      <w:suff w:val="space"/>
      <w:lvlText w:val="%1."/>
      <w:lvlJc w:val="left"/>
    </w:lvl>
  </w:abstractNum>
  <w:abstractNum w:abstractNumId="10">
    <w:nsid w:val="31634186"/>
    <w:multiLevelType w:val="singleLevel"/>
    <w:tmpl w:val="31634186"/>
    <w:lvl w:ilvl="0" w:tentative="0">
      <w:start w:val="2"/>
      <w:numFmt w:val="chineseCounting"/>
      <w:suff w:val="nothing"/>
      <w:lvlText w:val="%1、"/>
      <w:lvlJc w:val="left"/>
      <w:rPr>
        <w:rFonts w:hint="eastAsia"/>
      </w:rPr>
    </w:lvl>
  </w:abstractNum>
  <w:abstractNum w:abstractNumId="11">
    <w:nsid w:val="4FDC0606"/>
    <w:multiLevelType w:val="singleLevel"/>
    <w:tmpl w:val="4FDC0606"/>
    <w:lvl w:ilvl="0" w:tentative="0">
      <w:start w:val="1"/>
      <w:numFmt w:val="decimal"/>
      <w:suff w:val="nothing"/>
      <w:lvlText w:val="（%1）"/>
      <w:lvlJc w:val="left"/>
    </w:lvl>
  </w:abstractNum>
  <w:abstractNum w:abstractNumId="12">
    <w:nsid w:val="51EA5993"/>
    <w:multiLevelType w:val="singleLevel"/>
    <w:tmpl w:val="51EA5993"/>
    <w:lvl w:ilvl="0" w:tentative="0">
      <w:start w:val="4"/>
      <w:numFmt w:val="decimal"/>
      <w:suff w:val="nothing"/>
      <w:lvlText w:val="（%1）"/>
      <w:lvlJc w:val="left"/>
    </w:lvl>
  </w:abstractNum>
  <w:abstractNum w:abstractNumId="13">
    <w:nsid w:val="55D45623"/>
    <w:multiLevelType w:val="singleLevel"/>
    <w:tmpl w:val="55D45623"/>
    <w:lvl w:ilvl="0" w:tentative="0">
      <w:start w:val="2"/>
      <w:numFmt w:val="chineseCounting"/>
      <w:suff w:val="nothing"/>
      <w:lvlText w:val="%1、"/>
      <w:lvlJc w:val="left"/>
      <w:rPr>
        <w:rFonts w:hint="eastAsia"/>
      </w:rPr>
    </w:lvl>
  </w:abstractNum>
  <w:num w:numId="1">
    <w:abstractNumId w:val="1"/>
  </w:num>
  <w:num w:numId="2">
    <w:abstractNumId w:val="11"/>
  </w:num>
  <w:num w:numId="3">
    <w:abstractNumId w:val="9"/>
  </w:num>
  <w:num w:numId="4">
    <w:abstractNumId w:val="13"/>
  </w:num>
  <w:num w:numId="5">
    <w:abstractNumId w:val="6"/>
  </w:num>
  <w:num w:numId="6">
    <w:abstractNumId w:val="12"/>
  </w:num>
  <w:num w:numId="7">
    <w:abstractNumId w:val="7"/>
  </w:num>
  <w:num w:numId="8">
    <w:abstractNumId w:val="4"/>
  </w:num>
  <w:num w:numId="9">
    <w:abstractNumId w:val="3"/>
  </w:num>
  <w:num w:numId="10">
    <w:abstractNumId w:val="0"/>
  </w:num>
  <w:num w:numId="11">
    <w:abstractNumId w:val="5"/>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zZDA2ZTkwMTMxY2Y4NDMxMjY5ZmIyOTY5ZWY5OGQifQ=="/>
  </w:docVars>
  <w:rsids>
    <w:rsidRoot w:val="00FB501B"/>
    <w:rsid w:val="00020EF7"/>
    <w:rsid w:val="00024CAA"/>
    <w:rsid w:val="00035C43"/>
    <w:rsid w:val="0003706D"/>
    <w:rsid w:val="00045658"/>
    <w:rsid w:val="000767B8"/>
    <w:rsid w:val="000B3EF2"/>
    <w:rsid w:val="000E469B"/>
    <w:rsid w:val="000E7403"/>
    <w:rsid w:val="000F499F"/>
    <w:rsid w:val="00106D58"/>
    <w:rsid w:val="00122430"/>
    <w:rsid w:val="001338C0"/>
    <w:rsid w:val="001348CE"/>
    <w:rsid w:val="00154359"/>
    <w:rsid w:val="00172780"/>
    <w:rsid w:val="00174815"/>
    <w:rsid w:val="00174989"/>
    <w:rsid w:val="00214313"/>
    <w:rsid w:val="0022181C"/>
    <w:rsid w:val="00223327"/>
    <w:rsid w:val="00264F8D"/>
    <w:rsid w:val="002706DE"/>
    <w:rsid w:val="002A2A9A"/>
    <w:rsid w:val="002B11E4"/>
    <w:rsid w:val="002C26D3"/>
    <w:rsid w:val="002E142C"/>
    <w:rsid w:val="002E37F4"/>
    <w:rsid w:val="003055F5"/>
    <w:rsid w:val="00344E78"/>
    <w:rsid w:val="00347CB4"/>
    <w:rsid w:val="00350E5B"/>
    <w:rsid w:val="003773AA"/>
    <w:rsid w:val="003E33B1"/>
    <w:rsid w:val="00405B1C"/>
    <w:rsid w:val="00425DD9"/>
    <w:rsid w:val="00436B8D"/>
    <w:rsid w:val="0044224D"/>
    <w:rsid w:val="00466466"/>
    <w:rsid w:val="004A465D"/>
    <w:rsid w:val="004A58B8"/>
    <w:rsid w:val="004A6297"/>
    <w:rsid w:val="004A6FFC"/>
    <w:rsid w:val="004C2EFB"/>
    <w:rsid w:val="004E349B"/>
    <w:rsid w:val="004E5F79"/>
    <w:rsid w:val="004F37D3"/>
    <w:rsid w:val="005073F4"/>
    <w:rsid w:val="00510490"/>
    <w:rsid w:val="00512AB7"/>
    <w:rsid w:val="00526408"/>
    <w:rsid w:val="00547ED5"/>
    <w:rsid w:val="00566F4E"/>
    <w:rsid w:val="00576836"/>
    <w:rsid w:val="00582081"/>
    <w:rsid w:val="005C0FD3"/>
    <w:rsid w:val="005C154A"/>
    <w:rsid w:val="005D4349"/>
    <w:rsid w:val="005F3464"/>
    <w:rsid w:val="005F70DF"/>
    <w:rsid w:val="0066030E"/>
    <w:rsid w:val="006A1289"/>
    <w:rsid w:val="006A3C44"/>
    <w:rsid w:val="006C32C4"/>
    <w:rsid w:val="006D18D4"/>
    <w:rsid w:val="00702FA7"/>
    <w:rsid w:val="00710C0F"/>
    <w:rsid w:val="007116D9"/>
    <w:rsid w:val="0074427B"/>
    <w:rsid w:val="007566BD"/>
    <w:rsid w:val="00761110"/>
    <w:rsid w:val="00775A24"/>
    <w:rsid w:val="00781B06"/>
    <w:rsid w:val="00783F99"/>
    <w:rsid w:val="007903F5"/>
    <w:rsid w:val="00794046"/>
    <w:rsid w:val="007D3357"/>
    <w:rsid w:val="00806A58"/>
    <w:rsid w:val="00813464"/>
    <w:rsid w:val="00815DF1"/>
    <w:rsid w:val="008300A9"/>
    <w:rsid w:val="00872BF4"/>
    <w:rsid w:val="008A1D54"/>
    <w:rsid w:val="008A43B7"/>
    <w:rsid w:val="008F5E35"/>
    <w:rsid w:val="00925314"/>
    <w:rsid w:val="00942585"/>
    <w:rsid w:val="0094292E"/>
    <w:rsid w:val="00970C99"/>
    <w:rsid w:val="00981945"/>
    <w:rsid w:val="00991AC7"/>
    <w:rsid w:val="00996850"/>
    <w:rsid w:val="00A136F4"/>
    <w:rsid w:val="00A36A39"/>
    <w:rsid w:val="00A42DD3"/>
    <w:rsid w:val="00A8470E"/>
    <w:rsid w:val="00AA5972"/>
    <w:rsid w:val="00AC001F"/>
    <w:rsid w:val="00AE7961"/>
    <w:rsid w:val="00B02EB8"/>
    <w:rsid w:val="00B56612"/>
    <w:rsid w:val="00B86503"/>
    <w:rsid w:val="00B96AB4"/>
    <w:rsid w:val="00BB7FC8"/>
    <w:rsid w:val="00BC50D9"/>
    <w:rsid w:val="00BD35F7"/>
    <w:rsid w:val="00C06CCD"/>
    <w:rsid w:val="00C33BC2"/>
    <w:rsid w:val="00C549EC"/>
    <w:rsid w:val="00C7389B"/>
    <w:rsid w:val="00C85D56"/>
    <w:rsid w:val="00CA68F2"/>
    <w:rsid w:val="00CA740D"/>
    <w:rsid w:val="00CB4532"/>
    <w:rsid w:val="00CC2729"/>
    <w:rsid w:val="00CC3DE0"/>
    <w:rsid w:val="00CC733F"/>
    <w:rsid w:val="00CE7E48"/>
    <w:rsid w:val="00CF1DFE"/>
    <w:rsid w:val="00D23C43"/>
    <w:rsid w:val="00D240E0"/>
    <w:rsid w:val="00D57338"/>
    <w:rsid w:val="00D61957"/>
    <w:rsid w:val="00DA1AD2"/>
    <w:rsid w:val="00DD0D24"/>
    <w:rsid w:val="00DE290E"/>
    <w:rsid w:val="00DE4DF1"/>
    <w:rsid w:val="00E23E90"/>
    <w:rsid w:val="00E3510A"/>
    <w:rsid w:val="00EB6B73"/>
    <w:rsid w:val="00EE4C78"/>
    <w:rsid w:val="00F02895"/>
    <w:rsid w:val="00F101A7"/>
    <w:rsid w:val="00F5485E"/>
    <w:rsid w:val="00F55821"/>
    <w:rsid w:val="00FB501B"/>
    <w:rsid w:val="00FC5A69"/>
    <w:rsid w:val="01040F3A"/>
    <w:rsid w:val="01115B19"/>
    <w:rsid w:val="012313A8"/>
    <w:rsid w:val="01374E54"/>
    <w:rsid w:val="014A2DD9"/>
    <w:rsid w:val="0179546C"/>
    <w:rsid w:val="01A87AFF"/>
    <w:rsid w:val="01FF3BC3"/>
    <w:rsid w:val="02070CCA"/>
    <w:rsid w:val="022B0E5C"/>
    <w:rsid w:val="025832D3"/>
    <w:rsid w:val="02AD7AC3"/>
    <w:rsid w:val="02C1356F"/>
    <w:rsid w:val="02FA438B"/>
    <w:rsid w:val="03351867"/>
    <w:rsid w:val="03802AE2"/>
    <w:rsid w:val="038C76D9"/>
    <w:rsid w:val="039F4141"/>
    <w:rsid w:val="03EA43FF"/>
    <w:rsid w:val="03F359AA"/>
    <w:rsid w:val="0438160E"/>
    <w:rsid w:val="04657F2A"/>
    <w:rsid w:val="04714B20"/>
    <w:rsid w:val="047D34C5"/>
    <w:rsid w:val="047F2D99"/>
    <w:rsid w:val="04AC292F"/>
    <w:rsid w:val="04FC3176"/>
    <w:rsid w:val="051060E7"/>
    <w:rsid w:val="052D6C99"/>
    <w:rsid w:val="05832D5D"/>
    <w:rsid w:val="05A0639A"/>
    <w:rsid w:val="06021ED4"/>
    <w:rsid w:val="06222576"/>
    <w:rsid w:val="0626226F"/>
    <w:rsid w:val="068723D9"/>
    <w:rsid w:val="06982838"/>
    <w:rsid w:val="06BE19DF"/>
    <w:rsid w:val="06C947A0"/>
    <w:rsid w:val="06F86E33"/>
    <w:rsid w:val="071023CF"/>
    <w:rsid w:val="07287ACA"/>
    <w:rsid w:val="077961C6"/>
    <w:rsid w:val="07BB058C"/>
    <w:rsid w:val="07E4402F"/>
    <w:rsid w:val="07E55609"/>
    <w:rsid w:val="07F341CA"/>
    <w:rsid w:val="083640B7"/>
    <w:rsid w:val="087D7F38"/>
    <w:rsid w:val="089B03BE"/>
    <w:rsid w:val="08AA23AF"/>
    <w:rsid w:val="08E04023"/>
    <w:rsid w:val="08F57ACE"/>
    <w:rsid w:val="08FF094D"/>
    <w:rsid w:val="095962AF"/>
    <w:rsid w:val="096C3CFF"/>
    <w:rsid w:val="09AB4631"/>
    <w:rsid w:val="09D75426"/>
    <w:rsid w:val="0A1E4E03"/>
    <w:rsid w:val="0AD6392F"/>
    <w:rsid w:val="0B6149B5"/>
    <w:rsid w:val="0B6947A3"/>
    <w:rsid w:val="0B705B32"/>
    <w:rsid w:val="0B9A2BAF"/>
    <w:rsid w:val="0B9F1F73"/>
    <w:rsid w:val="0BE45BD8"/>
    <w:rsid w:val="0BF26547"/>
    <w:rsid w:val="0C032502"/>
    <w:rsid w:val="0C6E02C3"/>
    <w:rsid w:val="0D307327"/>
    <w:rsid w:val="0D474670"/>
    <w:rsid w:val="0E1A3B33"/>
    <w:rsid w:val="0E5B4877"/>
    <w:rsid w:val="0F0547E3"/>
    <w:rsid w:val="0F29227F"/>
    <w:rsid w:val="0F4C73F7"/>
    <w:rsid w:val="0F543075"/>
    <w:rsid w:val="0F6A6B8F"/>
    <w:rsid w:val="0F9811B3"/>
    <w:rsid w:val="0FFA1E6E"/>
    <w:rsid w:val="10190546"/>
    <w:rsid w:val="10233173"/>
    <w:rsid w:val="10A122E9"/>
    <w:rsid w:val="10A67900"/>
    <w:rsid w:val="10AD2CB9"/>
    <w:rsid w:val="10C04E65"/>
    <w:rsid w:val="10D0497D"/>
    <w:rsid w:val="111B5623"/>
    <w:rsid w:val="11230F50"/>
    <w:rsid w:val="1173012A"/>
    <w:rsid w:val="11733C86"/>
    <w:rsid w:val="117A3266"/>
    <w:rsid w:val="11B04EDA"/>
    <w:rsid w:val="11E20E0C"/>
    <w:rsid w:val="120B0362"/>
    <w:rsid w:val="12204AD2"/>
    <w:rsid w:val="12307DC9"/>
    <w:rsid w:val="126C06FF"/>
    <w:rsid w:val="12714AC1"/>
    <w:rsid w:val="12971BF6"/>
    <w:rsid w:val="12BB7786"/>
    <w:rsid w:val="12BE7183"/>
    <w:rsid w:val="12DE7825"/>
    <w:rsid w:val="13053004"/>
    <w:rsid w:val="131C545C"/>
    <w:rsid w:val="13255454"/>
    <w:rsid w:val="135D2E40"/>
    <w:rsid w:val="13910349"/>
    <w:rsid w:val="13AD3054"/>
    <w:rsid w:val="13BB7B66"/>
    <w:rsid w:val="13D06142"/>
    <w:rsid w:val="13D1646B"/>
    <w:rsid w:val="142B6A9A"/>
    <w:rsid w:val="143F0797"/>
    <w:rsid w:val="14B73B0A"/>
    <w:rsid w:val="14ED79F6"/>
    <w:rsid w:val="14F9476E"/>
    <w:rsid w:val="150572EB"/>
    <w:rsid w:val="15485429"/>
    <w:rsid w:val="154D0C92"/>
    <w:rsid w:val="15813D7F"/>
    <w:rsid w:val="15897F1C"/>
    <w:rsid w:val="15D13671"/>
    <w:rsid w:val="160C46A9"/>
    <w:rsid w:val="16777D74"/>
    <w:rsid w:val="167F4E7B"/>
    <w:rsid w:val="16F2389F"/>
    <w:rsid w:val="1701289B"/>
    <w:rsid w:val="170B4E7F"/>
    <w:rsid w:val="171E4694"/>
    <w:rsid w:val="1740285C"/>
    <w:rsid w:val="17514A69"/>
    <w:rsid w:val="17832749"/>
    <w:rsid w:val="17EF578D"/>
    <w:rsid w:val="17F43DDB"/>
    <w:rsid w:val="18090783"/>
    <w:rsid w:val="185C36C6"/>
    <w:rsid w:val="18803607"/>
    <w:rsid w:val="18BF10D5"/>
    <w:rsid w:val="18C66D91"/>
    <w:rsid w:val="19424AEC"/>
    <w:rsid w:val="195645B9"/>
    <w:rsid w:val="198F1879"/>
    <w:rsid w:val="19B7492C"/>
    <w:rsid w:val="19CF7EC7"/>
    <w:rsid w:val="1A051B3B"/>
    <w:rsid w:val="1AC06801"/>
    <w:rsid w:val="1AD11A1D"/>
    <w:rsid w:val="1AD25EC1"/>
    <w:rsid w:val="1AE23C2A"/>
    <w:rsid w:val="1AF42297"/>
    <w:rsid w:val="1B0E2C71"/>
    <w:rsid w:val="1B2A49AF"/>
    <w:rsid w:val="1B60171F"/>
    <w:rsid w:val="1BA55A43"/>
    <w:rsid w:val="1BC03F6C"/>
    <w:rsid w:val="1BC822EB"/>
    <w:rsid w:val="1C2002B7"/>
    <w:rsid w:val="1C204A0A"/>
    <w:rsid w:val="1C282642"/>
    <w:rsid w:val="1C3D1600"/>
    <w:rsid w:val="1C3D2F00"/>
    <w:rsid w:val="1C5F3784"/>
    <w:rsid w:val="1CCC299E"/>
    <w:rsid w:val="1CF2284B"/>
    <w:rsid w:val="1D195EFE"/>
    <w:rsid w:val="1D2F75FB"/>
    <w:rsid w:val="1D631052"/>
    <w:rsid w:val="1EA25BAA"/>
    <w:rsid w:val="1EAD5ABE"/>
    <w:rsid w:val="1EFA3C38"/>
    <w:rsid w:val="1FA60048"/>
    <w:rsid w:val="1FC551B5"/>
    <w:rsid w:val="1FE30BF5"/>
    <w:rsid w:val="1FF52D69"/>
    <w:rsid w:val="205C7FDB"/>
    <w:rsid w:val="20DB53A4"/>
    <w:rsid w:val="20EA3839"/>
    <w:rsid w:val="20F87D04"/>
    <w:rsid w:val="210668C5"/>
    <w:rsid w:val="21315582"/>
    <w:rsid w:val="214967B1"/>
    <w:rsid w:val="216E6218"/>
    <w:rsid w:val="21C5052E"/>
    <w:rsid w:val="21F11323"/>
    <w:rsid w:val="21FA5CFD"/>
    <w:rsid w:val="22050563"/>
    <w:rsid w:val="221D66E6"/>
    <w:rsid w:val="222A4975"/>
    <w:rsid w:val="224B0651"/>
    <w:rsid w:val="224B1156"/>
    <w:rsid w:val="22603DB2"/>
    <w:rsid w:val="226C6BFB"/>
    <w:rsid w:val="227B6E3E"/>
    <w:rsid w:val="22C97BAA"/>
    <w:rsid w:val="236E0751"/>
    <w:rsid w:val="23700025"/>
    <w:rsid w:val="23733FB9"/>
    <w:rsid w:val="23977CA8"/>
    <w:rsid w:val="23B14FE2"/>
    <w:rsid w:val="23BF0FAD"/>
    <w:rsid w:val="23DF51AB"/>
    <w:rsid w:val="23EC5627"/>
    <w:rsid w:val="246B6A3F"/>
    <w:rsid w:val="248144B4"/>
    <w:rsid w:val="248C70E1"/>
    <w:rsid w:val="24A81A41"/>
    <w:rsid w:val="24DA01FA"/>
    <w:rsid w:val="24F627AC"/>
    <w:rsid w:val="25186BC6"/>
    <w:rsid w:val="25270278"/>
    <w:rsid w:val="25453733"/>
    <w:rsid w:val="25787665"/>
    <w:rsid w:val="258E22A9"/>
    <w:rsid w:val="2593624D"/>
    <w:rsid w:val="25A22934"/>
    <w:rsid w:val="25C74149"/>
    <w:rsid w:val="25D60697"/>
    <w:rsid w:val="2601765A"/>
    <w:rsid w:val="26115324"/>
    <w:rsid w:val="2628778F"/>
    <w:rsid w:val="266100F9"/>
    <w:rsid w:val="2666570F"/>
    <w:rsid w:val="26775B6F"/>
    <w:rsid w:val="26C16DEA"/>
    <w:rsid w:val="26E054C2"/>
    <w:rsid w:val="27716A62"/>
    <w:rsid w:val="27B801ED"/>
    <w:rsid w:val="27D310A5"/>
    <w:rsid w:val="27EB2370"/>
    <w:rsid w:val="28485A15"/>
    <w:rsid w:val="285056DB"/>
    <w:rsid w:val="28BA1D43"/>
    <w:rsid w:val="290020B1"/>
    <w:rsid w:val="29074326"/>
    <w:rsid w:val="290A2CCA"/>
    <w:rsid w:val="29325D7D"/>
    <w:rsid w:val="293B652A"/>
    <w:rsid w:val="298E56A9"/>
    <w:rsid w:val="299A22A0"/>
    <w:rsid w:val="29F82489"/>
    <w:rsid w:val="2A0616E3"/>
    <w:rsid w:val="2A187669"/>
    <w:rsid w:val="2A9C5BA4"/>
    <w:rsid w:val="2ABA427C"/>
    <w:rsid w:val="2AC31382"/>
    <w:rsid w:val="2AD52E64"/>
    <w:rsid w:val="2AE53A13"/>
    <w:rsid w:val="2B6936E0"/>
    <w:rsid w:val="2B8F1C0B"/>
    <w:rsid w:val="2BAE2033"/>
    <w:rsid w:val="2BCB6ACF"/>
    <w:rsid w:val="2C8E776E"/>
    <w:rsid w:val="2C9A39C7"/>
    <w:rsid w:val="2CB216AE"/>
    <w:rsid w:val="2CD535EF"/>
    <w:rsid w:val="2D0D4B37"/>
    <w:rsid w:val="2D2D6F87"/>
    <w:rsid w:val="2D3E2F42"/>
    <w:rsid w:val="2D60735C"/>
    <w:rsid w:val="2D97007F"/>
    <w:rsid w:val="2E0E734F"/>
    <w:rsid w:val="2E4D14FF"/>
    <w:rsid w:val="2E5549E7"/>
    <w:rsid w:val="2E642E7C"/>
    <w:rsid w:val="2EA4771D"/>
    <w:rsid w:val="2EF064BE"/>
    <w:rsid w:val="2F5E5B1E"/>
    <w:rsid w:val="2F7964B4"/>
    <w:rsid w:val="2F7F3B93"/>
    <w:rsid w:val="2FBA62B6"/>
    <w:rsid w:val="2FBD053D"/>
    <w:rsid w:val="302420E6"/>
    <w:rsid w:val="30823A8E"/>
    <w:rsid w:val="30B005FB"/>
    <w:rsid w:val="31067002"/>
    <w:rsid w:val="31076E3F"/>
    <w:rsid w:val="311C15F2"/>
    <w:rsid w:val="318B0720"/>
    <w:rsid w:val="31F462C5"/>
    <w:rsid w:val="32951A44"/>
    <w:rsid w:val="32CB5278"/>
    <w:rsid w:val="32DC173E"/>
    <w:rsid w:val="330864CC"/>
    <w:rsid w:val="33185FE3"/>
    <w:rsid w:val="33993051"/>
    <w:rsid w:val="34125129"/>
    <w:rsid w:val="344F1ED9"/>
    <w:rsid w:val="34534933"/>
    <w:rsid w:val="34613420"/>
    <w:rsid w:val="34D4418C"/>
    <w:rsid w:val="34F211E2"/>
    <w:rsid w:val="35246EC1"/>
    <w:rsid w:val="35335357"/>
    <w:rsid w:val="357A65E8"/>
    <w:rsid w:val="35C80D67"/>
    <w:rsid w:val="35E120F0"/>
    <w:rsid w:val="360B4679"/>
    <w:rsid w:val="360F36CE"/>
    <w:rsid w:val="36144C9E"/>
    <w:rsid w:val="367B5207"/>
    <w:rsid w:val="369B7657"/>
    <w:rsid w:val="36E124D9"/>
    <w:rsid w:val="37054967"/>
    <w:rsid w:val="37425D25"/>
    <w:rsid w:val="378974B0"/>
    <w:rsid w:val="37A56D79"/>
    <w:rsid w:val="37CB7AC8"/>
    <w:rsid w:val="37F708BD"/>
    <w:rsid w:val="38211DDE"/>
    <w:rsid w:val="38832151"/>
    <w:rsid w:val="3934169D"/>
    <w:rsid w:val="393F251C"/>
    <w:rsid w:val="39477C25"/>
    <w:rsid w:val="396F64EF"/>
    <w:rsid w:val="39E6508D"/>
    <w:rsid w:val="3A4516F9"/>
    <w:rsid w:val="3A5E2E76"/>
    <w:rsid w:val="3A614714"/>
    <w:rsid w:val="3A6A7A6C"/>
    <w:rsid w:val="3AC54CA3"/>
    <w:rsid w:val="3AD14E21"/>
    <w:rsid w:val="3B691AD2"/>
    <w:rsid w:val="3B8A07A5"/>
    <w:rsid w:val="3BBF5B96"/>
    <w:rsid w:val="3BD31641"/>
    <w:rsid w:val="3C1E0B0E"/>
    <w:rsid w:val="3C6B3628"/>
    <w:rsid w:val="3C8D6DE4"/>
    <w:rsid w:val="3C917532"/>
    <w:rsid w:val="3CA134EE"/>
    <w:rsid w:val="3CD15B81"/>
    <w:rsid w:val="3CFB49AC"/>
    <w:rsid w:val="3D1C3D19"/>
    <w:rsid w:val="3D4B3144"/>
    <w:rsid w:val="3D9F17DB"/>
    <w:rsid w:val="3DAF10A4"/>
    <w:rsid w:val="3E0C52B0"/>
    <w:rsid w:val="3E295549"/>
    <w:rsid w:val="3E754715"/>
    <w:rsid w:val="3EEC4EF4"/>
    <w:rsid w:val="3F253F62"/>
    <w:rsid w:val="3F2645AD"/>
    <w:rsid w:val="3F281CA4"/>
    <w:rsid w:val="3F310B59"/>
    <w:rsid w:val="3F885650"/>
    <w:rsid w:val="3F9115F7"/>
    <w:rsid w:val="3FA330D9"/>
    <w:rsid w:val="3FDA11F0"/>
    <w:rsid w:val="3FEB51AC"/>
    <w:rsid w:val="3FEC4A80"/>
    <w:rsid w:val="3FF82D11"/>
    <w:rsid w:val="40CB6D8B"/>
    <w:rsid w:val="40F847A5"/>
    <w:rsid w:val="41055DF9"/>
    <w:rsid w:val="41171FD0"/>
    <w:rsid w:val="41287D39"/>
    <w:rsid w:val="412F2E76"/>
    <w:rsid w:val="4153125A"/>
    <w:rsid w:val="41CA7043"/>
    <w:rsid w:val="42293D69"/>
    <w:rsid w:val="422F0AE0"/>
    <w:rsid w:val="42497F67"/>
    <w:rsid w:val="425D17D7"/>
    <w:rsid w:val="42815953"/>
    <w:rsid w:val="428216CB"/>
    <w:rsid w:val="42C57F36"/>
    <w:rsid w:val="43104F29"/>
    <w:rsid w:val="43432C09"/>
    <w:rsid w:val="434B4745"/>
    <w:rsid w:val="4391606A"/>
    <w:rsid w:val="44046EB0"/>
    <w:rsid w:val="44290050"/>
    <w:rsid w:val="44357175"/>
    <w:rsid w:val="44444E8A"/>
    <w:rsid w:val="444C01E3"/>
    <w:rsid w:val="44627A06"/>
    <w:rsid w:val="44B9748E"/>
    <w:rsid w:val="44DA134B"/>
    <w:rsid w:val="44E16B7D"/>
    <w:rsid w:val="45012D7B"/>
    <w:rsid w:val="45062140"/>
    <w:rsid w:val="453411E9"/>
    <w:rsid w:val="454B2248"/>
    <w:rsid w:val="45774DEB"/>
    <w:rsid w:val="45C81AEB"/>
    <w:rsid w:val="45F75F2C"/>
    <w:rsid w:val="45FE72BB"/>
    <w:rsid w:val="460074D7"/>
    <w:rsid w:val="46815DB0"/>
    <w:rsid w:val="468C2B19"/>
    <w:rsid w:val="469D5B26"/>
    <w:rsid w:val="46A165C4"/>
    <w:rsid w:val="46B27509"/>
    <w:rsid w:val="46C64C53"/>
    <w:rsid w:val="46E26BDC"/>
    <w:rsid w:val="47B02837"/>
    <w:rsid w:val="47B2035D"/>
    <w:rsid w:val="48111527"/>
    <w:rsid w:val="481608EC"/>
    <w:rsid w:val="48574FE6"/>
    <w:rsid w:val="48621DAB"/>
    <w:rsid w:val="487A557D"/>
    <w:rsid w:val="48A24875"/>
    <w:rsid w:val="48D439E2"/>
    <w:rsid w:val="48DE3CFA"/>
    <w:rsid w:val="490D5E06"/>
    <w:rsid w:val="493354CD"/>
    <w:rsid w:val="49A10689"/>
    <w:rsid w:val="49A60395"/>
    <w:rsid w:val="4A08695A"/>
    <w:rsid w:val="4A1E7F2C"/>
    <w:rsid w:val="4A8833F2"/>
    <w:rsid w:val="4ABB1C1E"/>
    <w:rsid w:val="4AC85330"/>
    <w:rsid w:val="4AD472AA"/>
    <w:rsid w:val="4AFA62A3"/>
    <w:rsid w:val="4B177B37"/>
    <w:rsid w:val="4B296B88"/>
    <w:rsid w:val="4B487E57"/>
    <w:rsid w:val="4B6422B6"/>
    <w:rsid w:val="4B94349C"/>
    <w:rsid w:val="4BEB3C7D"/>
    <w:rsid w:val="4C161DA9"/>
    <w:rsid w:val="4C360DAD"/>
    <w:rsid w:val="4C4A06B7"/>
    <w:rsid w:val="4C87625C"/>
    <w:rsid w:val="4CA02E7A"/>
    <w:rsid w:val="4CAC650D"/>
    <w:rsid w:val="4CBE77A4"/>
    <w:rsid w:val="4CE30FB8"/>
    <w:rsid w:val="4CF95C45"/>
    <w:rsid w:val="4D13189E"/>
    <w:rsid w:val="4D3F6B37"/>
    <w:rsid w:val="4D4E6D7A"/>
    <w:rsid w:val="4D510618"/>
    <w:rsid w:val="4D666E75"/>
    <w:rsid w:val="4DD94895"/>
    <w:rsid w:val="4DE374C2"/>
    <w:rsid w:val="4DEB6377"/>
    <w:rsid w:val="4E015947"/>
    <w:rsid w:val="4E263853"/>
    <w:rsid w:val="4E5B57EC"/>
    <w:rsid w:val="4E797E26"/>
    <w:rsid w:val="4ECD1F20"/>
    <w:rsid w:val="4F215CDA"/>
    <w:rsid w:val="4F3D2C02"/>
    <w:rsid w:val="4F6B6FE2"/>
    <w:rsid w:val="4F930840"/>
    <w:rsid w:val="50836D3A"/>
    <w:rsid w:val="50905620"/>
    <w:rsid w:val="50EC48E0"/>
    <w:rsid w:val="51452242"/>
    <w:rsid w:val="51621E36"/>
    <w:rsid w:val="51F24178"/>
    <w:rsid w:val="51F7167C"/>
    <w:rsid w:val="520B348B"/>
    <w:rsid w:val="520B6FE7"/>
    <w:rsid w:val="523E560F"/>
    <w:rsid w:val="529F25B4"/>
    <w:rsid w:val="52B11EEF"/>
    <w:rsid w:val="52C0340D"/>
    <w:rsid w:val="531B63B0"/>
    <w:rsid w:val="533273FB"/>
    <w:rsid w:val="534F7E68"/>
    <w:rsid w:val="538D5997"/>
    <w:rsid w:val="53933738"/>
    <w:rsid w:val="53B8319F"/>
    <w:rsid w:val="53F1045F"/>
    <w:rsid w:val="54530B87"/>
    <w:rsid w:val="546155E5"/>
    <w:rsid w:val="5472334E"/>
    <w:rsid w:val="547C5F7A"/>
    <w:rsid w:val="54B35714"/>
    <w:rsid w:val="54B716A8"/>
    <w:rsid w:val="54B73456"/>
    <w:rsid w:val="54BC0A6D"/>
    <w:rsid w:val="54FC70BB"/>
    <w:rsid w:val="55361756"/>
    <w:rsid w:val="55990DAE"/>
    <w:rsid w:val="55A51501"/>
    <w:rsid w:val="560B3A5A"/>
    <w:rsid w:val="564B20A8"/>
    <w:rsid w:val="56576C9F"/>
    <w:rsid w:val="56637327"/>
    <w:rsid w:val="56EF512A"/>
    <w:rsid w:val="56F522BD"/>
    <w:rsid w:val="5738280F"/>
    <w:rsid w:val="57686C8A"/>
    <w:rsid w:val="582C415B"/>
    <w:rsid w:val="58561E1E"/>
    <w:rsid w:val="58772591"/>
    <w:rsid w:val="58825B29"/>
    <w:rsid w:val="58874605"/>
    <w:rsid w:val="5889335C"/>
    <w:rsid w:val="588B2C30"/>
    <w:rsid w:val="58C51CE6"/>
    <w:rsid w:val="59012EF2"/>
    <w:rsid w:val="596F4300"/>
    <w:rsid w:val="597E2795"/>
    <w:rsid w:val="598B6C60"/>
    <w:rsid w:val="59A541C5"/>
    <w:rsid w:val="59AD4E28"/>
    <w:rsid w:val="59CC3500"/>
    <w:rsid w:val="59D16D68"/>
    <w:rsid w:val="59FD5DAF"/>
    <w:rsid w:val="5A076E80"/>
    <w:rsid w:val="5A0E1D6B"/>
    <w:rsid w:val="5A2E7D17"/>
    <w:rsid w:val="5A807228"/>
    <w:rsid w:val="5A837DE0"/>
    <w:rsid w:val="5A851901"/>
    <w:rsid w:val="5A92474A"/>
    <w:rsid w:val="5A9A35FE"/>
    <w:rsid w:val="5B2F01EA"/>
    <w:rsid w:val="5BCC1A9C"/>
    <w:rsid w:val="5C245875"/>
    <w:rsid w:val="5C593045"/>
    <w:rsid w:val="5C5A50CF"/>
    <w:rsid w:val="5CEC5C67"/>
    <w:rsid w:val="5D2146A2"/>
    <w:rsid w:val="5D30024A"/>
    <w:rsid w:val="5D491C06"/>
    <w:rsid w:val="5D496874"/>
    <w:rsid w:val="5D635A94"/>
    <w:rsid w:val="5D83481E"/>
    <w:rsid w:val="5DC529E5"/>
    <w:rsid w:val="5DC85BAC"/>
    <w:rsid w:val="5DF03B3B"/>
    <w:rsid w:val="5DFE7485"/>
    <w:rsid w:val="5E373037"/>
    <w:rsid w:val="5E435D5B"/>
    <w:rsid w:val="5E443FAD"/>
    <w:rsid w:val="5E7A68A3"/>
    <w:rsid w:val="5ED406D3"/>
    <w:rsid w:val="5EEB4428"/>
    <w:rsid w:val="5F1F0576"/>
    <w:rsid w:val="5F262992"/>
    <w:rsid w:val="5F5C0E82"/>
    <w:rsid w:val="5F5F6F16"/>
    <w:rsid w:val="5F7A1C50"/>
    <w:rsid w:val="5F7F2DC3"/>
    <w:rsid w:val="5FE33352"/>
    <w:rsid w:val="5FFB4B3F"/>
    <w:rsid w:val="60932FCA"/>
    <w:rsid w:val="60BB607C"/>
    <w:rsid w:val="60CF1B28"/>
    <w:rsid w:val="61167757"/>
    <w:rsid w:val="61356E89"/>
    <w:rsid w:val="618B1EF3"/>
    <w:rsid w:val="61DF3FED"/>
    <w:rsid w:val="623E4F5C"/>
    <w:rsid w:val="624F1172"/>
    <w:rsid w:val="626A367D"/>
    <w:rsid w:val="626F35C2"/>
    <w:rsid w:val="62791D4B"/>
    <w:rsid w:val="62A52B40"/>
    <w:rsid w:val="62B70A1E"/>
    <w:rsid w:val="62EA2C49"/>
    <w:rsid w:val="62F31AFE"/>
    <w:rsid w:val="62F6339C"/>
    <w:rsid w:val="6390672E"/>
    <w:rsid w:val="63C210E6"/>
    <w:rsid w:val="63C27B3E"/>
    <w:rsid w:val="63C416EC"/>
    <w:rsid w:val="63CE27B7"/>
    <w:rsid w:val="63D365A2"/>
    <w:rsid w:val="63FC0E86"/>
    <w:rsid w:val="643B11EF"/>
    <w:rsid w:val="64AC6408"/>
    <w:rsid w:val="64F16511"/>
    <w:rsid w:val="650D2572"/>
    <w:rsid w:val="65167D25"/>
    <w:rsid w:val="651F307E"/>
    <w:rsid w:val="652F5971"/>
    <w:rsid w:val="66157FDD"/>
    <w:rsid w:val="662E0342"/>
    <w:rsid w:val="66432D9C"/>
    <w:rsid w:val="664B6375"/>
    <w:rsid w:val="66C832A1"/>
    <w:rsid w:val="66D71736"/>
    <w:rsid w:val="670C13E0"/>
    <w:rsid w:val="674541D3"/>
    <w:rsid w:val="678E0047"/>
    <w:rsid w:val="679A4C3E"/>
    <w:rsid w:val="67A05FCC"/>
    <w:rsid w:val="67B11F87"/>
    <w:rsid w:val="67D349D8"/>
    <w:rsid w:val="68214A21"/>
    <w:rsid w:val="683A3D2B"/>
    <w:rsid w:val="684D3A5E"/>
    <w:rsid w:val="68703BF0"/>
    <w:rsid w:val="68725BBA"/>
    <w:rsid w:val="68817BAC"/>
    <w:rsid w:val="69083E29"/>
    <w:rsid w:val="690A194F"/>
    <w:rsid w:val="69201173"/>
    <w:rsid w:val="69AD1ECC"/>
    <w:rsid w:val="6A070584"/>
    <w:rsid w:val="6A1A662B"/>
    <w:rsid w:val="6A1F58CE"/>
    <w:rsid w:val="6A42336B"/>
    <w:rsid w:val="6A4946F9"/>
    <w:rsid w:val="6A7A6FA8"/>
    <w:rsid w:val="6A7F45BF"/>
    <w:rsid w:val="6B014FD4"/>
    <w:rsid w:val="6B0845B4"/>
    <w:rsid w:val="6B105217"/>
    <w:rsid w:val="6B27494B"/>
    <w:rsid w:val="6BAE6F0A"/>
    <w:rsid w:val="6C1121B0"/>
    <w:rsid w:val="6C2471CC"/>
    <w:rsid w:val="6C2B2CE1"/>
    <w:rsid w:val="6C382C77"/>
    <w:rsid w:val="6C53360D"/>
    <w:rsid w:val="6C7672FB"/>
    <w:rsid w:val="6C89702F"/>
    <w:rsid w:val="6CF22E26"/>
    <w:rsid w:val="6D042274"/>
    <w:rsid w:val="6D237483"/>
    <w:rsid w:val="6D372F2F"/>
    <w:rsid w:val="6D415A66"/>
    <w:rsid w:val="6D505D9E"/>
    <w:rsid w:val="6D77157D"/>
    <w:rsid w:val="6D7952F5"/>
    <w:rsid w:val="6DD469CF"/>
    <w:rsid w:val="6DEC3D19"/>
    <w:rsid w:val="6E851A78"/>
    <w:rsid w:val="6EA42846"/>
    <w:rsid w:val="6EF015E7"/>
    <w:rsid w:val="6F03131A"/>
    <w:rsid w:val="6F196D90"/>
    <w:rsid w:val="6F394D3C"/>
    <w:rsid w:val="6F4162E7"/>
    <w:rsid w:val="6F4E0597"/>
    <w:rsid w:val="6F4E6796"/>
    <w:rsid w:val="6F806E0F"/>
    <w:rsid w:val="6F810491"/>
    <w:rsid w:val="6F83245B"/>
    <w:rsid w:val="6F8C7562"/>
    <w:rsid w:val="6FC50CC6"/>
    <w:rsid w:val="6FCA008A"/>
    <w:rsid w:val="6FE10C9C"/>
    <w:rsid w:val="700417EE"/>
    <w:rsid w:val="70075191"/>
    <w:rsid w:val="70187047"/>
    <w:rsid w:val="706B04AD"/>
    <w:rsid w:val="707115E3"/>
    <w:rsid w:val="70933EE7"/>
    <w:rsid w:val="70C85CEF"/>
    <w:rsid w:val="70D25448"/>
    <w:rsid w:val="70DE203F"/>
    <w:rsid w:val="711A7816"/>
    <w:rsid w:val="711F61B4"/>
    <w:rsid w:val="714D0F73"/>
    <w:rsid w:val="716D6F1F"/>
    <w:rsid w:val="71A16BC9"/>
    <w:rsid w:val="71A803D2"/>
    <w:rsid w:val="727128B9"/>
    <w:rsid w:val="72CA214F"/>
    <w:rsid w:val="72E7250F"/>
    <w:rsid w:val="72FA6BAC"/>
    <w:rsid w:val="73027B3B"/>
    <w:rsid w:val="73261A7B"/>
    <w:rsid w:val="733C4DFB"/>
    <w:rsid w:val="736E51D0"/>
    <w:rsid w:val="73821FEE"/>
    <w:rsid w:val="73C80D84"/>
    <w:rsid w:val="73DB0AB8"/>
    <w:rsid w:val="742564AB"/>
    <w:rsid w:val="74367A9C"/>
    <w:rsid w:val="745148D6"/>
    <w:rsid w:val="748A603A"/>
    <w:rsid w:val="749D7B1B"/>
    <w:rsid w:val="74B51309"/>
    <w:rsid w:val="74CE5F27"/>
    <w:rsid w:val="74E90FB2"/>
    <w:rsid w:val="750E27C7"/>
    <w:rsid w:val="75577A04"/>
    <w:rsid w:val="755F1275"/>
    <w:rsid w:val="759A04FF"/>
    <w:rsid w:val="75FB0F9D"/>
    <w:rsid w:val="76404C02"/>
    <w:rsid w:val="76823DA4"/>
    <w:rsid w:val="76A258BD"/>
    <w:rsid w:val="76AC04E9"/>
    <w:rsid w:val="76DD4B47"/>
    <w:rsid w:val="76DF5654"/>
    <w:rsid w:val="76EC4D8A"/>
    <w:rsid w:val="774909CD"/>
    <w:rsid w:val="775D17E4"/>
    <w:rsid w:val="77F8480C"/>
    <w:rsid w:val="77FE4D75"/>
    <w:rsid w:val="781251C3"/>
    <w:rsid w:val="782D7408"/>
    <w:rsid w:val="789E0306"/>
    <w:rsid w:val="78B51FBC"/>
    <w:rsid w:val="78C87131"/>
    <w:rsid w:val="796147EE"/>
    <w:rsid w:val="79AE27CB"/>
    <w:rsid w:val="79B55907"/>
    <w:rsid w:val="7A016D9E"/>
    <w:rsid w:val="7A3507F6"/>
    <w:rsid w:val="7A3B5A16"/>
    <w:rsid w:val="7A652E89"/>
    <w:rsid w:val="7A76687A"/>
    <w:rsid w:val="7A8552D9"/>
    <w:rsid w:val="7AAF05A8"/>
    <w:rsid w:val="7AB211E9"/>
    <w:rsid w:val="7AB636E5"/>
    <w:rsid w:val="7AB67B89"/>
    <w:rsid w:val="7AB94F83"/>
    <w:rsid w:val="7B1570FD"/>
    <w:rsid w:val="7B1C27B8"/>
    <w:rsid w:val="7B3D5BB4"/>
    <w:rsid w:val="7B547823"/>
    <w:rsid w:val="7B580C40"/>
    <w:rsid w:val="7BB35E76"/>
    <w:rsid w:val="7BBF045F"/>
    <w:rsid w:val="7BCC0CE6"/>
    <w:rsid w:val="7BD83272"/>
    <w:rsid w:val="7BFC15CB"/>
    <w:rsid w:val="7C124E77"/>
    <w:rsid w:val="7C46246B"/>
    <w:rsid w:val="7C66738C"/>
    <w:rsid w:val="7C6F2735"/>
    <w:rsid w:val="7C945CA8"/>
    <w:rsid w:val="7C977546"/>
    <w:rsid w:val="7CE3278B"/>
    <w:rsid w:val="7CE65DD7"/>
    <w:rsid w:val="7D3D4905"/>
    <w:rsid w:val="7D413E44"/>
    <w:rsid w:val="7DAC7021"/>
    <w:rsid w:val="7DE92023"/>
    <w:rsid w:val="7E180E5C"/>
    <w:rsid w:val="7E1F3C97"/>
    <w:rsid w:val="7ED56104"/>
    <w:rsid w:val="7EDB7BBE"/>
    <w:rsid w:val="7F172C5F"/>
    <w:rsid w:val="7F41298C"/>
    <w:rsid w:val="7F6776A3"/>
    <w:rsid w:val="7F706A17"/>
    <w:rsid w:val="7FEB5F33"/>
    <w:rsid w:val="7FFA0518"/>
    <w:rsid w:val="7FFB6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keepLines/>
      <w:spacing w:before="120" w:line="300" w:lineRule="auto"/>
      <w:jc w:val="center"/>
      <w:outlineLvl w:val="1"/>
    </w:pPr>
    <w:rPr>
      <w:rFonts w:eastAsia="黑体"/>
      <w:b/>
      <w:sz w:val="30"/>
      <w:szCs w:val="20"/>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widowControl w:val="0"/>
      <w:kinsoku/>
      <w:snapToGrid/>
      <w:ind w:firstLine="420"/>
      <w:textAlignment w:val="auto"/>
    </w:pPr>
    <w:rPr>
      <w:rFonts w:ascii="宋体" w:hAnsi="Times New Roman" w:eastAsia="宋体" w:cs="Times New Roman"/>
      <w:snapToGrid/>
      <w:color w:val="auto"/>
      <w:sz w:val="24"/>
      <w:szCs w:val="20"/>
      <w:lang w:eastAsia="zh-CN"/>
    </w:rPr>
  </w:style>
  <w:style w:type="paragraph" w:styleId="5">
    <w:name w:val="table of authorities"/>
    <w:basedOn w:val="1"/>
    <w:next w:val="1"/>
    <w:qFormat/>
    <w:uiPriority w:val="0"/>
    <w:pPr>
      <w:ind w:left="420" w:leftChars="200"/>
    </w:pPr>
  </w:style>
  <w:style w:type="paragraph" w:styleId="6">
    <w:name w:val="Document Map"/>
    <w:basedOn w:val="1"/>
    <w:link w:val="36"/>
    <w:semiHidden/>
    <w:unhideWhenUsed/>
    <w:qFormat/>
    <w:uiPriority w:val="99"/>
    <w:rPr>
      <w:rFonts w:ascii="宋体" w:eastAsia="宋体"/>
      <w:sz w:val="18"/>
      <w:szCs w:val="18"/>
    </w:rPr>
  </w:style>
  <w:style w:type="paragraph" w:styleId="7">
    <w:name w:val="toa heading"/>
    <w:basedOn w:val="1"/>
    <w:next w:val="1"/>
    <w:qFormat/>
    <w:uiPriority w:val="0"/>
    <w:pPr>
      <w:spacing w:before="120"/>
    </w:pPr>
    <w:rPr>
      <w:rFonts w:ascii="Cambria" w:hAnsi="Cambria"/>
      <w:sz w:val="24"/>
    </w:rPr>
  </w:style>
  <w:style w:type="paragraph" w:styleId="8">
    <w:name w:val="annotation text"/>
    <w:basedOn w:val="1"/>
    <w:link w:val="42"/>
    <w:semiHidden/>
    <w:unhideWhenUsed/>
    <w:qFormat/>
    <w:uiPriority w:val="99"/>
  </w:style>
  <w:style w:type="paragraph" w:styleId="9">
    <w:name w:val="Body Text"/>
    <w:basedOn w:val="1"/>
    <w:semiHidden/>
    <w:qFormat/>
    <w:uiPriority w:val="0"/>
    <w:rPr>
      <w:rFonts w:ascii="黑体" w:hAnsi="黑体" w:eastAsia="黑体" w:cs="黑体"/>
      <w:sz w:val="31"/>
      <w:szCs w:val="31"/>
    </w:rPr>
  </w:style>
  <w:style w:type="paragraph" w:styleId="10">
    <w:name w:val="Body Text Indent"/>
    <w:basedOn w:val="1"/>
    <w:next w:val="9"/>
    <w:qFormat/>
    <w:uiPriority w:val="0"/>
    <w:pPr>
      <w:spacing w:line="360" w:lineRule="auto"/>
      <w:ind w:firstLine="570"/>
    </w:pPr>
    <w:rPr>
      <w:rFonts w:ascii="Times New Roman" w:hAnsi="Times New Roman" w:eastAsia="宋体" w:cs="Times New Roman"/>
      <w:sz w:val="24"/>
    </w:rPr>
  </w:style>
  <w:style w:type="paragraph" w:styleId="11">
    <w:name w:val="toc 3"/>
    <w:basedOn w:val="1"/>
    <w:next w:val="1"/>
    <w:autoRedefine/>
    <w:unhideWhenUsed/>
    <w:qFormat/>
    <w:uiPriority w:val="39"/>
    <w:pPr>
      <w:ind w:left="840" w:leftChars="400"/>
    </w:pPr>
  </w:style>
  <w:style w:type="paragraph" w:styleId="12">
    <w:name w:val="Plain Text"/>
    <w:basedOn w:val="1"/>
    <w:qFormat/>
    <w:uiPriority w:val="0"/>
    <w:rPr>
      <w:rFonts w:ascii="宋体" w:hAnsi="Courier New"/>
      <w:szCs w:val="20"/>
    </w:rPr>
  </w:style>
  <w:style w:type="paragraph" w:styleId="13">
    <w:name w:val="Date"/>
    <w:basedOn w:val="1"/>
    <w:next w:val="1"/>
    <w:link w:val="41"/>
    <w:unhideWhenUsed/>
    <w:qFormat/>
    <w:uiPriority w:val="99"/>
    <w:pPr>
      <w:ind w:left="100" w:leftChars="2500"/>
    </w:pPr>
  </w:style>
  <w:style w:type="paragraph" w:styleId="14">
    <w:name w:val="Balloon Text"/>
    <w:basedOn w:val="1"/>
    <w:link w:val="34"/>
    <w:semiHidden/>
    <w:unhideWhenUsed/>
    <w:qFormat/>
    <w:uiPriority w:val="99"/>
    <w:rPr>
      <w:sz w:val="18"/>
      <w:szCs w:val="18"/>
    </w:rPr>
  </w:style>
  <w:style w:type="paragraph" w:styleId="15">
    <w:name w:val="footer"/>
    <w:basedOn w:val="1"/>
    <w:link w:val="33"/>
    <w:unhideWhenUsed/>
    <w:qFormat/>
    <w:uiPriority w:val="99"/>
    <w:pPr>
      <w:tabs>
        <w:tab w:val="center" w:pos="4153"/>
        <w:tab w:val="right" w:pos="8306"/>
      </w:tabs>
    </w:pPr>
    <w:rPr>
      <w:sz w:val="18"/>
      <w:szCs w:val="18"/>
    </w:rPr>
  </w:style>
  <w:style w:type="paragraph" w:styleId="16">
    <w:name w:val="header"/>
    <w:basedOn w:val="1"/>
    <w:link w:val="32"/>
    <w:unhideWhenUsed/>
    <w:qFormat/>
    <w:uiPriority w:val="99"/>
    <w:pPr>
      <w:pBdr>
        <w:bottom w:val="single" w:color="auto" w:sz="6" w:space="1"/>
      </w:pBdr>
      <w:tabs>
        <w:tab w:val="center" w:pos="4153"/>
        <w:tab w:val="right" w:pos="8306"/>
      </w:tabs>
      <w:jc w:val="center"/>
    </w:pPr>
    <w:rPr>
      <w:sz w:val="18"/>
      <w:szCs w:val="18"/>
    </w:rPr>
  </w:style>
  <w:style w:type="paragraph" w:styleId="17">
    <w:name w:val="toc 1"/>
    <w:basedOn w:val="1"/>
    <w:next w:val="1"/>
    <w:autoRedefine/>
    <w:unhideWhenUsed/>
    <w:qFormat/>
    <w:uiPriority w:val="39"/>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oc 2"/>
    <w:basedOn w:val="1"/>
    <w:next w:val="1"/>
    <w:autoRedefine/>
    <w:unhideWhenUsed/>
    <w:qFormat/>
    <w:uiPriority w:val="39"/>
    <w:pPr>
      <w:ind w:left="420" w:leftChars="200"/>
    </w:pPr>
  </w:style>
  <w:style w:type="paragraph" w:styleId="20">
    <w:name w:val="annotation subject"/>
    <w:basedOn w:val="8"/>
    <w:next w:val="8"/>
    <w:link w:val="43"/>
    <w:semiHidden/>
    <w:unhideWhenUsed/>
    <w:qFormat/>
    <w:uiPriority w:val="99"/>
    <w:rPr>
      <w:b/>
      <w:bCs/>
    </w:rPr>
  </w:style>
  <w:style w:type="paragraph" w:styleId="21">
    <w:name w:val="Body Text First Indent 2"/>
    <w:basedOn w:val="10"/>
    <w:next w:val="1"/>
    <w:qFormat/>
    <w:uiPriority w:val="0"/>
    <w:pPr>
      <w:ind w:firstLine="420" w:firstLineChars="200"/>
    </w:p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bCs/>
    </w:rPr>
  </w:style>
  <w:style w:type="character" w:styleId="26">
    <w:name w:val="Hyperlink"/>
    <w:basedOn w:val="24"/>
    <w:unhideWhenUsed/>
    <w:qFormat/>
    <w:uiPriority w:val="99"/>
    <w:rPr>
      <w:color w:val="0000FF" w:themeColor="hyperlink"/>
      <w:u w:val="single"/>
      <w14:textFill>
        <w14:solidFill>
          <w14:schemeClr w14:val="hlink"/>
        </w14:solidFill>
      </w14:textFill>
    </w:rPr>
  </w:style>
  <w:style w:type="character" w:styleId="27">
    <w:name w:val="annotation reference"/>
    <w:basedOn w:val="24"/>
    <w:semiHidden/>
    <w:unhideWhenUsed/>
    <w:qFormat/>
    <w:uiPriority w:val="99"/>
    <w:rPr>
      <w:sz w:val="21"/>
      <w:szCs w:val="21"/>
    </w:rPr>
  </w:style>
  <w:style w:type="paragraph" w:customStyle="1" w:styleId="28">
    <w:name w:val="Normal Indent1"/>
    <w:next w:val="1"/>
    <w:qFormat/>
    <w:uiPriority w:val="0"/>
    <w:pPr>
      <w:spacing w:afterLines="50" w:line="360" w:lineRule="auto"/>
      <w:ind w:firstLine="420" w:firstLineChars="200"/>
    </w:pPr>
    <w:rPr>
      <w:rFonts w:ascii="Times New Roman" w:hAnsi="Times New Roman" w:eastAsia="宋体" w:cs="Times New Roman"/>
      <w:lang w:val="en-US" w:eastAsia="zh-CN" w:bidi="ar-SA"/>
    </w:rPr>
  </w:style>
  <w:style w:type="character" w:customStyle="1" w:styleId="29">
    <w:name w:val="标题 1 字符"/>
    <w:basedOn w:val="24"/>
    <w:link w:val="2"/>
    <w:qFormat/>
    <w:uiPriority w:val="9"/>
    <w:rPr>
      <w:b/>
      <w:bCs/>
      <w:kern w:val="44"/>
      <w:sz w:val="44"/>
      <w:szCs w:val="44"/>
    </w:rPr>
  </w:style>
  <w:style w:type="table" w:customStyle="1" w:styleId="30">
    <w:name w:val="Table Normal"/>
    <w:semiHidden/>
    <w:unhideWhenUsed/>
    <w:qFormat/>
    <w:uiPriority w:val="0"/>
    <w:tblPr>
      <w:tblCellMar>
        <w:top w:w="0" w:type="dxa"/>
        <w:left w:w="0" w:type="dxa"/>
        <w:bottom w:w="0" w:type="dxa"/>
        <w:right w:w="0" w:type="dxa"/>
      </w:tblCellMar>
    </w:tblPr>
  </w:style>
  <w:style w:type="paragraph" w:customStyle="1" w:styleId="31">
    <w:name w:val="Table Text"/>
    <w:basedOn w:val="1"/>
    <w:semiHidden/>
    <w:qFormat/>
    <w:uiPriority w:val="0"/>
    <w:rPr>
      <w:rFonts w:ascii="宋体" w:hAnsi="宋体" w:eastAsia="宋体" w:cs="宋体"/>
      <w:sz w:val="24"/>
      <w:szCs w:val="24"/>
    </w:rPr>
  </w:style>
  <w:style w:type="character" w:customStyle="1" w:styleId="32">
    <w:name w:val="页眉 字符"/>
    <w:basedOn w:val="24"/>
    <w:link w:val="16"/>
    <w:qFormat/>
    <w:uiPriority w:val="99"/>
    <w:rPr>
      <w:sz w:val="18"/>
      <w:szCs w:val="18"/>
    </w:rPr>
  </w:style>
  <w:style w:type="character" w:customStyle="1" w:styleId="33">
    <w:name w:val="页脚 字符"/>
    <w:basedOn w:val="24"/>
    <w:link w:val="15"/>
    <w:qFormat/>
    <w:uiPriority w:val="99"/>
    <w:rPr>
      <w:sz w:val="18"/>
      <w:szCs w:val="18"/>
    </w:rPr>
  </w:style>
  <w:style w:type="character" w:customStyle="1" w:styleId="34">
    <w:name w:val="批注框文本 字符"/>
    <w:basedOn w:val="24"/>
    <w:link w:val="14"/>
    <w:semiHidden/>
    <w:qFormat/>
    <w:uiPriority w:val="99"/>
    <w:rPr>
      <w:sz w:val="18"/>
      <w:szCs w:val="18"/>
    </w:rPr>
  </w:style>
  <w:style w:type="paragraph" w:customStyle="1" w:styleId="35">
    <w:name w:val="TOC 标题1"/>
    <w:basedOn w:val="2"/>
    <w:next w:val="1"/>
    <w:semiHidden/>
    <w:unhideWhenUsed/>
    <w:qFormat/>
    <w:uiPriority w:val="39"/>
    <w:pPr>
      <w:kinsoku/>
      <w:autoSpaceDE/>
      <w:autoSpaceDN/>
      <w:adjustRightInd/>
      <w:snapToGrid/>
      <w:spacing w:before="480" w:after="0" w:line="276" w:lineRule="auto"/>
      <w:textAlignment w:val="auto"/>
      <w:outlineLvl w:val="9"/>
    </w:pPr>
    <w:rPr>
      <w:rFonts w:asciiTheme="majorHAnsi" w:hAnsiTheme="majorHAnsi" w:eastAsiaTheme="majorEastAsia" w:cstheme="majorBidi"/>
      <w:snapToGrid/>
      <w:color w:val="376092" w:themeColor="accent1" w:themeShade="BF"/>
      <w:kern w:val="0"/>
      <w:sz w:val="28"/>
      <w:szCs w:val="28"/>
      <w:lang w:eastAsia="zh-CN"/>
    </w:rPr>
  </w:style>
  <w:style w:type="character" w:customStyle="1" w:styleId="36">
    <w:name w:val="文档结构图 字符"/>
    <w:basedOn w:val="24"/>
    <w:link w:val="6"/>
    <w:semiHidden/>
    <w:qFormat/>
    <w:uiPriority w:val="99"/>
    <w:rPr>
      <w:rFonts w:ascii="宋体" w:eastAsia="宋体"/>
      <w:sz w:val="18"/>
      <w:szCs w:val="18"/>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0"/>
    </w:rPr>
  </w:style>
  <w:style w:type="paragraph" w:customStyle="1" w:styleId="3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39">
    <w:name w:val="列出段落1"/>
    <w:basedOn w:val="1"/>
    <w:qFormat/>
    <w:uiPriority w:val="0"/>
    <w:pPr>
      <w:ind w:firstLine="420" w:firstLineChars="200"/>
    </w:pPr>
    <w:rPr>
      <w:rFonts w:ascii="Calibri" w:hAnsi="Calibri" w:eastAsia="宋体" w:cs="Times New Roman"/>
      <w:sz w:val="24"/>
    </w:rPr>
  </w:style>
  <w:style w:type="paragraph" w:customStyle="1" w:styleId="40">
    <w:name w:val="Table Paragraph"/>
    <w:basedOn w:val="1"/>
    <w:qFormat/>
    <w:uiPriority w:val="1"/>
    <w:rPr>
      <w:rFonts w:ascii="宋体" w:hAnsi="宋体" w:eastAsia="宋体" w:cs="宋体"/>
      <w:lang w:eastAsia="zh-CN"/>
    </w:rPr>
  </w:style>
  <w:style w:type="character" w:customStyle="1" w:styleId="41">
    <w:name w:val="日期 字符"/>
    <w:basedOn w:val="24"/>
    <w:link w:val="13"/>
    <w:qFormat/>
    <w:uiPriority w:val="99"/>
    <w:rPr>
      <w:rFonts w:ascii="Arial" w:hAnsi="Arial" w:cs="Arial" w:eastAsiaTheme="minorEastAsia"/>
      <w:snapToGrid w:val="0"/>
      <w:color w:val="000000"/>
      <w:sz w:val="21"/>
      <w:szCs w:val="21"/>
      <w:lang w:eastAsia="en-US"/>
    </w:rPr>
  </w:style>
  <w:style w:type="character" w:customStyle="1" w:styleId="42">
    <w:name w:val="批注文字 字符"/>
    <w:basedOn w:val="24"/>
    <w:link w:val="8"/>
    <w:semiHidden/>
    <w:qFormat/>
    <w:uiPriority w:val="99"/>
    <w:rPr>
      <w:rFonts w:ascii="Arial" w:hAnsi="Arial" w:cs="Arial" w:eastAsiaTheme="minorEastAsia"/>
      <w:snapToGrid w:val="0"/>
      <w:color w:val="000000"/>
      <w:sz w:val="21"/>
      <w:szCs w:val="21"/>
      <w:lang w:eastAsia="en-US"/>
    </w:rPr>
  </w:style>
  <w:style w:type="character" w:customStyle="1" w:styleId="43">
    <w:name w:val="批注主题 字符"/>
    <w:basedOn w:val="42"/>
    <w:link w:val="20"/>
    <w:semiHidden/>
    <w:qFormat/>
    <w:uiPriority w:val="99"/>
    <w:rPr>
      <w:rFonts w:ascii="Arial" w:hAnsi="Arial" w:cs="Arial" w:eastAsiaTheme="minorEastAsia"/>
      <w:b/>
      <w:bCs/>
      <w:snapToGrid w:val="0"/>
      <w:color w:val="000000"/>
      <w:sz w:val="21"/>
      <w:szCs w:val="21"/>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Company>
  <Pages>105</Pages>
  <Words>21030</Words>
  <Characters>23065</Characters>
  <Lines>2129</Lines>
  <Paragraphs>2006</Paragraphs>
  <TotalTime>4</TotalTime>
  <ScaleCrop>false</ScaleCrop>
  <LinksUpToDate>false</LinksUpToDate>
  <CharactersWithSpaces>23490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2025-06-30T15:48:00Z</dcterms:created>
  <dc:creator>admin</dc:creator>
  <cp:lastModifiedBy>smile</cp:lastModifiedBy>
  <cp:lastPrinted>2025-02-21T07:47:00Z</cp:lastPrinted>
  <dcterms:modified xsi:type="dcterms:W3CDTF">2025-07-04T06:45:29Z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2024-12-30T17:37:19Z</vt:filetime>
  </property>
  <property fmtid="{D5CDD505-2E9C-101B-9397-08002B2CF9AE}" pid="4" name="KSOTemplateDocerSaveRecord">
    <vt:lpwstr>eyJoZGlkIjoiY2Y1ZWYyYjU1ODNkYWJjMjdiMmFkNzcyYTkzMGY1MzUiLCJ1c2VySWQiOiIzNzI5MTYyNzUifQ==</vt:lpwstr>
  </property>
  <property fmtid="{D5CDD505-2E9C-101B-9397-08002B2CF9AE}" pid="5" name="KSOProductBuildVer">
    <vt:lpwstr>2052-12.1.0.21915</vt:lpwstr>
  </property>
  <property fmtid="{D5CDD505-2E9C-101B-9397-08002B2CF9AE}" pid="6" name="ICV">
    <vt:lpwstr>EB076523FE6946FCA07FC818DE26C8AA_13</vt:lpwstr>
  </property>
</Properties>
</file>