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6FBA2">
      <w:pPr>
        <w:spacing w:line="360" w:lineRule="auto"/>
        <w:ind w:left="1626" w:hanging="1620" w:hangingChars="450"/>
        <w:jc w:val="center"/>
        <w:rPr>
          <w:rFonts w:asciiTheme="minorEastAsia" w:hAnsiTheme="minorEastAsia" w:eastAsiaTheme="minorEastAsia" w:cstheme="minorEastAsia"/>
          <w:b/>
          <w:bCs/>
          <w:sz w:val="36"/>
          <w:szCs w:val="36"/>
        </w:rPr>
      </w:pPr>
      <w:permStart w:id="0" w:edGrp="everyone"/>
    </w:p>
    <w:p w14:paraId="05A1ADE1">
      <w:pPr>
        <w:spacing w:line="360" w:lineRule="auto"/>
        <w:rPr>
          <w:rFonts w:asciiTheme="minorEastAsia" w:hAnsiTheme="minorEastAsia" w:eastAsiaTheme="minorEastAsia" w:cstheme="minorEastAsia"/>
          <w:b/>
          <w:bCs/>
          <w:sz w:val="48"/>
          <w:szCs w:val="48"/>
        </w:rPr>
      </w:pPr>
    </w:p>
    <w:p w14:paraId="6D473022">
      <w:pPr>
        <w:spacing w:line="360" w:lineRule="auto"/>
        <w:jc w:val="center"/>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乌鲁木齐职业大学网络培训平台及网络课程资源服务采购项目</w:t>
      </w:r>
    </w:p>
    <w:p w14:paraId="6AFD08BC">
      <w:pPr>
        <w:spacing w:line="360" w:lineRule="auto"/>
        <w:jc w:val="center"/>
        <w:rPr>
          <w:rFonts w:asciiTheme="minorEastAsia" w:hAnsiTheme="minorEastAsia" w:eastAsiaTheme="minorEastAsia" w:cstheme="minorEastAsia"/>
          <w:b/>
          <w:bCs/>
          <w:sz w:val="48"/>
          <w:szCs w:val="48"/>
        </w:rPr>
      </w:pPr>
    </w:p>
    <w:p w14:paraId="2C4061E9">
      <w:pPr>
        <w:spacing w:line="360" w:lineRule="auto"/>
        <w:jc w:val="center"/>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公开招标文件</w:t>
      </w:r>
    </w:p>
    <w:p w14:paraId="465A2B90">
      <w:pPr>
        <w:spacing w:line="360" w:lineRule="auto"/>
        <w:rPr>
          <w:rFonts w:asciiTheme="minorEastAsia" w:hAnsiTheme="minorEastAsia" w:eastAsiaTheme="minorEastAsia" w:cstheme="minorEastAsia"/>
          <w:b/>
          <w:bCs/>
          <w:sz w:val="28"/>
          <w:szCs w:val="28"/>
        </w:rPr>
      </w:pPr>
    </w:p>
    <w:p w14:paraId="7D8E4DA5">
      <w:pPr>
        <w:spacing w:line="360" w:lineRule="auto"/>
        <w:rPr>
          <w:rFonts w:asciiTheme="minorEastAsia" w:hAnsiTheme="minorEastAsia" w:eastAsiaTheme="minorEastAsia" w:cstheme="minorEastAsia"/>
          <w:b/>
          <w:bCs/>
          <w:sz w:val="28"/>
          <w:szCs w:val="28"/>
        </w:rPr>
      </w:pPr>
    </w:p>
    <w:p w14:paraId="7A189E35">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招标编号：XJCY2025-ZB-408</w:t>
      </w:r>
    </w:p>
    <w:p w14:paraId="7F1550F5">
      <w:pPr>
        <w:spacing w:line="480" w:lineRule="auto"/>
        <w:rPr>
          <w:rFonts w:asciiTheme="minorEastAsia" w:hAnsiTheme="minorEastAsia" w:eastAsiaTheme="minorEastAsia" w:cstheme="minorEastAsia"/>
          <w:b/>
          <w:bCs/>
          <w:sz w:val="30"/>
          <w:szCs w:val="30"/>
        </w:rPr>
      </w:pPr>
    </w:p>
    <w:p w14:paraId="4614671C">
      <w:pPr>
        <w:spacing w:line="480" w:lineRule="auto"/>
        <w:rPr>
          <w:rFonts w:asciiTheme="minorEastAsia" w:hAnsiTheme="minorEastAsia" w:eastAsiaTheme="minorEastAsia" w:cstheme="minorEastAsia"/>
          <w:b/>
          <w:bCs/>
          <w:sz w:val="30"/>
          <w:szCs w:val="30"/>
        </w:rPr>
      </w:pPr>
    </w:p>
    <w:p w14:paraId="4112FEF8">
      <w:pPr>
        <w:spacing w:line="480" w:lineRule="auto"/>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采购人（盖章）：乌鲁木齐职业大学 </w:t>
      </w:r>
    </w:p>
    <w:p w14:paraId="66C4768D">
      <w:pPr>
        <w:spacing w:line="480" w:lineRule="auto"/>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联系人：吴老师 </w:t>
      </w:r>
    </w:p>
    <w:p w14:paraId="69B54940">
      <w:pPr>
        <w:spacing w:line="480" w:lineRule="auto"/>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联系电话：0991-8858971</w:t>
      </w:r>
    </w:p>
    <w:p w14:paraId="38ABA2F9">
      <w:pPr>
        <w:spacing w:line="480" w:lineRule="auto"/>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地址：乌鲁木齐市天山区幸福路723号 </w:t>
      </w:r>
    </w:p>
    <w:p w14:paraId="5F968F4C">
      <w:pPr>
        <w:spacing w:line="480" w:lineRule="auto"/>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asciiTheme="minorEastAsia" w:hAnsiTheme="minorEastAsia" w:eastAsiaTheme="minorEastAsia" w:cstheme="minorEastAsia"/>
          <w:b/>
          <w:bCs/>
          <w:sz w:val="30"/>
          <w:szCs w:val="30"/>
        </w:rPr>
        <w:t>招标代理机构（盖章）：新疆诚誉工程项目管理有限公司</w:t>
      </w:r>
    </w:p>
    <w:p w14:paraId="79DBA5D7">
      <w:pPr>
        <w:spacing w:line="480" w:lineRule="auto"/>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rPr>
        <w:t>联 系 人：</w:t>
      </w:r>
      <w:r>
        <w:rPr>
          <w:rFonts w:hint="eastAsia" w:asciiTheme="minorEastAsia" w:hAnsiTheme="minorEastAsia" w:eastAsiaTheme="minorEastAsia" w:cstheme="minorEastAsia"/>
          <w:b/>
          <w:bCs/>
          <w:sz w:val="30"/>
          <w:szCs w:val="30"/>
          <w:lang w:eastAsia="zh-CN"/>
        </w:rPr>
        <w:t>赵箭、殷伟豪、曹英英</w:t>
      </w:r>
    </w:p>
    <w:p w14:paraId="1A61A07E">
      <w:pPr>
        <w:spacing w:line="480" w:lineRule="auto"/>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联系电话：17690825332</w:t>
      </w:r>
    </w:p>
    <w:p w14:paraId="3C92FB7F">
      <w:pPr>
        <w:spacing w:line="480" w:lineRule="auto"/>
        <w:ind w:right="-432" w:rightChars="-18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联系地址：乌鲁木齐市会展大道599号新疆财富中心C座6楼601室</w:t>
      </w:r>
    </w:p>
    <w:permEnd w:id="0"/>
    <w:p w14:paraId="5618A600">
      <w:pPr>
        <w:pStyle w:val="2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sz w:val="28"/>
          <w:szCs w:val="28"/>
        </w:rPr>
        <w:t>目    录</w:t>
      </w:r>
    </w:p>
    <w:p w14:paraId="7E38B95E">
      <w:pPr>
        <w:rPr>
          <w:rFonts w:asciiTheme="minorEastAsia" w:hAnsiTheme="minorEastAsia" w:eastAsiaTheme="minorEastAsia" w:cstheme="minorEastAsia"/>
          <w:sz w:val="28"/>
          <w:szCs w:val="28"/>
        </w:rPr>
      </w:pPr>
    </w:p>
    <w:p w14:paraId="3E49DE1D">
      <w:pPr>
        <w:pStyle w:val="27"/>
        <w:tabs>
          <w:tab w:val="right" w:leader="dot" w:pos="8789"/>
          <w:tab w:val="clear" w:pos="9628"/>
        </w:tabs>
        <w:spacing w:line="360" w:lineRule="auto"/>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bCs/>
          <w:sz w:val="28"/>
          <w:szCs w:val="28"/>
        </w:rPr>
        <w:fldChar w:fldCharType="begin"/>
      </w:r>
      <w:r>
        <w:rPr>
          <w:rStyle w:val="50"/>
          <w:rFonts w:hint="eastAsia" w:asciiTheme="minorEastAsia" w:hAnsiTheme="minorEastAsia" w:eastAsiaTheme="minorEastAsia" w:cstheme="minorEastAsia"/>
          <w:b w:val="0"/>
          <w:bCs/>
          <w:color w:val="auto"/>
          <w:sz w:val="28"/>
          <w:szCs w:val="28"/>
        </w:rPr>
        <w:instrText xml:space="preserve"> TOC \o "1-3" \h \z \u </w:instrText>
      </w:r>
      <w:r>
        <w:rPr>
          <w:rFonts w:hint="eastAsia" w:asciiTheme="minorEastAsia" w:hAnsiTheme="minorEastAsia" w:eastAsiaTheme="minorEastAsia" w:cstheme="minorEastAsia"/>
          <w:b w:val="0"/>
          <w:bCs/>
          <w:sz w:val="28"/>
          <w:szCs w:val="28"/>
        </w:rPr>
        <w:fldChar w:fldCharType="separate"/>
      </w:r>
      <w:r>
        <w:fldChar w:fldCharType="begin"/>
      </w:r>
      <w:r>
        <w:instrText xml:space="preserve"> HYPERLINK \l "_Toc80724647" </w:instrText>
      </w:r>
      <w:r>
        <w:fldChar w:fldCharType="separate"/>
      </w:r>
      <w:r>
        <w:rPr>
          <w:rStyle w:val="50"/>
          <w:rFonts w:hint="eastAsia" w:asciiTheme="minorEastAsia" w:hAnsiTheme="minorEastAsia" w:eastAsiaTheme="minorEastAsia" w:cstheme="minorEastAsia"/>
          <w:b w:val="0"/>
          <w:color w:val="auto"/>
          <w:kern w:val="36"/>
          <w:sz w:val="28"/>
          <w:szCs w:val="28"/>
        </w:rPr>
        <w:t>招标公告</w:t>
      </w:r>
      <w:r>
        <w:rPr>
          <w:rFonts w:hint="eastAsia" w:asciiTheme="minorEastAsia" w:hAnsiTheme="minorEastAsia" w:eastAsiaTheme="minorEastAsia" w:cstheme="minorEastAsia"/>
          <w:b w:val="0"/>
          <w:sz w:val="28"/>
          <w:szCs w:val="28"/>
        </w:rPr>
        <w:tab/>
      </w:r>
      <w:r>
        <w:rPr>
          <w:rFonts w:hint="eastAsia" w:asciiTheme="minorEastAsia" w:hAnsiTheme="minorEastAsia" w:eastAsiaTheme="minorEastAsia" w:cstheme="minorEastAsia"/>
          <w:b w:val="0"/>
          <w:sz w:val="28"/>
          <w:szCs w:val="28"/>
        </w:rPr>
        <w:fldChar w:fldCharType="end"/>
      </w:r>
      <w:r>
        <w:rPr>
          <w:rStyle w:val="50"/>
          <w:rFonts w:hint="eastAsia" w:asciiTheme="minorEastAsia" w:hAnsiTheme="minorEastAsia" w:eastAsiaTheme="minorEastAsia" w:cstheme="minorEastAsia"/>
          <w:b w:val="0"/>
          <w:color w:val="auto"/>
          <w:sz w:val="28"/>
          <w:szCs w:val="28"/>
        </w:rPr>
        <w:t>2</w:t>
      </w:r>
    </w:p>
    <w:p w14:paraId="1268FF92">
      <w:pPr>
        <w:pStyle w:val="27"/>
        <w:tabs>
          <w:tab w:val="right" w:leader="dot" w:pos="8789"/>
          <w:tab w:val="clear" w:pos="9628"/>
        </w:tabs>
        <w:spacing w:line="360" w:lineRule="auto"/>
        <w:rPr>
          <w:rFonts w:asciiTheme="minorEastAsia" w:hAnsiTheme="minorEastAsia" w:eastAsiaTheme="minorEastAsia" w:cstheme="minorEastAsia"/>
          <w:b w:val="0"/>
          <w:sz w:val="28"/>
          <w:szCs w:val="28"/>
        </w:rPr>
      </w:pPr>
      <w:r>
        <w:fldChar w:fldCharType="begin"/>
      </w:r>
      <w:r>
        <w:instrText xml:space="preserve"> HYPERLINK \l "_Toc80724648" </w:instrText>
      </w:r>
      <w:r>
        <w:fldChar w:fldCharType="separate"/>
      </w:r>
      <w:r>
        <w:rPr>
          <w:rStyle w:val="50"/>
          <w:rFonts w:hint="eastAsia" w:asciiTheme="minorEastAsia" w:hAnsiTheme="minorEastAsia" w:eastAsiaTheme="minorEastAsia" w:cstheme="minorEastAsia"/>
          <w:b w:val="0"/>
          <w:color w:val="auto"/>
          <w:sz w:val="28"/>
          <w:szCs w:val="28"/>
        </w:rPr>
        <w:t>第一部分 投标须知前附表</w:t>
      </w:r>
      <w:r>
        <w:rPr>
          <w:rFonts w:hint="eastAsia" w:asciiTheme="minorEastAsia" w:hAnsiTheme="minorEastAsia" w:eastAsiaTheme="minorEastAsia" w:cstheme="minorEastAsia"/>
          <w:b w:val="0"/>
          <w:sz w:val="28"/>
          <w:szCs w:val="28"/>
        </w:rPr>
        <w:tab/>
      </w:r>
      <w:r>
        <w:rPr>
          <w:rFonts w:hint="eastAsia" w:asciiTheme="minorEastAsia" w:hAnsiTheme="minorEastAsia" w:eastAsiaTheme="minorEastAsia" w:cstheme="minorEastAsia"/>
          <w:b w:val="0"/>
          <w:sz w:val="28"/>
          <w:szCs w:val="28"/>
        </w:rPr>
        <w:t>5</w:t>
      </w:r>
      <w:r>
        <w:rPr>
          <w:rFonts w:hint="eastAsia" w:asciiTheme="minorEastAsia" w:hAnsiTheme="minorEastAsia" w:eastAsiaTheme="minorEastAsia" w:cstheme="minorEastAsia"/>
          <w:b w:val="0"/>
          <w:sz w:val="28"/>
          <w:szCs w:val="28"/>
        </w:rPr>
        <w:fldChar w:fldCharType="end"/>
      </w:r>
    </w:p>
    <w:p w14:paraId="2E2BE4D1">
      <w:pPr>
        <w:pStyle w:val="27"/>
        <w:tabs>
          <w:tab w:val="right" w:leader="dot" w:pos="8789"/>
          <w:tab w:val="clear" w:pos="9628"/>
        </w:tabs>
        <w:spacing w:line="360" w:lineRule="auto"/>
        <w:rPr>
          <w:rFonts w:asciiTheme="minorEastAsia" w:hAnsiTheme="minorEastAsia" w:eastAsiaTheme="minorEastAsia" w:cstheme="minorEastAsia"/>
          <w:b w:val="0"/>
          <w:sz w:val="28"/>
          <w:szCs w:val="28"/>
        </w:rPr>
      </w:pPr>
      <w:r>
        <w:fldChar w:fldCharType="begin"/>
      </w:r>
      <w:r>
        <w:instrText xml:space="preserve"> HYPERLINK \l "_Toc80724649" </w:instrText>
      </w:r>
      <w:r>
        <w:fldChar w:fldCharType="separate"/>
      </w:r>
      <w:r>
        <w:rPr>
          <w:rStyle w:val="50"/>
          <w:rFonts w:hint="eastAsia" w:asciiTheme="minorEastAsia" w:hAnsiTheme="minorEastAsia" w:eastAsiaTheme="minorEastAsia" w:cstheme="minorEastAsia"/>
          <w:b w:val="0"/>
          <w:color w:val="auto"/>
          <w:sz w:val="28"/>
          <w:szCs w:val="28"/>
        </w:rPr>
        <w:t>第二部分招标说明</w:t>
      </w:r>
      <w:r>
        <w:rPr>
          <w:rFonts w:hint="eastAsia" w:asciiTheme="minorEastAsia" w:hAnsiTheme="minorEastAsia" w:eastAsiaTheme="minorEastAsia" w:cstheme="minorEastAsia"/>
          <w:b w:val="0"/>
          <w:sz w:val="28"/>
          <w:szCs w:val="28"/>
        </w:rPr>
        <w:tab/>
      </w:r>
      <w:r>
        <w:rPr>
          <w:rFonts w:hint="eastAsia" w:asciiTheme="minorEastAsia" w:hAnsiTheme="minorEastAsia" w:eastAsiaTheme="minorEastAsia" w:cstheme="minorEastAsia"/>
          <w:b w:val="0"/>
          <w:sz w:val="28"/>
          <w:szCs w:val="28"/>
        </w:rPr>
        <w:fldChar w:fldCharType="begin"/>
      </w:r>
      <w:r>
        <w:rPr>
          <w:rFonts w:hint="eastAsia" w:asciiTheme="minorEastAsia" w:hAnsiTheme="minorEastAsia" w:eastAsiaTheme="minorEastAsia" w:cstheme="minorEastAsia"/>
          <w:b w:val="0"/>
          <w:sz w:val="28"/>
          <w:szCs w:val="28"/>
        </w:rPr>
        <w:instrText xml:space="preserve"> PAGEREF _Toc80724649 \h </w:instrText>
      </w:r>
      <w:r>
        <w:rPr>
          <w:rFonts w:hint="eastAsia" w:asciiTheme="minorEastAsia" w:hAnsiTheme="minorEastAsia" w:eastAsiaTheme="minorEastAsia" w:cstheme="minorEastAsia"/>
          <w:b w:val="0"/>
          <w:sz w:val="28"/>
          <w:szCs w:val="28"/>
        </w:rPr>
        <w:fldChar w:fldCharType="separate"/>
      </w:r>
      <w:r>
        <w:rPr>
          <w:rFonts w:hint="eastAsia" w:asciiTheme="minorEastAsia" w:hAnsiTheme="minorEastAsia" w:eastAsiaTheme="minorEastAsia" w:cstheme="minorEastAsia"/>
          <w:b w:val="0"/>
          <w:sz w:val="28"/>
          <w:szCs w:val="28"/>
        </w:rPr>
        <w:t>1</w:t>
      </w:r>
      <w:r>
        <w:rPr>
          <w:rFonts w:hint="eastAsia" w:asciiTheme="minorEastAsia" w:hAnsiTheme="minorEastAsia" w:eastAsiaTheme="minorEastAsia" w:cstheme="minorEastAsia"/>
          <w:b w:val="0"/>
          <w:sz w:val="28"/>
          <w:szCs w:val="28"/>
        </w:rPr>
        <w:fldChar w:fldCharType="end"/>
      </w:r>
      <w:r>
        <w:rPr>
          <w:rFonts w:hint="eastAsia" w:asciiTheme="minorEastAsia" w:hAnsiTheme="minorEastAsia" w:eastAsiaTheme="minorEastAsia" w:cstheme="minorEastAsia"/>
          <w:b w:val="0"/>
          <w:sz w:val="28"/>
          <w:szCs w:val="28"/>
        </w:rPr>
        <w:fldChar w:fldCharType="end"/>
      </w:r>
      <w:r>
        <w:rPr>
          <w:rStyle w:val="50"/>
          <w:rFonts w:hint="eastAsia" w:asciiTheme="minorEastAsia" w:hAnsiTheme="minorEastAsia" w:eastAsiaTheme="minorEastAsia" w:cstheme="minorEastAsia"/>
          <w:b w:val="0"/>
          <w:color w:val="auto"/>
          <w:sz w:val="28"/>
          <w:szCs w:val="28"/>
        </w:rPr>
        <w:t>2</w:t>
      </w:r>
    </w:p>
    <w:p w14:paraId="5AC5E60C">
      <w:pPr>
        <w:pStyle w:val="33"/>
        <w:tabs>
          <w:tab w:val="right" w:leader="dot" w:pos="8789"/>
          <w:tab w:val="clear" w:pos="9628"/>
        </w:tabs>
        <w:spacing w:line="360" w:lineRule="auto"/>
        <w:ind w:left="480"/>
        <w:rPr>
          <w:rFonts w:asciiTheme="minorEastAsia" w:hAnsiTheme="minorEastAsia" w:eastAsiaTheme="minorEastAsia" w:cstheme="minorEastAsia"/>
          <w:sz w:val="28"/>
          <w:szCs w:val="28"/>
        </w:rPr>
      </w:pPr>
      <w:r>
        <w:fldChar w:fldCharType="begin"/>
      </w:r>
      <w:r>
        <w:instrText xml:space="preserve"> HYPERLINK \l "_Toc80724650" </w:instrText>
      </w:r>
      <w:r>
        <w:fldChar w:fldCharType="separate"/>
      </w:r>
      <w:r>
        <w:rPr>
          <w:rStyle w:val="50"/>
          <w:rFonts w:hint="eastAsia" w:asciiTheme="minorEastAsia" w:hAnsiTheme="minorEastAsia" w:eastAsiaTheme="minorEastAsia" w:cstheme="minorEastAsia"/>
          <w:color w:val="auto"/>
          <w:sz w:val="28"/>
          <w:szCs w:val="28"/>
        </w:rPr>
        <w:t>第一章总则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_Toc80724650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r>
        <w:rPr>
          <w:rStyle w:val="50"/>
          <w:rFonts w:hint="eastAsia" w:asciiTheme="minorEastAsia" w:hAnsiTheme="minorEastAsia" w:eastAsiaTheme="minorEastAsia" w:cstheme="minorEastAsia"/>
          <w:color w:val="auto"/>
          <w:sz w:val="28"/>
          <w:szCs w:val="28"/>
        </w:rPr>
        <w:t>2</w:t>
      </w:r>
    </w:p>
    <w:p w14:paraId="462EA2F4">
      <w:pPr>
        <w:pStyle w:val="33"/>
        <w:tabs>
          <w:tab w:val="right" w:leader="dot" w:pos="8789"/>
          <w:tab w:val="clear" w:pos="9628"/>
        </w:tabs>
        <w:spacing w:line="360" w:lineRule="auto"/>
        <w:ind w:left="480"/>
        <w:rPr>
          <w:rFonts w:asciiTheme="minorEastAsia" w:hAnsiTheme="minorEastAsia" w:eastAsiaTheme="minorEastAsia" w:cstheme="minorEastAsia"/>
          <w:sz w:val="28"/>
          <w:szCs w:val="28"/>
        </w:rPr>
      </w:pPr>
      <w:r>
        <w:fldChar w:fldCharType="begin"/>
      </w:r>
      <w:r>
        <w:instrText xml:space="preserve"> HYPERLINK \l "_Toc80724651" </w:instrText>
      </w:r>
      <w:r>
        <w:fldChar w:fldCharType="separate"/>
      </w:r>
      <w:r>
        <w:rPr>
          <w:rStyle w:val="50"/>
          <w:rFonts w:hint="eastAsia" w:asciiTheme="minorEastAsia" w:hAnsiTheme="minorEastAsia" w:eastAsiaTheme="minorEastAsia" w:cstheme="minorEastAsia"/>
          <w:color w:val="auto"/>
          <w:sz w:val="28"/>
          <w:szCs w:val="28"/>
        </w:rPr>
        <w:t>第二章招标文件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_Toc80724651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r>
        <w:rPr>
          <w:rStyle w:val="50"/>
          <w:rFonts w:hint="eastAsia" w:asciiTheme="minorEastAsia" w:hAnsiTheme="minorEastAsia" w:eastAsiaTheme="minorEastAsia" w:cstheme="minorEastAsia"/>
          <w:color w:val="auto"/>
          <w:sz w:val="28"/>
          <w:szCs w:val="28"/>
        </w:rPr>
        <w:t>4</w:t>
      </w:r>
    </w:p>
    <w:p w14:paraId="7E335D8C">
      <w:pPr>
        <w:pStyle w:val="27"/>
        <w:tabs>
          <w:tab w:val="right" w:leader="dot" w:pos="8789"/>
          <w:tab w:val="clear" w:pos="9628"/>
        </w:tabs>
        <w:spacing w:line="360" w:lineRule="auto"/>
        <w:rPr>
          <w:rFonts w:asciiTheme="minorEastAsia" w:hAnsiTheme="minorEastAsia" w:eastAsiaTheme="minorEastAsia" w:cstheme="minorEastAsia"/>
          <w:b w:val="0"/>
          <w:sz w:val="28"/>
          <w:szCs w:val="28"/>
        </w:rPr>
      </w:pPr>
      <w:r>
        <w:fldChar w:fldCharType="begin"/>
      </w:r>
      <w:r>
        <w:instrText xml:space="preserve"> HYPERLINK \l "_Toc80724652" </w:instrText>
      </w:r>
      <w:r>
        <w:fldChar w:fldCharType="separate"/>
      </w:r>
      <w:r>
        <w:rPr>
          <w:rStyle w:val="50"/>
          <w:rFonts w:hint="eastAsia" w:asciiTheme="minorEastAsia" w:hAnsiTheme="minorEastAsia" w:eastAsiaTheme="minorEastAsia" w:cstheme="minorEastAsia"/>
          <w:b w:val="0"/>
          <w:color w:val="auto"/>
          <w:sz w:val="28"/>
          <w:szCs w:val="28"/>
        </w:rPr>
        <w:t>第三部分投标说明</w:t>
      </w:r>
      <w:r>
        <w:rPr>
          <w:rFonts w:hint="eastAsia" w:asciiTheme="minorEastAsia" w:hAnsiTheme="minorEastAsia" w:eastAsiaTheme="minorEastAsia" w:cstheme="minorEastAsia"/>
          <w:b w:val="0"/>
          <w:sz w:val="28"/>
          <w:szCs w:val="28"/>
        </w:rPr>
        <w:tab/>
      </w:r>
      <w:r>
        <w:rPr>
          <w:rFonts w:hint="eastAsia" w:asciiTheme="minorEastAsia" w:hAnsiTheme="minorEastAsia" w:eastAsiaTheme="minorEastAsia" w:cstheme="minorEastAsia"/>
          <w:b w:val="0"/>
          <w:sz w:val="28"/>
          <w:szCs w:val="28"/>
        </w:rPr>
        <w:fldChar w:fldCharType="begin"/>
      </w:r>
      <w:r>
        <w:rPr>
          <w:rFonts w:hint="eastAsia" w:asciiTheme="minorEastAsia" w:hAnsiTheme="minorEastAsia" w:eastAsiaTheme="minorEastAsia" w:cstheme="minorEastAsia"/>
          <w:b w:val="0"/>
          <w:sz w:val="28"/>
          <w:szCs w:val="28"/>
        </w:rPr>
        <w:instrText xml:space="preserve"> PAGEREF _Toc80724652 \h </w:instrText>
      </w:r>
      <w:r>
        <w:rPr>
          <w:rFonts w:hint="eastAsia" w:asciiTheme="minorEastAsia" w:hAnsiTheme="minorEastAsia" w:eastAsiaTheme="minorEastAsia" w:cstheme="minorEastAsia"/>
          <w:b w:val="0"/>
          <w:sz w:val="28"/>
          <w:szCs w:val="28"/>
        </w:rPr>
        <w:fldChar w:fldCharType="separate"/>
      </w:r>
      <w:r>
        <w:rPr>
          <w:rFonts w:hint="eastAsia" w:asciiTheme="minorEastAsia" w:hAnsiTheme="minorEastAsia" w:eastAsiaTheme="minorEastAsia" w:cstheme="minorEastAsia"/>
          <w:b w:val="0"/>
          <w:sz w:val="28"/>
          <w:szCs w:val="28"/>
        </w:rPr>
        <w:t>1</w:t>
      </w:r>
      <w:r>
        <w:rPr>
          <w:rFonts w:hint="eastAsia" w:asciiTheme="minorEastAsia" w:hAnsiTheme="minorEastAsia" w:eastAsiaTheme="minorEastAsia" w:cstheme="minorEastAsia"/>
          <w:b w:val="0"/>
          <w:sz w:val="28"/>
          <w:szCs w:val="28"/>
        </w:rPr>
        <w:fldChar w:fldCharType="end"/>
      </w:r>
      <w:r>
        <w:rPr>
          <w:rFonts w:hint="eastAsia" w:asciiTheme="minorEastAsia" w:hAnsiTheme="minorEastAsia" w:eastAsiaTheme="minorEastAsia" w:cstheme="minorEastAsia"/>
          <w:b w:val="0"/>
          <w:sz w:val="28"/>
          <w:szCs w:val="28"/>
        </w:rPr>
        <w:fldChar w:fldCharType="end"/>
      </w:r>
      <w:r>
        <w:rPr>
          <w:rStyle w:val="50"/>
          <w:rFonts w:hint="eastAsia" w:asciiTheme="minorEastAsia" w:hAnsiTheme="minorEastAsia" w:eastAsiaTheme="minorEastAsia" w:cstheme="minorEastAsia"/>
          <w:b w:val="0"/>
          <w:color w:val="auto"/>
          <w:sz w:val="28"/>
          <w:szCs w:val="28"/>
        </w:rPr>
        <w:t>6</w:t>
      </w:r>
    </w:p>
    <w:p w14:paraId="7D6DD840">
      <w:pPr>
        <w:pStyle w:val="33"/>
        <w:tabs>
          <w:tab w:val="right" w:leader="dot" w:pos="8789"/>
          <w:tab w:val="clear" w:pos="9628"/>
        </w:tabs>
        <w:spacing w:line="360" w:lineRule="auto"/>
        <w:ind w:left="480"/>
        <w:rPr>
          <w:rFonts w:asciiTheme="minorEastAsia" w:hAnsiTheme="minorEastAsia" w:eastAsiaTheme="minorEastAsia" w:cstheme="minorEastAsia"/>
          <w:sz w:val="28"/>
          <w:szCs w:val="28"/>
        </w:rPr>
      </w:pPr>
      <w:r>
        <w:fldChar w:fldCharType="begin"/>
      </w:r>
      <w:r>
        <w:instrText xml:space="preserve"> HYPERLINK \l "_Toc80724653" </w:instrText>
      </w:r>
      <w:r>
        <w:fldChar w:fldCharType="separate"/>
      </w:r>
      <w:r>
        <w:rPr>
          <w:rStyle w:val="50"/>
          <w:rFonts w:hint="eastAsia" w:asciiTheme="minorEastAsia" w:hAnsiTheme="minorEastAsia" w:eastAsiaTheme="minorEastAsia" w:cstheme="minorEastAsia"/>
          <w:color w:val="auto"/>
          <w:sz w:val="28"/>
          <w:szCs w:val="28"/>
        </w:rPr>
        <w:t>第一章 投标人的资格证明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_Toc80724653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r>
        <w:rPr>
          <w:rStyle w:val="50"/>
          <w:rFonts w:hint="eastAsia" w:asciiTheme="minorEastAsia" w:hAnsiTheme="minorEastAsia" w:eastAsiaTheme="minorEastAsia" w:cstheme="minorEastAsia"/>
          <w:color w:val="auto"/>
          <w:sz w:val="28"/>
          <w:szCs w:val="28"/>
        </w:rPr>
        <w:t>6</w:t>
      </w:r>
    </w:p>
    <w:p w14:paraId="07179FFA">
      <w:pPr>
        <w:pStyle w:val="33"/>
        <w:tabs>
          <w:tab w:val="right" w:leader="dot" w:pos="8789"/>
          <w:tab w:val="clear" w:pos="9628"/>
        </w:tabs>
        <w:spacing w:line="360" w:lineRule="auto"/>
        <w:ind w:left="480"/>
        <w:rPr>
          <w:rFonts w:asciiTheme="minorEastAsia" w:hAnsiTheme="minorEastAsia" w:eastAsiaTheme="minorEastAsia" w:cstheme="minorEastAsia"/>
          <w:sz w:val="28"/>
          <w:szCs w:val="28"/>
        </w:rPr>
      </w:pPr>
      <w:r>
        <w:fldChar w:fldCharType="begin"/>
      </w:r>
      <w:r>
        <w:instrText xml:space="preserve"> HYPERLINK \l "_Toc80724654" </w:instrText>
      </w:r>
      <w:r>
        <w:fldChar w:fldCharType="separate"/>
      </w:r>
      <w:r>
        <w:rPr>
          <w:rStyle w:val="50"/>
          <w:rFonts w:hint="eastAsia" w:asciiTheme="minorEastAsia" w:hAnsiTheme="minorEastAsia" w:eastAsiaTheme="minorEastAsia" w:cstheme="minorEastAsia"/>
          <w:color w:val="auto"/>
          <w:sz w:val="28"/>
          <w:szCs w:val="28"/>
        </w:rPr>
        <w:t>第二章 投标文件的编写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_Toc80724654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r>
        <w:rPr>
          <w:rStyle w:val="50"/>
          <w:rFonts w:hint="eastAsia" w:asciiTheme="minorEastAsia" w:hAnsiTheme="minorEastAsia" w:eastAsiaTheme="minorEastAsia" w:cstheme="minorEastAsia"/>
          <w:color w:val="auto"/>
          <w:sz w:val="28"/>
          <w:szCs w:val="28"/>
        </w:rPr>
        <w:t>6</w:t>
      </w:r>
    </w:p>
    <w:p w14:paraId="43C159D9">
      <w:pPr>
        <w:pStyle w:val="33"/>
        <w:tabs>
          <w:tab w:val="right" w:leader="dot" w:pos="8789"/>
          <w:tab w:val="clear" w:pos="9628"/>
        </w:tabs>
        <w:spacing w:line="360" w:lineRule="auto"/>
        <w:ind w:left="480"/>
        <w:rPr>
          <w:rFonts w:asciiTheme="minorEastAsia" w:hAnsiTheme="minorEastAsia" w:eastAsiaTheme="minorEastAsia" w:cstheme="minorEastAsia"/>
          <w:sz w:val="28"/>
          <w:szCs w:val="28"/>
        </w:rPr>
      </w:pPr>
      <w:r>
        <w:fldChar w:fldCharType="begin"/>
      </w:r>
      <w:r>
        <w:instrText xml:space="preserve"> HYPERLINK \l "_Toc80724655" </w:instrText>
      </w:r>
      <w:r>
        <w:fldChar w:fldCharType="separate"/>
      </w:r>
      <w:r>
        <w:rPr>
          <w:rStyle w:val="50"/>
          <w:rFonts w:hint="eastAsia" w:asciiTheme="minorEastAsia" w:hAnsiTheme="minorEastAsia" w:eastAsiaTheme="minorEastAsia" w:cstheme="minorEastAsia"/>
          <w:color w:val="auto"/>
          <w:sz w:val="28"/>
          <w:szCs w:val="28"/>
        </w:rPr>
        <w:t>第三章 投标文件的递交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_Toc80724655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0BFEE47">
      <w:pPr>
        <w:pStyle w:val="33"/>
        <w:tabs>
          <w:tab w:val="right" w:leader="dot" w:pos="8789"/>
          <w:tab w:val="clear" w:pos="9628"/>
        </w:tabs>
        <w:spacing w:line="360" w:lineRule="auto"/>
        <w:ind w:left="480"/>
        <w:rPr>
          <w:rFonts w:asciiTheme="minorEastAsia" w:hAnsiTheme="minorEastAsia" w:eastAsiaTheme="minorEastAsia" w:cstheme="minorEastAsia"/>
          <w:sz w:val="28"/>
          <w:szCs w:val="28"/>
        </w:rPr>
      </w:pPr>
      <w:r>
        <w:fldChar w:fldCharType="begin"/>
      </w:r>
      <w:r>
        <w:instrText xml:space="preserve"> HYPERLINK \l "_Toc80724656" </w:instrText>
      </w:r>
      <w:r>
        <w:fldChar w:fldCharType="separate"/>
      </w:r>
      <w:r>
        <w:rPr>
          <w:rStyle w:val="50"/>
          <w:rFonts w:hint="eastAsia" w:asciiTheme="minorEastAsia" w:hAnsiTheme="minorEastAsia" w:eastAsiaTheme="minorEastAsia" w:cstheme="minorEastAsia"/>
          <w:color w:val="auto"/>
          <w:sz w:val="28"/>
          <w:szCs w:val="28"/>
        </w:rPr>
        <w:t>第四章 评标委员会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p>
    <w:p w14:paraId="0B89AA44">
      <w:pPr>
        <w:pStyle w:val="33"/>
        <w:tabs>
          <w:tab w:val="right" w:leader="dot" w:pos="8789"/>
          <w:tab w:val="clear" w:pos="9628"/>
        </w:tabs>
        <w:spacing w:line="360" w:lineRule="auto"/>
        <w:ind w:left="480"/>
        <w:rPr>
          <w:rFonts w:asciiTheme="minorEastAsia" w:hAnsiTheme="minorEastAsia" w:eastAsiaTheme="minorEastAsia" w:cstheme="minorEastAsia"/>
          <w:sz w:val="28"/>
          <w:szCs w:val="28"/>
        </w:rPr>
      </w:pPr>
      <w:r>
        <w:fldChar w:fldCharType="begin"/>
      </w:r>
      <w:r>
        <w:instrText xml:space="preserve"> HYPERLINK \l "_Toc80724657" </w:instrText>
      </w:r>
      <w:r>
        <w:fldChar w:fldCharType="separate"/>
      </w:r>
      <w:r>
        <w:rPr>
          <w:rStyle w:val="50"/>
          <w:rFonts w:hint="eastAsia" w:asciiTheme="minorEastAsia" w:hAnsiTheme="minorEastAsia" w:eastAsiaTheme="minorEastAsia" w:cstheme="minorEastAsia"/>
          <w:color w:val="auto"/>
          <w:sz w:val="28"/>
          <w:szCs w:val="28"/>
        </w:rPr>
        <w:t>第五章 开　标</w:t>
      </w:r>
      <w:bookmarkStart w:id="0" w:name="_Hlt80733727"/>
      <w:r>
        <w:rPr>
          <w:rFonts w:hint="eastAsia" w:asciiTheme="minorEastAsia" w:hAnsiTheme="minorEastAsia" w:eastAsiaTheme="minorEastAsia" w:cstheme="minorEastAsia"/>
          <w:sz w:val="28"/>
          <w:szCs w:val="28"/>
        </w:rPr>
        <w:tab/>
      </w:r>
      <w:bookmarkEnd w:id="0"/>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p>
    <w:p w14:paraId="585D5872">
      <w:pPr>
        <w:pStyle w:val="33"/>
        <w:tabs>
          <w:tab w:val="right" w:leader="dot" w:pos="8789"/>
          <w:tab w:val="clear" w:pos="9628"/>
        </w:tabs>
        <w:spacing w:line="360" w:lineRule="auto"/>
        <w:ind w:left="480"/>
        <w:rPr>
          <w:rFonts w:asciiTheme="minorEastAsia" w:hAnsiTheme="minorEastAsia" w:eastAsiaTheme="minorEastAsia" w:cstheme="minorEastAsia"/>
          <w:sz w:val="28"/>
          <w:szCs w:val="28"/>
        </w:rPr>
      </w:pPr>
      <w:r>
        <w:fldChar w:fldCharType="begin"/>
      </w:r>
      <w:r>
        <w:instrText xml:space="preserve"> HYPERLINK \l "_Toc80724658" </w:instrText>
      </w:r>
      <w:r>
        <w:fldChar w:fldCharType="separate"/>
      </w:r>
      <w:r>
        <w:rPr>
          <w:rStyle w:val="50"/>
          <w:rFonts w:hint="eastAsia" w:asciiTheme="minorEastAsia" w:hAnsiTheme="minorEastAsia" w:eastAsiaTheme="minorEastAsia" w:cstheme="minorEastAsia"/>
          <w:bCs/>
          <w:color w:val="auto"/>
          <w:sz w:val="28"/>
          <w:szCs w:val="28"/>
        </w:rPr>
        <w:t>第六章 评　标</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p>
    <w:p w14:paraId="1CA12AC8">
      <w:pPr>
        <w:pStyle w:val="33"/>
        <w:tabs>
          <w:tab w:val="right" w:leader="dot" w:pos="8789"/>
          <w:tab w:val="clear" w:pos="9628"/>
        </w:tabs>
        <w:spacing w:line="360" w:lineRule="auto"/>
        <w:ind w:left="480"/>
        <w:rPr>
          <w:rFonts w:asciiTheme="minorEastAsia" w:hAnsiTheme="minorEastAsia" w:eastAsiaTheme="minorEastAsia" w:cstheme="minorEastAsia"/>
          <w:sz w:val="28"/>
          <w:szCs w:val="28"/>
        </w:rPr>
      </w:pPr>
      <w:r>
        <w:fldChar w:fldCharType="begin"/>
      </w:r>
      <w:r>
        <w:instrText xml:space="preserve"> HYPERLINK \l "_Toc80724659" </w:instrText>
      </w:r>
      <w:r>
        <w:fldChar w:fldCharType="separate"/>
      </w:r>
      <w:r>
        <w:rPr>
          <w:rStyle w:val="50"/>
          <w:rFonts w:hint="eastAsia" w:asciiTheme="minorEastAsia" w:hAnsiTheme="minorEastAsia" w:eastAsiaTheme="minorEastAsia" w:cstheme="minorEastAsia"/>
          <w:color w:val="auto"/>
          <w:sz w:val="28"/>
          <w:szCs w:val="28"/>
        </w:rPr>
        <w:t>第七章 定　标</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29</w:t>
      </w:r>
      <w:r>
        <w:rPr>
          <w:rFonts w:hint="eastAsia" w:asciiTheme="minorEastAsia" w:hAnsiTheme="minorEastAsia" w:eastAsiaTheme="minorEastAsia" w:cstheme="minorEastAsia"/>
          <w:sz w:val="28"/>
          <w:szCs w:val="28"/>
        </w:rPr>
        <w:fldChar w:fldCharType="end"/>
      </w:r>
    </w:p>
    <w:p w14:paraId="11E35C77">
      <w:pPr>
        <w:pStyle w:val="33"/>
        <w:tabs>
          <w:tab w:val="right" w:leader="dot" w:pos="8789"/>
          <w:tab w:val="clear" w:pos="9628"/>
        </w:tabs>
        <w:spacing w:line="360" w:lineRule="auto"/>
        <w:ind w:left="480"/>
        <w:rPr>
          <w:rFonts w:asciiTheme="minorEastAsia" w:hAnsiTheme="minorEastAsia" w:eastAsiaTheme="minorEastAsia" w:cstheme="minorEastAsia"/>
          <w:sz w:val="28"/>
          <w:szCs w:val="28"/>
        </w:rPr>
      </w:pPr>
      <w:r>
        <w:fldChar w:fldCharType="begin"/>
      </w:r>
      <w:r>
        <w:instrText xml:space="preserve"> HYPERLINK \l "_Toc80724660" </w:instrText>
      </w:r>
      <w:r>
        <w:fldChar w:fldCharType="separate"/>
      </w:r>
      <w:r>
        <w:rPr>
          <w:rStyle w:val="50"/>
          <w:rFonts w:hint="eastAsia" w:asciiTheme="minorEastAsia" w:hAnsiTheme="minorEastAsia" w:eastAsiaTheme="minorEastAsia" w:cstheme="minorEastAsia"/>
          <w:color w:val="auto"/>
          <w:sz w:val="28"/>
          <w:szCs w:val="28"/>
        </w:rPr>
        <w:t>第八章 授予合同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30</w:t>
      </w:r>
      <w:r>
        <w:rPr>
          <w:rFonts w:hint="eastAsia" w:asciiTheme="minorEastAsia" w:hAnsiTheme="minorEastAsia" w:eastAsiaTheme="minorEastAsia" w:cstheme="minorEastAsia"/>
          <w:sz w:val="28"/>
          <w:szCs w:val="28"/>
        </w:rPr>
        <w:fldChar w:fldCharType="end"/>
      </w:r>
    </w:p>
    <w:p w14:paraId="5F1AFA4A">
      <w:pPr>
        <w:pStyle w:val="27"/>
        <w:tabs>
          <w:tab w:val="right" w:leader="dot" w:pos="8789"/>
          <w:tab w:val="clear" w:pos="9628"/>
        </w:tabs>
        <w:spacing w:line="360" w:lineRule="auto"/>
        <w:rPr>
          <w:rFonts w:asciiTheme="minorEastAsia" w:hAnsiTheme="minorEastAsia" w:eastAsiaTheme="minorEastAsia" w:cstheme="minorEastAsia"/>
          <w:b w:val="0"/>
          <w:sz w:val="28"/>
          <w:szCs w:val="28"/>
        </w:rPr>
      </w:pPr>
      <w:r>
        <w:fldChar w:fldCharType="begin"/>
      </w:r>
      <w:r>
        <w:instrText xml:space="preserve"> HYPERLINK \l "_Toc80724661" </w:instrText>
      </w:r>
      <w:r>
        <w:fldChar w:fldCharType="separate"/>
      </w:r>
      <w:r>
        <w:rPr>
          <w:rStyle w:val="50"/>
          <w:rFonts w:hint="eastAsia" w:asciiTheme="minorEastAsia" w:hAnsiTheme="minorEastAsia" w:eastAsiaTheme="minorEastAsia" w:cstheme="minorEastAsia"/>
          <w:b w:val="0"/>
          <w:color w:val="auto"/>
          <w:sz w:val="28"/>
          <w:szCs w:val="28"/>
        </w:rPr>
        <w:t>第四部分 采购需求</w:t>
      </w:r>
      <w:bookmarkStart w:id="1" w:name="_Hlt80724775"/>
      <w:bookmarkStart w:id="2" w:name="_Hlt80724673"/>
      <w:r>
        <w:rPr>
          <w:rFonts w:hint="eastAsia" w:asciiTheme="minorEastAsia" w:hAnsiTheme="minorEastAsia" w:eastAsiaTheme="minorEastAsia" w:cstheme="minorEastAsia"/>
          <w:b w:val="0"/>
          <w:sz w:val="28"/>
          <w:szCs w:val="28"/>
        </w:rPr>
        <w:tab/>
      </w:r>
      <w:bookmarkEnd w:id="1"/>
      <w:bookmarkEnd w:id="2"/>
      <w:r>
        <w:rPr>
          <w:rFonts w:hint="eastAsia" w:asciiTheme="minorEastAsia" w:hAnsiTheme="minorEastAsia" w:eastAsiaTheme="minorEastAsia" w:cstheme="minorEastAsia"/>
          <w:b w:val="0"/>
          <w:sz w:val="28"/>
          <w:szCs w:val="28"/>
        </w:rPr>
        <w:t>32</w:t>
      </w:r>
      <w:r>
        <w:rPr>
          <w:rFonts w:hint="eastAsia" w:asciiTheme="minorEastAsia" w:hAnsiTheme="minorEastAsia" w:eastAsiaTheme="minorEastAsia" w:cstheme="minorEastAsia"/>
          <w:b w:val="0"/>
          <w:sz w:val="28"/>
          <w:szCs w:val="28"/>
        </w:rPr>
        <w:fldChar w:fldCharType="end"/>
      </w:r>
    </w:p>
    <w:p w14:paraId="7B11B8B3">
      <w:pPr>
        <w:pStyle w:val="27"/>
        <w:tabs>
          <w:tab w:val="right" w:leader="dot" w:pos="8789"/>
          <w:tab w:val="clear" w:pos="9628"/>
        </w:tabs>
        <w:spacing w:line="360" w:lineRule="auto"/>
        <w:rPr>
          <w:rFonts w:asciiTheme="minorEastAsia" w:hAnsiTheme="minorEastAsia" w:eastAsiaTheme="minorEastAsia" w:cstheme="minorEastAsia"/>
          <w:b w:val="0"/>
          <w:sz w:val="28"/>
          <w:szCs w:val="28"/>
        </w:rPr>
      </w:pPr>
      <w:r>
        <w:fldChar w:fldCharType="begin"/>
      </w:r>
      <w:r>
        <w:instrText xml:space="preserve"> HYPERLINK \l "_Toc80724662" </w:instrText>
      </w:r>
      <w:r>
        <w:fldChar w:fldCharType="separate"/>
      </w:r>
      <w:r>
        <w:rPr>
          <w:rStyle w:val="50"/>
          <w:rFonts w:hint="eastAsia" w:asciiTheme="minorEastAsia" w:hAnsiTheme="minorEastAsia" w:eastAsiaTheme="minorEastAsia" w:cstheme="minorEastAsia"/>
          <w:b w:val="0"/>
          <w:color w:val="auto"/>
          <w:sz w:val="28"/>
          <w:szCs w:val="28"/>
        </w:rPr>
        <w:t>第五部分 合同部分</w:t>
      </w:r>
      <w:r>
        <w:rPr>
          <w:rFonts w:hint="eastAsia" w:asciiTheme="minorEastAsia" w:hAnsiTheme="minorEastAsia" w:eastAsiaTheme="minorEastAsia" w:cstheme="minorEastAsia"/>
          <w:b w:val="0"/>
          <w:sz w:val="28"/>
          <w:szCs w:val="28"/>
        </w:rPr>
        <w:tab/>
      </w:r>
      <w:r>
        <w:rPr>
          <w:rFonts w:hint="eastAsia" w:asciiTheme="minorEastAsia" w:hAnsiTheme="minorEastAsia" w:eastAsiaTheme="minorEastAsia" w:cstheme="minorEastAsia"/>
          <w:b w:val="0"/>
          <w:sz w:val="28"/>
          <w:szCs w:val="28"/>
        </w:rPr>
        <w:t>37</w:t>
      </w:r>
      <w:r>
        <w:rPr>
          <w:rFonts w:hint="eastAsia" w:asciiTheme="minorEastAsia" w:hAnsiTheme="minorEastAsia" w:eastAsiaTheme="minorEastAsia" w:cstheme="minorEastAsia"/>
          <w:b w:val="0"/>
          <w:sz w:val="28"/>
          <w:szCs w:val="28"/>
        </w:rPr>
        <w:fldChar w:fldCharType="end"/>
      </w:r>
    </w:p>
    <w:p w14:paraId="7D0277A3">
      <w:pPr>
        <w:pStyle w:val="27"/>
        <w:tabs>
          <w:tab w:val="right" w:leader="dot" w:pos="8789"/>
          <w:tab w:val="clear" w:pos="9628"/>
        </w:tabs>
        <w:spacing w:line="360" w:lineRule="auto"/>
        <w:rPr>
          <w:rFonts w:asciiTheme="minorEastAsia" w:hAnsiTheme="minorEastAsia" w:eastAsiaTheme="minorEastAsia" w:cstheme="minorEastAsia"/>
          <w:b w:val="0"/>
          <w:sz w:val="28"/>
          <w:szCs w:val="28"/>
        </w:rPr>
      </w:pPr>
      <w:r>
        <w:fldChar w:fldCharType="begin"/>
      </w:r>
      <w:r>
        <w:instrText xml:space="preserve"> HYPERLINK \l "_Toc80724672" </w:instrText>
      </w:r>
      <w:r>
        <w:fldChar w:fldCharType="separate"/>
      </w:r>
      <w:r>
        <w:rPr>
          <w:rStyle w:val="50"/>
          <w:rFonts w:hint="eastAsia" w:asciiTheme="minorEastAsia" w:hAnsiTheme="minorEastAsia" w:eastAsiaTheme="minorEastAsia" w:cstheme="minorEastAsia"/>
          <w:b w:val="0"/>
          <w:color w:val="auto"/>
          <w:sz w:val="28"/>
          <w:szCs w:val="28"/>
        </w:rPr>
        <w:t>第六部分 投标文件格式</w:t>
      </w:r>
      <w:r>
        <w:rPr>
          <w:rFonts w:hint="eastAsia" w:asciiTheme="minorEastAsia" w:hAnsiTheme="minorEastAsia" w:eastAsiaTheme="minorEastAsia" w:cstheme="minorEastAsia"/>
          <w:b w:val="0"/>
          <w:sz w:val="28"/>
          <w:szCs w:val="28"/>
        </w:rPr>
        <w:tab/>
      </w:r>
      <w:r>
        <w:rPr>
          <w:rFonts w:hint="eastAsia" w:asciiTheme="minorEastAsia" w:hAnsiTheme="minorEastAsia" w:eastAsiaTheme="minorEastAsia" w:cstheme="minorEastAsia"/>
          <w:b w:val="0"/>
          <w:sz w:val="28"/>
          <w:szCs w:val="28"/>
        </w:rPr>
        <w:t>40</w:t>
      </w:r>
      <w:r>
        <w:rPr>
          <w:rFonts w:hint="eastAsia" w:asciiTheme="minorEastAsia" w:hAnsiTheme="minorEastAsia" w:eastAsiaTheme="minorEastAsia" w:cstheme="minorEastAsia"/>
          <w:b w:val="0"/>
          <w:sz w:val="28"/>
          <w:szCs w:val="28"/>
        </w:rPr>
        <w:fldChar w:fldCharType="end"/>
      </w:r>
    </w:p>
    <w:p w14:paraId="0C805E40">
      <w:pPr>
        <w:rPr>
          <w:rFonts w:asciiTheme="minorEastAsia" w:hAnsiTheme="minorEastAsia" w:eastAsiaTheme="minorEastAsia" w:cstheme="minorEastAsia"/>
        </w:rPr>
      </w:pPr>
      <w:r>
        <w:rPr>
          <w:rFonts w:hint="eastAsia" w:asciiTheme="minorEastAsia" w:hAnsiTheme="minorEastAsia" w:eastAsiaTheme="minorEastAsia" w:cstheme="minorEastAsia"/>
          <w:bCs/>
          <w:sz w:val="28"/>
          <w:szCs w:val="28"/>
        </w:rPr>
        <w:fldChar w:fldCharType="end"/>
      </w:r>
    </w:p>
    <w:p w14:paraId="768A498E">
      <w:pPr>
        <w:pStyle w:val="27"/>
        <w:rPr>
          <w:rStyle w:val="50"/>
          <w:rFonts w:asciiTheme="minorEastAsia" w:hAnsiTheme="minorEastAsia" w:eastAsiaTheme="minorEastAsia" w:cstheme="minorEastAsia"/>
          <w:color w:val="auto"/>
          <w:sz w:val="28"/>
          <w:szCs w:val="28"/>
        </w:rPr>
        <w:sectPr>
          <w:footerReference r:id="rId3" w:type="default"/>
          <w:footerReference r:id="rId4" w:type="even"/>
          <w:pgSz w:w="11906" w:h="16838"/>
          <w:pgMar w:top="1440" w:right="1469" w:bottom="1440" w:left="1797" w:header="851" w:footer="992" w:gutter="0"/>
          <w:pgNumType w:start="0"/>
          <w:cols w:space="720" w:num="1"/>
          <w:titlePg/>
          <w:docGrid w:type="linesAndChars" w:linePitch="312" w:charSpace="0"/>
        </w:sectPr>
      </w:pPr>
    </w:p>
    <w:p w14:paraId="4F0C75A7">
      <w:pPr>
        <w:spacing w:before="60" w:after="60" w:line="400" w:lineRule="exact"/>
        <w:jc w:val="center"/>
        <w:rPr>
          <w:rFonts w:asciiTheme="minorEastAsia" w:hAnsiTheme="minorEastAsia" w:eastAsiaTheme="minorEastAsia" w:cstheme="minorEastAsia"/>
          <w:b/>
          <w:bCs/>
          <w:kern w:val="36"/>
          <w:szCs w:val="21"/>
        </w:rPr>
      </w:pPr>
      <w:bookmarkStart w:id="3" w:name="_Hlk88495647"/>
      <w:bookmarkStart w:id="4" w:name="_Hlk90983038"/>
      <w:r>
        <w:rPr>
          <w:rFonts w:hint="eastAsia" w:asciiTheme="minorEastAsia" w:hAnsiTheme="minorEastAsia" w:eastAsiaTheme="minorEastAsia" w:cstheme="minorEastAsia"/>
          <w:b/>
          <w:bCs/>
          <w:kern w:val="36"/>
          <w:szCs w:val="21"/>
        </w:rPr>
        <w:t>乌鲁木齐职业大学网络培训平台及网络课程资源服务采购项目</w:t>
      </w:r>
    </w:p>
    <w:p w14:paraId="1CE3D663">
      <w:pPr>
        <w:spacing w:before="60" w:after="60" w:line="400" w:lineRule="exact"/>
        <w:jc w:val="center"/>
        <w:rPr>
          <w:rFonts w:asciiTheme="minorEastAsia" w:hAnsiTheme="minorEastAsia" w:eastAsiaTheme="minorEastAsia" w:cstheme="minorEastAsia"/>
          <w:b/>
          <w:bCs/>
          <w:kern w:val="36"/>
          <w:szCs w:val="21"/>
        </w:rPr>
      </w:pPr>
      <w:r>
        <w:rPr>
          <w:rFonts w:hint="eastAsia" w:asciiTheme="minorEastAsia" w:hAnsiTheme="minorEastAsia" w:eastAsiaTheme="minorEastAsia" w:cstheme="minorEastAsia"/>
          <w:b/>
          <w:bCs/>
          <w:kern w:val="36"/>
          <w:szCs w:val="21"/>
        </w:rPr>
        <w:t>招标公告</w:t>
      </w:r>
    </w:p>
    <w:p w14:paraId="144EB672">
      <w:pPr>
        <w:spacing w:before="60" w:after="60"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项目概况</w:t>
      </w:r>
    </w:p>
    <w:p w14:paraId="44641145">
      <w:pPr>
        <w:spacing w:before="60" w:after="60" w:line="40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乌鲁木齐职业大学网络培训平台及网络课程资源服务采购项目招标项目</w:t>
      </w:r>
      <w:r>
        <w:rPr>
          <w:rFonts w:hint="eastAsia" w:asciiTheme="minorEastAsia" w:hAnsiTheme="minorEastAsia" w:eastAsiaTheme="minorEastAsia" w:cstheme="minorEastAsia"/>
        </w:rPr>
        <w:t>的潜在投标人应在政采云平台http://www.zcygov.cn获取招标文件，并于2025年07月24日 11:00（北京时间）前递交投标文件。</w:t>
      </w:r>
    </w:p>
    <w:p w14:paraId="54AF1463">
      <w:pPr>
        <w:spacing w:before="204" w:after="204" w:line="400" w:lineRule="exact"/>
        <w:rPr>
          <w:rFonts w:asciiTheme="minorEastAsia" w:hAnsiTheme="minorEastAsia" w:eastAsiaTheme="minorEastAsia" w:cstheme="minorEastAsia"/>
        </w:rPr>
      </w:pPr>
      <w:r>
        <w:rPr>
          <w:rFonts w:hint="eastAsia" w:asciiTheme="minorEastAsia" w:hAnsiTheme="minorEastAsia" w:eastAsiaTheme="minorEastAsia" w:cstheme="minorEastAsia"/>
          <w:b/>
          <w:bCs/>
        </w:rPr>
        <w:t>一、项目基本情况</w:t>
      </w:r>
    </w:p>
    <w:p w14:paraId="73C16E70">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项目编号：XJCY2025-ZB-408</w:t>
      </w:r>
    </w:p>
    <w:p w14:paraId="310111FF">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项目名称：乌鲁木齐职业大学网络培训平台及网络课程资源服务采购项目</w:t>
      </w:r>
    </w:p>
    <w:p w14:paraId="2D14837E">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预算金额（元）：800000.00</w:t>
      </w:r>
    </w:p>
    <w:p w14:paraId="650A8E59">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最高限价（元）：800000.00</w:t>
      </w:r>
    </w:p>
    <w:p w14:paraId="70995F74">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采购需求：</w:t>
      </w:r>
    </w:p>
    <w:p w14:paraId="1CF07D4D">
      <w:pPr>
        <w:spacing w:before="60" w:after="60" w:line="400" w:lineRule="exact"/>
        <w:ind w:firstLine="480"/>
        <w:rPr>
          <w:rFonts w:asciiTheme="minorEastAsia" w:hAnsiTheme="minorEastAsia" w:eastAsiaTheme="minorEastAsia" w:cstheme="minorEastAsia"/>
        </w:rPr>
      </w:pPr>
    </w:p>
    <w:p w14:paraId="23A35911">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标项一</w:t>
      </w:r>
    </w:p>
    <w:p w14:paraId="0D8821D3">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标项名称: 乌鲁木齐职业大学“2025年乌鲁木齐市中小学和幼儿园教师数字素养研修网络课程资源”采购项目</w:t>
      </w:r>
    </w:p>
    <w:p w14:paraId="5A0AC5C6">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数量: 1</w:t>
      </w:r>
    </w:p>
    <w:p w14:paraId="12C7C5EF">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预算金额（元）:450000.00</w:t>
      </w:r>
    </w:p>
    <w:p w14:paraId="6BC99421">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简要规格描述或项目基本概况介绍、用途：详见招标文件。</w:t>
      </w:r>
    </w:p>
    <w:p w14:paraId="2AB1792B">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备注：</w:t>
      </w:r>
    </w:p>
    <w:p w14:paraId="0319B0CA">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合同履约期限：自合同签订之日起至项目结束。</w:t>
      </w:r>
    </w:p>
    <w:p w14:paraId="49D06F2B">
      <w:pPr>
        <w:pStyle w:val="35"/>
        <w:rPr>
          <w:rFonts w:asciiTheme="minorEastAsia" w:hAnsiTheme="minorEastAsia" w:eastAsiaTheme="minorEastAsia" w:cstheme="minorEastAsia"/>
        </w:rPr>
      </w:pPr>
    </w:p>
    <w:p w14:paraId="20A21D80">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标项二</w:t>
      </w:r>
    </w:p>
    <w:p w14:paraId="54833767">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标项名称: 2025年乌鲁木齐职业大学高等学历继续教育和职业教育培训网络教学平台采购项目</w:t>
      </w:r>
    </w:p>
    <w:p w14:paraId="697B9D76">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数量: 1</w:t>
      </w:r>
    </w:p>
    <w:p w14:paraId="2134EBD2">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预算金额（元）:350000.00</w:t>
      </w:r>
    </w:p>
    <w:p w14:paraId="24383BF7">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简要规格描述或项目基本概况介绍、用途：详见招标文件。</w:t>
      </w:r>
    </w:p>
    <w:p w14:paraId="657957A4">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备注：</w:t>
      </w:r>
    </w:p>
    <w:p w14:paraId="2E3656A3">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合同履约期限：自合同签订之日起至项目结束。</w:t>
      </w:r>
    </w:p>
    <w:p w14:paraId="26B9BCDA">
      <w:pPr>
        <w:pStyle w:val="35"/>
        <w:rPr>
          <w:rFonts w:asciiTheme="minorEastAsia" w:hAnsiTheme="minorEastAsia" w:eastAsiaTheme="minorEastAsia" w:cstheme="minorEastAsia"/>
        </w:rPr>
      </w:pPr>
    </w:p>
    <w:p w14:paraId="3A660F5E">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本项目（否）接受联合体投标。</w:t>
      </w:r>
    </w:p>
    <w:p w14:paraId="1DF95B1E">
      <w:pPr>
        <w:spacing w:before="60" w:after="60" w:line="400" w:lineRule="exact"/>
        <w:rPr>
          <w:rFonts w:asciiTheme="minorEastAsia" w:hAnsiTheme="minorEastAsia" w:eastAsiaTheme="minorEastAsia" w:cstheme="minorEastAsia"/>
        </w:rPr>
      </w:pPr>
      <w:r>
        <w:rPr>
          <w:rFonts w:hint="eastAsia" w:asciiTheme="minorEastAsia" w:hAnsiTheme="minorEastAsia" w:eastAsiaTheme="minorEastAsia" w:cstheme="minorEastAsia"/>
          <w:b/>
          <w:bCs/>
        </w:rPr>
        <w:t>二、申请人的资格要求：</w:t>
      </w:r>
    </w:p>
    <w:p w14:paraId="224684E5">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14:paraId="37624850">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2.落实政府采购政策需满足的资格要求：供应商为中小企业；</w:t>
      </w:r>
    </w:p>
    <w:p w14:paraId="72D98D67">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本项目为专门面向中小微企业</w:t>
      </w:r>
      <w:r>
        <w:rPr>
          <w:rFonts w:asciiTheme="minorEastAsia" w:hAnsiTheme="minorEastAsia" w:eastAsiaTheme="minorEastAsia" w:cstheme="minorEastAsia"/>
        </w:rPr>
        <w:t>(含中型、小型、微型企业) 采购项目，根据《政府采购促进中小企业发展管理办法》(财库[2020]46号)的规定，不再执行价格评审优惠的扶持政策，必须提供此声明函。</w:t>
      </w:r>
    </w:p>
    <w:p w14:paraId="424E0170">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14:paraId="75776A99">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（1）在中华人民共和国境内注册，未在“信用中国”网站 (www.creditchina.gov.cn) 、“中国政府采购网” (www.ccgp.gov.cn) 等渠道列入失信被执行人、税收违法黑名单、政府采购严重违法失信行为记录名单；</w:t>
      </w:r>
    </w:p>
    <w:p w14:paraId="129E94AD">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（2）本项目不接受联合体投标。</w:t>
      </w:r>
    </w:p>
    <w:p w14:paraId="36CF32D8">
      <w:pPr>
        <w:spacing w:before="204" w:after="204" w:line="400" w:lineRule="exact"/>
        <w:rPr>
          <w:rFonts w:asciiTheme="minorEastAsia" w:hAnsiTheme="minorEastAsia" w:eastAsiaTheme="minorEastAsia" w:cstheme="minorEastAsia"/>
        </w:rPr>
      </w:pPr>
      <w:r>
        <w:rPr>
          <w:rFonts w:hint="eastAsia" w:asciiTheme="minorEastAsia" w:hAnsiTheme="minorEastAsia" w:eastAsiaTheme="minorEastAsia" w:cstheme="minorEastAsia"/>
          <w:b/>
          <w:bCs/>
        </w:rPr>
        <w:t>三、获取招标文件</w:t>
      </w:r>
    </w:p>
    <w:p w14:paraId="3DE9C5A3">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时间：2025年07月04日至2025年07月11日，每天上午10:00至13:30，下午15:30至19:00（北京时间，法定节假日除外）</w:t>
      </w:r>
    </w:p>
    <w:p w14:paraId="1A70366D">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地点：政采云平台http://www.zcygov.cn</w:t>
      </w:r>
    </w:p>
    <w:p w14:paraId="51C6BBE6">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方式：免费获取，供应商登陆政采云账户（网址：</w:t>
      </w:r>
      <w:r>
        <w:fldChar w:fldCharType="begin"/>
      </w:r>
      <w: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fldChar w:fldCharType="separate"/>
      </w:r>
      <w:r>
        <w:rPr>
          <w:rFonts w:hint="eastAsia" w:asciiTheme="minorEastAsia" w:hAnsiTheme="minorEastAsia" w:eastAsiaTheme="minorEastAsia" w:cstheme="minorEastAsia"/>
        </w:rPr>
        <w:t>https://www.zcygov.cn/）,在线申请获取招标文件（登录政府采购云平台→采购项目→获取采购文件→申请，审核通过后可下载招标文件，如有操作性问题，可与政采云在线客服进行咨询，咨询电话95763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w:t>
      </w:r>
    </w:p>
    <w:p w14:paraId="33CA1461">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售价（元）：0.00元</w:t>
      </w:r>
    </w:p>
    <w:p w14:paraId="10FB6A37">
      <w:pPr>
        <w:spacing w:before="204" w:after="204" w:line="400" w:lineRule="exact"/>
        <w:rPr>
          <w:rFonts w:asciiTheme="minorEastAsia" w:hAnsiTheme="minorEastAsia" w:eastAsiaTheme="minorEastAsia" w:cstheme="minorEastAsia"/>
        </w:rPr>
      </w:pPr>
      <w:r>
        <w:rPr>
          <w:rFonts w:hint="eastAsia" w:asciiTheme="minorEastAsia" w:hAnsiTheme="minorEastAsia" w:eastAsiaTheme="minorEastAsia" w:cstheme="minorEastAsia"/>
          <w:b/>
          <w:bCs/>
        </w:rPr>
        <w:t>四、提交投标文件截止时间、开标时间和地点</w:t>
      </w:r>
    </w:p>
    <w:p w14:paraId="2A92DB84">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提交投标文件截止时间：2025年07月24日  11:00（北京时间）</w:t>
      </w:r>
    </w:p>
    <w:p w14:paraId="05BC449F">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投标地点：将投标文件上传至政采云平台https://www.zcygov.cn/对应位置（逾期未上传的或不符合规定的投标文件将被拒绝接收）</w:t>
      </w:r>
    </w:p>
    <w:p w14:paraId="3B57B7FA">
      <w:pPr>
        <w:tabs>
          <w:tab w:val="left" w:pos="8790"/>
        </w:tabs>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开标时间：2025年07月24日  11:00（北京时间）</w:t>
      </w:r>
      <w:r>
        <w:rPr>
          <w:rFonts w:hint="eastAsia" w:asciiTheme="minorEastAsia" w:hAnsiTheme="minorEastAsia" w:eastAsiaTheme="minorEastAsia" w:cstheme="minorEastAsia"/>
        </w:rPr>
        <w:tab/>
      </w:r>
    </w:p>
    <w:p w14:paraId="0FE0BB9E">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开标地点：</w:t>
      </w:r>
      <w:r>
        <w:rPr>
          <w:rFonts w:hint="eastAsia" w:asciiTheme="minorEastAsia" w:hAnsiTheme="minorEastAsia" w:eastAsiaTheme="minorEastAsia" w:cstheme="minorEastAsia"/>
          <w:szCs w:val="21"/>
        </w:rPr>
        <w:t>政采云平台https://www.zcygov.cn/不见面开标大厅</w:t>
      </w:r>
    </w:p>
    <w:p w14:paraId="1F84AD56">
      <w:pPr>
        <w:spacing w:before="204" w:after="204" w:line="400" w:lineRule="exact"/>
        <w:rPr>
          <w:rFonts w:asciiTheme="minorEastAsia" w:hAnsiTheme="minorEastAsia" w:eastAsiaTheme="minorEastAsia" w:cstheme="minorEastAsia"/>
        </w:rPr>
      </w:pPr>
      <w:r>
        <w:rPr>
          <w:rFonts w:hint="eastAsia" w:asciiTheme="minorEastAsia" w:hAnsiTheme="minorEastAsia" w:eastAsiaTheme="minorEastAsia" w:cstheme="minorEastAsia"/>
          <w:b/>
          <w:bCs/>
        </w:rPr>
        <w:t>五、公告期限</w:t>
      </w:r>
    </w:p>
    <w:p w14:paraId="3178C31B">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自本公告发布之日起5个工作日。</w:t>
      </w:r>
    </w:p>
    <w:p w14:paraId="301F6567">
      <w:pPr>
        <w:spacing w:before="204" w:after="204" w:line="400" w:lineRule="exact"/>
        <w:rPr>
          <w:rFonts w:asciiTheme="minorEastAsia" w:hAnsiTheme="minorEastAsia" w:eastAsiaTheme="minorEastAsia" w:cstheme="minorEastAsia"/>
        </w:rPr>
      </w:pPr>
      <w:r>
        <w:rPr>
          <w:rFonts w:hint="eastAsia" w:asciiTheme="minorEastAsia" w:hAnsiTheme="minorEastAsia" w:eastAsiaTheme="minorEastAsia" w:cstheme="minorEastAsia"/>
          <w:b/>
          <w:bCs/>
        </w:rPr>
        <w:t>六、其他补充事宜</w:t>
      </w:r>
    </w:p>
    <w:p w14:paraId="379F6235">
      <w:pPr>
        <w:spacing w:line="400" w:lineRule="exact"/>
        <w:ind w:firstLine="482"/>
        <w:rPr>
          <w:rFonts w:asciiTheme="minorEastAsia" w:hAnsiTheme="minorEastAsia" w:eastAsiaTheme="minorEastAsia" w:cstheme="minorEastAsia"/>
        </w:rPr>
      </w:pPr>
      <w:r>
        <w:rPr>
          <w:rFonts w:hint="eastAsia" w:asciiTheme="minorEastAsia" w:hAnsiTheme="minorEastAsia" w:eastAsiaTheme="minorEastAsia" w:cstheme="minorEastAsia"/>
        </w:rPr>
        <w:t>1.本项目实行网上投标，采用电子投标文件；</w:t>
      </w:r>
    </w:p>
    <w:p w14:paraId="431472FF">
      <w:pPr>
        <w:spacing w:line="400" w:lineRule="exact"/>
        <w:ind w:firstLine="482"/>
        <w:rPr>
          <w:rFonts w:asciiTheme="minorEastAsia" w:hAnsiTheme="minorEastAsia" w:eastAsiaTheme="minorEastAsia" w:cstheme="minorEastAsia"/>
        </w:rPr>
      </w:pPr>
      <w:r>
        <w:rPr>
          <w:rFonts w:hint="eastAsia" w:asciiTheme="minorEastAsia" w:hAnsiTheme="minorEastAsia" w:eastAsiaTheme="minorEastAsia" w:cstheme="minorEastAsia"/>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fldChar w:fldCharType="begin"/>
      </w:r>
      <w:r>
        <w:instrText xml:space="preserve"> HYPERLINK "https://www.xjca.com.cn/）或下载" </w:instrText>
      </w:r>
      <w:r>
        <w:fldChar w:fldCharType="separate"/>
      </w:r>
      <w:r>
        <w:rPr>
          <w:rFonts w:hint="eastAsia" w:asciiTheme="minorEastAsia" w:hAnsiTheme="minorEastAsia" w:eastAsiaTheme="minorEastAsia" w:cstheme="minorEastAsia"/>
        </w:rPr>
        <w:t>https://www.xjca.com.cn/）或下载“新疆政务通”APP自行申领。如需咨询，请联系新疆CA服务热线0991-2819290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w:t>
      </w:r>
    </w:p>
    <w:p w14:paraId="23CC876B">
      <w:pPr>
        <w:spacing w:line="400" w:lineRule="exact"/>
        <w:ind w:firstLine="482"/>
        <w:rPr>
          <w:rFonts w:asciiTheme="minorEastAsia" w:hAnsiTheme="minorEastAsia" w:eastAsiaTheme="minorEastAsia" w:cstheme="minorEastAsia"/>
        </w:rPr>
      </w:pPr>
      <w:r>
        <w:rPr>
          <w:rFonts w:hint="eastAsia" w:asciiTheme="minorEastAsia" w:hAnsiTheme="minorEastAsia" w:eastAsiaTheme="minorEastAsia" w:cstheme="minorEastAsia"/>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16D5F51">
      <w:pPr>
        <w:spacing w:line="400" w:lineRule="exact"/>
        <w:ind w:firstLine="482"/>
        <w:rPr>
          <w:rFonts w:asciiTheme="minorEastAsia" w:hAnsiTheme="minorEastAsia" w:eastAsiaTheme="minorEastAsia" w:cstheme="minorEastAsia"/>
        </w:rPr>
      </w:pPr>
      <w:r>
        <w:rPr>
          <w:rFonts w:hint="eastAsia" w:asciiTheme="minorEastAsia" w:hAnsiTheme="minorEastAsia" w:eastAsiaTheme="minorEastAsia" w:cstheme="minorEastAsia"/>
        </w:rPr>
        <w:t>4.供应商应当在投标截止时间前,将生成的“电子加密投标文件”上传递交至“政府采购云平台”,投标截止时间以后上传递交的投标文件将被“政府采购云平台”拒收；</w:t>
      </w:r>
    </w:p>
    <w:p w14:paraId="0514C3CC">
      <w:pPr>
        <w:spacing w:line="400" w:lineRule="exact"/>
        <w:ind w:firstLine="482"/>
        <w:rPr>
          <w:rFonts w:asciiTheme="minorEastAsia" w:hAnsiTheme="minorEastAsia" w:eastAsiaTheme="minorEastAsia" w:cstheme="minorEastAsia"/>
        </w:rPr>
      </w:pPr>
      <w:r>
        <w:rPr>
          <w:rFonts w:hint="eastAsia" w:asciiTheme="minorEastAsia" w:hAnsiTheme="minorEastAsia" w:eastAsiaTheme="minorEastAsia" w:cstheme="minorEastAsia"/>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6FB68DA7">
      <w:pPr>
        <w:pStyle w:val="152"/>
        <w:spacing w:line="400" w:lineRule="exact"/>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6、供应商登录政采云平台，在开标时间后30分钟内用“项目采购-开标评标”功能进行解密投标文件。若供应商在规定时间内未按时解密的，视为无效投标。解密与加密投标文件须使用同一个 CA。</w:t>
      </w:r>
    </w:p>
    <w:p w14:paraId="53865D59">
      <w:pPr>
        <w:spacing w:before="204" w:after="204" w:line="400" w:lineRule="exact"/>
        <w:rPr>
          <w:rFonts w:asciiTheme="minorEastAsia" w:hAnsiTheme="minorEastAsia" w:eastAsiaTheme="minorEastAsia" w:cstheme="minorEastAsia"/>
        </w:rPr>
      </w:pPr>
      <w:r>
        <w:rPr>
          <w:rFonts w:hint="eastAsia" w:asciiTheme="minorEastAsia" w:hAnsiTheme="minorEastAsia" w:eastAsiaTheme="minorEastAsia" w:cstheme="minorEastAsia"/>
          <w:b/>
          <w:bCs/>
        </w:rPr>
        <w:t>七、对本次采购提出询问，请按以下方式联系</w:t>
      </w:r>
    </w:p>
    <w:p w14:paraId="29C9DC9E">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1.采购人信息</w:t>
      </w:r>
    </w:p>
    <w:p w14:paraId="6019DCB4">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名 称：</w:t>
      </w:r>
      <w:r>
        <w:rPr>
          <w:rFonts w:hint="eastAsia" w:asciiTheme="minorEastAsia" w:hAnsiTheme="minorEastAsia" w:eastAsiaTheme="minorEastAsia" w:cstheme="minorEastAsia"/>
          <w:b/>
          <w:bCs/>
        </w:rPr>
        <w:t>乌鲁木齐职业大学</w:t>
      </w:r>
    </w:p>
    <w:p w14:paraId="3CDEC3ED">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地 址：乌鲁木齐市天山区幸福路723号</w:t>
      </w:r>
    </w:p>
    <w:p w14:paraId="7DE63503">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联系人：吴老师</w:t>
      </w:r>
    </w:p>
    <w:p w14:paraId="3EE1D75A">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联系方式：0991-8858971</w:t>
      </w:r>
    </w:p>
    <w:p w14:paraId="07C76F75">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2.采购代理机构信息</w:t>
      </w:r>
    </w:p>
    <w:p w14:paraId="35F0721F">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名 称：新疆诚誉工程项目管理有限公司</w:t>
      </w:r>
    </w:p>
    <w:p w14:paraId="4B49AD01">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地 址：乌鲁木齐市会展大道599号新疆财富中心C座6楼601室</w:t>
      </w:r>
    </w:p>
    <w:p w14:paraId="533D32D7">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联系方式：17690825332</w:t>
      </w:r>
    </w:p>
    <w:p w14:paraId="09F94CE7">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3.项目联系方式</w:t>
      </w:r>
    </w:p>
    <w:p w14:paraId="6E00333B">
      <w:pPr>
        <w:spacing w:before="60" w:after="60" w:line="400" w:lineRule="exact"/>
        <w:ind w:firstLine="48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项目联系人：</w:t>
      </w:r>
      <w:r>
        <w:rPr>
          <w:rFonts w:hint="eastAsia" w:asciiTheme="minorEastAsia" w:hAnsiTheme="minorEastAsia" w:eastAsiaTheme="minorEastAsia" w:cstheme="minorEastAsia"/>
          <w:lang w:eastAsia="zh-CN"/>
        </w:rPr>
        <w:t>赵箭、殷伟豪、曹英英</w:t>
      </w:r>
    </w:p>
    <w:p w14:paraId="19E78902">
      <w:pPr>
        <w:spacing w:before="60" w:after="6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电 话：17690825332</w:t>
      </w:r>
    </w:p>
    <w:bookmarkEnd w:id="3"/>
    <w:bookmarkEnd w:id="4"/>
    <w:p w14:paraId="43C04860">
      <w:pPr>
        <w:pStyle w:val="112"/>
        <w:spacing w:line="400" w:lineRule="exact"/>
        <w:jc w:val="center"/>
        <w:outlineLvl w:val="0"/>
        <w:rPr>
          <w:rFonts w:asciiTheme="minorEastAsia" w:hAnsiTheme="minorEastAsia" w:eastAsiaTheme="minorEastAsia" w:cstheme="minorEastAsia"/>
          <w:b/>
          <w:color w:val="auto"/>
          <w:kern w:val="2"/>
          <w:sz w:val="36"/>
          <w:szCs w:val="20"/>
        </w:rPr>
      </w:pPr>
      <w:r>
        <w:rPr>
          <w:rFonts w:hint="eastAsia" w:asciiTheme="minorEastAsia" w:hAnsiTheme="minorEastAsia" w:eastAsiaTheme="minorEastAsia" w:cstheme="minorEastAsia"/>
          <w:b/>
          <w:color w:val="auto"/>
          <w:kern w:val="2"/>
          <w:sz w:val="36"/>
          <w:szCs w:val="20"/>
        </w:rPr>
        <w:br w:type="page"/>
      </w:r>
      <w:bookmarkStart w:id="5" w:name="_Toc80724648"/>
      <w:r>
        <w:rPr>
          <w:rFonts w:hint="eastAsia" w:asciiTheme="minorEastAsia" w:hAnsiTheme="minorEastAsia" w:eastAsiaTheme="minorEastAsia" w:cstheme="minorEastAsia"/>
          <w:b/>
          <w:color w:val="auto"/>
          <w:kern w:val="2"/>
          <w:sz w:val="36"/>
          <w:szCs w:val="20"/>
        </w:rPr>
        <w:t>第一部分 投标须知</w:t>
      </w:r>
      <w:bookmarkEnd w:id="5"/>
      <w:r>
        <w:rPr>
          <w:rFonts w:hint="eastAsia" w:asciiTheme="minorEastAsia" w:hAnsiTheme="minorEastAsia" w:eastAsiaTheme="minorEastAsia" w:cstheme="minorEastAsia"/>
          <w:b/>
          <w:color w:val="auto"/>
          <w:kern w:val="2"/>
          <w:sz w:val="36"/>
          <w:szCs w:val="20"/>
        </w:rPr>
        <w:t>前附表</w:t>
      </w:r>
    </w:p>
    <w:tbl>
      <w:tblPr>
        <w:tblStyle w:val="40"/>
        <w:tblW w:w="10550"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7062"/>
      </w:tblGrid>
      <w:tr w14:paraId="7F4D6DA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vAlign w:val="center"/>
          </w:tcPr>
          <w:p w14:paraId="371B8E92">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509" w:type="dxa"/>
            <w:tcBorders>
              <w:tl2br w:val="nil"/>
              <w:tr2bl w:val="nil"/>
            </w:tcBorders>
            <w:vAlign w:val="center"/>
          </w:tcPr>
          <w:p w14:paraId="75D2F2BF">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名称</w:t>
            </w:r>
          </w:p>
        </w:tc>
        <w:tc>
          <w:tcPr>
            <w:tcW w:w="7062" w:type="dxa"/>
            <w:tcBorders>
              <w:tl2br w:val="nil"/>
              <w:tr2bl w:val="nil"/>
            </w:tcBorders>
            <w:vAlign w:val="center"/>
          </w:tcPr>
          <w:p w14:paraId="2A07E8DB">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内容</w:t>
            </w:r>
          </w:p>
        </w:tc>
      </w:tr>
      <w:tr w14:paraId="641F7FC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E58D324">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2509" w:type="dxa"/>
            <w:tcBorders>
              <w:tl2br w:val="nil"/>
              <w:tr2bl w:val="nil"/>
            </w:tcBorders>
            <w:vAlign w:val="center"/>
          </w:tcPr>
          <w:p w14:paraId="70445687">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p>
        </w:tc>
        <w:tc>
          <w:tcPr>
            <w:tcW w:w="7062" w:type="dxa"/>
            <w:tcBorders>
              <w:tl2br w:val="nil"/>
              <w:tr2bl w:val="nil"/>
            </w:tcBorders>
            <w:vAlign w:val="center"/>
          </w:tcPr>
          <w:p w14:paraId="36E4B947">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XJCY2025-ZB-408</w:t>
            </w:r>
          </w:p>
        </w:tc>
      </w:tr>
      <w:tr w14:paraId="52CFB685">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688B2C2A">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w:t>
            </w:r>
          </w:p>
        </w:tc>
        <w:tc>
          <w:tcPr>
            <w:tcW w:w="2509" w:type="dxa"/>
            <w:tcBorders>
              <w:tl2br w:val="nil"/>
              <w:tr2bl w:val="nil"/>
            </w:tcBorders>
            <w:vAlign w:val="center"/>
          </w:tcPr>
          <w:p w14:paraId="0F648328">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7062" w:type="dxa"/>
            <w:tcBorders>
              <w:tl2br w:val="nil"/>
              <w:tr2bl w:val="nil"/>
            </w:tcBorders>
          </w:tcPr>
          <w:p w14:paraId="486823A0">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乌鲁木齐职业大学网络培训平台及网络课程资源服务采购项目</w:t>
            </w:r>
          </w:p>
        </w:tc>
      </w:tr>
      <w:tr w14:paraId="52C49EA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C8A10CC">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2509" w:type="dxa"/>
            <w:tcBorders>
              <w:tl2br w:val="nil"/>
              <w:tr2bl w:val="nil"/>
            </w:tcBorders>
            <w:vAlign w:val="center"/>
          </w:tcPr>
          <w:p w14:paraId="26BA6F02">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联系方式</w:t>
            </w:r>
          </w:p>
        </w:tc>
        <w:tc>
          <w:tcPr>
            <w:tcW w:w="7062" w:type="dxa"/>
            <w:tcBorders>
              <w:tl2br w:val="nil"/>
              <w:tr2bl w:val="nil"/>
            </w:tcBorders>
            <w:vAlign w:val="center"/>
          </w:tcPr>
          <w:p w14:paraId="017F8AE2">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采购单位：</w:t>
            </w:r>
            <w:r>
              <w:rPr>
                <w:rFonts w:hint="eastAsia" w:asciiTheme="minorEastAsia" w:hAnsiTheme="minorEastAsia" w:eastAsiaTheme="minorEastAsia" w:cstheme="minorEastAsia"/>
                <w:b/>
                <w:bCs/>
              </w:rPr>
              <w:t>乌鲁木齐职业大学</w:t>
            </w:r>
          </w:p>
          <w:p w14:paraId="57CE4AE3">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采购单位地址：乌鲁木齐市天山区幸福路723号 </w:t>
            </w:r>
          </w:p>
          <w:p w14:paraId="20654C26">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联系人：吴老师       联系电话：0991-8858971</w:t>
            </w:r>
          </w:p>
          <w:p w14:paraId="7053F62A">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招标代理机构：新疆诚誉工程项目管理有限公司</w:t>
            </w:r>
          </w:p>
          <w:p w14:paraId="4E996641">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招标公司地址：乌鲁木齐市会展大道599号新疆财富中心C座6楼601室 </w:t>
            </w:r>
          </w:p>
          <w:p w14:paraId="193671D1">
            <w:pPr>
              <w:overflowPunct w:val="0"/>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项目联系人：</w:t>
            </w:r>
            <w:r>
              <w:rPr>
                <w:rFonts w:hint="eastAsia" w:asciiTheme="minorEastAsia" w:hAnsiTheme="minorEastAsia" w:eastAsiaTheme="minorEastAsia" w:cstheme="minorEastAsia"/>
                <w:lang w:eastAsia="zh-CN"/>
              </w:rPr>
              <w:t>赵箭、殷伟豪、曹英英</w:t>
            </w:r>
          </w:p>
          <w:p w14:paraId="78F42618">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联系电话：17690825332</w:t>
            </w:r>
          </w:p>
          <w:p w14:paraId="6E472FDB">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联系邮箱：1491358962@qq.com</w:t>
            </w:r>
          </w:p>
        </w:tc>
      </w:tr>
      <w:tr w14:paraId="23BCDAD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6A1B5D60">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2509" w:type="dxa"/>
            <w:tcBorders>
              <w:tl2br w:val="nil"/>
              <w:tr2bl w:val="nil"/>
            </w:tcBorders>
            <w:vAlign w:val="center"/>
          </w:tcPr>
          <w:p w14:paraId="43EF681C">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采购内容</w:t>
            </w:r>
          </w:p>
        </w:tc>
        <w:tc>
          <w:tcPr>
            <w:tcW w:w="7062" w:type="dxa"/>
            <w:tcBorders>
              <w:tl2br w:val="nil"/>
              <w:tr2bl w:val="nil"/>
            </w:tcBorders>
            <w:vAlign w:val="center"/>
          </w:tcPr>
          <w:p w14:paraId="7A17425F">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标项一：</w:t>
            </w:r>
            <w:r>
              <w:rPr>
                <w:rFonts w:asciiTheme="minorEastAsia" w:hAnsiTheme="minorEastAsia" w:eastAsiaTheme="minorEastAsia" w:cstheme="minorEastAsia"/>
              </w:rPr>
              <w:t>本采购项目预计课时总量为200,000课时。项目费用采用据实结算机制，最终执行金额将依据实际使用课时数核算。采购内容涵盖课程资源采购、平台使用、培训服务、技术支持服务等与本次采购相关的全部费用，包含但不限于课程资源、平台运维、技术保障等全流程支出，确保项目顺利实施。</w:t>
            </w:r>
          </w:p>
          <w:p w14:paraId="0A167C83">
            <w:pPr>
              <w:spacing w:line="360" w:lineRule="auto"/>
              <w:rPr>
                <w:rFonts w:eastAsiaTheme="minorEastAsia"/>
              </w:rPr>
            </w:pPr>
            <w:r>
              <w:rPr>
                <w:rFonts w:hint="eastAsia" w:asciiTheme="minorEastAsia" w:hAnsiTheme="minorEastAsia" w:eastAsiaTheme="minorEastAsia" w:cstheme="minorEastAsia"/>
              </w:rPr>
              <w:t>标项二：高等学历继续教育平台、职业教育培训平台</w:t>
            </w:r>
          </w:p>
        </w:tc>
      </w:tr>
      <w:tr w14:paraId="366327C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6ACFAE6C">
            <w:pPr>
              <w:spacing w:line="360" w:lineRule="auto"/>
              <w:jc w:val="center"/>
              <w:textAlignment w:val="center"/>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5</w:t>
            </w:r>
          </w:p>
        </w:tc>
        <w:tc>
          <w:tcPr>
            <w:tcW w:w="2509" w:type="dxa"/>
            <w:tcBorders>
              <w:tl2br w:val="nil"/>
              <w:tr2bl w:val="nil"/>
            </w:tcBorders>
            <w:vAlign w:val="center"/>
          </w:tcPr>
          <w:p w14:paraId="1F49E66A">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报价方式</w:t>
            </w:r>
          </w:p>
        </w:tc>
        <w:tc>
          <w:tcPr>
            <w:tcW w:w="7062" w:type="dxa"/>
            <w:tcBorders>
              <w:tl2br w:val="nil"/>
              <w:tr2bl w:val="nil"/>
            </w:tcBorders>
            <w:vAlign w:val="center"/>
          </w:tcPr>
          <w:p w14:paraId="7B9B5A23">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总价报价</w:t>
            </w:r>
          </w:p>
        </w:tc>
      </w:tr>
      <w:tr w14:paraId="57EFCC87">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49EE872F">
            <w:pPr>
              <w:spacing w:line="360" w:lineRule="auto"/>
              <w:jc w:val="center"/>
              <w:textAlignment w:val="center"/>
              <w:rPr>
                <w:rFonts w:asciiTheme="minorEastAsia" w:hAnsiTheme="minorEastAsia" w:eastAsiaTheme="minorEastAsia" w:cstheme="minorEastAsia"/>
              </w:rPr>
            </w:pPr>
            <w:bookmarkStart w:id="6" w:name="_Hlk105083709"/>
            <w:r>
              <w:rPr>
                <w:rFonts w:hint="eastAsia" w:asciiTheme="minorEastAsia" w:hAnsiTheme="minorEastAsia" w:eastAsiaTheme="minorEastAsia" w:cstheme="minorEastAsia"/>
                <w:lang w:bidi="ar"/>
              </w:rPr>
              <w:t>6</w:t>
            </w:r>
          </w:p>
        </w:tc>
        <w:tc>
          <w:tcPr>
            <w:tcW w:w="2509" w:type="dxa"/>
            <w:tcBorders>
              <w:tl2br w:val="nil"/>
              <w:tr2bl w:val="nil"/>
            </w:tcBorders>
            <w:vAlign w:val="center"/>
          </w:tcPr>
          <w:p w14:paraId="212A6F65">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最高限价</w:t>
            </w:r>
          </w:p>
        </w:tc>
        <w:tc>
          <w:tcPr>
            <w:tcW w:w="7062" w:type="dxa"/>
            <w:tcBorders>
              <w:tl2br w:val="nil"/>
              <w:tr2bl w:val="nil"/>
            </w:tcBorders>
            <w:vAlign w:val="center"/>
          </w:tcPr>
          <w:p w14:paraId="59D8450F">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标项一：450000.00元</w:t>
            </w:r>
          </w:p>
          <w:p w14:paraId="51916CEF">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标项二：350000.00元   </w:t>
            </w:r>
          </w:p>
          <w:p w14:paraId="42AB2E5E">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其中：</w:t>
            </w:r>
            <w:r>
              <w:rPr>
                <w:rFonts w:hint="eastAsia" w:asciiTheme="minorEastAsia" w:hAnsiTheme="minorEastAsia" w:eastAsiaTheme="minorEastAsia" w:cstheme="minorEastAsia"/>
                <w:b/>
              </w:rPr>
              <w:t>投标人投标报价不得高于预算单价及预算总价，否则其投标将被否决。</w:t>
            </w:r>
          </w:p>
        </w:tc>
      </w:tr>
      <w:bookmarkEnd w:id="6"/>
      <w:tr w14:paraId="0327AD7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0C6ABDBF">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7</w:t>
            </w:r>
          </w:p>
        </w:tc>
        <w:tc>
          <w:tcPr>
            <w:tcW w:w="2509" w:type="dxa"/>
            <w:tcBorders>
              <w:tl2br w:val="nil"/>
              <w:tr2bl w:val="nil"/>
            </w:tcBorders>
            <w:vAlign w:val="center"/>
          </w:tcPr>
          <w:p w14:paraId="652D8A43">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投标资格</w:t>
            </w:r>
          </w:p>
        </w:tc>
        <w:tc>
          <w:tcPr>
            <w:tcW w:w="7062" w:type="dxa"/>
            <w:tcBorders>
              <w:tl2br w:val="nil"/>
              <w:tr2bl w:val="nil"/>
            </w:tcBorders>
            <w:vAlign w:val="center"/>
          </w:tcPr>
          <w:p w14:paraId="79610081">
            <w:pPr>
              <w:spacing w:before="60" w:after="6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14:paraId="61141E89">
            <w:pPr>
              <w:spacing w:before="60" w:after="6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2.落实政府采购政策需满足的资格要求：供应商为中小企业；</w:t>
            </w:r>
          </w:p>
          <w:p w14:paraId="37D07F34">
            <w:pPr>
              <w:spacing w:before="60" w:after="6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本项目为专门面向中小微企业</w:t>
            </w:r>
            <w:r>
              <w:rPr>
                <w:rFonts w:asciiTheme="minorEastAsia" w:hAnsiTheme="minorEastAsia" w:eastAsiaTheme="minorEastAsia" w:cstheme="minorEastAsia"/>
              </w:rPr>
              <w:t>(含中型、小型、微型企业) 采购项目，根据《政府采购促进中小企业发展管理办法》(财库[2020]46号)的规定，不再执行价格评审优惠的扶持政策，必须提供此声明函。</w:t>
            </w:r>
          </w:p>
          <w:p w14:paraId="29F5F9C9">
            <w:pPr>
              <w:spacing w:before="60" w:after="6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14:paraId="3C5E92EF">
            <w:pPr>
              <w:spacing w:before="60" w:after="6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（1）在中华人民共和国境内注册，未在“信用中国”网站 (www.creditchina.gov.cn) 、“中国政府采购网” (www.ccgp.gov.cn) 等渠道列入失信被执行人、税收违法黑名单、政府采购严重违法失信行为记录名单；</w:t>
            </w:r>
          </w:p>
          <w:p w14:paraId="2B5024B0">
            <w:pPr>
              <w:spacing w:before="60" w:after="6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（2）本项目不接受联合体投标。</w:t>
            </w:r>
          </w:p>
        </w:tc>
      </w:tr>
      <w:tr w14:paraId="26E709A8">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514F9E25">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8</w:t>
            </w:r>
          </w:p>
        </w:tc>
        <w:tc>
          <w:tcPr>
            <w:tcW w:w="2509" w:type="dxa"/>
            <w:tcBorders>
              <w:tl2br w:val="nil"/>
              <w:tr2bl w:val="nil"/>
            </w:tcBorders>
            <w:vAlign w:val="center"/>
          </w:tcPr>
          <w:p w14:paraId="0CE95E73">
            <w:pPr>
              <w:pStyle w:val="132"/>
              <w:spacing w:line="360" w:lineRule="auto"/>
              <w:ind w:left="38"/>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信用情况</w:t>
            </w:r>
          </w:p>
        </w:tc>
        <w:tc>
          <w:tcPr>
            <w:tcW w:w="7062" w:type="dxa"/>
            <w:tcBorders>
              <w:tl2br w:val="nil"/>
              <w:tr2bl w:val="nil"/>
            </w:tcBorders>
            <w:vAlign w:val="center"/>
          </w:tcPr>
          <w:p w14:paraId="09A9CCB3">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信用记录审查：</w:t>
            </w:r>
          </w:p>
          <w:p w14:paraId="3A4B9209">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4F30DA8B">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vAlign w:val="center"/>
          </w:tcPr>
          <w:p w14:paraId="754CD99E">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9</w:t>
            </w:r>
          </w:p>
        </w:tc>
        <w:tc>
          <w:tcPr>
            <w:tcW w:w="2509" w:type="dxa"/>
            <w:tcBorders>
              <w:tl2br w:val="nil"/>
              <w:tr2bl w:val="nil"/>
            </w:tcBorders>
            <w:vAlign w:val="center"/>
          </w:tcPr>
          <w:p w14:paraId="5A667F10">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是否接受联合体投标</w:t>
            </w:r>
          </w:p>
        </w:tc>
        <w:tc>
          <w:tcPr>
            <w:tcW w:w="7062" w:type="dxa"/>
            <w:tcBorders>
              <w:tl2br w:val="nil"/>
              <w:tr2bl w:val="nil"/>
            </w:tcBorders>
            <w:vAlign w:val="center"/>
          </w:tcPr>
          <w:p w14:paraId="0BF8B291">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不接受</w:t>
            </w:r>
          </w:p>
        </w:tc>
      </w:tr>
      <w:tr w14:paraId="6A6B3CC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FA4F186">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10</w:t>
            </w:r>
          </w:p>
        </w:tc>
        <w:tc>
          <w:tcPr>
            <w:tcW w:w="2509" w:type="dxa"/>
            <w:tcBorders>
              <w:tl2br w:val="nil"/>
              <w:tr2bl w:val="nil"/>
            </w:tcBorders>
            <w:vAlign w:val="center"/>
          </w:tcPr>
          <w:p w14:paraId="65DFA621">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招标文件发放日期</w:t>
            </w:r>
          </w:p>
        </w:tc>
        <w:tc>
          <w:tcPr>
            <w:tcW w:w="7062" w:type="dxa"/>
            <w:tcBorders>
              <w:tl2br w:val="nil"/>
              <w:tr2bl w:val="nil"/>
            </w:tcBorders>
            <w:vAlign w:val="center"/>
          </w:tcPr>
          <w:p w14:paraId="6F4A9B61">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时间：2025年07月04日至2025年07月11日，每天上午10:00至13:30，下午15:30至19:00（北京时间，法定节假日除外）</w:t>
            </w:r>
          </w:p>
          <w:p w14:paraId="08C1A104">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地点：政采云平台http://www.zcygov.cn</w:t>
            </w:r>
          </w:p>
        </w:tc>
      </w:tr>
      <w:tr w14:paraId="0A15513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F09B244">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11</w:t>
            </w:r>
          </w:p>
        </w:tc>
        <w:tc>
          <w:tcPr>
            <w:tcW w:w="2509" w:type="dxa"/>
            <w:tcBorders>
              <w:tl2br w:val="nil"/>
              <w:tr2bl w:val="nil"/>
            </w:tcBorders>
            <w:vAlign w:val="center"/>
          </w:tcPr>
          <w:p w14:paraId="6E1F5120">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标书售价</w:t>
            </w:r>
          </w:p>
        </w:tc>
        <w:tc>
          <w:tcPr>
            <w:tcW w:w="7062" w:type="dxa"/>
            <w:tcBorders>
              <w:tl2br w:val="nil"/>
              <w:tr2bl w:val="nil"/>
            </w:tcBorders>
            <w:vAlign w:val="center"/>
          </w:tcPr>
          <w:p w14:paraId="68991A04">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人民币0元</w:t>
            </w:r>
          </w:p>
          <w:p w14:paraId="62698C02">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投标资格不能转让。</w:t>
            </w:r>
          </w:p>
        </w:tc>
      </w:tr>
      <w:tr w14:paraId="31EBAAB8">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vAlign w:val="center"/>
          </w:tcPr>
          <w:p w14:paraId="7E74A9CE">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12</w:t>
            </w:r>
          </w:p>
        </w:tc>
        <w:tc>
          <w:tcPr>
            <w:tcW w:w="2509" w:type="dxa"/>
            <w:tcBorders>
              <w:tl2br w:val="nil"/>
              <w:tr2bl w:val="nil"/>
            </w:tcBorders>
            <w:vAlign w:val="center"/>
          </w:tcPr>
          <w:p w14:paraId="1297D787">
            <w:pPr>
              <w:overflowPunct w:val="0"/>
              <w:spacing w:line="360" w:lineRule="auto"/>
              <w:ind w:left="240" w:hanging="240" w:hangingChars="100"/>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投标文件递交截止时间及开标时间</w:t>
            </w:r>
          </w:p>
        </w:tc>
        <w:tc>
          <w:tcPr>
            <w:tcW w:w="7062" w:type="dxa"/>
            <w:tcBorders>
              <w:tl2br w:val="nil"/>
              <w:tr2bl w:val="nil"/>
            </w:tcBorders>
            <w:vAlign w:val="center"/>
          </w:tcPr>
          <w:p w14:paraId="069C7BD1">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2025年07月24日 11:00（北京时间）</w:t>
            </w:r>
          </w:p>
        </w:tc>
      </w:tr>
      <w:tr w14:paraId="5E469B8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vAlign w:val="center"/>
          </w:tcPr>
          <w:p w14:paraId="4611441C">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2509" w:type="dxa"/>
            <w:tcBorders>
              <w:tl2br w:val="nil"/>
              <w:tr2bl w:val="nil"/>
            </w:tcBorders>
            <w:vAlign w:val="center"/>
          </w:tcPr>
          <w:p w14:paraId="5F4BD341">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投标文件递交及开标地点</w:t>
            </w:r>
          </w:p>
        </w:tc>
        <w:tc>
          <w:tcPr>
            <w:tcW w:w="7062" w:type="dxa"/>
            <w:tcBorders>
              <w:tl2br w:val="nil"/>
              <w:tr2bl w:val="nil"/>
            </w:tcBorders>
            <w:vAlign w:val="center"/>
          </w:tcPr>
          <w:p w14:paraId="7D78EFB8">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政采云平台http://www.zcygov.cn</w:t>
            </w:r>
          </w:p>
        </w:tc>
      </w:tr>
      <w:tr w14:paraId="1815458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9" w:type="dxa"/>
            <w:tcBorders>
              <w:tl2br w:val="nil"/>
              <w:tr2bl w:val="nil"/>
            </w:tcBorders>
            <w:vAlign w:val="center"/>
          </w:tcPr>
          <w:p w14:paraId="2AEA4F70">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14</w:t>
            </w:r>
          </w:p>
        </w:tc>
        <w:tc>
          <w:tcPr>
            <w:tcW w:w="2509" w:type="dxa"/>
            <w:tcBorders>
              <w:tl2br w:val="nil"/>
              <w:tr2bl w:val="nil"/>
            </w:tcBorders>
            <w:vAlign w:val="center"/>
          </w:tcPr>
          <w:p w14:paraId="5C81525D">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投标有效期</w:t>
            </w:r>
          </w:p>
        </w:tc>
        <w:tc>
          <w:tcPr>
            <w:tcW w:w="7062" w:type="dxa"/>
            <w:tcBorders>
              <w:tl2br w:val="nil"/>
              <w:tr2bl w:val="nil"/>
            </w:tcBorders>
            <w:vAlign w:val="center"/>
          </w:tcPr>
          <w:p w14:paraId="5E13046E">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90天</w:t>
            </w:r>
          </w:p>
        </w:tc>
      </w:tr>
      <w:tr w14:paraId="0F53C3C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16D2E06E">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15</w:t>
            </w:r>
          </w:p>
        </w:tc>
        <w:tc>
          <w:tcPr>
            <w:tcW w:w="2509" w:type="dxa"/>
            <w:tcBorders>
              <w:tl2br w:val="nil"/>
              <w:tr2bl w:val="nil"/>
            </w:tcBorders>
            <w:vAlign w:val="center"/>
          </w:tcPr>
          <w:p w14:paraId="54963164">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服务期限</w:t>
            </w:r>
          </w:p>
        </w:tc>
        <w:tc>
          <w:tcPr>
            <w:tcW w:w="7062" w:type="dxa"/>
            <w:tcBorders>
              <w:tl2br w:val="nil"/>
              <w:tr2bl w:val="nil"/>
            </w:tcBorders>
            <w:vAlign w:val="center"/>
          </w:tcPr>
          <w:p w14:paraId="6268D84F">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自合同签订之日起至项目结束。</w:t>
            </w:r>
          </w:p>
        </w:tc>
      </w:tr>
      <w:tr w14:paraId="4B55296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9" w:type="dxa"/>
            <w:tcBorders>
              <w:tl2br w:val="nil"/>
              <w:tr2bl w:val="nil"/>
            </w:tcBorders>
            <w:vAlign w:val="center"/>
          </w:tcPr>
          <w:p w14:paraId="538359BA">
            <w:pPr>
              <w:spacing w:line="360" w:lineRule="auto"/>
              <w:jc w:val="center"/>
              <w:textAlignment w:val="center"/>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16</w:t>
            </w:r>
          </w:p>
        </w:tc>
        <w:tc>
          <w:tcPr>
            <w:tcW w:w="2509" w:type="dxa"/>
            <w:tcBorders>
              <w:tl2br w:val="nil"/>
              <w:tr2bl w:val="nil"/>
            </w:tcBorders>
            <w:vAlign w:val="center"/>
          </w:tcPr>
          <w:p w14:paraId="0910A75A">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项目地点</w:t>
            </w:r>
          </w:p>
        </w:tc>
        <w:tc>
          <w:tcPr>
            <w:tcW w:w="7062" w:type="dxa"/>
            <w:tcBorders>
              <w:tl2br w:val="nil"/>
              <w:tr2bl w:val="nil"/>
            </w:tcBorders>
            <w:vAlign w:val="center"/>
          </w:tcPr>
          <w:p w14:paraId="271FEF9A">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乌鲁木齐职业大学指定地点。</w:t>
            </w:r>
          </w:p>
        </w:tc>
      </w:tr>
      <w:tr w14:paraId="59625EF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vAlign w:val="center"/>
          </w:tcPr>
          <w:p w14:paraId="2CE457B5">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17</w:t>
            </w:r>
          </w:p>
        </w:tc>
        <w:tc>
          <w:tcPr>
            <w:tcW w:w="2509" w:type="dxa"/>
            <w:tcBorders>
              <w:tl2br w:val="nil"/>
              <w:tr2bl w:val="nil"/>
            </w:tcBorders>
            <w:vAlign w:val="center"/>
          </w:tcPr>
          <w:p w14:paraId="1D0E6D96">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评标方法</w:t>
            </w:r>
          </w:p>
        </w:tc>
        <w:tc>
          <w:tcPr>
            <w:tcW w:w="7062" w:type="dxa"/>
            <w:tcBorders>
              <w:tl2br w:val="nil"/>
              <w:tr2bl w:val="nil"/>
            </w:tcBorders>
            <w:vAlign w:val="center"/>
          </w:tcPr>
          <w:p w14:paraId="6235050F">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综合评分法</w:t>
            </w:r>
          </w:p>
        </w:tc>
      </w:tr>
      <w:tr w14:paraId="741F60DB">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vAlign w:val="center"/>
          </w:tcPr>
          <w:p w14:paraId="224DD5B6">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18</w:t>
            </w:r>
          </w:p>
        </w:tc>
        <w:tc>
          <w:tcPr>
            <w:tcW w:w="2509" w:type="dxa"/>
            <w:vMerge w:val="restart"/>
            <w:tcBorders>
              <w:tl2br w:val="nil"/>
              <w:tr2bl w:val="nil"/>
            </w:tcBorders>
            <w:vAlign w:val="center"/>
          </w:tcPr>
          <w:p w14:paraId="178F4B6C">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投标保证金</w:t>
            </w:r>
          </w:p>
        </w:tc>
        <w:tc>
          <w:tcPr>
            <w:tcW w:w="7062" w:type="dxa"/>
            <w:tcBorders>
              <w:tl2br w:val="nil"/>
              <w:tr2bl w:val="nil"/>
            </w:tcBorders>
            <w:vAlign w:val="center"/>
          </w:tcPr>
          <w:p w14:paraId="471314A1">
            <w:pPr>
              <w:numPr>
                <w:ilvl w:val="0"/>
                <w:numId w:val="4"/>
              </w:numPr>
              <w:overflowPunct w:val="0"/>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rPr>
              <w:t>保证金金额：</w:t>
            </w:r>
            <w:r>
              <w:rPr>
                <w:rFonts w:hint="eastAsia" w:asciiTheme="minorEastAsia" w:hAnsiTheme="minorEastAsia" w:eastAsiaTheme="minorEastAsia" w:cstheme="minorEastAsia"/>
                <w:b/>
                <w:bCs/>
              </w:rPr>
              <w:t>标项一：4500.00（肆仟伍佰元整）</w:t>
            </w:r>
          </w:p>
          <w:p w14:paraId="0668FEE5">
            <w:pPr>
              <w:pStyle w:val="35"/>
              <w:ind w:firstLine="2409" w:firstLineChars="1000"/>
            </w:pPr>
            <w:r>
              <w:rPr>
                <w:rFonts w:hint="eastAsia" w:asciiTheme="minorEastAsia" w:hAnsiTheme="minorEastAsia" w:eastAsiaTheme="minorEastAsia" w:cstheme="minorEastAsia"/>
                <w:b/>
                <w:bCs/>
                <w:sz w:val="24"/>
                <w:szCs w:val="24"/>
              </w:rPr>
              <w:t>标项二：3500.00（叁仟伍佰元整）</w:t>
            </w:r>
          </w:p>
        </w:tc>
      </w:tr>
      <w:tr w14:paraId="2C8959A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vAlign w:val="center"/>
          </w:tcPr>
          <w:p w14:paraId="7EB05FBC">
            <w:pPr>
              <w:spacing w:line="360" w:lineRule="auto"/>
              <w:jc w:val="center"/>
              <w:textAlignment w:val="center"/>
              <w:rPr>
                <w:rFonts w:asciiTheme="minorEastAsia" w:hAnsiTheme="minorEastAsia" w:eastAsiaTheme="minorEastAsia" w:cstheme="minorEastAsia"/>
                <w:lang w:bidi="ar"/>
              </w:rPr>
            </w:pPr>
          </w:p>
        </w:tc>
        <w:tc>
          <w:tcPr>
            <w:tcW w:w="2509" w:type="dxa"/>
            <w:vMerge w:val="continue"/>
            <w:tcBorders>
              <w:tl2br w:val="nil"/>
              <w:tr2bl w:val="nil"/>
            </w:tcBorders>
            <w:vAlign w:val="center"/>
          </w:tcPr>
          <w:p w14:paraId="6B0A47F1">
            <w:pPr>
              <w:overflowPunct w:val="0"/>
              <w:spacing w:line="360" w:lineRule="auto"/>
              <w:jc w:val="center"/>
              <w:rPr>
                <w:rFonts w:asciiTheme="minorEastAsia" w:hAnsiTheme="minorEastAsia" w:eastAsiaTheme="minorEastAsia" w:cstheme="minorEastAsia"/>
              </w:rPr>
            </w:pPr>
          </w:p>
        </w:tc>
        <w:tc>
          <w:tcPr>
            <w:tcW w:w="7062" w:type="dxa"/>
            <w:tcBorders>
              <w:tl2br w:val="nil"/>
              <w:tr2bl w:val="nil"/>
            </w:tcBorders>
            <w:vAlign w:val="center"/>
          </w:tcPr>
          <w:p w14:paraId="048538EE">
            <w:pPr>
              <w:numPr>
                <w:ilvl w:val="0"/>
                <w:numId w:val="5"/>
              </w:num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保证金缴纳方式：</w:t>
            </w:r>
          </w:p>
          <w:p w14:paraId="0D8A804E">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kern w:val="2"/>
              </w:rPr>
              <w:t>电汇、网银转账等非现金形式</w:t>
            </w:r>
          </w:p>
          <w:p w14:paraId="3AD5EB38">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投标保证金缴纳账号：</w:t>
            </w:r>
          </w:p>
          <w:p w14:paraId="6027E88F">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账户名：新疆诚誉工程项目管理有限公司</w:t>
            </w:r>
          </w:p>
          <w:p w14:paraId="73051BB5">
            <w:pPr>
              <w:overflowPunct w:val="0"/>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开户行：乌鲁木齐银行营业部</w:t>
            </w:r>
          </w:p>
          <w:p w14:paraId="48918572">
            <w:pPr>
              <w:overflowPunct w:val="0"/>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行号：313881000019</w:t>
            </w:r>
            <w:r>
              <w:rPr>
                <w:rFonts w:hint="eastAsia" w:asciiTheme="minorEastAsia" w:hAnsiTheme="minorEastAsia" w:eastAsiaTheme="minorEastAsia" w:cstheme="minorEastAsia"/>
                <w:b/>
                <w:bCs/>
              </w:rPr>
              <w:cr/>
            </w:r>
            <w:r>
              <w:rPr>
                <w:rFonts w:hint="eastAsia" w:asciiTheme="minorEastAsia" w:hAnsiTheme="minorEastAsia" w:eastAsiaTheme="minorEastAsia" w:cstheme="minorEastAsia"/>
                <w:b/>
                <w:bCs/>
              </w:rPr>
              <w:t>帐号：0000020080110023481768</w:t>
            </w:r>
          </w:p>
          <w:p w14:paraId="378A4B90">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bCs/>
              </w:rPr>
              <w:t>例：</w:t>
            </w:r>
            <w:r>
              <w:rPr>
                <w:rFonts w:hint="eastAsia" w:asciiTheme="minorEastAsia" w:hAnsiTheme="minorEastAsia" w:eastAsiaTheme="minorEastAsia" w:cstheme="minorEastAsia"/>
              </w:rPr>
              <w:t>***项目 保证金</w:t>
            </w:r>
          </w:p>
          <w:p w14:paraId="5B609731">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财务办公室：乌鲁木齐市会展大道599号新疆财富中心C座6楼财务室</w:t>
            </w:r>
          </w:p>
          <w:p w14:paraId="63E94398">
            <w:pPr>
              <w:spacing w:line="360" w:lineRule="auto"/>
              <w:jc w:val="both"/>
              <w:rPr>
                <w:rFonts w:asciiTheme="minorEastAsia" w:hAnsiTheme="minorEastAsia" w:eastAsiaTheme="minorEastAsia" w:cstheme="minorEastAsia"/>
                <w:b/>
                <w:bCs/>
              </w:rPr>
            </w:pPr>
            <w:r>
              <w:rPr>
                <w:rFonts w:hint="eastAsia" w:asciiTheme="minorEastAsia" w:hAnsiTheme="minorEastAsia" w:eastAsiaTheme="minorEastAsia" w:cstheme="minorEastAsia"/>
                <w:b/>
                <w:bCs/>
              </w:rPr>
              <w:t>联系电话：0991-4152021</w:t>
            </w:r>
          </w:p>
          <w:p w14:paraId="3289F2E5">
            <w:pPr>
              <w:numPr>
                <w:ilvl w:val="0"/>
                <w:numId w:val="6"/>
              </w:numPr>
              <w:spacing w:line="360" w:lineRule="auto"/>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保函形式</w:t>
            </w:r>
          </w:p>
          <w:p w14:paraId="6FCC4B7D">
            <w:pPr>
              <w:spacing w:line="360" w:lineRule="auto"/>
              <w:ind w:firstLine="240" w:firstLineChars="100"/>
              <w:jc w:val="both"/>
              <w:rPr>
                <w:rFonts w:asciiTheme="minorEastAsia" w:hAnsiTheme="minorEastAsia" w:eastAsiaTheme="minorEastAsia" w:cstheme="minorEastAsia"/>
              </w:rPr>
            </w:pPr>
            <w:r>
              <w:rPr>
                <w:rFonts w:hint="eastAsia" w:asciiTheme="minorEastAsia" w:hAnsiTheme="minorEastAsia" w:eastAsiaTheme="minorEastAsia" w:cstheme="minorEastAsia"/>
              </w:rPr>
              <w:t>将保函制作到电子投标文件即可</w:t>
            </w:r>
          </w:p>
        </w:tc>
      </w:tr>
      <w:tr w14:paraId="0196042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vAlign w:val="center"/>
          </w:tcPr>
          <w:p w14:paraId="42240B70">
            <w:pPr>
              <w:spacing w:line="360" w:lineRule="auto"/>
              <w:jc w:val="center"/>
              <w:textAlignment w:val="center"/>
              <w:rPr>
                <w:rFonts w:asciiTheme="minorEastAsia" w:hAnsiTheme="minorEastAsia" w:eastAsiaTheme="minorEastAsia" w:cstheme="minorEastAsia"/>
                <w:lang w:bidi="ar"/>
              </w:rPr>
            </w:pPr>
          </w:p>
        </w:tc>
        <w:tc>
          <w:tcPr>
            <w:tcW w:w="2509" w:type="dxa"/>
            <w:vMerge w:val="continue"/>
            <w:tcBorders>
              <w:tl2br w:val="nil"/>
              <w:tr2bl w:val="nil"/>
            </w:tcBorders>
            <w:vAlign w:val="center"/>
          </w:tcPr>
          <w:p w14:paraId="6E8B1A4A">
            <w:pPr>
              <w:overflowPunct w:val="0"/>
              <w:spacing w:line="360" w:lineRule="auto"/>
              <w:jc w:val="center"/>
              <w:rPr>
                <w:rFonts w:asciiTheme="minorEastAsia" w:hAnsiTheme="minorEastAsia" w:eastAsiaTheme="minorEastAsia" w:cstheme="minorEastAsia"/>
              </w:rPr>
            </w:pPr>
          </w:p>
        </w:tc>
        <w:tc>
          <w:tcPr>
            <w:tcW w:w="7062" w:type="dxa"/>
            <w:tcBorders>
              <w:tl2br w:val="nil"/>
              <w:tr2bl w:val="nil"/>
            </w:tcBorders>
            <w:vAlign w:val="center"/>
          </w:tcPr>
          <w:p w14:paraId="74B912D0">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三、到账截止时间：同投标截止时间</w:t>
            </w:r>
          </w:p>
        </w:tc>
      </w:tr>
      <w:tr w14:paraId="0469FE95">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979" w:type="dxa"/>
            <w:tcBorders>
              <w:tl2br w:val="nil"/>
              <w:tr2bl w:val="nil"/>
            </w:tcBorders>
            <w:vAlign w:val="center"/>
          </w:tcPr>
          <w:p w14:paraId="46B8F885">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19</w:t>
            </w:r>
          </w:p>
        </w:tc>
        <w:tc>
          <w:tcPr>
            <w:tcW w:w="2509" w:type="dxa"/>
            <w:tcBorders>
              <w:tl2br w:val="nil"/>
              <w:tr2bl w:val="nil"/>
            </w:tcBorders>
            <w:vAlign w:val="center"/>
          </w:tcPr>
          <w:p w14:paraId="2C87F164">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电子投标文件须知</w:t>
            </w:r>
          </w:p>
        </w:tc>
        <w:tc>
          <w:tcPr>
            <w:tcW w:w="7062" w:type="dxa"/>
            <w:tcBorders>
              <w:tl2br w:val="nil"/>
              <w:tr2bl w:val="nil"/>
            </w:tcBorders>
            <w:vAlign w:val="center"/>
          </w:tcPr>
          <w:p w14:paraId="537C0148">
            <w:pPr>
              <w:pStyle w:val="153"/>
              <w:widowControl/>
              <w:autoSpaceDE w:val="0"/>
              <w:autoSpaceDN w:val="0"/>
              <w:spacing w:line="360" w:lineRule="auto"/>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rPr>
              <w:sym w:font="Wingdings 2" w:char="0052"/>
            </w:r>
            <w:r>
              <w:rPr>
                <w:rFonts w:hint="eastAsia" w:asciiTheme="minorEastAsia" w:hAnsiTheme="minorEastAsia" w:eastAsiaTheme="minorEastAsia" w:cstheme="minorEastAsia"/>
                <w:b/>
                <w:kern w:val="2"/>
                <w:sz w:val="24"/>
                <w:szCs w:val="24"/>
              </w:rPr>
              <w:t>采用不见面开标：</w:t>
            </w:r>
          </w:p>
          <w:p w14:paraId="67457F03">
            <w:pPr>
              <w:spacing w:line="360" w:lineRule="auto"/>
              <w:ind w:firstLine="482"/>
              <w:rPr>
                <w:rFonts w:asciiTheme="minorEastAsia" w:hAnsiTheme="minorEastAsia" w:eastAsiaTheme="minorEastAsia" w:cstheme="minorEastAsia"/>
              </w:rPr>
            </w:pPr>
            <w:r>
              <w:rPr>
                <w:rFonts w:hint="eastAsia" w:asciiTheme="minorEastAsia" w:hAnsiTheme="minorEastAsia" w:eastAsiaTheme="minorEastAsia" w:cstheme="minorEastAsia"/>
              </w:rPr>
              <w:t>1.本项目实行网上投标，采用电子投标文件；</w:t>
            </w:r>
          </w:p>
          <w:p w14:paraId="4029D096">
            <w:pPr>
              <w:spacing w:line="360" w:lineRule="auto"/>
              <w:ind w:firstLine="482"/>
              <w:rPr>
                <w:rFonts w:asciiTheme="minorEastAsia" w:hAnsiTheme="minorEastAsia" w:eastAsiaTheme="minorEastAsia" w:cstheme="minorEastAsia"/>
              </w:rPr>
            </w:pPr>
            <w:r>
              <w:rPr>
                <w:rFonts w:hint="eastAsia" w:asciiTheme="minorEastAsia" w:hAnsiTheme="minorEastAsia" w:eastAsiaTheme="minorEastAsia" w:cstheme="minorEastAsia"/>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fldChar w:fldCharType="begin"/>
            </w:r>
            <w:r>
              <w:instrText xml:space="preserve"> HYPERLINK "https://www.xjca.com.cn/）或下载" </w:instrText>
            </w:r>
            <w:r>
              <w:fldChar w:fldCharType="separate"/>
            </w:r>
            <w:r>
              <w:rPr>
                <w:rFonts w:hint="eastAsia" w:asciiTheme="minorEastAsia" w:hAnsiTheme="minorEastAsia" w:eastAsiaTheme="minorEastAsia" w:cstheme="minorEastAsia"/>
              </w:rPr>
              <w:t>https://www.xjca.com.cn/）或下载“新疆政务通”APP自行申领。如需咨询，请联系新疆CA服务热线0991-2819290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w:t>
            </w:r>
          </w:p>
          <w:p w14:paraId="5C30D090">
            <w:pPr>
              <w:spacing w:line="360" w:lineRule="auto"/>
              <w:ind w:firstLine="482"/>
              <w:rPr>
                <w:rFonts w:asciiTheme="minorEastAsia" w:hAnsiTheme="minorEastAsia" w:eastAsiaTheme="minorEastAsia" w:cstheme="minorEastAsia"/>
              </w:rPr>
            </w:pPr>
            <w:r>
              <w:rPr>
                <w:rFonts w:hint="eastAsia" w:asciiTheme="minorEastAsia" w:hAnsiTheme="minorEastAsia" w:eastAsiaTheme="minorEastAsia" w:cstheme="minorEastAsia"/>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4336D31">
            <w:pPr>
              <w:spacing w:line="360" w:lineRule="auto"/>
              <w:ind w:firstLine="482"/>
              <w:rPr>
                <w:rFonts w:asciiTheme="minorEastAsia" w:hAnsiTheme="minorEastAsia" w:eastAsiaTheme="minorEastAsia" w:cstheme="minorEastAsia"/>
              </w:rPr>
            </w:pPr>
            <w:r>
              <w:rPr>
                <w:rFonts w:hint="eastAsia" w:asciiTheme="minorEastAsia" w:hAnsiTheme="minorEastAsia" w:eastAsiaTheme="minorEastAsia" w:cstheme="minorEastAsia"/>
              </w:rPr>
              <w:t>4.供应商应当在投标截止时间前,将生成的“电子加密投标文件”上传递交至“政府采购云平台”,投标截止时间以后上传递交的投标文件将被“政府采购云平台”拒收；</w:t>
            </w:r>
          </w:p>
          <w:p w14:paraId="2A8FFE09">
            <w:pPr>
              <w:spacing w:line="360" w:lineRule="auto"/>
              <w:ind w:firstLine="482"/>
              <w:rPr>
                <w:rFonts w:asciiTheme="minorEastAsia" w:hAnsiTheme="minorEastAsia" w:eastAsiaTheme="minorEastAsia" w:cstheme="minorEastAsia"/>
              </w:rPr>
            </w:pPr>
            <w:r>
              <w:rPr>
                <w:rFonts w:hint="eastAsia" w:asciiTheme="minorEastAsia" w:hAnsiTheme="minorEastAsia" w:eastAsiaTheme="minorEastAsia" w:cstheme="minorEastAsia"/>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1C7E9ED2">
            <w:pPr>
              <w:pStyle w:val="152"/>
              <w:spacing w:line="360" w:lineRule="auto"/>
              <w:ind w:firstLine="480"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6、供应商登录政采云平台，在开标时间后30分钟内用“项目采购-开标评标”功能进行解密投标文件。若供应商在规定时间内未按时解密的，视为无效投标。解密与加密投标文件须使用同一个 CA。</w:t>
            </w:r>
          </w:p>
        </w:tc>
      </w:tr>
      <w:tr w14:paraId="3A6EB12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763B089E">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2509" w:type="dxa"/>
            <w:tcBorders>
              <w:tl2br w:val="nil"/>
              <w:tr2bl w:val="nil"/>
            </w:tcBorders>
            <w:vAlign w:val="center"/>
          </w:tcPr>
          <w:p w14:paraId="69ACC3CB">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投标文件的签署规定</w:t>
            </w:r>
          </w:p>
        </w:tc>
        <w:tc>
          <w:tcPr>
            <w:tcW w:w="7062" w:type="dxa"/>
            <w:tcBorders>
              <w:tl2br w:val="nil"/>
              <w:tr2bl w:val="nil"/>
            </w:tcBorders>
            <w:vAlign w:val="center"/>
          </w:tcPr>
          <w:p w14:paraId="4C04DED6">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 投标文件应按招标文件要求在签字盖章处加盖公章和由法定代表人或其授权代表签字。</w:t>
            </w:r>
          </w:p>
          <w:p w14:paraId="704B73E0">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2.投标文件中的任何行间插字、涂改和增删，应加盖公章或由投标人的法定代表人或其授权的代理人签字确认。否则，在评标时将其视为无效投标。</w:t>
            </w:r>
          </w:p>
        </w:tc>
      </w:tr>
      <w:tr w14:paraId="766BC65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504287A3">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21</w:t>
            </w:r>
          </w:p>
        </w:tc>
        <w:tc>
          <w:tcPr>
            <w:tcW w:w="2509" w:type="dxa"/>
            <w:tcBorders>
              <w:tl2br w:val="nil"/>
              <w:tr2bl w:val="nil"/>
            </w:tcBorders>
            <w:vAlign w:val="center"/>
          </w:tcPr>
          <w:p w14:paraId="689163FA">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投标文件格式</w:t>
            </w:r>
          </w:p>
        </w:tc>
        <w:tc>
          <w:tcPr>
            <w:tcW w:w="7062" w:type="dxa"/>
            <w:tcBorders>
              <w:tl2br w:val="nil"/>
              <w:tr2bl w:val="nil"/>
            </w:tcBorders>
            <w:vAlign w:val="center"/>
          </w:tcPr>
          <w:p w14:paraId="47F115AD">
            <w:pPr>
              <w:numPr>
                <w:ilvl w:val="0"/>
                <w:numId w:val="7"/>
              </w:num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投标人应按招标文件中提供的投标文件格式填写。</w:t>
            </w:r>
          </w:p>
          <w:p w14:paraId="667DDB8B">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2.如招标文件没有提供格式的，投标人可自行设置。</w:t>
            </w:r>
          </w:p>
          <w:p w14:paraId="506DEDEF">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3.投标人应将投标文件按规定的顺序编排、并应编制目录、逐页标注连续页码。</w:t>
            </w:r>
          </w:p>
          <w:p w14:paraId="47CF890E">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rPr>
              <w:t>4.电报、电话、传真、电子邮件等形式的投标概不接受。</w:t>
            </w:r>
          </w:p>
        </w:tc>
      </w:tr>
      <w:tr w14:paraId="22F53D17">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79" w:type="dxa"/>
            <w:tcBorders>
              <w:tl2br w:val="nil"/>
              <w:tr2bl w:val="nil"/>
            </w:tcBorders>
            <w:vAlign w:val="center"/>
          </w:tcPr>
          <w:p w14:paraId="0896F320">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22</w:t>
            </w:r>
          </w:p>
        </w:tc>
        <w:tc>
          <w:tcPr>
            <w:tcW w:w="2509" w:type="dxa"/>
            <w:tcBorders>
              <w:tl2br w:val="nil"/>
              <w:tr2bl w:val="nil"/>
            </w:tcBorders>
            <w:vAlign w:val="center"/>
          </w:tcPr>
          <w:p w14:paraId="35925D84">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付款方式及币种</w:t>
            </w:r>
          </w:p>
        </w:tc>
        <w:tc>
          <w:tcPr>
            <w:tcW w:w="7062" w:type="dxa"/>
            <w:tcBorders>
              <w:tl2br w:val="nil"/>
              <w:tr2bl w:val="nil"/>
            </w:tcBorders>
            <w:vAlign w:val="center"/>
          </w:tcPr>
          <w:p w14:paraId="0548C69A">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1、付款币种</w:t>
            </w:r>
          </w:p>
          <w:p w14:paraId="64C7944C">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本次招标所述的项目资金均以人民币支付。</w:t>
            </w:r>
          </w:p>
          <w:p w14:paraId="5DAA7E80">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付款方式：</w:t>
            </w:r>
          </w:p>
          <w:p w14:paraId="163AB647">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按合同签订为准。</w:t>
            </w:r>
          </w:p>
          <w:p w14:paraId="075AEAFE">
            <w:pPr>
              <w:overflowPunct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备注：最终付款方式以和甲方单位签订合同为准。</w:t>
            </w:r>
          </w:p>
        </w:tc>
      </w:tr>
      <w:tr w14:paraId="6349E4CB">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vAlign w:val="center"/>
          </w:tcPr>
          <w:p w14:paraId="2A1E5935">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23</w:t>
            </w:r>
          </w:p>
        </w:tc>
        <w:tc>
          <w:tcPr>
            <w:tcW w:w="2509" w:type="dxa"/>
            <w:tcBorders>
              <w:tl2br w:val="nil"/>
              <w:tr2bl w:val="nil"/>
            </w:tcBorders>
            <w:vAlign w:val="center"/>
          </w:tcPr>
          <w:p w14:paraId="4CDA7B55">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投标费用</w:t>
            </w:r>
          </w:p>
        </w:tc>
        <w:tc>
          <w:tcPr>
            <w:tcW w:w="7062" w:type="dxa"/>
            <w:tcBorders>
              <w:tl2br w:val="nil"/>
              <w:tr2bl w:val="nil"/>
            </w:tcBorders>
            <w:vAlign w:val="center"/>
          </w:tcPr>
          <w:p w14:paraId="67DD1D54">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不论投标的结果如何，投标人均应自行承担所有与参加投标有关的全部费用。</w:t>
            </w:r>
          </w:p>
        </w:tc>
      </w:tr>
      <w:tr w14:paraId="34C9264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0B95F5E4">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24</w:t>
            </w:r>
          </w:p>
        </w:tc>
        <w:tc>
          <w:tcPr>
            <w:tcW w:w="2509" w:type="dxa"/>
            <w:tcBorders>
              <w:tl2br w:val="nil"/>
              <w:tr2bl w:val="nil"/>
            </w:tcBorders>
            <w:vAlign w:val="center"/>
          </w:tcPr>
          <w:p w14:paraId="20085DCD">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招标代理服务费</w:t>
            </w:r>
          </w:p>
        </w:tc>
        <w:tc>
          <w:tcPr>
            <w:tcW w:w="7062" w:type="dxa"/>
            <w:tcBorders>
              <w:tl2br w:val="nil"/>
              <w:tr2bl w:val="nil"/>
            </w:tcBorders>
            <w:vAlign w:val="center"/>
          </w:tcPr>
          <w:p w14:paraId="0271A71F">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1、代理报酬的计算方法：国家计委关于《招标代理服务收费管理暂行办法》（计价格[2002]1980号）和国家发改价格【2011】534号文件“规定的服务费取费按下浮45%收取。</w:t>
            </w:r>
          </w:p>
          <w:p w14:paraId="1205548F">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2、代理报酬支付方式：由中标人支付。</w:t>
            </w:r>
          </w:p>
          <w:p w14:paraId="02A5428D">
            <w:pPr>
              <w:adjustRightInd w:val="0"/>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3、代理报酬的支付时间：由中标人领取中标通知书时支付。</w:t>
            </w:r>
          </w:p>
        </w:tc>
      </w:tr>
      <w:tr w14:paraId="2206E41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0E2F15A9">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25</w:t>
            </w:r>
          </w:p>
        </w:tc>
        <w:tc>
          <w:tcPr>
            <w:tcW w:w="2509" w:type="dxa"/>
            <w:tcBorders>
              <w:tl2br w:val="nil"/>
              <w:tr2bl w:val="nil"/>
            </w:tcBorders>
            <w:vAlign w:val="center"/>
          </w:tcPr>
          <w:p w14:paraId="1C50DDCB">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低于成本价不正当</w:t>
            </w:r>
          </w:p>
          <w:p w14:paraId="4E17100A">
            <w:pPr>
              <w:overflowPunct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竞争预防措施</w:t>
            </w:r>
          </w:p>
        </w:tc>
        <w:tc>
          <w:tcPr>
            <w:tcW w:w="7062" w:type="dxa"/>
            <w:tcBorders>
              <w:tl2br w:val="nil"/>
              <w:tr2bl w:val="nil"/>
            </w:tcBorders>
            <w:vAlign w:val="center"/>
          </w:tcPr>
          <w:p w14:paraId="34A3B085">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1A87C47">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077DDAFB">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lang w:bidi="ar"/>
              </w:rPr>
              <w:t>26</w:t>
            </w:r>
          </w:p>
        </w:tc>
        <w:tc>
          <w:tcPr>
            <w:tcW w:w="2509" w:type="dxa"/>
            <w:tcBorders>
              <w:tl2br w:val="nil"/>
              <w:tr2bl w:val="nil"/>
            </w:tcBorders>
            <w:vAlign w:val="center"/>
          </w:tcPr>
          <w:p w14:paraId="407FBB83">
            <w:pPr>
              <w:pStyle w:val="132"/>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质疑须知</w:t>
            </w:r>
          </w:p>
        </w:tc>
        <w:tc>
          <w:tcPr>
            <w:tcW w:w="7062" w:type="dxa"/>
            <w:tcBorders>
              <w:tl2br w:val="nil"/>
              <w:tr2bl w:val="nil"/>
            </w:tcBorders>
            <w:vAlign w:val="center"/>
          </w:tcPr>
          <w:p w14:paraId="00D42CF1">
            <w:pPr>
              <w:pStyle w:val="132"/>
              <w:spacing w:line="360" w:lineRule="auto"/>
              <w:ind w:left="494" w:hanging="494" w:hangingChars="206"/>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接收质疑函的方式：现场递交纸质版及Word格式电子版质疑文件至接受单位</w:t>
            </w:r>
          </w:p>
          <w:p w14:paraId="551B0262">
            <w:pPr>
              <w:pStyle w:val="132"/>
              <w:spacing w:line="360" w:lineRule="auto"/>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接受质疑的单位：新疆诚誉工程项目管理有限公司</w:t>
            </w:r>
          </w:p>
          <w:p w14:paraId="1CAC1AAC">
            <w:pPr>
              <w:pStyle w:val="132"/>
              <w:spacing w:line="360" w:lineRule="auto"/>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联系电话：</w:t>
            </w:r>
            <w:r>
              <w:rPr>
                <w:rFonts w:hint="eastAsia" w:asciiTheme="minorEastAsia" w:hAnsiTheme="minorEastAsia" w:eastAsiaTheme="minorEastAsia" w:cstheme="minorEastAsia"/>
              </w:rPr>
              <w:t>0991-8890252</w:t>
            </w:r>
          </w:p>
          <w:p w14:paraId="502BF219">
            <w:pPr>
              <w:pStyle w:val="132"/>
              <w:spacing w:line="360" w:lineRule="auto"/>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地址：</w:t>
            </w:r>
            <w:r>
              <w:rPr>
                <w:rFonts w:hint="eastAsia" w:asciiTheme="minorEastAsia" w:hAnsiTheme="minorEastAsia" w:eastAsiaTheme="minorEastAsia" w:cstheme="minorEastAsia"/>
              </w:rPr>
              <w:t>乌鲁木齐市会展大道599号新疆财富中心C座6楼601室</w:t>
            </w:r>
          </w:p>
        </w:tc>
      </w:tr>
      <w:tr w14:paraId="5E48CCD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69481C1">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2509" w:type="dxa"/>
            <w:tcBorders>
              <w:tl2br w:val="nil"/>
              <w:tr2bl w:val="nil"/>
            </w:tcBorders>
            <w:vAlign w:val="center"/>
          </w:tcPr>
          <w:p w14:paraId="70B5BC69">
            <w:pPr>
              <w:pStyle w:val="132"/>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公告发布媒体</w:t>
            </w:r>
          </w:p>
        </w:tc>
        <w:tc>
          <w:tcPr>
            <w:tcW w:w="7062" w:type="dxa"/>
            <w:tcBorders>
              <w:tl2br w:val="nil"/>
              <w:tr2bl w:val="nil"/>
            </w:tcBorders>
            <w:vAlign w:val="center"/>
          </w:tcPr>
          <w:p w14:paraId="0F120AD2">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新疆政府采购网</w:t>
            </w:r>
            <w:r>
              <w:rPr>
                <w:rFonts w:hint="eastAsia" w:asciiTheme="minorEastAsia" w:hAnsiTheme="minorEastAsia" w:eastAsiaTheme="minorEastAsia" w:cstheme="minorEastAsia"/>
              </w:rPr>
              <w:drawing>
                <wp:inline distT="0" distB="0" distL="114300" distR="114300">
                  <wp:extent cx="189230" cy="142875"/>
                  <wp:effectExtent l="0" t="0" r="1270" b="9525"/>
                  <wp:docPr id="4"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W@GJ$ACOF(TYDYECOKVDYB"/>
                          <pic:cNvPicPr>
                            <a:picLocks noChangeAspect="1"/>
                          </pic:cNvPicPr>
                        </pic:nvPicPr>
                        <pic:blipFill>
                          <a:blip r:embed="rId6"/>
                          <a:stretch>
                            <a:fillRect/>
                          </a:stretch>
                        </pic:blipFill>
                        <pic:spPr>
                          <a:xfrm>
                            <a:off x="0" y="0"/>
                            <a:ext cx="189230" cy="142875"/>
                          </a:xfrm>
                          <a:prstGeom prst="rect">
                            <a:avLst/>
                          </a:prstGeom>
                          <a:noFill/>
                          <a:ln>
                            <a:noFill/>
                          </a:ln>
                        </pic:spPr>
                      </pic:pic>
                    </a:graphicData>
                  </a:graphic>
                </wp:inline>
              </w:drawing>
            </w:r>
            <w:r>
              <w:rPr>
                <w:rFonts w:hint="eastAsia" w:asciiTheme="minorEastAsia" w:hAnsiTheme="minorEastAsia" w:eastAsiaTheme="minorEastAsia" w:cstheme="minorEastAsia"/>
              </w:rPr>
              <w:t>http://www.ccgp-xinjiang.gov.cn/home.html</w:t>
            </w:r>
          </w:p>
        </w:tc>
      </w:tr>
      <w:tr w14:paraId="3D94DC5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66912AD0">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2509" w:type="dxa"/>
            <w:tcBorders>
              <w:tl2br w:val="nil"/>
              <w:tr2bl w:val="nil"/>
            </w:tcBorders>
            <w:vAlign w:val="center"/>
          </w:tcPr>
          <w:p w14:paraId="41937791">
            <w:pPr>
              <w:overflowPunct w:val="0"/>
              <w:spacing w:line="480" w:lineRule="exact"/>
              <w:jc w:val="center"/>
            </w:pPr>
            <w:r>
              <w:rPr>
                <w:rFonts w:hint="eastAsia"/>
              </w:rPr>
              <w:t>确定中标人时，出现中标候选人分数并列的情形，确定中标人方式</w:t>
            </w:r>
          </w:p>
        </w:tc>
        <w:tc>
          <w:tcPr>
            <w:tcW w:w="7062" w:type="dxa"/>
            <w:tcBorders>
              <w:tl2br w:val="nil"/>
              <w:tr2bl w:val="nil"/>
            </w:tcBorders>
            <w:vAlign w:val="center"/>
          </w:tcPr>
          <w:p w14:paraId="0D897149">
            <w:pPr>
              <w:overflowPunct w:val="0"/>
              <w:spacing w:line="480" w:lineRule="exact"/>
            </w:pPr>
            <w:r>
              <w:rPr>
                <w:rFonts w:hint="eastAsia"/>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0D2DFB3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F3D6DAA">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2509" w:type="dxa"/>
            <w:tcBorders>
              <w:tl2br w:val="nil"/>
              <w:tr2bl w:val="nil"/>
            </w:tcBorders>
            <w:vAlign w:val="center"/>
          </w:tcPr>
          <w:p w14:paraId="687E90DC">
            <w:pPr>
              <w:overflowPunct w:val="0"/>
              <w:spacing w:line="480" w:lineRule="exact"/>
              <w:jc w:val="center"/>
            </w:pPr>
            <w:r>
              <w:rPr>
                <w:rFonts w:hint="eastAsia"/>
              </w:rPr>
              <w:t>投标文件份数</w:t>
            </w:r>
          </w:p>
        </w:tc>
        <w:tc>
          <w:tcPr>
            <w:tcW w:w="7062" w:type="dxa"/>
            <w:tcBorders>
              <w:tl2br w:val="nil"/>
              <w:tr2bl w:val="nil"/>
            </w:tcBorders>
            <w:vAlign w:val="center"/>
          </w:tcPr>
          <w:p w14:paraId="6F93E68E">
            <w:pPr>
              <w:overflowPunct w:val="0"/>
              <w:spacing w:line="480" w:lineRule="exact"/>
            </w:pPr>
            <w:r>
              <w:rPr>
                <w:rFonts w:hint="eastAsia"/>
              </w:rPr>
              <w:t>开标结束后，中标单位按照招标文件要求将一正二副纸质版投标文件邮寄至（新疆诚誉工程项目管理有限公司，收件人：殷伟豪，电话：17690825332）以备后期存档。</w:t>
            </w:r>
          </w:p>
        </w:tc>
      </w:tr>
      <w:tr w14:paraId="0DEAA89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4B713A4">
            <w:pPr>
              <w:overflowPunct w:val="0"/>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备注</w:t>
            </w:r>
          </w:p>
        </w:tc>
        <w:tc>
          <w:tcPr>
            <w:tcW w:w="9571" w:type="dxa"/>
            <w:gridSpan w:val="2"/>
            <w:tcBorders>
              <w:tl2br w:val="nil"/>
              <w:tr2bl w:val="nil"/>
            </w:tcBorders>
            <w:vAlign w:val="center"/>
          </w:tcPr>
          <w:p w14:paraId="314043EA">
            <w:pPr>
              <w:spacing w:line="360" w:lineRule="auto"/>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1、为保证本项目服务质量，良好的售后服务；最低报价不作为中标的唯一依据。</w:t>
            </w:r>
          </w:p>
          <w:p w14:paraId="5C03BA62">
            <w:pPr>
              <w:spacing w:line="360" w:lineRule="auto"/>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2、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72504F82">
            <w:pPr>
              <w:spacing w:line="360" w:lineRule="auto"/>
              <w:ind w:firstLine="470" w:firstLineChars="196"/>
              <w:rPr>
                <w:rFonts w:asciiTheme="minorEastAsia" w:hAnsiTheme="minorEastAsia" w:eastAsiaTheme="minorEastAsia" w:cstheme="minorEastAsia"/>
                <w:b/>
              </w:rPr>
            </w:pPr>
            <w:r>
              <w:rPr>
                <w:rFonts w:hint="eastAsia" w:asciiTheme="minorEastAsia" w:hAnsiTheme="minorEastAsia" w:eastAsiaTheme="minorEastAsia" w:cstheme="minorEastAsia"/>
                <w:bCs/>
              </w:rPr>
              <w:t>3、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bl>
    <w:p w14:paraId="29B591DC">
      <w:pPr>
        <w:pStyle w:val="112"/>
        <w:spacing w:line="440" w:lineRule="exact"/>
        <w:outlineLvl w:val="0"/>
        <w:rPr>
          <w:rFonts w:asciiTheme="minorEastAsia" w:hAnsiTheme="minorEastAsia" w:eastAsiaTheme="minorEastAsia" w:cstheme="minorEastAsia"/>
          <w:b/>
          <w:color w:val="auto"/>
          <w:kern w:val="2"/>
          <w:sz w:val="36"/>
          <w:szCs w:val="20"/>
        </w:rPr>
      </w:pPr>
    </w:p>
    <w:p w14:paraId="1A6F78F0">
      <w:pPr>
        <w:pStyle w:val="112"/>
        <w:spacing w:line="360" w:lineRule="auto"/>
        <w:jc w:val="center"/>
        <w:outlineLvl w:val="0"/>
        <w:rPr>
          <w:rFonts w:asciiTheme="minorEastAsia" w:hAnsiTheme="minorEastAsia" w:eastAsiaTheme="minorEastAsia" w:cstheme="minorEastAsia"/>
          <w:b/>
          <w:color w:val="auto"/>
          <w:kern w:val="2"/>
          <w:sz w:val="36"/>
          <w:szCs w:val="20"/>
        </w:rPr>
      </w:pPr>
      <w:bookmarkStart w:id="7" w:name="_Toc80724649"/>
      <w:r>
        <w:rPr>
          <w:rFonts w:hint="eastAsia" w:asciiTheme="minorEastAsia" w:hAnsiTheme="minorEastAsia" w:eastAsiaTheme="minorEastAsia" w:cstheme="minorEastAsia"/>
          <w:b/>
          <w:color w:val="auto"/>
          <w:kern w:val="2"/>
          <w:sz w:val="36"/>
          <w:szCs w:val="20"/>
        </w:rPr>
        <w:br w:type="page"/>
      </w:r>
      <w:r>
        <w:rPr>
          <w:rFonts w:hint="eastAsia" w:asciiTheme="minorEastAsia" w:hAnsiTheme="minorEastAsia" w:eastAsiaTheme="minorEastAsia" w:cstheme="minorEastAsia"/>
          <w:b/>
          <w:color w:val="auto"/>
          <w:kern w:val="2"/>
          <w:sz w:val="36"/>
          <w:szCs w:val="20"/>
        </w:rPr>
        <w:t>第二部分招标说明</w:t>
      </w:r>
      <w:bookmarkEnd w:id="7"/>
    </w:p>
    <w:p w14:paraId="0B15D4A1">
      <w:pPr>
        <w:pStyle w:val="112"/>
        <w:spacing w:line="360" w:lineRule="auto"/>
        <w:jc w:val="center"/>
        <w:outlineLvl w:val="1"/>
        <w:rPr>
          <w:rFonts w:asciiTheme="minorEastAsia" w:hAnsiTheme="minorEastAsia" w:eastAsiaTheme="minorEastAsia" w:cstheme="minorEastAsia"/>
          <w:b/>
          <w:color w:val="auto"/>
          <w:kern w:val="2"/>
          <w:sz w:val="32"/>
          <w:szCs w:val="32"/>
        </w:rPr>
      </w:pPr>
      <w:bookmarkStart w:id="8" w:name="_Toc80724650"/>
      <w:r>
        <w:rPr>
          <w:rFonts w:hint="eastAsia" w:asciiTheme="minorEastAsia" w:hAnsiTheme="minorEastAsia" w:eastAsiaTheme="minorEastAsia" w:cstheme="minorEastAsia"/>
          <w:b/>
          <w:color w:val="auto"/>
          <w:kern w:val="2"/>
          <w:sz w:val="32"/>
          <w:szCs w:val="32"/>
        </w:rPr>
        <w:t>第一章总则</w:t>
      </w:r>
      <w:bookmarkEnd w:id="8"/>
    </w:p>
    <w:p w14:paraId="6F490882">
      <w:pPr>
        <w:spacing w:line="360" w:lineRule="auto"/>
        <w:ind w:firstLine="472" w:firstLineChars="196"/>
        <w:rPr>
          <w:rFonts w:asciiTheme="minorEastAsia" w:hAnsiTheme="minorEastAsia" w:eastAsiaTheme="minorEastAsia" w:cstheme="minorEastAsia"/>
          <w:b/>
        </w:rPr>
      </w:pPr>
      <w:r>
        <w:rPr>
          <w:rFonts w:hint="eastAsia" w:asciiTheme="minorEastAsia" w:hAnsiTheme="minorEastAsia" w:eastAsiaTheme="minorEastAsia" w:cstheme="minorEastAsia"/>
          <w:b/>
        </w:rPr>
        <w:t>1. 适用范围</w:t>
      </w:r>
    </w:p>
    <w:p w14:paraId="03249E17">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  本招标文件仅适用于新疆诚誉工程项目管理有限公司的本次招标活动。</w:t>
      </w:r>
    </w:p>
    <w:p w14:paraId="0A2A94D8">
      <w:pPr>
        <w:tabs>
          <w:tab w:val="left" w:pos="1185"/>
        </w:tabs>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2. 投标资格</w:t>
      </w:r>
    </w:p>
    <w:p w14:paraId="526873DA">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2.1.满足《中华人民共和国政府采购法》第二十二条规定；</w:t>
      </w:r>
    </w:p>
    <w:p w14:paraId="35426625">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2.2.落实政府采购政策需满足的资格要求：见投标须知前附表</w:t>
      </w:r>
    </w:p>
    <w:p w14:paraId="6D732A67">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2.3.本项目的特定资格要求：见投标须知前附表 </w:t>
      </w:r>
    </w:p>
    <w:p w14:paraId="7383BA72">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 投标人存在下列情形之一的，拒绝其参加本次投标（已投标的按无效标处理）：</w:t>
      </w:r>
    </w:p>
    <w:p w14:paraId="384FA295">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（1）为招标人不具有独立法人资格的附属机构（单位）；</w:t>
      </w:r>
    </w:p>
    <w:p w14:paraId="7E2F4DDB">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（2）为本标段前期准备提供设计或咨询服务的；</w:t>
      </w:r>
    </w:p>
    <w:p w14:paraId="0C660DB7">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（3）为本标段提供招标代理服务的；</w:t>
      </w:r>
    </w:p>
    <w:p w14:paraId="288CA169">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（4）单位负责人为同一人或者存在直接控股、管理关系的不同供应商（服务商），不得参加同一合同项下的政府采购活动；</w:t>
      </w:r>
    </w:p>
    <w:p w14:paraId="47B667FD">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（5）除单一来源采购项目外，为采购项目提供整体设计、规范编制或者项目管理、监理、检测等服务的供应商，不得再参加该采购项目的其他采购活动。　　</w:t>
      </w:r>
    </w:p>
    <w:p w14:paraId="4AAFB9C4">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（6）以联合体形式参加政府采购活动的，联合体各方不得再单独参加或者与其他供应商另外组成联合体参加同一合同项下的政府采购活动。</w:t>
      </w:r>
    </w:p>
    <w:p w14:paraId="253B0427">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（7）投标人未在政采云平台针对本项目于规定时间内下载电子采购文件。</w:t>
      </w:r>
    </w:p>
    <w:p w14:paraId="59CB4505">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（8）被责令停业的；</w:t>
      </w:r>
    </w:p>
    <w:p w14:paraId="67C13C5C">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（9）被暂停或取消投标资格的；</w:t>
      </w:r>
    </w:p>
    <w:p w14:paraId="42FB2112">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（10）财产被接管或冻结的；</w:t>
      </w:r>
    </w:p>
    <w:p w14:paraId="4091B0EB">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（11）在最近三年内有骗取中标或严重违约或重大质量问题的，受到行政处罚的。</w:t>
      </w:r>
    </w:p>
    <w:p w14:paraId="3BF7CE2F">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 有下列情形之一的，视为投标人串通投标，其投标无效：</w:t>
      </w:r>
    </w:p>
    <w:p w14:paraId="67BBB406">
      <w:pPr>
        <w:spacing w:line="360" w:lineRule="auto"/>
        <w:ind w:firstLine="540" w:firstLineChars="225"/>
        <w:rPr>
          <w:rFonts w:asciiTheme="minorEastAsia" w:hAnsiTheme="minorEastAsia" w:eastAsiaTheme="minorEastAsia" w:cstheme="minorEastAsia"/>
        </w:rPr>
      </w:pPr>
      <w:r>
        <w:rPr>
          <w:rFonts w:hint="eastAsia" w:asciiTheme="minorEastAsia" w:hAnsiTheme="minorEastAsia" w:eastAsiaTheme="minorEastAsia" w:cstheme="minorEastAsia"/>
        </w:rPr>
        <w:t>（1）不同投标人的投标文件由同一单位或者个人编制。</w:t>
      </w:r>
    </w:p>
    <w:p w14:paraId="1ACA017C">
      <w:pPr>
        <w:spacing w:line="360" w:lineRule="auto"/>
        <w:ind w:firstLine="540" w:firstLineChars="225"/>
        <w:rPr>
          <w:rFonts w:asciiTheme="minorEastAsia" w:hAnsiTheme="minorEastAsia" w:eastAsiaTheme="minorEastAsia" w:cstheme="minorEastAsia"/>
        </w:rPr>
      </w:pPr>
      <w:r>
        <w:rPr>
          <w:rFonts w:hint="eastAsia" w:asciiTheme="minorEastAsia" w:hAnsiTheme="minorEastAsia" w:eastAsiaTheme="minorEastAsia" w:cstheme="minorEastAsia"/>
        </w:rPr>
        <w:t>（2）不同投标人委托同一单位或者个人办理投标事宜。</w:t>
      </w:r>
    </w:p>
    <w:p w14:paraId="542DED17">
      <w:pPr>
        <w:spacing w:line="360" w:lineRule="auto"/>
        <w:ind w:firstLine="540" w:firstLineChars="225"/>
        <w:rPr>
          <w:rFonts w:asciiTheme="minorEastAsia" w:hAnsiTheme="minorEastAsia" w:eastAsiaTheme="minorEastAsia" w:cstheme="minorEastAsia"/>
        </w:rPr>
      </w:pPr>
      <w:r>
        <w:rPr>
          <w:rFonts w:hint="eastAsia" w:asciiTheme="minorEastAsia" w:hAnsiTheme="minorEastAsia" w:eastAsiaTheme="minorEastAsia" w:cstheme="minorEastAsia"/>
        </w:rPr>
        <w:t>（3）不同投标人的投标文件载明的项目管理成员或者联系人员为同一人。</w:t>
      </w:r>
    </w:p>
    <w:p w14:paraId="771097E7">
      <w:pPr>
        <w:spacing w:line="360" w:lineRule="auto"/>
        <w:ind w:firstLine="540" w:firstLineChars="225"/>
        <w:rPr>
          <w:rFonts w:asciiTheme="minorEastAsia" w:hAnsiTheme="minorEastAsia" w:eastAsiaTheme="minorEastAsia" w:cstheme="minorEastAsia"/>
        </w:rPr>
      </w:pPr>
      <w:r>
        <w:rPr>
          <w:rFonts w:hint="eastAsia" w:asciiTheme="minorEastAsia" w:hAnsiTheme="minorEastAsia" w:eastAsiaTheme="minorEastAsia" w:cstheme="minorEastAsia"/>
        </w:rPr>
        <w:t>（4）不同投标人的投标文件异常一致或者投标报价呈规律性差异。</w:t>
      </w:r>
    </w:p>
    <w:p w14:paraId="349CFEEF">
      <w:pPr>
        <w:spacing w:line="360" w:lineRule="auto"/>
        <w:ind w:firstLine="540" w:firstLineChars="225"/>
        <w:rPr>
          <w:rFonts w:asciiTheme="minorEastAsia" w:hAnsiTheme="minorEastAsia" w:eastAsiaTheme="minorEastAsia" w:cstheme="minorEastAsia"/>
        </w:rPr>
      </w:pPr>
      <w:r>
        <w:rPr>
          <w:rFonts w:hint="eastAsia" w:asciiTheme="minorEastAsia" w:hAnsiTheme="minorEastAsia" w:eastAsiaTheme="minorEastAsia" w:cstheme="minorEastAsia"/>
        </w:rPr>
        <w:t>（5）不同投标人的投标文件相互混装。</w:t>
      </w:r>
    </w:p>
    <w:p w14:paraId="73ECF7F3">
      <w:pPr>
        <w:spacing w:line="360" w:lineRule="auto"/>
        <w:ind w:firstLine="540" w:firstLineChars="225"/>
        <w:rPr>
          <w:rFonts w:asciiTheme="minorEastAsia" w:hAnsiTheme="minorEastAsia" w:eastAsiaTheme="minorEastAsia" w:cstheme="minorEastAsia"/>
        </w:rPr>
      </w:pPr>
      <w:r>
        <w:rPr>
          <w:rFonts w:hint="eastAsia" w:asciiTheme="minorEastAsia" w:hAnsiTheme="minorEastAsia" w:eastAsiaTheme="minorEastAsia" w:cstheme="minorEastAsia"/>
        </w:rPr>
        <w:t>（6）不同投标人的投标保证金从同一单位或者个人的账户转出。</w:t>
      </w:r>
    </w:p>
    <w:p w14:paraId="7604DC05">
      <w:pPr>
        <w:pStyle w:val="154"/>
        <w:spacing w:line="360" w:lineRule="auto"/>
        <w:ind w:firstLine="480" w:firstLineChars="20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sz w:val="24"/>
          <w:szCs w:val="24"/>
        </w:rPr>
        <w:t>（7）不同投标人委托同一单位或者个人办理投标事宜，或制作电子投标文件的文件制作</w:t>
      </w:r>
      <w:r>
        <w:rPr>
          <w:rFonts w:hint="eastAsia" w:asciiTheme="minorEastAsia" w:hAnsiTheme="minorEastAsia" w:eastAsiaTheme="minorEastAsia" w:cstheme="minorEastAsia"/>
          <w:kern w:val="2"/>
          <w:sz w:val="24"/>
          <w:szCs w:val="22"/>
        </w:rPr>
        <w:t>机器码（mac地址）一致，或制作电子投标文件的文件创建标识码一致；</w:t>
      </w:r>
    </w:p>
    <w:p w14:paraId="062A2E45">
      <w:pPr>
        <w:spacing w:line="360" w:lineRule="auto"/>
        <w:ind w:firstLine="480" w:firstLineChars="200"/>
        <w:rPr>
          <w:rFonts w:asciiTheme="minorEastAsia" w:hAnsiTheme="minorEastAsia" w:eastAsiaTheme="minorEastAsia" w:cstheme="minorEastAsia"/>
          <w:kern w:val="2"/>
          <w:szCs w:val="22"/>
        </w:rPr>
      </w:pPr>
      <w:r>
        <w:rPr>
          <w:rFonts w:hint="eastAsia" w:asciiTheme="minorEastAsia" w:hAnsiTheme="minorEastAsia" w:eastAsiaTheme="minorEastAsia" w:cstheme="minorEastAsia"/>
        </w:rPr>
        <w:t>5. 有下列情形之一的，其投标作无效处理：</w:t>
      </w:r>
    </w:p>
    <w:p w14:paraId="31C5C7A3">
      <w:pPr>
        <w:spacing w:line="360" w:lineRule="auto"/>
        <w:ind w:firstLine="566" w:firstLineChars="236"/>
        <w:rPr>
          <w:rFonts w:asciiTheme="minorEastAsia" w:hAnsiTheme="minorEastAsia" w:eastAsiaTheme="minorEastAsia" w:cstheme="minorEastAsia"/>
        </w:rPr>
      </w:pPr>
      <w:r>
        <w:rPr>
          <w:rFonts w:hint="eastAsia" w:asciiTheme="minorEastAsia" w:hAnsiTheme="minorEastAsia" w:eastAsiaTheme="minorEastAsia" w:cstheme="minorEastAsia"/>
        </w:rPr>
        <w:t>（1）投标文件技术规格中的响应与事实不符或虚假投标的；</w:t>
      </w:r>
    </w:p>
    <w:p w14:paraId="4A9352EE">
      <w:pPr>
        <w:spacing w:line="360" w:lineRule="auto"/>
        <w:ind w:firstLine="566" w:firstLineChars="236"/>
        <w:rPr>
          <w:rFonts w:asciiTheme="minorEastAsia" w:hAnsiTheme="minorEastAsia" w:eastAsiaTheme="minorEastAsia" w:cstheme="minorEastAsia"/>
        </w:rPr>
      </w:pPr>
      <w:r>
        <w:rPr>
          <w:rFonts w:hint="eastAsia" w:asciiTheme="minorEastAsia" w:hAnsiTheme="minorEastAsia" w:eastAsiaTheme="minorEastAsia" w:cstheme="minorEastAsia"/>
        </w:rPr>
        <w:t>（2）投标人拒绝修正错误的；</w:t>
      </w:r>
    </w:p>
    <w:p w14:paraId="63DC5E23">
      <w:pPr>
        <w:spacing w:line="360" w:lineRule="auto"/>
        <w:ind w:firstLine="566" w:firstLineChars="236"/>
        <w:rPr>
          <w:rFonts w:asciiTheme="minorEastAsia" w:hAnsiTheme="minorEastAsia" w:eastAsiaTheme="minorEastAsia" w:cstheme="minorEastAsia"/>
        </w:rPr>
      </w:pPr>
      <w:r>
        <w:rPr>
          <w:rFonts w:hint="eastAsia" w:asciiTheme="minorEastAsia" w:hAnsiTheme="minorEastAsia" w:eastAsiaTheme="minorEastAsia" w:cstheme="minorEastAsia"/>
        </w:rPr>
        <w:t>（3）投标人递交的电子投标文件（加密标书及备份标书）均无法满足正常开标、评标使用功能的；</w:t>
      </w:r>
    </w:p>
    <w:p w14:paraId="53166730">
      <w:pPr>
        <w:spacing w:line="360" w:lineRule="auto"/>
        <w:ind w:firstLine="566" w:firstLineChars="236"/>
        <w:rPr>
          <w:rFonts w:asciiTheme="minorEastAsia" w:hAnsiTheme="minorEastAsia" w:eastAsiaTheme="minorEastAsia" w:cstheme="minorEastAsia"/>
        </w:rPr>
      </w:pPr>
      <w:r>
        <w:rPr>
          <w:rFonts w:hint="eastAsia" w:asciiTheme="minorEastAsia" w:hAnsiTheme="minorEastAsia" w:eastAsiaTheme="minorEastAsia" w:cstheme="minorEastAsia"/>
        </w:rPr>
        <w:t>（4）投标人名称或组织结构与领取采购文件时不一致且无有效变更证明的；</w:t>
      </w:r>
    </w:p>
    <w:p w14:paraId="1C77768D">
      <w:pPr>
        <w:spacing w:line="360" w:lineRule="auto"/>
        <w:ind w:firstLine="566" w:firstLineChars="236"/>
        <w:rPr>
          <w:rFonts w:asciiTheme="minorEastAsia" w:hAnsiTheme="minorEastAsia" w:eastAsiaTheme="minorEastAsia" w:cstheme="minorEastAsia"/>
        </w:rPr>
      </w:pPr>
      <w:r>
        <w:rPr>
          <w:rFonts w:hint="eastAsia" w:asciiTheme="minorEastAsia" w:hAnsiTheme="minorEastAsia" w:eastAsiaTheme="minorEastAsia" w:cstheme="minorEastAsia"/>
        </w:rPr>
        <w:t>（5）不符合招标文件中规定的其他实质性要求。</w:t>
      </w:r>
    </w:p>
    <w:p w14:paraId="0FE1FCDB">
      <w:pPr>
        <w:spacing w:line="360" w:lineRule="auto"/>
        <w:ind w:firstLine="566" w:firstLineChars="236"/>
        <w:rPr>
          <w:rFonts w:asciiTheme="minorEastAsia" w:hAnsiTheme="minorEastAsia" w:eastAsiaTheme="minorEastAsia" w:cstheme="minorEastAsia"/>
        </w:rPr>
      </w:pPr>
      <w:r>
        <w:rPr>
          <w:rFonts w:hint="eastAsia" w:asciiTheme="minorEastAsia" w:hAnsiTheme="minorEastAsia" w:eastAsiaTheme="minorEastAsia" w:cstheme="minorEastAsia"/>
        </w:rPr>
        <w:t>（6）其他违反相关法律法规规定的行为的；</w:t>
      </w:r>
    </w:p>
    <w:p w14:paraId="391B843A">
      <w:pPr>
        <w:spacing w:line="360" w:lineRule="auto"/>
        <w:ind w:firstLine="566" w:firstLineChars="236"/>
        <w:rPr>
          <w:rFonts w:asciiTheme="minorEastAsia" w:hAnsiTheme="minorEastAsia" w:eastAsiaTheme="minorEastAsia" w:cstheme="minorEastAsia"/>
        </w:rPr>
      </w:pPr>
      <w:r>
        <w:rPr>
          <w:rFonts w:hint="eastAsia" w:asciiTheme="minorEastAsia" w:hAnsiTheme="minorEastAsia" w:eastAsiaTheme="minorEastAsia" w:cstheme="minorEastAsia"/>
        </w:rPr>
        <w:t>（7）评标委员会认为是其他应当否决的投标。</w:t>
      </w:r>
    </w:p>
    <w:p w14:paraId="335085D5">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 投标人在本次招标活动中，必须遵守《中华人民共和国政府采购法》及相关法律法规的规定。</w:t>
      </w:r>
    </w:p>
    <w:p w14:paraId="7893BCBA">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 定义</w:t>
      </w:r>
    </w:p>
    <w:p w14:paraId="60BE7B0D">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下列术语和缩写的定义为：</w:t>
      </w:r>
    </w:p>
    <w:p w14:paraId="70E8535C">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  “采购人”是指依法进行政府采购的国家机关、事业单位、团体组织。</w:t>
      </w:r>
    </w:p>
    <w:p w14:paraId="3E967740">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7.2  “招标代理机构”系指新疆诚誉工程项目管理有限公司。</w:t>
      </w:r>
    </w:p>
    <w:p w14:paraId="3F10AFAA">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7.3  “招标方”系指采购人和招标代理机构的统称。</w:t>
      </w:r>
    </w:p>
    <w:p w14:paraId="2DDC7DFB">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7.4  “投标人”是响应招标文件并且符合招标文件规定资格条件和参加投标竞争的法人、其他组织或者自然人。</w:t>
      </w:r>
    </w:p>
    <w:p w14:paraId="77492B41">
      <w:pPr>
        <w:pStyle w:val="21"/>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7.5　“供应商”是指向采购人提供货物、工程或者服务的法人、其他组织或者自然人。</w:t>
      </w:r>
    </w:p>
    <w:p w14:paraId="23EFA748">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7.6  “投标人代表”是指投标人法定代表人，或法定代表人指定的某一代表自己参与和处理与投标项目有关事宜的自然人。</w:t>
      </w:r>
    </w:p>
    <w:p w14:paraId="06DCA872">
      <w:pPr>
        <w:pStyle w:val="154"/>
        <w:spacing w:line="360" w:lineRule="auto"/>
        <w:ind w:firstLine="480" w:firstLineChars="20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7.7  “投标人公章”在投标文件中指与投标人标准公章一致的投标人电子签章。</w:t>
      </w:r>
    </w:p>
    <w:p w14:paraId="1BCC70C9">
      <w:pPr>
        <w:pStyle w:val="154"/>
        <w:spacing w:line="360" w:lineRule="auto"/>
        <w:ind w:firstLine="480" w:firstLineChars="20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7.8  “电子投标文件”指利用政采云平台提供的“电子投标文件制作工具”编制的投标文件加密标书及与加密标书同时生成的备份标书。</w:t>
      </w:r>
    </w:p>
    <w:p w14:paraId="2F61ECBB">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7.9  “中标人”系指经评标委员会评定后由评标委员会推荐并由采购人确定的投标人。</w:t>
      </w:r>
    </w:p>
    <w:p w14:paraId="5A506360">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7.10 “货物”、“产品”指本招标文件中第四部分《采购需求》及《政府采购品目分类目录》(财库[2013]189号)所述所有货物及相关服务。</w:t>
      </w:r>
    </w:p>
    <w:p w14:paraId="7D058AC8">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7.11 采购信息安全产品的，应当采购经国家认证的信息安全产品；供应货物中的相关产品，供应商应提供由中国信息安全认证中心按国家标准认证颁发的有效认证证书。</w:t>
      </w:r>
    </w:p>
    <w:p w14:paraId="57D2F0B6">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7.12 “节能产品”或者“环保产品”是指财政部发布的《节能产品政府采购品目清单》内并获得认证的产品及《环境标志产品政府采购品目清单》内并获得认证的产品。</w:t>
      </w:r>
    </w:p>
    <w:p w14:paraId="204F06F8">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7.13 “进口产品”是指通过中国海关报关验放进入中国境内且产自关境外的产品，详见《关于政府采购进口产品管理有关问题的通知》(财库[2007]119号)。</w:t>
      </w:r>
    </w:p>
    <w:p w14:paraId="73F7D9CD">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7.14  “服务”系指招标文件中规定投标人须承担的质保、技术协助、培训及其他类似的责任。</w:t>
      </w:r>
    </w:p>
    <w:p w14:paraId="511B32D4">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7.15 “响应”系指投标人根据招标代理机构发布的招标文件，编制投标文件并按规定投标的行为。</w:t>
      </w:r>
    </w:p>
    <w:p w14:paraId="01DDFC45">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7.16  “标段/标项（包）”系指一个完整独立的投标项目。</w:t>
      </w:r>
    </w:p>
    <w:p w14:paraId="076EB1A6">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8. 投标费用</w:t>
      </w:r>
    </w:p>
    <w:p w14:paraId="1CB62012">
      <w:pPr>
        <w:spacing w:line="360" w:lineRule="auto"/>
        <w:ind w:firstLine="482"/>
        <w:rPr>
          <w:rFonts w:asciiTheme="minorEastAsia" w:hAnsiTheme="minorEastAsia" w:eastAsiaTheme="minorEastAsia" w:cstheme="minorEastAsia"/>
        </w:rPr>
      </w:pPr>
      <w:r>
        <w:rPr>
          <w:rFonts w:hint="eastAsia" w:asciiTheme="minorEastAsia" w:hAnsiTheme="minorEastAsia" w:eastAsiaTheme="minorEastAsia" w:cstheme="minorEastAsia"/>
        </w:rPr>
        <w:t>8.1  无论投标结果如何，凡参与招标、投标活动有关的所有费用将由投标人自行承担。</w:t>
      </w:r>
    </w:p>
    <w:p w14:paraId="014FDEF7">
      <w:pPr>
        <w:tabs>
          <w:tab w:val="left" w:pos="1185"/>
        </w:tabs>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8.2  投标人被视为熟悉本招标项目的各种情况以及与履行合同有关的一切情况。</w:t>
      </w:r>
    </w:p>
    <w:p w14:paraId="0B7D8D37">
      <w:pPr>
        <w:tabs>
          <w:tab w:val="left" w:pos="1185"/>
        </w:tabs>
        <w:spacing w:line="360" w:lineRule="auto"/>
        <w:ind w:firstLine="480" w:firstLineChars="200"/>
        <w:rPr>
          <w:rFonts w:asciiTheme="minorEastAsia" w:hAnsiTheme="minorEastAsia" w:eastAsiaTheme="minorEastAsia" w:cstheme="minorEastAsia"/>
        </w:rPr>
      </w:pPr>
    </w:p>
    <w:p w14:paraId="451B1354">
      <w:pPr>
        <w:pStyle w:val="112"/>
        <w:spacing w:line="360" w:lineRule="auto"/>
        <w:jc w:val="center"/>
        <w:outlineLvl w:val="1"/>
        <w:rPr>
          <w:rFonts w:asciiTheme="minorEastAsia" w:hAnsiTheme="minorEastAsia" w:eastAsiaTheme="minorEastAsia" w:cstheme="minorEastAsia"/>
          <w:b/>
          <w:color w:val="auto"/>
          <w:kern w:val="2"/>
          <w:sz w:val="32"/>
          <w:szCs w:val="32"/>
        </w:rPr>
      </w:pPr>
      <w:bookmarkStart w:id="9" w:name="_Toc80724651"/>
      <w:r>
        <w:rPr>
          <w:rFonts w:hint="eastAsia" w:asciiTheme="minorEastAsia" w:hAnsiTheme="minorEastAsia" w:eastAsiaTheme="minorEastAsia" w:cstheme="minorEastAsia"/>
          <w:b/>
          <w:color w:val="auto"/>
          <w:kern w:val="2"/>
          <w:sz w:val="32"/>
          <w:szCs w:val="32"/>
        </w:rPr>
        <w:t>第二章招标文件</w:t>
      </w:r>
      <w:bookmarkEnd w:id="9"/>
    </w:p>
    <w:p w14:paraId="2D57325C">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9. 招标文件说明</w:t>
      </w:r>
    </w:p>
    <w:p w14:paraId="100102CE">
      <w:pPr>
        <w:tabs>
          <w:tab w:val="left" w:pos="1185"/>
        </w:tabs>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9.1  招标文件组成如下：</w:t>
      </w:r>
    </w:p>
    <w:p w14:paraId="3655CE51">
      <w:pPr>
        <w:tabs>
          <w:tab w:val="left" w:pos="1185"/>
        </w:tabs>
        <w:spacing w:line="360" w:lineRule="auto"/>
        <w:ind w:firstLine="480" w:firstLineChars="200"/>
        <w:rPr>
          <w:rFonts w:asciiTheme="minorEastAsia" w:hAnsiTheme="minorEastAsia" w:eastAsiaTheme="minorEastAsia" w:cstheme="minorEastAsia"/>
          <w:b/>
        </w:rPr>
      </w:pPr>
      <w:r>
        <w:rPr>
          <w:rFonts w:hint="eastAsia" w:asciiTheme="minorEastAsia" w:hAnsiTheme="minorEastAsia" w:eastAsiaTheme="minorEastAsia" w:cstheme="minorEastAsia"/>
        </w:rPr>
        <w:t xml:space="preserve">  投标邀请</w:t>
      </w:r>
    </w:p>
    <w:p w14:paraId="6970299D">
      <w:pPr>
        <w:spacing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第一部分  投标须知</w:t>
      </w:r>
    </w:p>
    <w:p w14:paraId="01CB33C0">
      <w:pPr>
        <w:spacing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第二部分  招标说明</w:t>
      </w:r>
    </w:p>
    <w:p w14:paraId="5B043B90">
      <w:pPr>
        <w:spacing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第三部分  投标说明</w:t>
      </w:r>
    </w:p>
    <w:p w14:paraId="32003C9F">
      <w:pPr>
        <w:spacing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第四部分  采购需求</w:t>
      </w:r>
    </w:p>
    <w:p w14:paraId="20AE30AA">
      <w:pPr>
        <w:spacing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第五部分  合同部分</w:t>
      </w:r>
    </w:p>
    <w:p w14:paraId="06B69F36">
      <w:pPr>
        <w:spacing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第六部分  投标文件格式（范本格式）</w:t>
      </w:r>
    </w:p>
    <w:p w14:paraId="1046A891">
      <w:pPr>
        <w:tabs>
          <w:tab w:val="left" w:pos="1185"/>
        </w:tabs>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9.2  投标人应详细阅读招标文件的全部内容。如果投标人未按照招标文件要求提交全部资料或者投标文件没有对招标文件在各方面的要求做出实质性响应，将导致其投标被拒绝。</w:t>
      </w:r>
    </w:p>
    <w:p w14:paraId="7CA1F781">
      <w:pPr>
        <w:spacing w:line="360" w:lineRule="auto"/>
        <w:ind w:left="547" w:leftChars="228"/>
        <w:rPr>
          <w:rFonts w:asciiTheme="minorEastAsia" w:hAnsiTheme="minorEastAsia" w:eastAsiaTheme="minorEastAsia" w:cstheme="minorEastAsia"/>
          <w:b/>
        </w:rPr>
      </w:pPr>
      <w:r>
        <w:rPr>
          <w:rFonts w:hint="eastAsia" w:asciiTheme="minorEastAsia" w:hAnsiTheme="minorEastAsia" w:eastAsiaTheme="minorEastAsia" w:cstheme="minorEastAsia"/>
          <w:b/>
        </w:rPr>
        <w:t>10. 招标文件的修改或补充</w:t>
      </w:r>
    </w:p>
    <w:p w14:paraId="36EADB56">
      <w:pPr>
        <w:spacing w:line="360" w:lineRule="auto"/>
        <w:ind w:left="547" w:leftChars="228"/>
        <w:rPr>
          <w:rFonts w:asciiTheme="minorEastAsia" w:hAnsiTheme="minorEastAsia" w:eastAsiaTheme="minorEastAsia" w:cstheme="minorEastAsia"/>
          <w:kern w:val="2"/>
          <w:szCs w:val="22"/>
        </w:rPr>
      </w:pPr>
      <w:r>
        <w:rPr>
          <w:rFonts w:hint="eastAsia" w:asciiTheme="minorEastAsia" w:hAnsiTheme="minorEastAsia" w:eastAsiaTheme="minorEastAsia" w:cstheme="minorEastAsia"/>
        </w:rPr>
        <w:t>10.1　澄清或者修改的内容可能影响投标文件编制的，在投标截止期十五日前的任何时间，招标方可主动或依据投标人要求澄清的问题而修改或补充招标文件，并以书面形式或网上公告通知所有投标人。</w:t>
      </w:r>
      <w:r>
        <w:rPr>
          <w:rFonts w:hint="eastAsia" w:asciiTheme="minorEastAsia" w:hAnsiTheme="minorEastAsia" w:eastAsiaTheme="minorEastAsia" w:cstheme="minorEastAsia"/>
          <w:kern w:val="2"/>
          <w:szCs w:val="22"/>
        </w:rPr>
        <w:t>采购代理机构对招标文件作出的澄清、修改在政采云平台内发布公告，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70A5208F">
      <w:pPr>
        <w:spacing w:line="360" w:lineRule="auto"/>
        <w:ind w:left="547" w:leftChars="228"/>
        <w:rPr>
          <w:rFonts w:asciiTheme="minorEastAsia" w:hAnsiTheme="minorEastAsia" w:eastAsiaTheme="minorEastAsia" w:cstheme="minorEastAsia"/>
        </w:rPr>
      </w:pPr>
      <w:r>
        <w:rPr>
          <w:rFonts w:hint="eastAsia" w:asciiTheme="minorEastAsia" w:hAnsiTheme="minorEastAsia" w:eastAsiaTheme="minorEastAsia" w:cstheme="minorEastAsia"/>
        </w:rPr>
        <w:t>10.2　为使投标人在准备投标时有适当的时间考虑投标文件的修改，招标方有权决定推迟投标截止时间和开标时间，并将此变更通知所有的投标人。</w:t>
      </w:r>
    </w:p>
    <w:p w14:paraId="6E966B0D">
      <w:pPr>
        <w:spacing w:line="360" w:lineRule="auto"/>
        <w:ind w:left="547" w:leftChars="228"/>
        <w:rPr>
          <w:rFonts w:asciiTheme="minorEastAsia" w:hAnsiTheme="minorEastAsia" w:eastAsiaTheme="minorEastAsia" w:cstheme="minorEastAsia"/>
        </w:rPr>
      </w:pPr>
      <w:r>
        <w:rPr>
          <w:rFonts w:hint="eastAsia" w:asciiTheme="minorEastAsia" w:hAnsiTheme="minorEastAsia" w:eastAsiaTheme="minorEastAsia" w:cstheme="minorEastAsia"/>
        </w:rPr>
        <w:t>10.3　招标文件的修改和补充文件将构成招标文件的一部分，并且对投标人具有优先约束力。</w:t>
      </w:r>
    </w:p>
    <w:p w14:paraId="5A6F3807">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11.质疑须知</w:t>
      </w:r>
    </w:p>
    <w:p w14:paraId="0E544153">
      <w:pPr>
        <w:spacing w:line="360" w:lineRule="auto"/>
        <w:ind w:firstLine="480" w:firstLineChars="200"/>
        <w:rPr>
          <w:rFonts w:asciiTheme="minorEastAsia" w:hAnsiTheme="minorEastAsia" w:eastAsiaTheme="minorEastAsia" w:cstheme="minorEastAsia"/>
          <w:b/>
          <w:sz w:val="36"/>
        </w:rPr>
      </w:pPr>
      <w:r>
        <w:rPr>
          <w:rFonts w:hint="eastAsia" w:asciiTheme="minorEastAsia" w:hAnsiTheme="minorEastAsia" w:eastAsiaTheme="minorEastAsia" w:cstheme="minorEastAsia"/>
        </w:rPr>
        <w:t>投标人如需提出质疑的，应在法定质疑期内一次性提出针对同一采购程序环节的质疑。</w:t>
      </w:r>
    </w:p>
    <w:p w14:paraId="365079A0">
      <w:pPr>
        <w:pStyle w:val="112"/>
        <w:spacing w:line="360" w:lineRule="auto"/>
        <w:jc w:val="center"/>
        <w:outlineLvl w:val="0"/>
        <w:rPr>
          <w:rFonts w:asciiTheme="minorEastAsia" w:hAnsiTheme="minorEastAsia" w:eastAsiaTheme="minorEastAsia" w:cstheme="minorEastAsia"/>
          <w:b/>
          <w:color w:val="auto"/>
          <w:kern w:val="2"/>
          <w:sz w:val="36"/>
          <w:szCs w:val="20"/>
        </w:rPr>
      </w:pPr>
      <w:r>
        <w:rPr>
          <w:rFonts w:hint="eastAsia" w:asciiTheme="minorEastAsia" w:hAnsiTheme="minorEastAsia" w:eastAsiaTheme="minorEastAsia" w:cstheme="minorEastAsia"/>
          <w:b/>
          <w:color w:val="auto"/>
          <w:kern w:val="2"/>
          <w:sz w:val="36"/>
          <w:szCs w:val="20"/>
        </w:rPr>
        <w:br w:type="page"/>
      </w:r>
      <w:bookmarkStart w:id="10" w:name="_Toc80724652"/>
      <w:r>
        <w:rPr>
          <w:rFonts w:hint="eastAsia" w:asciiTheme="minorEastAsia" w:hAnsiTheme="minorEastAsia" w:eastAsiaTheme="minorEastAsia" w:cstheme="minorEastAsia"/>
          <w:b/>
          <w:color w:val="auto"/>
          <w:kern w:val="2"/>
          <w:sz w:val="36"/>
          <w:szCs w:val="20"/>
        </w:rPr>
        <w:t>第三部分投标说明</w:t>
      </w:r>
      <w:bookmarkEnd w:id="10"/>
    </w:p>
    <w:p w14:paraId="293E61A4">
      <w:pPr>
        <w:spacing w:line="360" w:lineRule="auto"/>
        <w:ind w:firstLine="2891" w:firstLineChars="900"/>
        <w:outlineLvl w:val="1"/>
        <w:rPr>
          <w:rFonts w:asciiTheme="minorEastAsia" w:hAnsiTheme="minorEastAsia" w:eastAsiaTheme="minorEastAsia" w:cstheme="minorEastAsia"/>
          <w:b/>
          <w:sz w:val="32"/>
        </w:rPr>
      </w:pPr>
      <w:bookmarkStart w:id="11" w:name="_Toc80724653"/>
      <w:r>
        <w:rPr>
          <w:rFonts w:hint="eastAsia" w:asciiTheme="minorEastAsia" w:hAnsiTheme="minorEastAsia" w:eastAsiaTheme="minorEastAsia" w:cstheme="minorEastAsia"/>
          <w:b/>
          <w:sz w:val="32"/>
        </w:rPr>
        <w:t>第一章 投标人的资格证明</w:t>
      </w:r>
      <w:bookmarkEnd w:id="11"/>
    </w:p>
    <w:p w14:paraId="2772CE90">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rPr>
        <w:t>投标人的资格证明</w:t>
      </w:r>
    </w:p>
    <w:p w14:paraId="20745995">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  投标人的资格条件见投标人须知前附表。</w:t>
      </w:r>
    </w:p>
    <w:p w14:paraId="611DD1B0">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  投标人</w:t>
      </w:r>
      <w:r>
        <w:rPr>
          <w:rFonts w:hint="eastAsia" w:asciiTheme="minorEastAsia" w:hAnsiTheme="minorEastAsia" w:eastAsiaTheme="minorEastAsia" w:cstheme="minorEastAsia"/>
          <w:bCs/>
        </w:rPr>
        <w:t>投标文件</w:t>
      </w:r>
      <w:r>
        <w:rPr>
          <w:rFonts w:hint="eastAsia" w:asciiTheme="minorEastAsia" w:hAnsiTheme="minorEastAsia" w:eastAsiaTheme="minorEastAsia" w:cstheme="minorEastAsia"/>
        </w:rPr>
        <w:t xml:space="preserve">中必须按招标文件要求提供资格证明文件，作为投标文件的一部分。 </w:t>
      </w:r>
    </w:p>
    <w:p w14:paraId="08A1D904">
      <w:pPr>
        <w:spacing w:line="360" w:lineRule="auto"/>
        <w:ind w:firstLine="480" w:firstLineChars="200"/>
        <w:rPr>
          <w:rFonts w:asciiTheme="minorEastAsia" w:hAnsiTheme="minorEastAsia" w:eastAsiaTheme="minorEastAsia" w:cstheme="minorEastAsia"/>
          <w:b/>
          <w:u w:val="single"/>
        </w:rPr>
      </w:pPr>
      <w:r>
        <w:rPr>
          <w:rFonts w:hint="eastAsia" w:asciiTheme="minorEastAsia" w:hAnsiTheme="minorEastAsia" w:eastAsiaTheme="minorEastAsia" w:cstheme="minorEastAsia"/>
          <w:bCs/>
        </w:rPr>
        <w:t>1.3  所有资格证明文件的复印件（扫描件）须加盖公章。</w:t>
      </w:r>
    </w:p>
    <w:p w14:paraId="60F9CBC0">
      <w:pPr>
        <w:spacing w:line="360" w:lineRule="auto"/>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1.4　所有资格证明文件必须满足招标文件的要求，否则将导致投标无效。</w:t>
      </w:r>
    </w:p>
    <w:p w14:paraId="02BBBD95">
      <w:pPr>
        <w:spacing w:line="360" w:lineRule="auto"/>
        <w:ind w:firstLine="360" w:firstLineChars="150"/>
        <w:rPr>
          <w:rFonts w:asciiTheme="minorEastAsia" w:hAnsiTheme="minorEastAsia" w:eastAsiaTheme="minorEastAsia" w:cstheme="minorEastAsia"/>
          <w:bCs/>
        </w:rPr>
      </w:pPr>
    </w:p>
    <w:p w14:paraId="5627183F">
      <w:pPr>
        <w:spacing w:line="360" w:lineRule="auto"/>
        <w:ind w:firstLine="3213" w:firstLineChars="1000"/>
        <w:outlineLvl w:val="1"/>
        <w:rPr>
          <w:rFonts w:asciiTheme="minorEastAsia" w:hAnsiTheme="minorEastAsia" w:eastAsiaTheme="minorEastAsia" w:cstheme="minorEastAsia"/>
          <w:b/>
          <w:sz w:val="32"/>
          <w:szCs w:val="32"/>
        </w:rPr>
      </w:pPr>
      <w:bookmarkStart w:id="12" w:name="_Toc80724654"/>
      <w:r>
        <w:rPr>
          <w:rFonts w:hint="eastAsia" w:asciiTheme="minorEastAsia" w:hAnsiTheme="minorEastAsia" w:eastAsiaTheme="minorEastAsia" w:cstheme="minorEastAsia"/>
          <w:b/>
          <w:sz w:val="32"/>
          <w:szCs w:val="32"/>
        </w:rPr>
        <w:t>第二章 投标文件的编写</w:t>
      </w:r>
      <w:bookmarkEnd w:id="12"/>
    </w:p>
    <w:p w14:paraId="664C8F45">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2.1  投标人应详细阅读招标文件中的条款、规范、表示、条件和格式等所有内容，按招标文件的要求份数提供投标文件，并保证所提供全部材料的真实性，使其投标对招标文件做出实质性响应。否则，其投标视为无效。</w:t>
      </w:r>
    </w:p>
    <w:p w14:paraId="317CA4D0">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2.2  允许投标人对本招标文件中的所有标项投标，也可根据本企业生产或代理产品的情况对部标项进行投标，但不允许投标人对某一标项中的一项或部分项进行投标。招标人可选择一家投标单位为所有标项的中标人，也可选择若干个投标单位分别中标。</w:t>
      </w:r>
    </w:p>
    <w:p w14:paraId="6CCF2E8F">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3. 投标文件语言和度量单位</w:t>
      </w:r>
    </w:p>
    <w:p w14:paraId="144E62AE">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3.1  投标文件及投标人和招标方就招标、投标交换的文件和往来信件，须以中文书写。</w:t>
      </w:r>
    </w:p>
    <w:p w14:paraId="5479E777">
      <w:pPr>
        <w:spacing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3.2  除在招标文件的技术规格中另有规定外，计量单位应使用中华人民共和国法定计量单位。</w:t>
      </w:r>
    </w:p>
    <w:p w14:paraId="5F256C8A">
      <w:pPr>
        <w:spacing w:line="48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4. 投标文件的组成及编制</w:t>
      </w:r>
    </w:p>
    <w:p w14:paraId="35E41783">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4.1　投标人编写的投标文件应包括但不限于下列内容：</w:t>
      </w:r>
    </w:p>
    <w:p w14:paraId="6D2B0207">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4.1.1　报价要求响应文件：</w:t>
      </w:r>
    </w:p>
    <w:p w14:paraId="40D2AB4C">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(1)开标一览表</w:t>
      </w:r>
    </w:p>
    <w:p w14:paraId="122DAD9C">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(2)分项价格表</w:t>
      </w:r>
    </w:p>
    <w:p w14:paraId="1D905882">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4.1.2　资格响应文件：</w:t>
      </w:r>
    </w:p>
    <w:p w14:paraId="3307F8FF">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(1)供应商符合投标人资格条件的证明文件</w:t>
      </w:r>
    </w:p>
    <w:p w14:paraId="20E1F5AA">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4.1.3　商务技术响应文件：</w:t>
      </w:r>
    </w:p>
    <w:p w14:paraId="7FE5482F">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一、投标函</w:t>
      </w:r>
    </w:p>
    <w:p w14:paraId="50EC1C8E">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二、反商业贿赂承诺书；</w:t>
      </w:r>
    </w:p>
    <w:p w14:paraId="4E603E98">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三、商务条款偏离表；</w:t>
      </w:r>
    </w:p>
    <w:p w14:paraId="089E012F">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四、提供符合政府采购政策的证明材料（如有提供，不享受相关政策的投标人无需提供。）</w:t>
      </w:r>
    </w:p>
    <w:p w14:paraId="49C515F9">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五、项目负责人简历表及拟投入本项目主要成员表；</w:t>
      </w:r>
    </w:p>
    <w:p w14:paraId="52F5972C">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六、近三年经营业绩表；</w:t>
      </w:r>
    </w:p>
    <w:p w14:paraId="79961078">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七、规格、技术参数偏离表；</w:t>
      </w:r>
    </w:p>
    <w:p w14:paraId="498DC07B">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八、技术方案；</w:t>
      </w:r>
    </w:p>
    <w:p w14:paraId="509D72F3">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九、整体服务方案；</w:t>
      </w:r>
    </w:p>
    <w:p w14:paraId="33179EF7">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十、质量保证承诺书；</w:t>
      </w:r>
    </w:p>
    <w:p w14:paraId="50BD73F8">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十一、其他资料；</w:t>
      </w:r>
    </w:p>
    <w:p w14:paraId="71980EC1">
      <w:pPr>
        <w:spacing w:line="48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十二、招标文件中要求提交的和投标人认为需要提供的其它说明和资料。</w:t>
      </w:r>
    </w:p>
    <w:p w14:paraId="152AAB95">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　电子投标文件的编制</w:t>
      </w:r>
    </w:p>
    <w:p w14:paraId="6287A826">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4.2.1电子投标文件使用政采云平台提供的投标文件制作工具以及招标文件要求进行制作编制。投标文件制作时，不同内容按标签提示制作导入，按照招标文件中明确的投标文件目录和格式进行编制，保证目录清晰、内容完整。</w:t>
      </w:r>
    </w:p>
    <w:p w14:paraId="756F8504">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4.2.2电子投标文件须使用投标人公章的电子签章以及法定代表人的电子签章。若无电子签章，则视为无效投标。</w:t>
      </w:r>
    </w:p>
    <w:p w14:paraId="241A9D77">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4.2.3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0A45F1C9">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4.2.4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4B8A771E">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★4.3　投标人须知前附表规定供应商在投标时提供样品的，供应商有以下情形之一的，在投标时将其样品视为无效样品。</w:t>
      </w:r>
    </w:p>
    <w:p w14:paraId="7AF69484">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(1)未在投标人须知前附表规定的提交时间、地点提交的；</w:t>
      </w:r>
    </w:p>
    <w:p w14:paraId="32F23DCB">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(2)供应商提供的样品与投标文件中型号、规格不一致的。</w:t>
      </w:r>
    </w:p>
    <w:p w14:paraId="10915CD7">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4.4　在投标过程中，投标人根据评标委员会书面形式要求提供的澄清文件是投标文件的有效组成部分。</w:t>
      </w:r>
    </w:p>
    <w:p w14:paraId="6D5B924C">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4.5　供应商无论中标与否，其投标文件不予退还。</w:t>
      </w:r>
    </w:p>
    <w:p w14:paraId="4EA4ACCD">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5. 投标文件格式</w:t>
      </w:r>
    </w:p>
    <w:p w14:paraId="1790CB74">
      <w:pPr>
        <w:spacing w:line="360" w:lineRule="auto"/>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见投标须知前附表。</w:t>
      </w:r>
    </w:p>
    <w:p w14:paraId="69A895AC">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6. 投标报价</w:t>
      </w:r>
    </w:p>
    <w:p w14:paraId="77E25F61">
      <w:pPr>
        <w:pStyle w:val="2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投标人应按招标文件规定的供货及服务要求、责任范围和合同条件以人民币形式进行报价。投标报价应为完税价。</w:t>
      </w:r>
    </w:p>
    <w:p w14:paraId="3BBDED9E">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6.2 开标一览表</w:t>
      </w:r>
    </w:p>
    <w:p w14:paraId="1D42B4A7">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提交开标一览表是为了便于开标时唱标，投标人必须按本招标文件所附的格式填写，签字并加盖公章。 </w:t>
      </w:r>
    </w:p>
    <w:p w14:paraId="7D77CAD1">
      <w:pPr>
        <w:pStyle w:val="2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投标人必须按开标一览表和明细报价表的内容和格式要求填写各项服务的分项价格和总价。投标人在投标人须知前附表规定的投标文件截止之日前修改开标一览表中的报价的，应同时修改其明细报价表中的报价。</w:t>
      </w:r>
    </w:p>
    <w:p w14:paraId="02A075A9">
      <w:pPr>
        <w:spacing w:line="360" w:lineRule="auto"/>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6.4 投标人应在明细报价表上标明综合单价和总价。</w:t>
      </w:r>
    </w:p>
    <w:p w14:paraId="7AA95442">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（1）投标文件中开标一览表（报价表）内容与投标文件中响应内容不一致的，以开标一览表（报价表）为准；</w:t>
      </w:r>
    </w:p>
    <w:p w14:paraId="396A724C">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（2）大写金额和小写金额不一致的，以大写金额为准；</w:t>
      </w:r>
    </w:p>
    <w:p w14:paraId="59B4D695">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（3）单价金额小数点或者百分比有明显错位的，以开标一览表的总价为准，并修改单价；</w:t>
      </w:r>
    </w:p>
    <w:p w14:paraId="0A63570E">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（4）总价金额与按单价汇总金额不一致的，以单价金额计算结果为准。</w:t>
      </w:r>
    </w:p>
    <w:p w14:paraId="7F84E412">
      <w:pPr>
        <w:pStyle w:val="21"/>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同时出现两种以上不一致的，按照前款规定的顺序修正。修正后的报价经投标人确认后产生约束力，投标人不确认的，其投标无效。</w:t>
      </w:r>
    </w:p>
    <w:p w14:paraId="5866D084">
      <w:pPr>
        <w:pStyle w:val="2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　投标人对每种服务只允许有一个报价，不接受可变动性报价、赠送，否则，在评标时将其视为无效投标。</w:t>
      </w:r>
    </w:p>
    <w:p w14:paraId="5C7CD009">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6.6  投标报价不符合招标文件对投标报价要求的，为无效投标。</w:t>
      </w:r>
    </w:p>
    <w:p w14:paraId="4DCD9975">
      <w:pPr>
        <w:spacing w:line="360" w:lineRule="auto"/>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6.7投标报价超预算金额（最高限价）的，为无效投标。</w:t>
      </w:r>
    </w:p>
    <w:p w14:paraId="39563457">
      <w:pPr>
        <w:spacing w:line="360" w:lineRule="auto"/>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7. 投标有效期</w:t>
      </w:r>
    </w:p>
    <w:p w14:paraId="5B4D6C48">
      <w:pPr>
        <w:spacing w:line="360" w:lineRule="auto"/>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7.1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14:paraId="35EA4686">
      <w:pPr>
        <w:spacing w:line="360" w:lineRule="auto"/>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7.2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响应延长其投标保证金的有效期，但不允许修改或撤回投标文件。</w:t>
      </w:r>
    </w:p>
    <w:p w14:paraId="4F4F0FB6">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8. 投标文件的签署和规定</w:t>
      </w:r>
      <w:r>
        <w:rPr>
          <w:rFonts w:hint="eastAsia" w:asciiTheme="minorEastAsia" w:hAnsiTheme="minorEastAsia" w:eastAsiaTheme="minorEastAsia" w:cstheme="minorEastAsia"/>
          <w:b/>
          <w:bCs/>
        </w:rPr>
        <w:t>见前投标须知前附表。</w:t>
      </w:r>
    </w:p>
    <w:p w14:paraId="08C102A5">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9. 投标文件的密封</w:t>
      </w:r>
      <w:r>
        <w:rPr>
          <w:rFonts w:hint="eastAsia" w:asciiTheme="minorEastAsia" w:hAnsiTheme="minorEastAsia" w:eastAsiaTheme="minorEastAsia" w:cstheme="minorEastAsia"/>
          <w:b/>
          <w:bCs/>
        </w:rPr>
        <w:t>见前投标须知前附表。</w:t>
      </w:r>
    </w:p>
    <w:p w14:paraId="38658C3D">
      <w:pPr>
        <w:pStyle w:val="21"/>
        <w:tabs>
          <w:tab w:val="left" w:pos="397"/>
        </w:tabs>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10.投标文件的标记见前投标须知前附表。</w:t>
      </w:r>
    </w:p>
    <w:p w14:paraId="67E7F3EF">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11. 投标保证金</w:t>
      </w:r>
    </w:p>
    <w:p w14:paraId="61B8124D">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11.1  招标方因投标人的违规行为而受到损害时将不予退还投标人的投标保证金，将其作为所受损害的补偿。</w:t>
      </w:r>
    </w:p>
    <w:p w14:paraId="73B6F7F1">
      <w:pPr>
        <w:pStyle w:val="21"/>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投标人应当以支票、汇票、本票等非现金形式提交投标保证金，其有效期应不低于投标有效期。投标人未按照招标文件要求提交投标保证金的，投标无效。</w:t>
      </w:r>
    </w:p>
    <w:p w14:paraId="77D89AF6">
      <w:pPr>
        <w:pStyle w:val="21"/>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投标人以支票、汇票、本票形式提交投标保证金的，必须从投标人账户转出，须于投标保证金缴纳截止时间前到达新疆诚誉工程项目管理有限公司指定账户（人民币）。如是本地转账支票需于投标保证金缴纳截止时间三个工作日前向新疆诚誉工程项目管理有限公司送达，如投标保证金为汇款形式的，（汇款时汇款单填写内容须备注项目编号及标项号）。</w:t>
      </w:r>
    </w:p>
    <w:p w14:paraId="6BC873AE">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11.4　未中标的投标人的投标保证金，将在中标通知书发出后5个工作日内无息退还。</w:t>
      </w:r>
    </w:p>
    <w:p w14:paraId="6AE6C6CC">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11.5  中标方的投标保证金，将在领取中标通知书，缴纳履约保证金并签订合同后5个工作日内无息退还，中标企业退还保证金前，需将采购合同彩色扫描件电子版发送至本项目负责人邮箱（详见前附表），并提供采购合同彩色扫描件纸质版。</w:t>
      </w:r>
    </w:p>
    <w:p w14:paraId="60C7A94C">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11.6下列任何情况发生时，投标保证金将不予退还，转为违约金：</w:t>
      </w:r>
    </w:p>
    <w:p w14:paraId="26C71EAE">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  投标人在投标截止期后，投标有效期内撤回投标；</w:t>
      </w:r>
    </w:p>
    <w:p w14:paraId="458B343F">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  投标人在规定期限内未按规定向采购人缴纳履约保证金；</w:t>
      </w:r>
    </w:p>
    <w:p w14:paraId="4F653369">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  中标人未按投标人须知规定缴纳招标代理费；</w:t>
      </w:r>
    </w:p>
    <w:p w14:paraId="3C24FE94">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  以他人名义投标或者以其他方式弄虚作假，骗取中标；</w:t>
      </w:r>
    </w:p>
    <w:p w14:paraId="460EA51F">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  打架斗殴，扰乱标场秩序；</w:t>
      </w:r>
    </w:p>
    <w:p w14:paraId="533C1676">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  中标人拒绝在规定期限内与采购人签订合同。</w:t>
      </w:r>
    </w:p>
    <w:p w14:paraId="4A3B1F67">
      <w:pPr>
        <w:spacing w:line="360" w:lineRule="auto"/>
        <w:ind w:firstLine="840" w:firstLineChars="350"/>
        <w:rPr>
          <w:rFonts w:asciiTheme="minorEastAsia" w:hAnsiTheme="minorEastAsia" w:eastAsiaTheme="minorEastAsia" w:cstheme="minorEastAsia"/>
        </w:rPr>
      </w:pPr>
      <w:r>
        <w:rPr>
          <w:rFonts w:hint="eastAsia" w:asciiTheme="minorEastAsia" w:hAnsiTheme="minorEastAsia" w:eastAsiaTheme="minorEastAsia" w:cstheme="minorEastAsia"/>
        </w:rPr>
        <w:t>上述不予退还投标保证金的情况并给招标代理机构造成损失的，还要承担赔偿责任。</w:t>
      </w:r>
    </w:p>
    <w:p w14:paraId="7FFC0310">
      <w:pPr>
        <w:spacing w:line="360" w:lineRule="auto"/>
        <w:rPr>
          <w:rFonts w:asciiTheme="minorEastAsia" w:hAnsiTheme="minorEastAsia" w:eastAsiaTheme="minorEastAsia" w:cstheme="minorEastAsia"/>
        </w:rPr>
      </w:pPr>
    </w:p>
    <w:p w14:paraId="5D037266">
      <w:pPr>
        <w:spacing w:line="360" w:lineRule="auto"/>
        <w:ind w:firstLine="480"/>
        <w:jc w:val="center"/>
        <w:outlineLvl w:val="1"/>
        <w:rPr>
          <w:rFonts w:asciiTheme="minorEastAsia" w:hAnsiTheme="minorEastAsia" w:eastAsiaTheme="minorEastAsia" w:cstheme="minorEastAsia"/>
          <w:b/>
          <w:sz w:val="32"/>
          <w:szCs w:val="32"/>
        </w:rPr>
      </w:pPr>
      <w:bookmarkStart w:id="13" w:name="_Toc80724655"/>
      <w:r>
        <w:rPr>
          <w:rFonts w:hint="eastAsia" w:asciiTheme="minorEastAsia" w:hAnsiTheme="minorEastAsia" w:eastAsiaTheme="minorEastAsia" w:cstheme="minorEastAsia"/>
          <w:b/>
          <w:sz w:val="32"/>
          <w:szCs w:val="32"/>
        </w:rPr>
        <w:t>第三章 投标文件的递交</w:t>
      </w:r>
      <w:bookmarkEnd w:id="13"/>
    </w:p>
    <w:p w14:paraId="225F3588">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12. 投标文件的标记</w:t>
      </w:r>
    </w:p>
    <w:p w14:paraId="37FF44FE">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12.1　任何不完整或不满足招标文件要求的投标文件将被拒绝。</w:t>
      </w:r>
    </w:p>
    <w:p w14:paraId="57FB2DC1">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12.2　投标人应通过电子投标文件制作工具严格按招标文件要求制作投标文件，在投标截止时间前完成上传经过数字证书电子签章并加密的投标文件（加密和解密须用同一把数字证书）。</w:t>
      </w:r>
    </w:p>
    <w:p w14:paraId="2CBFC131">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13. 投标截止时间</w:t>
      </w:r>
    </w:p>
    <w:p w14:paraId="63C6A638">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13.1  投标文件应在投标人须知前附表规定的投标截止时间之前密封送到投标人须知前附表指定的地点。</w:t>
      </w:r>
    </w:p>
    <w:p w14:paraId="21B5677E">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13.2　投标截止时间以政采云中心政采云平台显示的时间为准，逾期系统将自动关闭，未完成上传的投标文件视为逾期送达，将被拒绝。</w:t>
      </w:r>
    </w:p>
    <w:p w14:paraId="765F5F2B">
      <w:pPr>
        <w:spacing w:line="360" w:lineRule="auto"/>
        <w:ind w:firstLine="482" w:firstLineChars="200"/>
        <w:rPr>
          <w:rFonts w:asciiTheme="minorEastAsia" w:hAnsiTheme="minorEastAsia" w:eastAsiaTheme="minorEastAsia" w:cstheme="minorEastAsia"/>
          <w:b/>
          <w:sz w:val="22"/>
        </w:rPr>
      </w:pPr>
      <w:r>
        <w:rPr>
          <w:rFonts w:hint="eastAsia" w:asciiTheme="minorEastAsia" w:hAnsiTheme="minorEastAsia" w:eastAsiaTheme="minorEastAsia" w:cstheme="minorEastAsia"/>
          <w:b/>
        </w:rPr>
        <w:t>14. 投标文件的修改和撤销</w:t>
      </w:r>
    </w:p>
    <w:p w14:paraId="6811F2D9">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14.1　投标人在递交投标文件后，可在规定的投标截止时间之前，对其投标文件以书面通知的形式进行修改或撤消。</w:t>
      </w:r>
    </w:p>
    <w:p w14:paraId="671C0C3B">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14.2  投标人在投标截止时间前，可以对其所递交的投标文件进行修改并重新上传，但以投标截止时间前最后一次上传的投标文件为有效投标文件。</w:t>
      </w:r>
    </w:p>
    <w:p w14:paraId="3180FB29">
      <w:pPr>
        <w:spacing w:line="360" w:lineRule="auto"/>
        <w:ind w:firstLine="482" w:firstLineChars="150"/>
        <w:jc w:val="center"/>
        <w:outlineLvl w:val="1"/>
        <w:rPr>
          <w:rFonts w:asciiTheme="minorEastAsia" w:hAnsiTheme="minorEastAsia" w:eastAsiaTheme="minorEastAsia" w:cstheme="minorEastAsia"/>
          <w:b/>
          <w:sz w:val="32"/>
          <w:szCs w:val="32"/>
        </w:rPr>
      </w:pPr>
      <w:bookmarkStart w:id="14" w:name="_Toc80724656"/>
    </w:p>
    <w:p w14:paraId="2381ADC5">
      <w:pPr>
        <w:spacing w:line="360" w:lineRule="auto"/>
        <w:ind w:firstLine="482" w:firstLineChars="150"/>
        <w:jc w:val="center"/>
        <w:outlineLvl w:val="1"/>
        <w:rPr>
          <w:rFonts w:asciiTheme="minorEastAsia" w:hAnsiTheme="minorEastAsia" w:eastAsiaTheme="minorEastAsia" w:cstheme="minorEastAsia"/>
        </w:rPr>
      </w:pPr>
      <w:r>
        <w:rPr>
          <w:rFonts w:hint="eastAsia" w:asciiTheme="minorEastAsia" w:hAnsiTheme="minorEastAsia" w:eastAsiaTheme="minorEastAsia" w:cstheme="minorEastAsia"/>
          <w:b/>
          <w:sz w:val="32"/>
          <w:szCs w:val="32"/>
        </w:rPr>
        <w:t>第四章 评标委员会</w:t>
      </w:r>
      <w:bookmarkEnd w:id="14"/>
    </w:p>
    <w:p w14:paraId="5FB95A02">
      <w:pPr>
        <w:spacing w:line="360" w:lineRule="auto"/>
        <w:ind w:left="550" w:leftChars="229"/>
        <w:rPr>
          <w:rFonts w:asciiTheme="minorEastAsia" w:hAnsiTheme="minorEastAsia" w:eastAsiaTheme="minorEastAsia" w:cstheme="minorEastAsia"/>
          <w:b/>
        </w:rPr>
      </w:pPr>
      <w:r>
        <w:rPr>
          <w:rFonts w:hint="eastAsia" w:asciiTheme="minorEastAsia" w:hAnsiTheme="minorEastAsia" w:eastAsiaTheme="minorEastAsia" w:cstheme="minorEastAsia"/>
          <w:b/>
        </w:rPr>
        <w:t>15. 评标委员会</w:t>
      </w:r>
      <w:permStart w:id="1" w:edGrp="everyone"/>
      <w:permEnd w:id="1"/>
    </w:p>
    <w:p w14:paraId="4D353B5E">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15.1  招标方将根据《中华人民共和国政府采购法》和</w:t>
      </w:r>
      <w:r>
        <w:rPr>
          <w:rFonts w:hint="eastAsia" w:asciiTheme="minorEastAsia" w:hAnsiTheme="minorEastAsia" w:eastAsiaTheme="minorEastAsia" w:cstheme="minorEastAsia"/>
        </w:rPr>
        <w:t>相关法律法规</w:t>
      </w:r>
      <w:r>
        <w:rPr>
          <w:rFonts w:hint="eastAsia" w:asciiTheme="minorEastAsia" w:hAnsiTheme="minorEastAsia" w:eastAsiaTheme="minorEastAsia" w:cstheme="minorEastAsia"/>
          <w:spacing w:val="-2"/>
        </w:rPr>
        <w:t>，依法组建本次招标的评标委员会，负责本次招标的评标活动。评标委员会负责按招标文件规定的评标标准向招标方推荐中标候选人，并标明排列顺序。</w:t>
      </w:r>
    </w:p>
    <w:p w14:paraId="5D6DF212">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15.2　评标委员会人选于开标前确定。评标委员会成员名单在中标结果确定前保密。</w:t>
      </w:r>
    </w:p>
    <w:p w14:paraId="07B2E08D">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15.3  评标委员会由采购人代表和有关技术、经济等方面的专家共五名以上人员组成。</w:t>
      </w:r>
    </w:p>
    <w:p w14:paraId="2D82B583">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15.4  按前款规定，评标委员会的成员，由招标方从专家库采取随机抽取的方式确定。对于技术复杂、专业性要求较高或者国家有特殊要求的招标项目，采取随机抽取的方式抽取的专家不能满足评标工作需要时，可采取直接确定的方式选定评标委员会的人选。</w:t>
      </w:r>
    </w:p>
    <w:p w14:paraId="177354F0">
      <w:pPr>
        <w:spacing w:line="360" w:lineRule="auto"/>
        <w:ind w:firstLine="480"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bCs/>
        </w:rPr>
        <w:t>15.5</w:t>
      </w:r>
      <w:r>
        <w:rPr>
          <w:rFonts w:hint="eastAsia" w:asciiTheme="minorEastAsia" w:hAnsiTheme="minorEastAsia" w:eastAsiaTheme="minorEastAsia" w:cstheme="minorEastAsia"/>
          <w:spacing w:val="-2"/>
        </w:rPr>
        <w:t>评标委员会成员应当熟悉并认真研究招标文件，至少应了解和熟悉以下内容：</w:t>
      </w:r>
    </w:p>
    <w:p w14:paraId="628890F5">
      <w:pPr>
        <w:spacing w:line="360" w:lineRule="auto"/>
        <w:ind w:firstLine="480"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2"/>
        </w:rPr>
        <w:t>招标目的；</w:t>
      </w:r>
    </w:p>
    <w:p w14:paraId="274B29A9">
      <w:pPr>
        <w:spacing w:line="360" w:lineRule="auto"/>
        <w:ind w:firstLine="480"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pacing w:val="-2"/>
        </w:rPr>
        <w:t>招标项目的范围、性质；</w:t>
      </w:r>
    </w:p>
    <w:p w14:paraId="120AAD6F">
      <w:pPr>
        <w:spacing w:line="360" w:lineRule="auto"/>
        <w:ind w:firstLine="480"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2"/>
        </w:rPr>
        <w:t>招标文件中规定的主要技术要求、标准和商务条款；</w:t>
      </w:r>
    </w:p>
    <w:p w14:paraId="43068F58">
      <w:pPr>
        <w:spacing w:line="360" w:lineRule="auto"/>
        <w:ind w:firstLine="480"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pacing w:val="-2"/>
        </w:rPr>
        <w:t>招标文件规定的评标标准、评标方法和在评标过程中应考虑的相关因素。</w:t>
      </w:r>
    </w:p>
    <w:p w14:paraId="23C4AD46">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15.6  评标委员会应当根据招标文件规定的评标标准和方法，对投标文件进行系统地评审。</w:t>
      </w:r>
    </w:p>
    <w:p w14:paraId="3770A2FD">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15.7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31E999F2">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15.8  评标委员会成员和与本次评标活动有关的工作人员，不得透露对投标文件的评审和中标候选人的推荐情况以及与评标有关的其他情况。</w:t>
      </w:r>
    </w:p>
    <w:p w14:paraId="00D60A25">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15.9　与评标活动有关的工作人员，是指评标委员会成员以外的、因参与评标监督工作或者事务性工作而知悉有关评标情况的所有人员。</w:t>
      </w:r>
    </w:p>
    <w:p w14:paraId="2B0D20CF">
      <w:pPr>
        <w:spacing w:line="360" w:lineRule="auto"/>
        <w:jc w:val="center"/>
        <w:outlineLvl w:val="1"/>
        <w:rPr>
          <w:rFonts w:asciiTheme="minorEastAsia" w:hAnsiTheme="minorEastAsia" w:eastAsiaTheme="minorEastAsia" w:cstheme="minorEastAsia"/>
          <w:b/>
          <w:sz w:val="32"/>
          <w:szCs w:val="32"/>
        </w:rPr>
      </w:pPr>
    </w:p>
    <w:p w14:paraId="76FB619E">
      <w:pPr>
        <w:spacing w:line="360" w:lineRule="auto"/>
        <w:jc w:val="center"/>
        <w:outlineLvl w:val="1"/>
        <w:rPr>
          <w:rFonts w:asciiTheme="minorEastAsia" w:hAnsiTheme="minorEastAsia" w:eastAsiaTheme="minorEastAsia" w:cstheme="minorEastAsia"/>
          <w:b/>
          <w:sz w:val="32"/>
          <w:szCs w:val="32"/>
        </w:rPr>
      </w:pPr>
      <w:bookmarkStart w:id="15" w:name="_Toc80724657"/>
      <w:r>
        <w:rPr>
          <w:rFonts w:hint="eastAsia" w:asciiTheme="minorEastAsia" w:hAnsiTheme="minorEastAsia" w:eastAsiaTheme="minorEastAsia" w:cstheme="minorEastAsia"/>
          <w:b/>
          <w:sz w:val="32"/>
          <w:szCs w:val="32"/>
        </w:rPr>
        <w:t>第五章 开　标</w:t>
      </w:r>
      <w:bookmarkEnd w:id="15"/>
    </w:p>
    <w:p w14:paraId="3D486FD5">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16. 开标</w:t>
      </w:r>
    </w:p>
    <w:p w14:paraId="002D58B5">
      <w:pPr>
        <w:spacing w:line="360" w:lineRule="auto"/>
        <w:ind w:firstLine="472" w:firstLineChars="200"/>
        <w:rPr>
          <w:rFonts w:asciiTheme="minorEastAsia" w:hAnsiTheme="minorEastAsia" w:eastAsiaTheme="minorEastAsia" w:cstheme="minorEastAsia"/>
        </w:rPr>
      </w:pPr>
      <w:r>
        <w:rPr>
          <w:rFonts w:hint="eastAsia" w:asciiTheme="minorEastAsia" w:hAnsiTheme="minorEastAsia" w:eastAsiaTheme="minorEastAsia" w:cstheme="minorEastAsia"/>
          <w:spacing w:val="-2"/>
        </w:rPr>
        <w:t>16.1　</w:t>
      </w:r>
      <w:r>
        <w:rPr>
          <w:rFonts w:hint="eastAsia" w:asciiTheme="minorEastAsia" w:hAnsiTheme="minorEastAsia" w:eastAsiaTheme="minorEastAsia" w:cstheme="minorEastAsia"/>
        </w:rPr>
        <w:t>本项目开标的时间、地点见投标人须知前附表。</w:t>
      </w:r>
    </w:p>
    <w:p w14:paraId="155885DF">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16.2　本项目采用不见面开标方式</w:t>
      </w:r>
    </w:p>
    <w:p w14:paraId="5A1A7A71">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招标人在规定的投标截止时间（开标时间）和投标人须知前附表规定的地点开标。投标人的法定代表人或其委托代理人无需到达开标现场，仅需在任意地点通过政采云不见面开标系统，使用CA密钥完成远程解密、提疑澄清、开标唱标、结果公布等交互环节。</w:t>
      </w:r>
    </w:p>
    <w:p w14:paraId="64E4142E">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70F3BFDE">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16.3电子招投标的应急措施</w:t>
      </w:r>
    </w:p>
    <w:p w14:paraId="724EDDA7">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16.3.1电子开标、评标如出现下列原因，导致系统无法正常运行或无法正常评标时，应采取应急措施。</w:t>
      </w:r>
    </w:p>
    <w:p w14:paraId="59761D1E">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（1）系统服务器发生故障，无法访问或无法使用系统；</w:t>
      </w:r>
    </w:p>
    <w:p w14:paraId="7E74FC72">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（2）系统的软件或数据库出现错误，不能进行正常操作；</w:t>
      </w:r>
    </w:p>
    <w:p w14:paraId="0C3B3537">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（3）系统发现有安全漏洞，有潜在的泄密危险；</w:t>
      </w:r>
    </w:p>
    <w:p w14:paraId="1E47F6EF">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（4）病毒发作或受到外来病毒的攻击；</w:t>
      </w:r>
    </w:p>
    <w:p w14:paraId="2F9141E7">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（5）出现其他不可抗拒的客观原因造成开评标系统无法正常使用。</w:t>
      </w:r>
    </w:p>
    <w:p w14:paraId="537CAE58">
      <w:pPr>
        <w:spacing w:line="360" w:lineRule="auto"/>
        <w:ind w:firstLine="472" w:firstLineChars="200"/>
        <w:rPr>
          <w:rFonts w:asciiTheme="minorEastAsia" w:hAnsiTheme="minorEastAsia" w:eastAsiaTheme="minorEastAsia" w:cstheme="minorEastAsia"/>
        </w:rPr>
      </w:pPr>
      <w:r>
        <w:rPr>
          <w:rFonts w:hint="eastAsia" w:asciiTheme="minorEastAsia" w:hAnsiTheme="minorEastAsia" w:eastAsiaTheme="minorEastAsia" w:cstheme="minorEastAsia"/>
          <w:spacing w:val="-2"/>
        </w:rPr>
        <w:t>出现上述情况时，应对未开标的暂停开标。已在系统内开标、评标的立即停止。采取应急措施时，必须对原有资料及信息作出妥善保密处理。</w:t>
      </w:r>
    </w:p>
    <w:p w14:paraId="7B107B72">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16.3.2与加密标书同时生成的备份标书，在出现异常情况进行异常处理时，采购人或采购代理机构可要求投标人提供备份标书，异常处理好的备份文件与其他正常解密成功的供应商一样有效。平台会校验标书一致性及标书身份识别，切勿手动修改标书。供应商生成的后缀格式为.bfbs的备份标书无法查看，采购人或采购代理机构仅在开标解密时异常处理使用。</w:t>
      </w:r>
    </w:p>
    <w:p w14:paraId="508691DD">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16.3　投标人代表及有关人员在开标记录上签字确认。</w:t>
      </w:r>
    </w:p>
    <w:p w14:paraId="6157A185">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16.4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87BB977">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★17. 资格审查</w:t>
      </w:r>
    </w:p>
    <w:p w14:paraId="3C62FE9E">
      <w:pPr>
        <w:pStyle w:val="21"/>
        <w:spacing w:line="360" w:lineRule="auto"/>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17.1　公开招标采购项目开标结束后，采购人或者采购代理机构应当依法对投标人的资格进行审查。合格投标人不足3家的，不得评标。</w:t>
      </w:r>
    </w:p>
    <w:p w14:paraId="26CE465B">
      <w:pPr>
        <w:pStyle w:val="21"/>
        <w:spacing w:line="360" w:lineRule="auto"/>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资格审查内容如下：</w:t>
      </w:r>
    </w:p>
    <w:p w14:paraId="6AF4A85F">
      <w:pPr>
        <w:pStyle w:val="21"/>
        <w:spacing w:line="360" w:lineRule="auto"/>
        <w:ind w:firstLine="420"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rPr>
        <w:t>17.1.1</w:t>
      </w:r>
      <w:r>
        <w:rPr>
          <w:rFonts w:hint="eastAsia" w:asciiTheme="minorEastAsia" w:hAnsiTheme="minorEastAsia" w:eastAsiaTheme="minorEastAsia" w:cstheme="minorEastAsia"/>
          <w:spacing w:val="-2"/>
          <w:sz w:val="24"/>
          <w:szCs w:val="24"/>
        </w:rPr>
        <w:t>信用记录审查：</w:t>
      </w:r>
    </w:p>
    <w:p w14:paraId="7A7D6BC1">
      <w:pPr>
        <w:pStyle w:val="21"/>
        <w:spacing w:line="360" w:lineRule="auto"/>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p w14:paraId="4393AE54">
      <w:pPr>
        <w:pStyle w:val="21"/>
        <w:spacing w:line="360" w:lineRule="auto"/>
        <w:ind w:firstLine="472" w:firstLineChars="200"/>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17.1.2对投标人资格响应文件进行审查</w:t>
      </w:r>
    </w:p>
    <w:p w14:paraId="040BAB25">
      <w:pPr>
        <w:pStyle w:val="21"/>
        <w:spacing w:line="360" w:lineRule="auto"/>
        <w:ind w:firstLine="3791" w:firstLineChars="1600"/>
        <w:rPr>
          <w:rFonts w:asciiTheme="minorEastAsia" w:hAnsiTheme="minorEastAsia" w:eastAsiaTheme="minorEastAsia" w:cstheme="minorEastAsia"/>
          <w:b/>
          <w:bCs/>
        </w:rPr>
      </w:pPr>
      <w:r>
        <w:rPr>
          <w:rFonts w:hint="eastAsia" w:asciiTheme="minorEastAsia" w:hAnsiTheme="minorEastAsia" w:eastAsiaTheme="minorEastAsia" w:cstheme="minorEastAsia"/>
          <w:b/>
          <w:bCs/>
          <w:spacing w:val="-2"/>
          <w:sz w:val="24"/>
          <w:szCs w:val="24"/>
        </w:rPr>
        <w:t>资格审查表</w:t>
      </w:r>
    </w:p>
    <w:tbl>
      <w:tblPr>
        <w:tblStyle w:val="40"/>
        <w:tblW w:w="10194"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421"/>
        <w:gridCol w:w="5221"/>
        <w:gridCol w:w="589"/>
        <w:gridCol w:w="589"/>
        <w:gridCol w:w="529"/>
      </w:tblGrid>
      <w:tr w14:paraId="0A1EC3D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266" w:type="dxa"/>
            <w:gridSpan w:val="2"/>
            <w:vMerge w:val="restart"/>
            <w:tcBorders>
              <w:tl2br w:val="nil"/>
              <w:tr2bl w:val="nil"/>
            </w:tcBorders>
            <w:vAlign w:val="center"/>
          </w:tcPr>
          <w:p w14:paraId="71F26448">
            <w:pPr>
              <w:widowControl w:val="0"/>
              <w:spacing w:line="520" w:lineRule="exact"/>
              <w:jc w:val="center"/>
              <w:rPr>
                <w:kern w:val="2"/>
              </w:rPr>
            </w:pPr>
            <w:r>
              <w:rPr>
                <w:rFonts w:hint="eastAsia"/>
                <w:spacing w:val="-2"/>
              </w:rPr>
              <w:t>审查内容</w:t>
            </w:r>
          </w:p>
        </w:tc>
        <w:tc>
          <w:tcPr>
            <w:tcW w:w="5221" w:type="dxa"/>
            <w:vMerge w:val="restart"/>
            <w:tcBorders>
              <w:tl2br w:val="nil"/>
              <w:tr2bl w:val="nil"/>
            </w:tcBorders>
            <w:vAlign w:val="center"/>
          </w:tcPr>
          <w:p w14:paraId="525541E0">
            <w:pPr>
              <w:widowControl w:val="0"/>
              <w:spacing w:line="520" w:lineRule="exact"/>
              <w:jc w:val="center"/>
              <w:rPr>
                <w:kern w:val="2"/>
              </w:rPr>
            </w:pPr>
            <w:r>
              <w:rPr>
                <w:rFonts w:hint="eastAsia"/>
                <w:spacing w:val="-2"/>
              </w:rPr>
              <w:t>审查标准</w:t>
            </w:r>
          </w:p>
        </w:tc>
        <w:tc>
          <w:tcPr>
            <w:tcW w:w="1707" w:type="dxa"/>
            <w:gridSpan w:val="3"/>
            <w:tcBorders>
              <w:tl2br w:val="nil"/>
              <w:tr2bl w:val="nil"/>
            </w:tcBorders>
            <w:vAlign w:val="center"/>
          </w:tcPr>
          <w:p w14:paraId="63D3ECE9">
            <w:pPr>
              <w:widowControl w:val="0"/>
              <w:spacing w:line="520" w:lineRule="exact"/>
              <w:jc w:val="center"/>
              <w:rPr>
                <w:kern w:val="2"/>
              </w:rPr>
            </w:pPr>
            <w:r>
              <w:rPr>
                <w:rFonts w:hint="eastAsia"/>
              </w:rPr>
              <w:t>投标企业名称</w:t>
            </w:r>
          </w:p>
        </w:tc>
      </w:tr>
      <w:tr w14:paraId="0A30FC4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266" w:type="dxa"/>
            <w:gridSpan w:val="2"/>
            <w:vMerge w:val="continue"/>
            <w:tcBorders>
              <w:tl2br w:val="nil"/>
              <w:tr2bl w:val="nil"/>
            </w:tcBorders>
            <w:vAlign w:val="center"/>
          </w:tcPr>
          <w:p w14:paraId="4AA1F88D">
            <w:pPr>
              <w:widowControl w:val="0"/>
              <w:spacing w:line="520" w:lineRule="exact"/>
              <w:ind w:firstLine="480" w:firstLineChars="200"/>
              <w:jc w:val="center"/>
              <w:rPr>
                <w:kern w:val="2"/>
              </w:rPr>
            </w:pPr>
          </w:p>
        </w:tc>
        <w:tc>
          <w:tcPr>
            <w:tcW w:w="5221" w:type="dxa"/>
            <w:vMerge w:val="continue"/>
            <w:tcBorders>
              <w:tl2br w:val="nil"/>
              <w:tr2bl w:val="nil"/>
            </w:tcBorders>
            <w:vAlign w:val="center"/>
          </w:tcPr>
          <w:p w14:paraId="4F31D66A">
            <w:pPr>
              <w:widowControl w:val="0"/>
              <w:spacing w:line="520" w:lineRule="exact"/>
              <w:ind w:firstLine="480" w:firstLineChars="200"/>
              <w:jc w:val="center"/>
              <w:rPr>
                <w:kern w:val="2"/>
              </w:rPr>
            </w:pPr>
          </w:p>
        </w:tc>
        <w:tc>
          <w:tcPr>
            <w:tcW w:w="589" w:type="dxa"/>
            <w:tcBorders>
              <w:tl2br w:val="nil"/>
              <w:tr2bl w:val="nil"/>
            </w:tcBorders>
            <w:vAlign w:val="center"/>
          </w:tcPr>
          <w:p w14:paraId="726FFC9C">
            <w:pPr>
              <w:widowControl w:val="0"/>
              <w:spacing w:line="520" w:lineRule="exact"/>
              <w:jc w:val="center"/>
              <w:rPr>
                <w:kern w:val="2"/>
              </w:rPr>
            </w:pPr>
            <w:r>
              <w:rPr>
                <w:rFonts w:hint="eastAsia"/>
              </w:rPr>
              <w:t>1</w:t>
            </w:r>
          </w:p>
        </w:tc>
        <w:tc>
          <w:tcPr>
            <w:tcW w:w="589" w:type="dxa"/>
            <w:tcBorders>
              <w:tl2br w:val="nil"/>
              <w:tr2bl w:val="nil"/>
            </w:tcBorders>
            <w:vAlign w:val="center"/>
          </w:tcPr>
          <w:p w14:paraId="6D9EE776">
            <w:pPr>
              <w:widowControl w:val="0"/>
              <w:spacing w:line="520" w:lineRule="exact"/>
              <w:jc w:val="center"/>
            </w:pPr>
            <w:r>
              <w:rPr>
                <w:rFonts w:hint="eastAsia"/>
              </w:rPr>
              <w:t>2</w:t>
            </w:r>
          </w:p>
        </w:tc>
        <w:tc>
          <w:tcPr>
            <w:tcW w:w="529" w:type="dxa"/>
            <w:tcBorders>
              <w:tl2br w:val="nil"/>
              <w:tr2bl w:val="nil"/>
            </w:tcBorders>
            <w:vAlign w:val="center"/>
          </w:tcPr>
          <w:p w14:paraId="42CD52C8">
            <w:pPr>
              <w:widowControl w:val="0"/>
              <w:spacing w:line="520" w:lineRule="exact"/>
              <w:jc w:val="center"/>
            </w:pPr>
            <w:r>
              <w:rPr>
                <w:rFonts w:hint="eastAsia"/>
              </w:rPr>
              <w:t>…</w:t>
            </w:r>
          </w:p>
        </w:tc>
      </w:tr>
      <w:tr w14:paraId="133CF08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0FEAF8FF">
            <w:pPr>
              <w:widowControl w:val="0"/>
              <w:spacing w:line="520" w:lineRule="exact"/>
              <w:jc w:val="center"/>
              <w:rPr>
                <w:kern w:val="2"/>
              </w:rPr>
            </w:pPr>
            <w:r>
              <w:rPr>
                <w:rFonts w:hint="eastAsia"/>
                <w:kern w:val="2"/>
              </w:rPr>
              <w:t>1</w:t>
            </w:r>
          </w:p>
        </w:tc>
        <w:tc>
          <w:tcPr>
            <w:tcW w:w="2421" w:type="dxa"/>
            <w:tcBorders>
              <w:tl2br w:val="nil"/>
              <w:tr2bl w:val="nil"/>
            </w:tcBorders>
            <w:vAlign w:val="center"/>
          </w:tcPr>
          <w:p w14:paraId="0E848038">
            <w:pPr>
              <w:widowControl w:val="0"/>
              <w:spacing w:line="520" w:lineRule="exact"/>
              <w:jc w:val="both"/>
              <w:rPr>
                <w:kern w:val="2"/>
              </w:rPr>
            </w:pPr>
            <w:r>
              <w:rPr>
                <w:rFonts w:hint="eastAsia"/>
                <w:spacing w:val="-2"/>
              </w:rPr>
              <w:t>具有独立承担民事责任的能力</w:t>
            </w:r>
          </w:p>
        </w:tc>
        <w:tc>
          <w:tcPr>
            <w:tcW w:w="5221" w:type="dxa"/>
            <w:tcBorders>
              <w:tl2br w:val="nil"/>
              <w:tr2bl w:val="nil"/>
            </w:tcBorders>
            <w:vAlign w:val="center"/>
          </w:tcPr>
          <w:p w14:paraId="73326445">
            <w:pPr>
              <w:widowControl w:val="0"/>
              <w:spacing w:after="100" w:afterAutospacing="1" w:line="520" w:lineRule="exact"/>
              <w:jc w:val="both"/>
              <w:rPr>
                <w:kern w:val="2"/>
              </w:rPr>
            </w:pPr>
            <w:r>
              <w:rPr>
                <w:rFonts w:hint="eastAsia"/>
                <w:kern w:val="2"/>
              </w:rPr>
              <w:t>法人或者其他组织的营业执照等证明文件；自然人需提供身份证明；</w:t>
            </w:r>
          </w:p>
        </w:tc>
        <w:tc>
          <w:tcPr>
            <w:tcW w:w="589" w:type="dxa"/>
            <w:tcBorders>
              <w:tl2br w:val="nil"/>
              <w:tr2bl w:val="nil"/>
            </w:tcBorders>
            <w:vAlign w:val="center"/>
          </w:tcPr>
          <w:p w14:paraId="4DDAA50A">
            <w:pPr>
              <w:widowControl w:val="0"/>
              <w:spacing w:line="520" w:lineRule="exact"/>
              <w:ind w:firstLine="480" w:firstLineChars="200"/>
              <w:jc w:val="both"/>
              <w:rPr>
                <w:kern w:val="2"/>
              </w:rPr>
            </w:pPr>
          </w:p>
        </w:tc>
        <w:tc>
          <w:tcPr>
            <w:tcW w:w="589" w:type="dxa"/>
            <w:tcBorders>
              <w:tl2br w:val="nil"/>
              <w:tr2bl w:val="nil"/>
            </w:tcBorders>
            <w:vAlign w:val="center"/>
          </w:tcPr>
          <w:p w14:paraId="5EEBDD53">
            <w:pPr>
              <w:widowControl w:val="0"/>
              <w:spacing w:line="520" w:lineRule="exact"/>
              <w:ind w:firstLine="480" w:firstLineChars="200"/>
              <w:jc w:val="both"/>
              <w:rPr>
                <w:kern w:val="2"/>
              </w:rPr>
            </w:pPr>
          </w:p>
        </w:tc>
        <w:tc>
          <w:tcPr>
            <w:tcW w:w="529" w:type="dxa"/>
            <w:tcBorders>
              <w:tl2br w:val="nil"/>
              <w:tr2bl w:val="nil"/>
            </w:tcBorders>
            <w:vAlign w:val="center"/>
          </w:tcPr>
          <w:p w14:paraId="7BFD6455">
            <w:pPr>
              <w:widowControl w:val="0"/>
              <w:spacing w:line="520" w:lineRule="exact"/>
              <w:ind w:firstLine="480" w:firstLineChars="200"/>
              <w:jc w:val="both"/>
              <w:rPr>
                <w:kern w:val="2"/>
              </w:rPr>
            </w:pPr>
          </w:p>
        </w:tc>
      </w:tr>
      <w:tr w14:paraId="5A59DEA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0AAE9859">
            <w:pPr>
              <w:widowControl w:val="0"/>
              <w:spacing w:line="520" w:lineRule="exact"/>
              <w:jc w:val="center"/>
              <w:rPr>
                <w:kern w:val="2"/>
              </w:rPr>
            </w:pPr>
            <w:r>
              <w:rPr>
                <w:rFonts w:hint="eastAsia"/>
                <w:kern w:val="2"/>
              </w:rPr>
              <w:t>2</w:t>
            </w:r>
          </w:p>
        </w:tc>
        <w:tc>
          <w:tcPr>
            <w:tcW w:w="2421" w:type="dxa"/>
            <w:tcBorders>
              <w:tl2br w:val="nil"/>
              <w:tr2bl w:val="nil"/>
            </w:tcBorders>
            <w:vAlign w:val="center"/>
          </w:tcPr>
          <w:p w14:paraId="1927E58F">
            <w:pPr>
              <w:widowControl w:val="0"/>
              <w:spacing w:line="520" w:lineRule="exact"/>
              <w:jc w:val="both"/>
              <w:rPr>
                <w:spacing w:val="-2"/>
              </w:rPr>
            </w:pPr>
            <w:r>
              <w:rPr>
                <w:rFonts w:hint="eastAsia"/>
                <w:spacing w:val="-2"/>
              </w:rPr>
              <w:t>投标人代表身份证明</w:t>
            </w:r>
          </w:p>
        </w:tc>
        <w:tc>
          <w:tcPr>
            <w:tcW w:w="5221" w:type="dxa"/>
            <w:tcBorders>
              <w:tl2br w:val="nil"/>
              <w:tr2bl w:val="nil"/>
            </w:tcBorders>
            <w:vAlign w:val="center"/>
          </w:tcPr>
          <w:p w14:paraId="6313EC5F">
            <w:pPr>
              <w:widowControl w:val="0"/>
              <w:spacing w:after="100" w:afterAutospacing="1" w:line="520" w:lineRule="exact"/>
              <w:jc w:val="both"/>
              <w:rPr>
                <w:kern w:val="2"/>
              </w:rPr>
            </w:pPr>
            <w:r>
              <w:rPr>
                <w:rFonts w:hint="eastAsia"/>
                <w:kern w:val="2"/>
              </w:rPr>
              <w:t>提供有效的《法定代表人资格证明书》或《法定代表人授权委托书》；</w:t>
            </w:r>
          </w:p>
        </w:tc>
        <w:tc>
          <w:tcPr>
            <w:tcW w:w="589" w:type="dxa"/>
            <w:tcBorders>
              <w:tl2br w:val="nil"/>
              <w:tr2bl w:val="nil"/>
            </w:tcBorders>
            <w:vAlign w:val="center"/>
          </w:tcPr>
          <w:p w14:paraId="4AACB870">
            <w:pPr>
              <w:widowControl w:val="0"/>
              <w:spacing w:line="520" w:lineRule="exact"/>
              <w:ind w:firstLine="480" w:firstLineChars="200"/>
              <w:jc w:val="both"/>
              <w:rPr>
                <w:kern w:val="2"/>
              </w:rPr>
            </w:pPr>
          </w:p>
        </w:tc>
        <w:tc>
          <w:tcPr>
            <w:tcW w:w="589" w:type="dxa"/>
            <w:tcBorders>
              <w:tl2br w:val="nil"/>
              <w:tr2bl w:val="nil"/>
            </w:tcBorders>
            <w:vAlign w:val="center"/>
          </w:tcPr>
          <w:p w14:paraId="74247045">
            <w:pPr>
              <w:widowControl w:val="0"/>
              <w:spacing w:line="520" w:lineRule="exact"/>
              <w:ind w:firstLine="480" w:firstLineChars="200"/>
              <w:jc w:val="both"/>
              <w:rPr>
                <w:kern w:val="2"/>
              </w:rPr>
            </w:pPr>
          </w:p>
        </w:tc>
        <w:tc>
          <w:tcPr>
            <w:tcW w:w="529" w:type="dxa"/>
            <w:tcBorders>
              <w:tl2br w:val="nil"/>
              <w:tr2bl w:val="nil"/>
            </w:tcBorders>
            <w:vAlign w:val="center"/>
          </w:tcPr>
          <w:p w14:paraId="3805C75C">
            <w:pPr>
              <w:widowControl w:val="0"/>
              <w:spacing w:line="520" w:lineRule="exact"/>
              <w:ind w:firstLine="480" w:firstLineChars="200"/>
              <w:jc w:val="both"/>
              <w:rPr>
                <w:kern w:val="2"/>
              </w:rPr>
            </w:pPr>
          </w:p>
        </w:tc>
      </w:tr>
      <w:tr w14:paraId="6EDBFA4B">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845" w:type="dxa"/>
            <w:tcBorders>
              <w:tl2br w:val="nil"/>
              <w:tr2bl w:val="nil"/>
            </w:tcBorders>
            <w:vAlign w:val="center"/>
          </w:tcPr>
          <w:p w14:paraId="541A61D8">
            <w:pPr>
              <w:widowControl w:val="0"/>
              <w:spacing w:line="520" w:lineRule="exact"/>
              <w:jc w:val="center"/>
              <w:rPr>
                <w:kern w:val="2"/>
              </w:rPr>
            </w:pPr>
            <w:r>
              <w:rPr>
                <w:rFonts w:hint="eastAsia"/>
                <w:kern w:val="2"/>
              </w:rPr>
              <w:t>3</w:t>
            </w:r>
          </w:p>
        </w:tc>
        <w:tc>
          <w:tcPr>
            <w:tcW w:w="2421" w:type="dxa"/>
            <w:tcBorders>
              <w:tl2br w:val="nil"/>
              <w:tr2bl w:val="nil"/>
            </w:tcBorders>
            <w:vAlign w:val="center"/>
          </w:tcPr>
          <w:p w14:paraId="174F6E35">
            <w:pPr>
              <w:widowControl w:val="0"/>
              <w:spacing w:line="520" w:lineRule="exact"/>
              <w:jc w:val="both"/>
              <w:rPr>
                <w:kern w:val="2"/>
              </w:rPr>
            </w:pPr>
            <w:r>
              <w:rPr>
                <w:rFonts w:hint="eastAsia"/>
                <w:spacing w:val="-2"/>
              </w:rPr>
              <w:t>健全的财务会计制度</w:t>
            </w:r>
          </w:p>
        </w:tc>
        <w:tc>
          <w:tcPr>
            <w:tcW w:w="5221" w:type="dxa"/>
            <w:tcBorders>
              <w:tl2br w:val="nil"/>
              <w:tr2bl w:val="nil"/>
            </w:tcBorders>
            <w:vAlign w:val="center"/>
          </w:tcPr>
          <w:p w14:paraId="06C93B02">
            <w:pPr>
              <w:widowControl w:val="0"/>
              <w:spacing w:after="100" w:afterAutospacing="1" w:line="520" w:lineRule="exact"/>
              <w:jc w:val="both"/>
              <w:rPr>
                <w:kern w:val="2"/>
              </w:rPr>
            </w:pPr>
            <w:r>
              <w:rPr>
                <w:rFonts w:hint="eastAsia"/>
                <w:kern w:val="2"/>
              </w:rPr>
              <w:t>提供上年</w:t>
            </w:r>
            <w:r>
              <w:rPr>
                <w:rFonts w:hint="eastAsia"/>
                <w:color w:val="000000" w:themeColor="text1"/>
                <w:kern w:val="2"/>
                <w14:textFill>
                  <w14:solidFill>
                    <w14:schemeClr w14:val="tx1"/>
                  </w14:solidFill>
                </w14:textFill>
              </w:rPr>
              <w:t>度（202</w:t>
            </w:r>
            <w:r>
              <w:rPr>
                <w:color w:val="000000" w:themeColor="text1"/>
                <w:kern w:val="2"/>
                <w14:textFill>
                  <w14:solidFill>
                    <w14:schemeClr w14:val="tx1"/>
                  </w14:solidFill>
                </w14:textFill>
              </w:rPr>
              <w:t>4</w:t>
            </w:r>
            <w:r>
              <w:rPr>
                <w:rFonts w:hint="eastAsia"/>
                <w:color w:val="000000" w:themeColor="text1"/>
                <w:kern w:val="2"/>
                <w14:textFill>
                  <w14:solidFill>
                    <w14:schemeClr w14:val="tx1"/>
                  </w14:solidFill>
                </w14:textFill>
              </w:rPr>
              <w:t>年）财务审计报告或近半</w:t>
            </w:r>
            <w:r>
              <w:rPr>
                <w:rFonts w:hint="eastAsia"/>
                <w:kern w:val="2"/>
              </w:rPr>
              <w:t>年内任意一个月财务报表（财务报表应至少包括资产负债表、损益表、现金流量表或财务状况变动表，当月新成立公司不需提供）；</w:t>
            </w:r>
          </w:p>
        </w:tc>
        <w:tc>
          <w:tcPr>
            <w:tcW w:w="589" w:type="dxa"/>
            <w:tcBorders>
              <w:tl2br w:val="nil"/>
              <w:tr2bl w:val="nil"/>
            </w:tcBorders>
            <w:vAlign w:val="center"/>
          </w:tcPr>
          <w:p w14:paraId="598F5B0F">
            <w:pPr>
              <w:widowControl w:val="0"/>
              <w:spacing w:line="520" w:lineRule="exact"/>
              <w:ind w:firstLine="480" w:firstLineChars="200"/>
              <w:jc w:val="both"/>
              <w:rPr>
                <w:kern w:val="2"/>
              </w:rPr>
            </w:pPr>
          </w:p>
        </w:tc>
        <w:tc>
          <w:tcPr>
            <w:tcW w:w="589" w:type="dxa"/>
            <w:tcBorders>
              <w:tl2br w:val="nil"/>
              <w:tr2bl w:val="nil"/>
            </w:tcBorders>
            <w:vAlign w:val="center"/>
          </w:tcPr>
          <w:p w14:paraId="18472526">
            <w:pPr>
              <w:widowControl w:val="0"/>
              <w:spacing w:line="520" w:lineRule="exact"/>
              <w:ind w:firstLine="480" w:firstLineChars="200"/>
              <w:jc w:val="both"/>
              <w:rPr>
                <w:kern w:val="2"/>
              </w:rPr>
            </w:pPr>
          </w:p>
        </w:tc>
        <w:tc>
          <w:tcPr>
            <w:tcW w:w="529" w:type="dxa"/>
            <w:tcBorders>
              <w:tl2br w:val="nil"/>
              <w:tr2bl w:val="nil"/>
            </w:tcBorders>
            <w:vAlign w:val="center"/>
          </w:tcPr>
          <w:p w14:paraId="711CA9A6">
            <w:pPr>
              <w:widowControl w:val="0"/>
              <w:spacing w:line="520" w:lineRule="exact"/>
              <w:ind w:firstLine="480" w:firstLineChars="200"/>
              <w:jc w:val="both"/>
              <w:rPr>
                <w:kern w:val="2"/>
              </w:rPr>
            </w:pPr>
          </w:p>
        </w:tc>
      </w:tr>
      <w:tr w14:paraId="03176425">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5" w:type="dxa"/>
            <w:tcBorders>
              <w:tl2br w:val="nil"/>
              <w:tr2bl w:val="nil"/>
            </w:tcBorders>
            <w:vAlign w:val="center"/>
          </w:tcPr>
          <w:p w14:paraId="53245331">
            <w:pPr>
              <w:widowControl w:val="0"/>
              <w:spacing w:line="520" w:lineRule="exact"/>
              <w:jc w:val="center"/>
              <w:rPr>
                <w:kern w:val="2"/>
              </w:rPr>
            </w:pPr>
            <w:r>
              <w:rPr>
                <w:rFonts w:hint="eastAsia"/>
                <w:kern w:val="2"/>
              </w:rPr>
              <w:t>4</w:t>
            </w:r>
          </w:p>
        </w:tc>
        <w:tc>
          <w:tcPr>
            <w:tcW w:w="2421" w:type="dxa"/>
            <w:tcBorders>
              <w:tl2br w:val="nil"/>
              <w:tr2bl w:val="nil"/>
            </w:tcBorders>
            <w:vAlign w:val="center"/>
          </w:tcPr>
          <w:p w14:paraId="36AABEB3">
            <w:pPr>
              <w:widowControl w:val="0"/>
              <w:spacing w:after="100" w:afterAutospacing="1" w:line="520" w:lineRule="exact"/>
              <w:jc w:val="both"/>
              <w:rPr>
                <w:kern w:val="2"/>
              </w:rPr>
            </w:pPr>
            <w:r>
              <w:rPr>
                <w:rFonts w:hint="eastAsia"/>
                <w:spacing w:val="-2"/>
                <w:kern w:val="2"/>
              </w:rPr>
              <w:t>缴纳税收</w:t>
            </w:r>
          </w:p>
        </w:tc>
        <w:tc>
          <w:tcPr>
            <w:tcW w:w="5221" w:type="dxa"/>
            <w:tcBorders>
              <w:tl2br w:val="nil"/>
              <w:tr2bl w:val="nil"/>
            </w:tcBorders>
            <w:vAlign w:val="center"/>
          </w:tcPr>
          <w:p w14:paraId="266922DA">
            <w:pPr>
              <w:widowControl w:val="0"/>
              <w:spacing w:after="100" w:afterAutospacing="1" w:line="520" w:lineRule="exact"/>
              <w:jc w:val="both"/>
              <w:rPr>
                <w:kern w:val="2"/>
              </w:rPr>
            </w:pPr>
            <w:r>
              <w:rPr>
                <w:rFonts w:hint="eastAsia"/>
                <w:kern w:val="2"/>
              </w:rPr>
              <w:t>提供的近半年内任意一月依法缴纳税收证明，当月新成立公司不需提供；无需纳税或免税的也需提供响应证明材料；</w:t>
            </w:r>
          </w:p>
        </w:tc>
        <w:tc>
          <w:tcPr>
            <w:tcW w:w="589" w:type="dxa"/>
            <w:tcBorders>
              <w:tl2br w:val="nil"/>
              <w:tr2bl w:val="nil"/>
            </w:tcBorders>
            <w:vAlign w:val="center"/>
          </w:tcPr>
          <w:p w14:paraId="65655C9E">
            <w:pPr>
              <w:widowControl w:val="0"/>
              <w:spacing w:line="520" w:lineRule="exact"/>
              <w:ind w:firstLine="480" w:firstLineChars="200"/>
              <w:jc w:val="both"/>
              <w:rPr>
                <w:kern w:val="2"/>
              </w:rPr>
            </w:pPr>
          </w:p>
        </w:tc>
        <w:tc>
          <w:tcPr>
            <w:tcW w:w="589" w:type="dxa"/>
            <w:tcBorders>
              <w:tl2br w:val="nil"/>
              <w:tr2bl w:val="nil"/>
            </w:tcBorders>
            <w:vAlign w:val="center"/>
          </w:tcPr>
          <w:p w14:paraId="1AF7421F">
            <w:pPr>
              <w:widowControl w:val="0"/>
              <w:spacing w:line="520" w:lineRule="exact"/>
              <w:ind w:firstLine="480" w:firstLineChars="200"/>
              <w:jc w:val="both"/>
              <w:rPr>
                <w:kern w:val="2"/>
              </w:rPr>
            </w:pPr>
          </w:p>
        </w:tc>
        <w:tc>
          <w:tcPr>
            <w:tcW w:w="529" w:type="dxa"/>
            <w:tcBorders>
              <w:tl2br w:val="nil"/>
              <w:tr2bl w:val="nil"/>
            </w:tcBorders>
            <w:vAlign w:val="center"/>
          </w:tcPr>
          <w:p w14:paraId="53C25A96">
            <w:pPr>
              <w:widowControl w:val="0"/>
              <w:spacing w:line="520" w:lineRule="exact"/>
              <w:ind w:firstLine="480" w:firstLineChars="200"/>
              <w:jc w:val="both"/>
              <w:rPr>
                <w:kern w:val="2"/>
              </w:rPr>
            </w:pPr>
          </w:p>
        </w:tc>
      </w:tr>
      <w:tr w14:paraId="594DE51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75A6B018">
            <w:pPr>
              <w:widowControl w:val="0"/>
              <w:spacing w:line="520" w:lineRule="exact"/>
              <w:jc w:val="center"/>
              <w:rPr>
                <w:kern w:val="2"/>
              </w:rPr>
            </w:pPr>
            <w:r>
              <w:rPr>
                <w:rFonts w:hint="eastAsia"/>
                <w:kern w:val="2"/>
              </w:rPr>
              <w:t>5</w:t>
            </w:r>
          </w:p>
        </w:tc>
        <w:tc>
          <w:tcPr>
            <w:tcW w:w="2421" w:type="dxa"/>
            <w:tcBorders>
              <w:tl2br w:val="nil"/>
              <w:tr2bl w:val="nil"/>
            </w:tcBorders>
            <w:vAlign w:val="center"/>
          </w:tcPr>
          <w:p w14:paraId="2528E747">
            <w:pPr>
              <w:widowControl w:val="0"/>
              <w:spacing w:after="100" w:afterAutospacing="1" w:line="520" w:lineRule="exact"/>
              <w:jc w:val="both"/>
              <w:rPr>
                <w:kern w:val="2"/>
              </w:rPr>
            </w:pPr>
            <w:r>
              <w:rPr>
                <w:rFonts w:hint="eastAsia"/>
                <w:spacing w:val="-2"/>
                <w:kern w:val="2"/>
              </w:rPr>
              <w:t>缴纳社会保障资金</w:t>
            </w:r>
          </w:p>
        </w:tc>
        <w:tc>
          <w:tcPr>
            <w:tcW w:w="5221" w:type="dxa"/>
            <w:tcBorders>
              <w:tl2br w:val="nil"/>
              <w:tr2bl w:val="nil"/>
            </w:tcBorders>
            <w:vAlign w:val="center"/>
          </w:tcPr>
          <w:p w14:paraId="37BA3E77">
            <w:pPr>
              <w:widowControl w:val="0"/>
              <w:spacing w:after="100" w:afterAutospacing="1" w:line="520" w:lineRule="exact"/>
              <w:jc w:val="both"/>
              <w:rPr>
                <w:kern w:val="2"/>
              </w:rPr>
            </w:pPr>
            <w:r>
              <w:rPr>
                <w:rFonts w:hint="eastAsia"/>
                <w:kern w:val="2"/>
              </w:rPr>
              <w:t>提供社保缴纳证明（近半年内任意一月社保缴纳证明，当月新成立公司不需提供）；</w:t>
            </w:r>
          </w:p>
        </w:tc>
        <w:tc>
          <w:tcPr>
            <w:tcW w:w="589" w:type="dxa"/>
            <w:tcBorders>
              <w:tl2br w:val="nil"/>
              <w:tr2bl w:val="nil"/>
            </w:tcBorders>
            <w:vAlign w:val="center"/>
          </w:tcPr>
          <w:p w14:paraId="0D216A61">
            <w:pPr>
              <w:widowControl w:val="0"/>
              <w:spacing w:line="520" w:lineRule="exact"/>
              <w:jc w:val="center"/>
              <w:rPr>
                <w:kern w:val="2"/>
              </w:rPr>
            </w:pPr>
          </w:p>
        </w:tc>
        <w:tc>
          <w:tcPr>
            <w:tcW w:w="589" w:type="dxa"/>
            <w:tcBorders>
              <w:tl2br w:val="nil"/>
              <w:tr2bl w:val="nil"/>
            </w:tcBorders>
            <w:vAlign w:val="center"/>
          </w:tcPr>
          <w:p w14:paraId="5017D7EB">
            <w:pPr>
              <w:widowControl w:val="0"/>
              <w:spacing w:line="520" w:lineRule="exact"/>
              <w:jc w:val="center"/>
              <w:rPr>
                <w:kern w:val="2"/>
              </w:rPr>
            </w:pPr>
          </w:p>
        </w:tc>
        <w:tc>
          <w:tcPr>
            <w:tcW w:w="529" w:type="dxa"/>
            <w:tcBorders>
              <w:tl2br w:val="nil"/>
              <w:tr2bl w:val="nil"/>
            </w:tcBorders>
            <w:vAlign w:val="center"/>
          </w:tcPr>
          <w:p w14:paraId="7898F3B3">
            <w:pPr>
              <w:widowControl w:val="0"/>
              <w:spacing w:line="520" w:lineRule="exact"/>
              <w:jc w:val="center"/>
              <w:rPr>
                <w:kern w:val="2"/>
              </w:rPr>
            </w:pPr>
          </w:p>
        </w:tc>
      </w:tr>
      <w:tr w14:paraId="19C5DB4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1B908442">
            <w:pPr>
              <w:widowControl w:val="0"/>
              <w:spacing w:line="520" w:lineRule="exact"/>
              <w:jc w:val="center"/>
              <w:rPr>
                <w:kern w:val="2"/>
              </w:rPr>
            </w:pPr>
            <w:r>
              <w:rPr>
                <w:rFonts w:hint="eastAsia"/>
                <w:kern w:val="2"/>
              </w:rPr>
              <w:t>6</w:t>
            </w:r>
          </w:p>
        </w:tc>
        <w:tc>
          <w:tcPr>
            <w:tcW w:w="2421" w:type="dxa"/>
            <w:tcBorders>
              <w:tl2br w:val="nil"/>
              <w:tr2bl w:val="nil"/>
            </w:tcBorders>
            <w:vAlign w:val="center"/>
          </w:tcPr>
          <w:p w14:paraId="43B8A271">
            <w:pPr>
              <w:widowControl w:val="0"/>
              <w:spacing w:after="100" w:afterAutospacing="1" w:line="520" w:lineRule="exact"/>
              <w:jc w:val="both"/>
              <w:rPr>
                <w:kern w:val="2"/>
              </w:rPr>
            </w:pPr>
            <w:r>
              <w:rPr>
                <w:rFonts w:hint="eastAsia"/>
                <w:spacing w:val="-2"/>
                <w:kern w:val="2"/>
              </w:rPr>
              <w:t>履行合同所必需的设备和能力</w:t>
            </w:r>
          </w:p>
        </w:tc>
        <w:tc>
          <w:tcPr>
            <w:tcW w:w="5221" w:type="dxa"/>
            <w:tcBorders>
              <w:tl2br w:val="nil"/>
              <w:tr2bl w:val="nil"/>
            </w:tcBorders>
            <w:vAlign w:val="center"/>
          </w:tcPr>
          <w:p w14:paraId="7064A103">
            <w:pPr>
              <w:widowControl w:val="0"/>
              <w:spacing w:after="100" w:afterAutospacing="1" w:line="520" w:lineRule="exact"/>
              <w:jc w:val="both"/>
              <w:rPr>
                <w:kern w:val="2"/>
              </w:rPr>
            </w:pPr>
            <w:r>
              <w:rPr>
                <w:rFonts w:hint="eastAsia"/>
                <w:spacing w:val="-2"/>
                <w:kern w:val="2"/>
              </w:rPr>
              <w:t>提供具有履行合同所必需的设备和专业技术能力相关证明材料或声明；</w:t>
            </w:r>
          </w:p>
        </w:tc>
        <w:tc>
          <w:tcPr>
            <w:tcW w:w="589" w:type="dxa"/>
            <w:tcBorders>
              <w:tl2br w:val="nil"/>
              <w:tr2bl w:val="nil"/>
            </w:tcBorders>
            <w:vAlign w:val="center"/>
          </w:tcPr>
          <w:p w14:paraId="365727C1">
            <w:pPr>
              <w:widowControl w:val="0"/>
              <w:spacing w:line="520" w:lineRule="exact"/>
              <w:jc w:val="center"/>
              <w:rPr>
                <w:kern w:val="2"/>
              </w:rPr>
            </w:pPr>
          </w:p>
        </w:tc>
        <w:tc>
          <w:tcPr>
            <w:tcW w:w="589" w:type="dxa"/>
            <w:tcBorders>
              <w:tl2br w:val="nil"/>
              <w:tr2bl w:val="nil"/>
            </w:tcBorders>
            <w:vAlign w:val="center"/>
          </w:tcPr>
          <w:p w14:paraId="3370FD0B">
            <w:pPr>
              <w:widowControl w:val="0"/>
              <w:spacing w:line="520" w:lineRule="exact"/>
              <w:jc w:val="center"/>
              <w:rPr>
                <w:kern w:val="2"/>
              </w:rPr>
            </w:pPr>
          </w:p>
        </w:tc>
        <w:tc>
          <w:tcPr>
            <w:tcW w:w="529" w:type="dxa"/>
            <w:tcBorders>
              <w:tl2br w:val="nil"/>
              <w:tr2bl w:val="nil"/>
            </w:tcBorders>
            <w:vAlign w:val="center"/>
          </w:tcPr>
          <w:p w14:paraId="7C3CE5C2">
            <w:pPr>
              <w:widowControl w:val="0"/>
              <w:spacing w:line="520" w:lineRule="exact"/>
              <w:jc w:val="center"/>
              <w:rPr>
                <w:kern w:val="2"/>
              </w:rPr>
            </w:pPr>
          </w:p>
        </w:tc>
      </w:tr>
      <w:tr w14:paraId="2C4A6A1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6A2CF9B8">
            <w:pPr>
              <w:widowControl w:val="0"/>
              <w:spacing w:line="520" w:lineRule="exact"/>
              <w:jc w:val="center"/>
              <w:rPr>
                <w:kern w:val="2"/>
              </w:rPr>
            </w:pPr>
            <w:r>
              <w:rPr>
                <w:rFonts w:hint="eastAsia"/>
                <w:kern w:val="2"/>
              </w:rPr>
              <w:t>7</w:t>
            </w:r>
          </w:p>
        </w:tc>
        <w:tc>
          <w:tcPr>
            <w:tcW w:w="2421" w:type="dxa"/>
            <w:tcBorders>
              <w:tl2br w:val="nil"/>
              <w:tr2bl w:val="nil"/>
            </w:tcBorders>
            <w:vAlign w:val="center"/>
          </w:tcPr>
          <w:p w14:paraId="1F93DB58">
            <w:pPr>
              <w:widowControl w:val="0"/>
              <w:spacing w:after="100" w:afterAutospacing="1" w:line="520" w:lineRule="exact"/>
              <w:jc w:val="both"/>
              <w:rPr>
                <w:kern w:val="2"/>
              </w:rPr>
            </w:pPr>
            <w:r>
              <w:rPr>
                <w:rFonts w:hint="eastAsia"/>
                <w:spacing w:val="-2"/>
                <w:kern w:val="2"/>
              </w:rPr>
              <w:t>提供无重大违法记录声明书</w:t>
            </w:r>
          </w:p>
        </w:tc>
        <w:tc>
          <w:tcPr>
            <w:tcW w:w="5221" w:type="dxa"/>
            <w:tcBorders>
              <w:tl2br w:val="nil"/>
              <w:tr2bl w:val="nil"/>
            </w:tcBorders>
            <w:vAlign w:val="center"/>
          </w:tcPr>
          <w:p w14:paraId="52F78E90">
            <w:pPr>
              <w:widowControl w:val="0"/>
              <w:spacing w:after="100" w:afterAutospacing="1" w:line="520" w:lineRule="exact"/>
              <w:jc w:val="both"/>
              <w:rPr>
                <w:kern w:val="2"/>
              </w:rPr>
            </w:pPr>
            <w:r>
              <w:rPr>
                <w:rFonts w:hint="eastAsia"/>
                <w:spacing w:val="-2"/>
                <w:kern w:val="2"/>
              </w:rPr>
              <w:t>提供无重大违法记录声明书；</w:t>
            </w:r>
          </w:p>
        </w:tc>
        <w:tc>
          <w:tcPr>
            <w:tcW w:w="589" w:type="dxa"/>
            <w:tcBorders>
              <w:tl2br w:val="nil"/>
              <w:tr2bl w:val="nil"/>
            </w:tcBorders>
            <w:vAlign w:val="center"/>
          </w:tcPr>
          <w:p w14:paraId="7079BD39">
            <w:pPr>
              <w:widowControl w:val="0"/>
              <w:spacing w:line="520" w:lineRule="exact"/>
              <w:jc w:val="center"/>
              <w:rPr>
                <w:kern w:val="2"/>
              </w:rPr>
            </w:pPr>
          </w:p>
        </w:tc>
        <w:tc>
          <w:tcPr>
            <w:tcW w:w="589" w:type="dxa"/>
            <w:tcBorders>
              <w:tl2br w:val="nil"/>
              <w:tr2bl w:val="nil"/>
            </w:tcBorders>
            <w:vAlign w:val="center"/>
          </w:tcPr>
          <w:p w14:paraId="77447A78">
            <w:pPr>
              <w:widowControl w:val="0"/>
              <w:spacing w:line="520" w:lineRule="exact"/>
              <w:jc w:val="center"/>
              <w:rPr>
                <w:kern w:val="2"/>
              </w:rPr>
            </w:pPr>
          </w:p>
        </w:tc>
        <w:tc>
          <w:tcPr>
            <w:tcW w:w="529" w:type="dxa"/>
            <w:tcBorders>
              <w:tl2br w:val="nil"/>
              <w:tr2bl w:val="nil"/>
            </w:tcBorders>
            <w:vAlign w:val="center"/>
          </w:tcPr>
          <w:p w14:paraId="587DC24B">
            <w:pPr>
              <w:widowControl w:val="0"/>
              <w:spacing w:line="520" w:lineRule="exact"/>
              <w:jc w:val="center"/>
              <w:rPr>
                <w:kern w:val="2"/>
              </w:rPr>
            </w:pPr>
          </w:p>
        </w:tc>
      </w:tr>
      <w:tr w14:paraId="2416094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tcBorders>
              <w:tl2br w:val="nil"/>
              <w:tr2bl w:val="nil"/>
            </w:tcBorders>
            <w:vAlign w:val="center"/>
          </w:tcPr>
          <w:p w14:paraId="5B247261">
            <w:pPr>
              <w:widowControl w:val="0"/>
              <w:spacing w:line="520" w:lineRule="exact"/>
              <w:jc w:val="center"/>
              <w:rPr>
                <w:kern w:val="2"/>
              </w:rPr>
            </w:pPr>
            <w:r>
              <w:rPr>
                <w:rFonts w:hint="eastAsia"/>
                <w:kern w:val="2"/>
              </w:rPr>
              <w:t>8</w:t>
            </w:r>
          </w:p>
        </w:tc>
        <w:tc>
          <w:tcPr>
            <w:tcW w:w="2421" w:type="dxa"/>
            <w:tcBorders>
              <w:tl2br w:val="nil"/>
              <w:tr2bl w:val="nil"/>
            </w:tcBorders>
            <w:vAlign w:val="center"/>
          </w:tcPr>
          <w:p w14:paraId="43566A00">
            <w:pPr>
              <w:widowControl w:val="0"/>
              <w:spacing w:after="100" w:afterAutospacing="1" w:line="520" w:lineRule="exact"/>
              <w:jc w:val="both"/>
              <w:rPr>
                <w:kern w:val="2"/>
              </w:rPr>
            </w:pPr>
            <w:r>
              <w:rPr>
                <w:rFonts w:hint="eastAsia"/>
                <w:spacing w:val="-2"/>
                <w:kern w:val="2"/>
              </w:rPr>
              <w:t>其他特定资格证明</w:t>
            </w:r>
          </w:p>
        </w:tc>
        <w:tc>
          <w:tcPr>
            <w:tcW w:w="5221" w:type="dxa"/>
            <w:tcBorders>
              <w:tl2br w:val="nil"/>
              <w:tr2bl w:val="nil"/>
            </w:tcBorders>
            <w:vAlign w:val="center"/>
          </w:tcPr>
          <w:p w14:paraId="2323C46F">
            <w:pPr>
              <w:spacing w:line="480" w:lineRule="exact"/>
              <w:rPr>
                <w:spacing w:val="-2"/>
                <w:kern w:val="2"/>
              </w:rPr>
            </w:pPr>
            <w:r>
              <w:rPr>
                <w:rFonts w:hint="eastAsia"/>
                <w:spacing w:val="-2"/>
                <w:kern w:val="2"/>
              </w:rPr>
              <w:t>在中华人民共和国境内注册，未在“信用中国”网站 (www.creditchina.gov.cn) 、“中国政府采购网” (www.ccgp.gov.cn) 等渠道列入失信被执行人、税收违法黑名单、政府采购严重违法失信行为记录名单；</w:t>
            </w:r>
          </w:p>
        </w:tc>
        <w:tc>
          <w:tcPr>
            <w:tcW w:w="589" w:type="dxa"/>
            <w:tcBorders>
              <w:tl2br w:val="nil"/>
              <w:tr2bl w:val="nil"/>
            </w:tcBorders>
            <w:vAlign w:val="center"/>
          </w:tcPr>
          <w:p w14:paraId="27ADAD18">
            <w:pPr>
              <w:widowControl w:val="0"/>
              <w:spacing w:line="520" w:lineRule="exact"/>
              <w:jc w:val="center"/>
              <w:rPr>
                <w:kern w:val="2"/>
              </w:rPr>
            </w:pPr>
          </w:p>
        </w:tc>
        <w:tc>
          <w:tcPr>
            <w:tcW w:w="589" w:type="dxa"/>
            <w:tcBorders>
              <w:tl2br w:val="nil"/>
              <w:tr2bl w:val="nil"/>
            </w:tcBorders>
            <w:vAlign w:val="center"/>
          </w:tcPr>
          <w:p w14:paraId="4D24CFCE">
            <w:pPr>
              <w:widowControl w:val="0"/>
              <w:spacing w:line="520" w:lineRule="exact"/>
              <w:jc w:val="center"/>
              <w:rPr>
                <w:kern w:val="2"/>
              </w:rPr>
            </w:pPr>
          </w:p>
        </w:tc>
        <w:tc>
          <w:tcPr>
            <w:tcW w:w="529" w:type="dxa"/>
            <w:tcBorders>
              <w:tl2br w:val="nil"/>
              <w:tr2bl w:val="nil"/>
            </w:tcBorders>
            <w:vAlign w:val="center"/>
          </w:tcPr>
          <w:p w14:paraId="70659B21">
            <w:pPr>
              <w:widowControl w:val="0"/>
              <w:spacing w:line="520" w:lineRule="exact"/>
              <w:jc w:val="center"/>
              <w:rPr>
                <w:kern w:val="2"/>
              </w:rPr>
            </w:pPr>
          </w:p>
        </w:tc>
      </w:tr>
      <w:tr w14:paraId="0164619B">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45" w:type="dxa"/>
            <w:tcBorders>
              <w:tl2br w:val="nil"/>
              <w:tr2bl w:val="nil"/>
            </w:tcBorders>
            <w:vAlign w:val="center"/>
          </w:tcPr>
          <w:p w14:paraId="74C6CAC3">
            <w:pPr>
              <w:widowControl w:val="0"/>
              <w:spacing w:line="520" w:lineRule="exact"/>
              <w:jc w:val="center"/>
              <w:rPr>
                <w:kern w:val="2"/>
              </w:rPr>
            </w:pPr>
            <w:r>
              <w:rPr>
                <w:rFonts w:hint="eastAsia"/>
                <w:kern w:val="2"/>
              </w:rPr>
              <w:t>9</w:t>
            </w:r>
          </w:p>
        </w:tc>
        <w:tc>
          <w:tcPr>
            <w:tcW w:w="2421" w:type="dxa"/>
            <w:tcBorders>
              <w:tl2br w:val="nil"/>
              <w:tr2bl w:val="nil"/>
            </w:tcBorders>
            <w:vAlign w:val="center"/>
          </w:tcPr>
          <w:p w14:paraId="4BDAD672">
            <w:pPr>
              <w:widowControl w:val="0"/>
              <w:spacing w:after="100" w:afterAutospacing="1" w:line="520" w:lineRule="exact"/>
              <w:jc w:val="both"/>
              <w:rPr>
                <w:spacing w:val="-2"/>
                <w:kern w:val="2"/>
              </w:rPr>
            </w:pPr>
            <w:r>
              <w:rPr>
                <w:rFonts w:hint="eastAsia"/>
                <w:kern w:val="2"/>
              </w:rPr>
              <w:t>落实政府采购政策需满足的资格要求</w:t>
            </w:r>
          </w:p>
        </w:tc>
        <w:tc>
          <w:tcPr>
            <w:tcW w:w="5221" w:type="dxa"/>
            <w:tcBorders>
              <w:tl2br w:val="nil"/>
              <w:tr2bl w:val="nil"/>
            </w:tcBorders>
            <w:vAlign w:val="center"/>
          </w:tcPr>
          <w:p w14:paraId="7F376157">
            <w:pPr>
              <w:widowControl w:val="0"/>
              <w:spacing w:line="520" w:lineRule="exact"/>
              <w:rPr>
                <w:kern w:val="2"/>
              </w:rPr>
            </w:pPr>
            <w:r>
              <w:rPr>
                <w:rFonts w:hint="eastAsia"/>
                <w:kern w:val="2"/>
              </w:rPr>
              <w:t>供应商为中小企业；</w:t>
            </w:r>
          </w:p>
          <w:p w14:paraId="5F92863F">
            <w:pPr>
              <w:widowControl w:val="0"/>
              <w:spacing w:line="520" w:lineRule="exact"/>
              <w:rPr>
                <w:kern w:val="2"/>
              </w:rPr>
            </w:pPr>
            <w:r>
              <w:rPr>
                <w:rFonts w:hint="eastAsia"/>
                <w:kern w:val="2"/>
              </w:rPr>
              <w:t>投标人所投产品生产厂家应均为中小微企业</w:t>
            </w:r>
            <w:r>
              <w:rPr>
                <w:kern w:val="2"/>
              </w:rPr>
              <w:t>(含中型、小型、微型企业)</w:t>
            </w:r>
            <w:r>
              <w:rPr>
                <w:rFonts w:hint="eastAsia"/>
                <w:kern w:val="2"/>
              </w:rPr>
              <w:t>或监狱企业或残疾人福利性单位；</w:t>
            </w:r>
          </w:p>
          <w:p w14:paraId="1CD48E27">
            <w:pPr>
              <w:spacing w:line="480" w:lineRule="exact"/>
              <w:rPr>
                <w:spacing w:val="-2"/>
                <w:kern w:val="2"/>
              </w:rPr>
            </w:pPr>
            <w:r>
              <w:rPr>
                <w:rFonts w:hint="eastAsia"/>
                <w:kern w:val="2"/>
              </w:rPr>
              <w:t>投标人应按招标文件要求提供《中小企业声明函》或《残疾人福利性单位声明函》或监狱企业证明材料；</w:t>
            </w:r>
          </w:p>
        </w:tc>
        <w:tc>
          <w:tcPr>
            <w:tcW w:w="589" w:type="dxa"/>
            <w:tcBorders>
              <w:tl2br w:val="nil"/>
              <w:tr2bl w:val="nil"/>
            </w:tcBorders>
            <w:vAlign w:val="center"/>
          </w:tcPr>
          <w:p w14:paraId="11585624">
            <w:pPr>
              <w:widowControl w:val="0"/>
              <w:spacing w:line="520" w:lineRule="exact"/>
              <w:jc w:val="center"/>
              <w:rPr>
                <w:kern w:val="2"/>
              </w:rPr>
            </w:pPr>
          </w:p>
        </w:tc>
        <w:tc>
          <w:tcPr>
            <w:tcW w:w="589" w:type="dxa"/>
            <w:tcBorders>
              <w:tl2br w:val="nil"/>
              <w:tr2bl w:val="nil"/>
            </w:tcBorders>
            <w:vAlign w:val="center"/>
          </w:tcPr>
          <w:p w14:paraId="0F6F15E7">
            <w:pPr>
              <w:widowControl w:val="0"/>
              <w:spacing w:line="520" w:lineRule="exact"/>
              <w:jc w:val="center"/>
              <w:rPr>
                <w:kern w:val="2"/>
              </w:rPr>
            </w:pPr>
          </w:p>
        </w:tc>
        <w:tc>
          <w:tcPr>
            <w:tcW w:w="529" w:type="dxa"/>
            <w:tcBorders>
              <w:tl2br w:val="nil"/>
              <w:tr2bl w:val="nil"/>
            </w:tcBorders>
            <w:vAlign w:val="center"/>
          </w:tcPr>
          <w:p w14:paraId="0A3DC070">
            <w:pPr>
              <w:widowControl w:val="0"/>
              <w:spacing w:line="520" w:lineRule="exact"/>
              <w:jc w:val="center"/>
              <w:rPr>
                <w:kern w:val="2"/>
              </w:rPr>
            </w:pPr>
          </w:p>
        </w:tc>
      </w:tr>
      <w:tr w14:paraId="5098730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PrEx>
        <w:trPr>
          <w:trHeight w:val="269" w:hRule="atLeast"/>
          <w:jc w:val="center"/>
        </w:trPr>
        <w:tc>
          <w:tcPr>
            <w:tcW w:w="845" w:type="dxa"/>
            <w:tcBorders>
              <w:tl2br w:val="nil"/>
              <w:tr2bl w:val="nil"/>
            </w:tcBorders>
            <w:vAlign w:val="center"/>
          </w:tcPr>
          <w:p w14:paraId="08A6E0F6">
            <w:pPr>
              <w:widowControl w:val="0"/>
              <w:spacing w:line="520" w:lineRule="exact"/>
              <w:jc w:val="center"/>
              <w:rPr>
                <w:kern w:val="2"/>
              </w:rPr>
            </w:pPr>
            <w:r>
              <w:rPr>
                <w:rFonts w:hint="eastAsia"/>
                <w:kern w:val="2"/>
              </w:rPr>
              <w:t>10</w:t>
            </w:r>
          </w:p>
        </w:tc>
        <w:tc>
          <w:tcPr>
            <w:tcW w:w="2421" w:type="dxa"/>
            <w:tcBorders>
              <w:tl2br w:val="nil"/>
              <w:tr2bl w:val="nil"/>
            </w:tcBorders>
            <w:vAlign w:val="center"/>
          </w:tcPr>
          <w:p w14:paraId="1E84D5C4">
            <w:pPr>
              <w:widowControl w:val="0"/>
              <w:spacing w:line="520" w:lineRule="exact"/>
              <w:rPr>
                <w:kern w:val="2"/>
              </w:rPr>
            </w:pPr>
            <w:r>
              <w:rPr>
                <w:rFonts w:hint="eastAsia"/>
                <w:kern w:val="2"/>
              </w:rPr>
              <w:t>不参与围标串标承诺书</w:t>
            </w:r>
          </w:p>
        </w:tc>
        <w:tc>
          <w:tcPr>
            <w:tcW w:w="5221" w:type="dxa"/>
            <w:tcBorders>
              <w:tl2br w:val="nil"/>
              <w:tr2bl w:val="nil"/>
            </w:tcBorders>
            <w:vAlign w:val="center"/>
          </w:tcPr>
          <w:p w14:paraId="034DB3B5">
            <w:pPr>
              <w:widowControl w:val="0"/>
              <w:spacing w:line="520" w:lineRule="exact"/>
              <w:rPr>
                <w:kern w:val="2"/>
              </w:rPr>
            </w:pPr>
            <w:r>
              <w:rPr>
                <w:rFonts w:hint="eastAsia"/>
                <w:kern w:val="2"/>
              </w:rPr>
              <w:t>提供不参与围标串标承诺书；</w:t>
            </w:r>
          </w:p>
        </w:tc>
        <w:tc>
          <w:tcPr>
            <w:tcW w:w="589" w:type="dxa"/>
            <w:tcBorders>
              <w:tl2br w:val="nil"/>
              <w:tr2bl w:val="nil"/>
            </w:tcBorders>
            <w:vAlign w:val="center"/>
          </w:tcPr>
          <w:p w14:paraId="2AA15938">
            <w:pPr>
              <w:widowControl w:val="0"/>
              <w:spacing w:line="520" w:lineRule="exact"/>
              <w:jc w:val="center"/>
              <w:rPr>
                <w:kern w:val="2"/>
              </w:rPr>
            </w:pPr>
          </w:p>
        </w:tc>
        <w:tc>
          <w:tcPr>
            <w:tcW w:w="589" w:type="dxa"/>
            <w:tcBorders>
              <w:tl2br w:val="nil"/>
              <w:tr2bl w:val="nil"/>
            </w:tcBorders>
            <w:vAlign w:val="center"/>
          </w:tcPr>
          <w:p w14:paraId="4A124316">
            <w:pPr>
              <w:widowControl w:val="0"/>
              <w:spacing w:line="520" w:lineRule="exact"/>
              <w:jc w:val="center"/>
              <w:rPr>
                <w:kern w:val="2"/>
              </w:rPr>
            </w:pPr>
          </w:p>
        </w:tc>
        <w:tc>
          <w:tcPr>
            <w:tcW w:w="529" w:type="dxa"/>
            <w:tcBorders>
              <w:tl2br w:val="nil"/>
              <w:tr2bl w:val="nil"/>
            </w:tcBorders>
            <w:vAlign w:val="center"/>
          </w:tcPr>
          <w:p w14:paraId="5FE639C1">
            <w:pPr>
              <w:widowControl w:val="0"/>
              <w:spacing w:line="520" w:lineRule="exact"/>
              <w:jc w:val="center"/>
              <w:rPr>
                <w:kern w:val="2"/>
              </w:rPr>
            </w:pPr>
          </w:p>
        </w:tc>
      </w:tr>
      <w:tr w14:paraId="21C9767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5" w:type="dxa"/>
            <w:tcBorders>
              <w:tl2br w:val="nil"/>
              <w:tr2bl w:val="nil"/>
            </w:tcBorders>
            <w:vAlign w:val="center"/>
          </w:tcPr>
          <w:p w14:paraId="48AA36D0">
            <w:pPr>
              <w:widowControl w:val="0"/>
              <w:spacing w:line="520" w:lineRule="exact"/>
              <w:jc w:val="center"/>
              <w:rPr>
                <w:kern w:val="2"/>
              </w:rPr>
            </w:pPr>
            <w:r>
              <w:rPr>
                <w:rFonts w:hint="eastAsia"/>
                <w:kern w:val="2"/>
              </w:rPr>
              <w:t>11</w:t>
            </w:r>
          </w:p>
        </w:tc>
        <w:tc>
          <w:tcPr>
            <w:tcW w:w="2421" w:type="dxa"/>
            <w:tcBorders>
              <w:tl2br w:val="nil"/>
              <w:tr2bl w:val="nil"/>
            </w:tcBorders>
            <w:vAlign w:val="center"/>
          </w:tcPr>
          <w:p w14:paraId="0DCA3BDD">
            <w:pPr>
              <w:widowControl w:val="0"/>
              <w:spacing w:after="100" w:afterAutospacing="1" w:line="520" w:lineRule="exact"/>
              <w:jc w:val="both"/>
              <w:rPr>
                <w:kern w:val="2"/>
              </w:rPr>
            </w:pPr>
            <w:r>
              <w:rPr>
                <w:rFonts w:hint="eastAsia"/>
                <w:kern w:val="2"/>
              </w:rPr>
              <w:t>投标保证金</w:t>
            </w:r>
          </w:p>
        </w:tc>
        <w:tc>
          <w:tcPr>
            <w:tcW w:w="5221" w:type="dxa"/>
            <w:tcBorders>
              <w:tl2br w:val="nil"/>
              <w:tr2bl w:val="nil"/>
            </w:tcBorders>
            <w:vAlign w:val="center"/>
          </w:tcPr>
          <w:p w14:paraId="5668B149">
            <w:pPr>
              <w:widowControl w:val="0"/>
              <w:spacing w:after="100" w:afterAutospacing="1" w:line="520" w:lineRule="exact"/>
              <w:jc w:val="both"/>
              <w:rPr>
                <w:kern w:val="2"/>
              </w:rPr>
            </w:pPr>
            <w:r>
              <w:rPr>
                <w:rFonts w:hint="eastAsia"/>
                <w:kern w:val="2"/>
              </w:rPr>
              <w:t>是否按照投标须知要求金额提交了投标保证金，并提供了投标保证金凭证。</w:t>
            </w:r>
          </w:p>
        </w:tc>
        <w:tc>
          <w:tcPr>
            <w:tcW w:w="589" w:type="dxa"/>
            <w:tcBorders>
              <w:tl2br w:val="nil"/>
              <w:tr2bl w:val="nil"/>
            </w:tcBorders>
            <w:vAlign w:val="center"/>
          </w:tcPr>
          <w:p w14:paraId="25E21F26">
            <w:pPr>
              <w:widowControl w:val="0"/>
              <w:spacing w:line="520" w:lineRule="exact"/>
              <w:jc w:val="center"/>
              <w:rPr>
                <w:kern w:val="2"/>
              </w:rPr>
            </w:pPr>
          </w:p>
        </w:tc>
        <w:tc>
          <w:tcPr>
            <w:tcW w:w="589" w:type="dxa"/>
            <w:tcBorders>
              <w:tl2br w:val="nil"/>
              <w:tr2bl w:val="nil"/>
            </w:tcBorders>
            <w:vAlign w:val="center"/>
          </w:tcPr>
          <w:p w14:paraId="4BAADE74">
            <w:pPr>
              <w:widowControl w:val="0"/>
              <w:spacing w:line="520" w:lineRule="exact"/>
              <w:jc w:val="center"/>
              <w:rPr>
                <w:kern w:val="2"/>
              </w:rPr>
            </w:pPr>
          </w:p>
        </w:tc>
        <w:tc>
          <w:tcPr>
            <w:tcW w:w="529" w:type="dxa"/>
            <w:tcBorders>
              <w:tl2br w:val="nil"/>
              <w:tr2bl w:val="nil"/>
            </w:tcBorders>
            <w:vAlign w:val="center"/>
          </w:tcPr>
          <w:p w14:paraId="0E357FFD">
            <w:pPr>
              <w:widowControl w:val="0"/>
              <w:spacing w:line="520" w:lineRule="exact"/>
              <w:jc w:val="center"/>
              <w:rPr>
                <w:kern w:val="2"/>
              </w:rPr>
            </w:pPr>
          </w:p>
        </w:tc>
      </w:tr>
      <w:tr w14:paraId="22168CC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7" w:type="dxa"/>
            <w:gridSpan w:val="3"/>
            <w:tcBorders>
              <w:tl2br w:val="nil"/>
              <w:tr2bl w:val="nil"/>
            </w:tcBorders>
            <w:vAlign w:val="center"/>
          </w:tcPr>
          <w:p w14:paraId="3896DD41">
            <w:pPr>
              <w:widowControl w:val="0"/>
              <w:spacing w:after="100" w:afterAutospacing="1" w:line="520" w:lineRule="exact"/>
              <w:ind w:firstLine="1440" w:firstLineChars="600"/>
              <w:jc w:val="both"/>
              <w:rPr>
                <w:kern w:val="2"/>
              </w:rPr>
            </w:pPr>
            <w:r>
              <w:rPr>
                <w:rFonts w:hint="eastAsia"/>
                <w:kern w:val="2"/>
              </w:rPr>
              <w:t>资格审查结果</w:t>
            </w:r>
          </w:p>
        </w:tc>
        <w:tc>
          <w:tcPr>
            <w:tcW w:w="589" w:type="dxa"/>
            <w:tcBorders>
              <w:tl2br w:val="nil"/>
              <w:tr2bl w:val="nil"/>
            </w:tcBorders>
            <w:vAlign w:val="center"/>
          </w:tcPr>
          <w:p w14:paraId="1E20E3C7">
            <w:pPr>
              <w:widowControl w:val="0"/>
              <w:spacing w:line="520" w:lineRule="exact"/>
              <w:jc w:val="center"/>
              <w:rPr>
                <w:kern w:val="2"/>
              </w:rPr>
            </w:pPr>
          </w:p>
        </w:tc>
        <w:tc>
          <w:tcPr>
            <w:tcW w:w="589" w:type="dxa"/>
            <w:tcBorders>
              <w:tl2br w:val="nil"/>
              <w:tr2bl w:val="nil"/>
            </w:tcBorders>
            <w:vAlign w:val="center"/>
          </w:tcPr>
          <w:p w14:paraId="6BD8787B">
            <w:pPr>
              <w:widowControl w:val="0"/>
              <w:spacing w:line="520" w:lineRule="exact"/>
              <w:jc w:val="center"/>
              <w:rPr>
                <w:kern w:val="2"/>
              </w:rPr>
            </w:pPr>
          </w:p>
        </w:tc>
        <w:tc>
          <w:tcPr>
            <w:tcW w:w="529" w:type="dxa"/>
            <w:tcBorders>
              <w:tl2br w:val="nil"/>
              <w:tr2bl w:val="nil"/>
            </w:tcBorders>
            <w:vAlign w:val="center"/>
          </w:tcPr>
          <w:p w14:paraId="1909D1A9">
            <w:pPr>
              <w:widowControl w:val="0"/>
              <w:spacing w:line="520" w:lineRule="exact"/>
              <w:jc w:val="center"/>
              <w:rPr>
                <w:kern w:val="2"/>
              </w:rPr>
            </w:pPr>
          </w:p>
        </w:tc>
      </w:tr>
      <w:tr w14:paraId="2210433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87" w:type="dxa"/>
            <w:gridSpan w:val="3"/>
            <w:tcBorders>
              <w:tl2br w:val="nil"/>
              <w:tr2bl w:val="nil"/>
            </w:tcBorders>
            <w:vAlign w:val="center"/>
          </w:tcPr>
          <w:p w14:paraId="7BB49F55">
            <w:pPr>
              <w:widowControl w:val="0"/>
              <w:spacing w:after="100" w:afterAutospacing="1" w:line="520" w:lineRule="exact"/>
              <w:ind w:firstLine="1440" w:firstLineChars="600"/>
              <w:jc w:val="both"/>
              <w:rPr>
                <w:kern w:val="2"/>
              </w:rPr>
            </w:pPr>
            <w:r>
              <w:rPr>
                <w:rFonts w:hint="eastAsia"/>
                <w:kern w:val="2"/>
              </w:rPr>
              <w:t>不通过理由说明</w:t>
            </w:r>
          </w:p>
        </w:tc>
        <w:tc>
          <w:tcPr>
            <w:tcW w:w="589" w:type="dxa"/>
            <w:tcBorders>
              <w:tl2br w:val="nil"/>
              <w:tr2bl w:val="nil"/>
            </w:tcBorders>
            <w:vAlign w:val="center"/>
          </w:tcPr>
          <w:p w14:paraId="55018CA2">
            <w:pPr>
              <w:widowControl w:val="0"/>
              <w:spacing w:line="520" w:lineRule="exact"/>
              <w:jc w:val="center"/>
              <w:rPr>
                <w:kern w:val="2"/>
              </w:rPr>
            </w:pPr>
          </w:p>
        </w:tc>
        <w:tc>
          <w:tcPr>
            <w:tcW w:w="589" w:type="dxa"/>
            <w:tcBorders>
              <w:tl2br w:val="nil"/>
              <w:tr2bl w:val="nil"/>
            </w:tcBorders>
            <w:vAlign w:val="center"/>
          </w:tcPr>
          <w:p w14:paraId="020B9655">
            <w:pPr>
              <w:widowControl w:val="0"/>
              <w:spacing w:line="520" w:lineRule="exact"/>
              <w:jc w:val="center"/>
              <w:rPr>
                <w:kern w:val="2"/>
              </w:rPr>
            </w:pPr>
          </w:p>
        </w:tc>
        <w:tc>
          <w:tcPr>
            <w:tcW w:w="529" w:type="dxa"/>
            <w:tcBorders>
              <w:tl2br w:val="nil"/>
              <w:tr2bl w:val="nil"/>
            </w:tcBorders>
            <w:vAlign w:val="center"/>
          </w:tcPr>
          <w:p w14:paraId="559A3330">
            <w:pPr>
              <w:widowControl w:val="0"/>
              <w:spacing w:line="520" w:lineRule="exact"/>
              <w:jc w:val="center"/>
              <w:rPr>
                <w:kern w:val="2"/>
              </w:rPr>
            </w:pPr>
          </w:p>
        </w:tc>
      </w:tr>
    </w:tbl>
    <w:p w14:paraId="01695EDA">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2"/>
        </w:rPr>
        <w:t>审查项目有一项不满足则结论为不合格。</w:t>
      </w:r>
    </w:p>
    <w:p w14:paraId="4F3F7FD4">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rPr>
        <w:t>17.3　已经进行资格预审的，可以不再对供应商资格进行审查，资格预审合格的供应商在评审阶段资格发生变化的，应当通知采购人和采购代理机构。</w:t>
      </w:r>
    </w:p>
    <w:p w14:paraId="620320AC">
      <w:pPr>
        <w:spacing w:line="360" w:lineRule="auto"/>
        <w:rPr>
          <w:rFonts w:asciiTheme="minorEastAsia" w:hAnsiTheme="minorEastAsia" w:eastAsiaTheme="minorEastAsia" w:cstheme="minorEastAsia"/>
        </w:rPr>
      </w:pPr>
    </w:p>
    <w:p w14:paraId="7836CAB3">
      <w:pPr>
        <w:spacing w:line="360" w:lineRule="auto"/>
        <w:ind w:firstLine="643" w:firstLineChars="200"/>
        <w:jc w:val="center"/>
        <w:outlineLvl w:val="1"/>
        <w:rPr>
          <w:rFonts w:asciiTheme="minorEastAsia" w:hAnsiTheme="minorEastAsia" w:eastAsiaTheme="minorEastAsia" w:cstheme="minorEastAsia"/>
          <w:b/>
          <w:bCs/>
          <w:sz w:val="32"/>
        </w:rPr>
      </w:pPr>
      <w:bookmarkStart w:id="16" w:name="_Toc80724658"/>
      <w:r>
        <w:rPr>
          <w:rFonts w:hint="eastAsia" w:asciiTheme="minorEastAsia" w:hAnsiTheme="minorEastAsia" w:eastAsiaTheme="minorEastAsia" w:cstheme="minorEastAsia"/>
          <w:b/>
          <w:bCs/>
          <w:sz w:val="32"/>
        </w:rPr>
        <w:t>第六章 评　标</w:t>
      </w:r>
      <w:bookmarkEnd w:id="16"/>
    </w:p>
    <w:p w14:paraId="554248EE">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18. 评标依据</w:t>
      </w:r>
    </w:p>
    <w:p w14:paraId="01FC9D9B">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18.1　评标的依据为招标文件。</w:t>
      </w:r>
    </w:p>
    <w:p w14:paraId="522BDF3B">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19. 投标文件的澄清</w:t>
      </w:r>
    </w:p>
    <w:p w14:paraId="664E676F">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19.1　为有助于对投标文件进行审查、评估，评标委员会将对认为需要（不是每一个）的投标人进行询标，请投标人澄清其投标内容。投标人有责任按照招标方通知的时间、地点指派专人进行答疑和澄清。询标时投标人代表根据评标委员会要求作书面记录，并对答疑和澄清的内容做出书面答复。</w:t>
      </w:r>
    </w:p>
    <w:p w14:paraId="046211AA">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19.2　答疑和澄清的内容应是书面的，但不得对投标的价格、技术指标和参数等内容进行实质性修改。澄清文件须由投标人法定代表人或其授权代表签字或加盖投标人公章，并作为投标文件的组成部分。</w:t>
      </w:r>
    </w:p>
    <w:p w14:paraId="5A7E2B87">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20. 评标过程的保密</w:t>
      </w:r>
    </w:p>
    <w:p w14:paraId="2B96830A">
      <w:pPr>
        <w:spacing w:line="360" w:lineRule="auto"/>
        <w:ind w:firstLine="480"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rPr>
        <w:t xml:space="preserve">20.1  </w:t>
      </w:r>
      <w:r>
        <w:rPr>
          <w:rFonts w:hint="eastAsia" w:asciiTheme="minorEastAsia" w:hAnsiTheme="minorEastAsia" w:eastAsiaTheme="minorEastAsia" w:cstheme="minorEastAsia"/>
          <w:spacing w:val="-2"/>
        </w:rPr>
        <w:t>开标后，凡是属于审查、澄清、评价的有关资料以及授标建议等，评标委员会成员或参与评标的有关工作人员均不得向投标人或其他无关的人员透露，违者给予警告、取消担任评标委员会成员的资格，不得再参加任何投标项目的评标。</w:t>
      </w:r>
    </w:p>
    <w:p w14:paraId="480AD783">
      <w:pPr>
        <w:spacing w:line="360" w:lineRule="auto"/>
        <w:ind w:firstLine="480"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rPr>
        <w:t xml:space="preserve">20.2 </w:t>
      </w:r>
      <w:r>
        <w:rPr>
          <w:rFonts w:hint="eastAsia" w:asciiTheme="minorEastAsia" w:hAnsiTheme="minorEastAsia" w:eastAsiaTheme="minorEastAsia" w:cstheme="minorEastAsia"/>
          <w:spacing w:val="-2"/>
        </w:rPr>
        <w:t>投标人在评标过程中，所进行的试图影响评标结果的不符合《中华人民共和国政府采购法》</w:t>
      </w:r>
      <w:r>
        <w:rPr>
          <w:rFonts w:hint="eastAsia" w:asciiTheme="minorEastAsia" w:hAnsiTheme="minorEastAsia" w:eastAsiaTheme="minorEastAsia" w:cstheme="minorEastAsia"/>
        </w:rPr>
        <w:t>和相关法律法规</w:t>
      </w:r>
      <w:r>
        <w:rPr>
          <w:rFonts w:hint="eastAsia" w:asciiTheme="minorEastAsia" w:hAnsiTheme="minorEastAsia" w:eastAsiaTheme="minorEastAsia" w:cstheme="minorEastAsia"/>
          <w:spacing w:val="-2"/>
        </w:rPr>
        <w:t>及本次招标有关规定的活动，将被取消中标资格。</w:t>
      </w:r>
    </w:p>
    <w:p w14:paraId="70E59F6B">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21. 初步评审</w:t>
      </w:r>
    </w:p>
    <w:p w14:paraId="5F87EA46">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14:paraId="2654C2F6">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21.2　招标方不接受不符合国家有关部门相关规定的投标报价或优惠方案。</w:t>
      </w:r>
    </w:p>
    <w:p w14:paraId="35C9BDE8">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21.3　在评标过程中，评标委员会发现投标人以他人名义投标、串通投标、以行贿手段谋取中标或者以其他弄虚作假方式投标的，该投标人的投标应作无效标处理。</w:t>
      </w:r>
    </w:p>
    <w:p w14:paraId="23970E7E">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21.4  投标人拒不按照要求对投标文件进行澄清、说明或补正的，评标委员会可以否决其投标。</w:t>
      </w:r>
    </w:p>
    <w:p w14:paraId="0C9AAB93">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21.5  评标委员会应当审查每一投标文件是否对招标文件提出的所有实质性要求和条件做出满足。未能在实质上满足的投标，应作无效标处理。</w:t>
      </w:r>
    </w:p>
    <w:p w14:paraId="1B2D4FE3">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21.6　投标人不得误导、干扰招标方的评标活动，否则将废除其投标。</w:t>
      </w:r>
    </w:p>
    <w:p w14:paraId="0329A778">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21.7  对投标文件满足招标文件条款的审查：</w:t>
      </w:r>
    </w:p>
    <w:p w14:paraId="79242D5B">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（1）开标后，评标委员会将组织对投标文件进行审查，检查投标文件是否完整，是否出现计算性错误，投标文件是否满足招标文件的格式要求；</w:t>
      </w:r>
    </w:p>
    <w:p w14:paraId="243840A6">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评标委员会将确定每一投标人是否对招标文件的要求做出了实质性满足。实质性满足的投标是指符合招标文件的所有条款、条件和规定且没有重大偏离的投标。重大偏离是指影响到招标文件规定的服务范围和质量，或限制了招标人的权力和投标人义务的规定，而纠正这些偏离将影响到其他提交实质性满足的投标人的公平竞争地位；</w:t>
      </w:r>
    </w:p>
    <w:p w14:paraId="25280CE9">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（3）评标委员会判断投标文件的满足性仅基于投标文件本身而不靠外部证据；</w:t>
      </w:r>
    </w:p>
    <w:p w14:paraId="0B0FC451">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（4）评标委员会将拒绝被确定为非实质性满足的投标。投标人不能通过修正或撤消不符合之处而使其投标成为实质性满足的投标。</w:t>
      </w:r>
    </w:p>
    <w:p w14:paraId="3A87C826">
      <w:pPr>
        <w:rPr>
          <w:rFonts w:asciiTheme="minorEastAsia" w:hAnsiTheme="minorEastAsia" w:eastAsiaTheme="minorEastAsia" w:cstheme="minorEastAsia"/>
          <w:b/>
          <w:bCs/>
          <w:spacing w:val="-2"/>
        </w:rPr>
      </w:pPr>
      <w:r>
        <w:rPr>
          <w:rFonts w:hint="eastAsia" w:asciiTheme="minorEastAsia" w:hAnsiTheme="minorEastAsia" w:eastAsiaTheme="minorEastAsia" w:cstheme="minorEastAsia"/>
          <w:b/>
          <w:bCs/>
          <w:spacing w:val="-2"/>
        </w:rPr>
        <w:br w:type="page"/>
      </w:r>
    </w:p>
    <w:p w14:paraId="61577EC4">
      <w:pPr>
        <w:spacing w:line="360" w:lineRule="auto"/>
        <w:jc w:val="center"/>
        <w:rPr>
          <w:rFonts w:asciiTheme="minorEastAsia" w:hAnsiTheme="minorEastAsia" w:eastAsiaTheme="minorEastAsia" w:cstheme="minorEastAsia"/>
          <w:b/>
          <w:bCs/>
          <w:spacing w:val="-2"/>
        </w:rPr>
      </w:pPr>
      <w:r>
        <w:rPr>
          <w:rFonts w:hint="eastAsia" w:asciiTheme="minorEastAsia" w:hAnsiTheme="minorEastAsia" w:eastAsiaTheme="minorEastAsia" w:cstheme="minorEastAsia"/>
          <w:b/>
          <w:bCs/>
          <w:spacing w:val="-2"/>
        </w:rPr>
        <w:t>符合性审查</w:t>
      </w:r>
    </w:p>
    <w:tbl>
      <w:tblPr>
        <w:tblStyle w:val="40"/>
        <w:tblW w:w="9854"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34"/>
        <w:gridCol w:w="486"/>
        <w:gridCol w:w="537"/>
        <w:gridCol w:w="755"/>
        <w:gridCol w:w="597"/>
      </w:tblGrid>
      <w:tr w14:paraId="5304177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vMerge w:val="restart"/>
            <w:tcBorders>
              <w:tl2br w:val="nil"/>
              <w:tr2bl w:val="nil"/>
            </w:tcBorders>
            <w:vAlign w:val="center"/>
          </w:tcPr>
          <w:p w14:paraId="70633815">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评审内容</w:t>
            </w:r>
          </w:p>
        </w:tc>
        <w:tc>
          <w:tcPr>
            <w:tcW w:w="2375" w:type="dxa"/>
            <w:gridSpan w:val="4"/>
            <w:tcBorders>
              <w:tl2br w:val="nil"/>
              <w:tr2bl w:val="nil"/>
            </w:tcBorders>
            <w:vAlign w:val="center"/>
          </w:tcPr>
          <w:p w14:paraId="1D277687">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投标企业名称</w:t>
            </w:r>
          </w:p>
        </w:tc>
      </w:tr>
      <w:tr w14:paraId="5C8309F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vMerge w:val="continue"/>
            <w:tcBorders>
              <w:tl2br w:val="nil"/>
              <w:tr2bl w:val="nil"/>
            </w:tcBorders>
            <w:vAlign w:val="center"/>
          </w:tcPr>
          <w:p w14:paraId="7D9D4A57">
            <w:pPr>
              <w:spacing w:line="360" w:lineRule="auto"/>
              <w:jc w:val="center"/>
              <w:rPr>
                <w:rFonts w:asciiTheme="minorEastAsia" w:hAnsiTheme="minorEastAsia" w:eastAsiaTheme="minorEastAsia" w:cstheme="minorEastAsia"/>
              </w:rPr>
            </w:pPr>
          </w:p>
        </w:tc>
        <w:tc>
          <w:tcPr>
            <w:tcW w:w="486" w:type="dxa"/>
            <w:tcBorders>
              <w:tl2br w:val="nil"/>
              <w:tr2bl w:val="nil"/>
            </w:tcBorders>
            <w:vAlign w:val="center"/>
          </w:tcPr>
          <w:p w14:paraId="37057E47">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1</w:t>
            </w:r>
          </w:p>
        </w:tc>
        <w:tc>
          <w:tcPr>
            <w:tcW w:w="537" w:type="dxa"/>
            <w:tcBorders>
              <w:tl2br w:val="nil"/>
              <w:tr2bl w:val="nil"/>
            </w:tcBorders>
            <w:vAlign w:val="center"/>
          </w:tcPr>
          <w:p w14:paraId="1C089BAB">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2</w:t>
            </w:r>
          </w:p>
        </w:tc>
        <w:tc>
          <w:tcPr>
            <w:tcW w:w="755" w:type="dxa"/>
            <w:tcBorders>
              <w:tl2br w:val="nil"/>
              <w:tr2bl w:val="nil"/>
            </w:tcBorders>
            <w:vAlign w:val="center"/>
          </w:tcPr>
          <w:p w14:paraId="6AE25188">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3</w:t>
            </w:r>
          </w:p>
        </w:tc>
        <w:tc>
          <w:tcPr>
            <w:tcW w:w="597" w:type="dxa"/>
            <w:tcBorders>
              <w:tl2br w:val="nil"/>
              <w:tr2bl w:val="nil"/>
            </w:tcBorders>
            <w:vAlign w:val="center"/>
          </w:tcPr>
          <w:p w14:paraId="0169EA6A">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w:t>
            </w:r>
          </w:p>
        </w:tc>
      </w:tr>
      <w:tr w14:paraId="062E6A9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7D094E67">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834" w:type="dxa"/>
            <w:tcBorders>
              <w:tl2br w:val="nil"/>
              <w:tr2bl w:val="nil"/>
            </w:tcBorders>
            <w:vAlign w:val="center"/>
          </w:tcPr>
          <w:p w14:paraId="1557E28F">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投标函有单位盖章及法定代表人或法定代表人授权的代理人签字或盖章的；</w:t>
            </w:r>
          </w:p>
        </w:tc>
        <w:tc>
          <w:tcPr>
            <w:tcW w:w="486" w:type="dxa"/>
            <w:tcBorders>
              <w:tl2br w:val="nil"/>
              <w:tr2bl w:val="nil"/>
            </w:tcBorders>
            <w:vAlign w:val="center"/>
          </w:tcPr>
          <w:p w14:paraId="530753C2">
            <w:pPr>
              <w:spacing w:line="360" w:lineRule="auto"/>
              <w:jc w:val="center"/>
              <w:rPr>
                <w:rFonts w:asciiTheme="minorEastAsia" w:hAnsiTheme="minorEastAsia" w:eastAsiaTheme="minorEastAsia" w:cstheme="minorEastAsia"/>
              </w:rPr>
            </w:pPr>
          </w:p>
        </w:tc>
        <w:tc>
          <w:tcPr>
            <w:tcW w:w="537" w:type="dxa"/>
            <w:tcBorders>
              <w:tl2br w:val="nil"/>
              <w:tr2bl w:val="nil"/>
            </w:tcBorders>
            <w:vAlign w:val="center"/>
          </w:tcPr>
          <w:p w14:paraId="4E54E257">
            <w:pPr>
              <w:spacing w:line="360" w:lineRule="auto"/>
              <w:jc w:val="center"/>
              <w:rPr>
                <w:rFonts w:asciiTheme="minorEastAsia" w:hAnsiTheme="minorEastAsia" w:eastAsiaTheme="minorEastAsia" w:cstheme="minorEastAsia"/>
              </w:rPr>
            </w:pPr>
          </w:p>
        </w:tc>
        <w:tc>
          <w:tcPr>
            <w:tcW w:w="755" w:type="dxa"/>
            <w:tcBorders>
              <w:tl2br w:val="nil"/>
              <w:tr2bl w:val="nil"/>
            </w:tcBorders>
            <w:vAlign w:val="center"/>
          </w:tcPr>
          <w:p w14:paraId="37363682">
            <w:pPr>
              <w:spacing w:line="360" w:lineRule="auto"/>
              <w:jc w:val="center"/>
              <w:rPr>
                <w:rFonts w:asciiTheme="minorEastAsia" w:hAnsiTheme="minorEastAsia" w:eastAsiaTheme="minorEastAsia" w:cstheme="minorEastAsia"/>
              </w:rPr>
            </w:pPr>
          </w:p>
        </w:tc>
        <w:tc>
          <w:tcPr>
            <w:tcW w:w="597" w:type="dxa"/>
            <w:tcBorders>
              <w:tl2br w:val="nil"/>
              <w:tr2bl w:val="nil"/>
            </w:tcBorders>
            <w:vAlign w:val="center"/>
          </w:tcPr>
          <w:p w14:paraId="6BC0D23D">
            <w:pPr>
              <w:spacing w:line="360" w:lineRule="auto"/>
              <w:jc w:val="center"/>
              <w:rPr>
                <w:rFonts w:asciiTheme="minorEastAsia" w:hAnsiTheme="minorEastAsia" w:eastAsiaTheme="minorEastAsia" w:cstheme="minorEastAsia"/>
              </w:rPr>
            </w:pPr>
          </w:p>
        </w:tc>
      </w:tr>
      <w:tr w14:paraId="668408D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FCBE177">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6834" w:type="dxa"/>
            <w:tcBorders>
              <w:tl2br w:val="nil"/>
              <w:tr2bl w:val="nil"/>
            </w:tcBorders>
            <w:vAlign w:val="center"/>
          </w:tcPr>
          <w:p w14:paraId="2CED39A0">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投标有效期是否满足招标文件要求的；</w:t>
            </w:r>
          </w:p>
        </w:tc>
        <w:tc>
          <w:tcPr>
            <w:tcW w:w="486" w:type="dxa"/>
            <w:tcBorders>
              <w:tl2br w:val="nil"/>
              <w:tr2bl w:val="nil"/>
            </w:tcBorders>
            <w:vAlign w:val="center"/>
          </w:tcPr>
          <w:p w14:paraId="5CD4BA52">
            <w:pPr>
              <w:spacing w:line="360" w:lineRule="auto"/>
              <w:jc w:val="center"/>
              <w:rPr>
                <w:rFonts w:asciiTheme="minorEastAsia" w:hAnsiTheme="minorEastAsia" w:eastAsiaTheme="minorEastAsia" w:cstheme="minorEastAsia"/>
              </w:rPr>
            </w:pPr>
          </w:p>
        </w:tc>
        <w:tc>
          <w:tcPr>
            <w:tcW w:w="537" w:type="dxa"/>
            <w:tcBorders>
              <w:tl2br w:val="nil"/>
              <w:tr2bl w:val="nil"/>
            </w:tcBorders>
            <w:vAlign w:val="center"/>
          </w:tcPr>
          <w:p w14:paraId="47FDC40B">
            <w:pPr>
              <w:spacing w:line="360" w:lineRule="auto"/>
              <w:jc w:val="center"/>
              <w:rPr>
                <w:rFonts w:asciiTheme="minorEastAsia" w:hAnsiTheme="minorEastAsia" w:eastAsiaTheme="minorEastAsia" w:cstheme="minorEastAsia"/>
              </w:rPr>
            </w:pPr>
          </w:p>
        </w:tc>
        <w:tc>
          <w:tcPr>
            <w:tcW w:w="755" w:type="dxa"/>
            <w:tcBorders>
              <w:tl2br w:val="nil"/>
              <w:tr2bl w:val="nil"/>
            </w:tcBorders>
            <w:vAlign w:val="center"/>
          </w:tcPr>
          <w:p w14:paraId="52DADCDB">
            <w:pPr>
              <w:spacing w:line="360" w:lineRule="auto"/>
              <w:jc w:val="center"/>
              <w:rPr>
                <w:rFonts w:asciiTheme="minorEastAsia" w:hAnsiTheme="minorEastAsia" w:eastAsiaTheme="minorEastAsia" w:cstheme="minorEastAsia"/>
              </w:rPr>
            </w:pPr>
          </w:p>
        </w:tc>
        <w:tc>
          <w:tcPr>
            <w:tcW w:w="597" w:type="dxa"/>
            <w:tcBorders>
              <w:tl2br w:val="nil"/>
              <w:tr2bl w:val="nil"/>
            </w:tcBorders>
            <w:vAlign w:val="center"/>
          </w:tcPr>
          <w:p w14:paraId="612542A0">
            <w:pPr>
              <w:spacing w:line="360" w:lineRule="auto"/>
              <w:jc w:val="center"/>
              <w:rPr>
                <w:rFonts w:asciiTheme="minorEastAsia" w:hAnsiTheme="minorEastAsia" w:eastAsiaTheme="minorEastAsia" w:cstheme="minorEastAsia"/>
              </w:rPr>
            </w:pPr>
          </w:p>
        </w:tc>
      </w:tr>
      <w:tr w14:paraId="1C4A05C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PrEx>
        <w:trPr>
          <w:trHeight w:val="454" w:hRule="atLeast"/>
          <w:jc w:val="center"/>
        </w:trPr>
        <w:tc>
          <w:tcPr>
            <w:tcW w:w="645" w:type="dxa"/>
            <w:tcBorders>
              <w:tl2br w:val="nil"/>
              <w:tr2bl w:val="nil"/>
            </w:tcBorders>
            <w:vAlign w:val="center"/>
          </w:tcPr>
          <w:p w14:paraId="0D32515F">
            <w:pPr>
              <w:spacing w:line="360" w:lineRule="auto"/>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6834" w:type="dxa"/>
            <w:tcBorders>
              <w:tl2br w:val="nil"/>
              <w:tr2bl w:val="nil"/>
            </w:tcBorders>
            <w:vAlign w:val="center"/>
          </w:tcPr>
          <w:p w14:paraId="2D244198">
            <w:pPr>
              <w:rPr>
                <w:rFonts w:asciiTheme="minorEastAsia" w:hAnsiTheme="minorEastAsia" w:eastAsiaTheme="minorEastAsia" w:cstheme="minorEastAsia"/>
              </w:rPr>
            </w:pPr>
            <w:r>
              <w:rPr>
                <w:rFonts w:hint="eastAsia" w:asciiTheme="minorEastAsia" w:hAnsiTheme="minorEastAsia" w:eastAsiaTheme="minorEastAsia" w:cstheme="minorEastAsia"/>
              </w:rPr>
              <w:t>投标文件载明的招标项目服务期限未超过招标文件规定的期限；</w:t>
            </w:r>
          </w:p>
        </w:tc>
        <w:tc>
          <w:tcPr>
            <w:tcW w:w="486" w:type="dxa"/>
            <w:tcBorders>
              <w:tl2br w:val="nil"/>
              <w:tr2bl w:val="nil"/>
            </w:tcBorders>
            <w:vAlign w:val="center"/>
          </w:tcPr>
          <w:p w14:paraId="40917B5D">
            <w:pPr>
              <w:spacing w:line="360" w:lineRule="auto"/>
              <w:jc w:val="center"/>
              <w:rPr>
                <w:rFonts w:asciiTheme="minorEastAsia" w:hAnsiTheme="minorEastAsia" w:eastAsiaTheme="minorEastAsia" w:cstheme="minorEastAsia"/>
              </w:rPr>
            </w:pPr>
          </w:p>
        </w:tc>
        <w:tc>
          <w:tcPr>
            <w:tcW w:w="537" w:type="dxa"/>
            <w:tcBorders>
              <w:tl2br w:val="nil"/>
              <w:tr2bl w:val="nil"/>
            </w:tcBorders>
            <w:vAlign w:val="center"/>
          </w:tcPr>
          <w:p w14:paraId="70CB9366">
            <w:pPr>
              <w:spacing w:line="360" w:lineRule="auto"/>
              <w:jc w:val="center"/>
              <w:rPr>
                <w:rFonts w:asciiTheme="minorEastAsia" w:hAnsiTheme="minorEastAsia" w:eastAsiaTheme="minorEastAsia" w:cstheme="minorEastAsia"/>
              </w:rPr>
            </w:pPr>
          </w:p>
        </w:tc>
        <w:tc>
          <w:tcPr>
            <w:tcW w:w="755" w:type="dxa"/>
            <w:tcBorders>
              <w:tl2br w:val="nil"/>
              <w:tr2bl w:val="nil"/>
            </w:tcBorders>
            <w:vAlign w:val="center"/>
          </w:tcPr>
          <w:p w14:paraId="53679EF6">
            <w:pPr>
              <w:spacing w:line="360" w:lineRule="auto"/>
              <w:jc w:val="center"/>
              <w:rPr>
                <w:rFonts w:asciiTheme="minorEastAsia" w:hAnsiTheme="minorEastAsia" w:eastAsiaTheme="minorEastAsia" w:cstheme="minorEastAsia"/>
              </w:rPr>
            </w:pPr>
          </w:p>
        </w:tc>
        <w:tc>
          <w:tcPr>
            <w:tcW w:w="597" w:type="dxa"/>
            <w:tcBorders>
              <w:tl2br w:val="nil"/>
              <w:tr2bl w:val="nil"/>
            </w:tcBorders>
            <w:vAlign w:val="center"/>
          </w:tcPr>
          <w:p w14:paraId="1FA54360">
            <w:pPr>
              <w:spacing w:line="360" w:lineRule="auto"/>
              <w:jc w:val="center"/>
              <w:rPr>
                <w:rFonts w:asciiTheme="minorEastAsia" w:hAnsiTheme="minorEastAsia" w:eastAsiaTheme="minorEastAsia" w:cstheme="minorEastAsia"/>
              </w:rPr>
            </w:pPr>
          </w:p>
        </w:tc>
      </w:tr>
      <w:tr w14:paraId="6809777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3D982F2C">
            <w:pPr>
              <w:spacing w:line="360" w:lineRule="auto"/>
              <w:jc w:val="center"/>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4</w:t>
            </w:r>
          </w:p>
        </w:tc>
        <w:tc>
          <w:tcPr>
            <w:tcW w:w="6834" w:type="dxa"/>
            <w:tcBorders>
              <w:tl2br w:val="nil"/>
              <w:tr2bl w:val="nil"/>
            </w:tcBorders>
            <w:vAlign w:val="center"/>
          </w:tcPr>
          <w:p w14:paraId="7772666D">
            <w:pPr>
              <w:rPr>
                <w:rFonts w:asciiTheme="minorEastAsia" w:hAnsiTheme="minorEastAsia" w:eastAsiaTheme="minorEastAsia" w:cstheme="minorEastAsia"/>
              </w:rPr>
            </w:pPr>
            <w:r>
              <w:rPr>
                <w:rFonts w:hint="eastAsia" w:asciiTheme="minorEastAsia" w:hAnsiTheme="minorEastAsia" w:eastAsiaTheme="minorEastAsia" w:cstheme="minorEastAsia"/>
              </w:rPr>
              <w:t>投标人概况必须按招标文件规定格式完整提供；</w:t>
            </w:r>
          </w:p>
        </w:tc>
        <w:tc>
          <w:tcPr>
            <w:tcW w:w="486" w:type="dxa"/>
            <w:tcBorders>
              <w:tl2br w:val="nil"/>
              <w:tr2bl w:val="nil"/>
            </w:tcBorders>
            <w:vAlign w:val="center"/>
          </w:tcPr>
          <w:p w14:paraId="12CD605A">
            <w:pPr>
              <w:spacing w:line="360" w:lineRule="auto"/>
              <w:jc w:val="center"/>
              <w:rPr>
                <w:rFonts w:asciiTheme="minorEastAsia" w:hAnsiTheme="minorEastAsia" w:eastAsiaTheme="minorEastAsia" w:cstheme="minorEastAsia"/>
              </w:rPr>
            </w:pPr>
          </w:p>
        </w:tc>
        <w:tc>
          <w:tcPr>
            <w:tcW w:w="537" w:type="dxa"/>
            <w:tcBorders>
              <w:tl2br w:val="nil"/>
              <w:tr2bl w:val="nil"/>
            </w:tcBorders>
            <w:vAlign w:val="center"/>
          </w:tcPr>
          <w:p w14:paraId="21B5744C">
            <w:pPr>
              <w:spacing w:line="360" w:lineRule="auto"/>
              <w:jc w:val="center"/>
              <w:rPr>
                <w:rFonts w:asciiTheme="minorEastAsia" w:hAnsiTheme="minorEastAsia" w:eastAsiaTheme="minorEastAsia" w:cstheme="minorEastAsia"/>
              </w:rPr>
            </w:pPr>
          </w:p>
        </w:tc>
        <w:tc>
          <w:tcPr>
            <w:tcW w:w="755" w:type="dxa"/>
            <w:tcBorders>
              <w:tl2br w:val="nil"/>
              <w:tr2bl w:val="nil"/>
            </w:tcBorders>
            <w:vAlign w:val="center"/>
          </w:tcPr>
          <w:p w14:paraId="6BBCF9E4">
            <w:pPr>
              <w:spacing w:line="360" w:lineRule="auto"/>
              <w:jc w:val="center"/>
              <w:rPr>
                <w:rFonts w:asciiTheme="minorEastAsia" w:hAnsiTheme="minorEastAsia" w:eastAsiaTheme="minorEastAsia" w:cstheme="minorEastAsia"/>
              </w:rPr>
            </w:pPr>
          </w:p>
        </w:tc>
        <w:tc>
          <w:tcPr>
            <w:tcW w:w="597" w:type="dxa"/>
            <w:tcBorders>
              <w:tl2br w:val="nil"/>
              <w:tr2bl w:val="nil"/>
            </w:tcBorders>
            <w:vAlign w:val="center"/>
          </w:tcPr>
          <w:p w14:paraId="69C301D8">
            <w:pPr>
              <w:spacing w:line="360" w:lineRule="auto"/>
              <w:jc w:val="center"/>
              <w:rPr>
                <w:rFonts w:asciiTheme="minorEastAsia" w:hAnsiTheme="minorEastAsia" w:eastAsiaTheme="minorEastAsia" w:cstheme="minorEastAsia"/>
              </w:rPr>
            </w:pPr>
          </w:p>
        </w:tc>
      </w:tr>
      <w:tr w14:paraId="336A140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0CD63FC8">
            <w:pPr>
              <w:spacing w:line="360" w:lineRule="auto"/>
              <w:jc w:val="center"/>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5</w:t>
            </w:r>
          </w:p>
        </w:tc>
        <w:tc>
          <w:tcPr>
            <w:tcW w:w="6834" w:type="dxa"/>
            <w:tcBorders>
              <w:tl2br w:val="nil"/>
              <w:tr2bl w:val="nil"/>
            </w:tcBorders>
            <w:vAlign w:val="center"/>
          </w:tcPr>
          <w:p w14:paraId="180FCEFD">
            <w:pPr>
              <w:spacing w:line="360" w:lineRule="auto"/>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rPr>
              <w:t>投标文件是否按照要求签署、盖章；</w:t>
            </w:r>
          </w:p>
        </w:tc>
        <w:tc>
          <w:tcPr>
            <w:tcW w:w="486" w:type="dxa"/>
            <w:tcBorders>
              <w:tl2br w:val="nil"/>
              <w:tr2bl w:val="nil"/>
            </w:tcBorders>
            <w:vAlign w:val="center"/>
          </w:tcPr>
          <w:p w14:paraId="37F7AEBB">
            <w:pPr>
              <w:spacing w:line="360" w:lineRule="auto"/>
              <w:jc w:val="center"/>
              <w:rPr>
                <w:rFonts w:asciiTheme="minorEastAsia" w:hAnsiTheme="minorEastAsia" w:eastAsiaTheme="minorEastAsia" w:cstheme="minorEastAsia"/>
              </w:rPr>
            </w:pPr>
          </w:p>
        </w:tc>
        <w:tc>
          <w:tcPr>
            <w:tcW w:w="537" w:type="dxa"/>
            <w:tcBorders>
              <w:tl2br w:val="nil"/>
              <w:tr2bl w:val="nil"/>
            </w:tcBorders>
            <w:vAlign w:val="center"/>
          </w:tcPr>
          <w:p w14:paraId="0F5FE3FD">
            <w:pPr>
              <w:spacing w:line="360" w:lineRule="auto"/>
              <w:jc w:val="center"/>
              <w:rPr>
                <w:rFonts w:asciiTheme="minorEastAsia" w:hAnsiTheme="minorEastAsia" w:eastAsiaTheme="minorEastAsia" w:cstheme="minorEastAsia"/>
              </w:rPr>
            </w:pPr>
          </w:p>
        </w:tc>
        <w:tc>
          <w:tcPr>
            <w:tcW w:w="755" w:type="dxa"/>
            <w:tcBorders>
              <w:tl2br w:val="nil"/>
              <w:tr2bl w:val="nil"/>
            </w:tcBorders>
            <w:vAlign w:val="center"/>
          </w:tcPr>
          <w:p w14:paraId="3329D881">
            <w:pPr>
              <w:spacing w:line="360" w:lineRule="auto"/>
              <w:jc w:val="center"/>
              <w:rPr>
                <w:rFonts w:asciiTheme="minorEastAsia" w:hAnsiTheme="minorEastAsia" w:eastAsiaTheme="minorEastAsia" w:cstheme="minorEastAsia"/>
              </w:rPr>
            </w:pPr>
          </w:p>
        </w:tc>
        <w:tc>
          <w:tcPr>
            <w:tcW w:w="597" w:type="dxa"/>
            <w:tcBorders>
              <w:tl2br w:val="nil"/>
              <w:tr2bl w:val="nil"/>
            </w:tcBorders>
            <w:vAlign w:val="center"/>
          </w:tcPr>
          <w:p w14:paraId="786D61A5">
            <w:pPr>
              <w:spacing w:line="360" w:lineRule="auto"/>
              <w:jc w:val="center"/>
              <w:rPr>
                <w:rFonts w:asciiTheme="minorEastAsia" w:hAnsiTheme="minorEastAsia" w:eastAsiaTheme="minorEastAsia" w:cstheme="minorEastAsia"/>
              </w:rPr>
            </w:pPr>
          </w:p>
        </w:tc>
      </w:tr>
      <w:tr w14:paraId="493BAC68">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16BBADF4">
            <w:pPr>
              <w:spacing w:line="360" w:lineRule="auto"/>
              <w:jc w:val="center"/>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w:t>
            </w:r>
          </w:p>
        </w:tc>
        <w:tc>
          <w:tcPr>
            <w:tcW w:w="6834" w:type="dxa"/>
            <w:tcBorders>
              <w:tl2br w:val="nil"/>
              <w:tr2bl w:val="nil"/>
            </w:tcBorders>
            <w:vAlign w:val="center"/>
          </w:tcPr>
          <w:p w14:paraId="6481EA3E">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投标报价是否在采购预算或最高限价以内；</w:t>
            </w:r>
          </w:p>
        </w:tc>
        <w:tc>
          <w:tcPr>
            <w:tcW w:w="486" w:type="dxa"/>
            <w:tcBorders>
              <w:tl2br w:val="nil"/>
              <w:tr2bl w:val="nil"/>
            </w:tcBorders>
            <w:vAlign w:val="center"/>
          </w:tcPr>
          <w:p w14:paraId="3D7A978C">
            <w:pPr>
              <w:spacing w:line="360" w:lineRule="auto"/>
              <w:jc w:val="center"/>
              <w:rPr>
                <w:rFonts w:asciiTheme="minorEastAsia" w:hAnsiTheme="minorEastAsia" w:eastAsiaTheme="minorEastAsia" w:cstheme="minorEastAsia"/>
              </w:rPr>
            </w:pPr>
          </w:p>
        </w:tc>
        <w:tc>
          <w:tcPr>
            <w:tcW w:w="537" w:type="dxa"/>
            <w:tcBorders>
              <w:tl2br w:val="nil"/>
              <w:tr2bl w:val="nil"/>
            </w:tcBorders>
            <w:vAlign w:val="center"/>
          </w:tcPr>
          <w:p w14:paraId="2D032CBC">
            <w:pPr>
              <w:spacing w:line="360" w:lineRule="auto"/>
              <w:jc w:val="center"/>
              <w:rPr>
                <w:rFonts w:asciiTheme="minorEastAsia" w:hAnsiTheme="minorEastAsia" w:eastAsiaTheme="minorEastAsia" w:cstheme="minorEastAsia"/>
              </w:rPr>
            </w:pPr>
          </w:p>
        </w:tc>
        <w:tc>
          <w:tcPr>
            <w:tcW w:w="755" w:type="dxa"/>
            <w:tcBorders>
              <w:tl2br w:val="nil"/>
              <w:tr2bl w:val="nil"/>
            </w:tcBorders>
            <w:vAlign w:val="center"/>
          </w:tcPr>
          <w:p w14:paraId="419D2D35">
            <w:pPr>
              <w:spacing w:line="360" w:lineRule="auto"/>
              <w:jc w:val="center"/>
              <w:rPr>
                <w:rFonts w:asciiTheme="minorEastAsia" w:hAnsiTheme="minorEastAsia" w:eastAsiaTheme="minorEastAsia" w:cstheme="minorEastAsia"/>
              </w:rPr>
            </w:pPr>
          </w:p>
        </w:tc>
        <w:tc>
          <w:tcPr>
            <w:tcW w:w="597" w:type="dxa"/>
            <w:tcBorders>
              <w:tl2br w:val="nil"/>
              <w:tr2bl w:val="nil"/>
            </w:tcBorders>
            <w:vAlign w:val="center"/>
          </w:tcPr>
          <w:p w14:paraId="25CB92FE">
            <w:pPr>
              <w:spacing w:line="360" w:lineRule="auto"/>
              <w:jc w:val="center"/>
              <w:rPr>
                <w:rFonts w:asciiTheme="minorEastAsia" w:hAnsiTheme="minorEastAsia" w:eastAsiaTheme="minorEastAsia" w:cstheme="minorEastAsia"/>
              </w:rPr>
            </w:pPr>
          </w:p>
        </w:tc>
      </w:tr>
      <w:tr w14:paraId="445D06F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3A739670">
            <w:pPr>
              <w:spacing w:line="360" w:lineRule="auto"/>
              <w:jc w:val="center"/>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7</w:t>
            </w:r>
          </w:p>
        </w:tc>
        <w:tc>
          <w:tcPr>
            <w:tcW w:w="6834" w:type="dxa"/>
            <w:tcBorders>
              <w:tl2br w:val="nil"/>
              <w:tr2bl w:val="nil"/>
            </w:tcBorders>
            <w:vAlign w:val="center"/>
          </w:tcPr>
          <w:p w14:paraId="1B513679">
            <w:pPr>
              <w:rPr>
                <w:rFonts w:asciiTheme="minorEastAsia" w:hAnsiTheme="minorEastAsia" w:eastAsiaTheme="minorEastAsia" w:cstheme="minorEastAsia"/>
              </w:rPr>
            </w:pPr>
            <w:r>
              <w:rPr>
                <w:rFonts w:hint="eastAsia" w:asciiTheme="minorEastAsia" w:hAnsiTheme="minorEastAsia" w:eastAsiaTheme="minorEastAsia" w:cstheme="minorEastAsia"/>
              </w:rPr>
              <w:t>投标文件含有采购人不能接受的附加条件；</w:t>
            </w:r>
          </w:p>
        </w:tc>
        <w:tc>
          <w:tcPr>
            <w:tcW w:w="486" w:type="dxa"/>
            <w:tcBorders>
              <w:tl2br w:val="nil"/>
              <w:tr2bl w:val="nil"/>
            </w:tcBorders>
            <w:vAlign w:val="center"/>
          </w:tcPr>
          <w:p w14:paraId="44090E87">
            <w:pPr>
              <w:shd w:val="clear" w:color="auto" w:fill="FAFAFA"/>
              <w:spacing w:line="360" w:lineRule="auto"/>
              <w:jc w:val="center"/>
              <w:rPr>
                <w:rFonts w:asciiTheme="minorEastAsia" w:hAnsiTheme="minorEastAsia" w:eastAsiaTheme="minorEastAsia" w:cstheme="minorEastAsia"/>
              </w:rPr>
            </w:pPr>
          </w:p>
        </w:tc>
        <w:tc>
          <w:tcPr>
            <w:tcW w:w="537" w:type="dxa"/>
            <w:tcBorders>
              <w:tl2br w:val="nil"/>
              <w:tr2bl w:val="nil"/>
            </w:tcBorders>
            <w:vAlign w:val="center"/>
          </w:tcPr>
          <w:p w14:paraId="7E84D6E4">
            <w:pPr>
              <w:spacing w:line="360" w:lineRule="auto"/>
              <w:jc w:val="center"/>
              <w:rPr>
                <w:rFonts w:asciiTheme="minorEastAsia" w:hAnsiTheme="minorEastAsia" w:eastAsiaTheme="minorEastAsia" w:cstheme="minorEastAsia"/>
              </w:rPr>
            </w:pPr>
          </w:p>
        </w:tc>
        <w:tc>
          <w:tcPr>
            <w:tcW w:w="755" w:type="dxa"/>
            <w:tcBorders>
              <w:tl2br w:val="nil"/>
              <w:tr2bl w:val="nil"/>
            </w:tcBorders>
            <w:vAlign w:val="center"/>
          </w:tcPr>
          <w:p w14:paraId="1EFB7858">
            <w:pPr>
              <w:spacing w:line="360" w:lineRule="auto"/>
              <w:jc w:val="center"/>
              <w:rPr>
                <w:rFonts w:asciiTheme="minorEastAsia" w:hAnsiTheme="minorEastAsia" w:eastAsiaTheme="minorEastAsia" w:cstheme="minorEastAsia"/>
              </w:rPr>
            </w:pPr>
          </w:p>
        </w:tc>
        <w:tc>
          <w:tcPr>
            <w:tcW w:w="597" w:type="dxa"/>
            <w:tcBorders>
              <w:tl2br w:val="nil"/>
              <w:tr2bl w:val="nil"/>
            </w:tcBorders>
            <w:vAlign w:val="center"/>
          </w:tcPr>
          <w:p w14:paraId="4D6C2140">
            <w:pPr>
              <w:spacing w:line="360" w:lineRule="auto"/>
              <w:jc w:val="center"/>
              <w:rPr>
                <w:rFonts w:asciiTheme="minorEastAsia" w:hAnsiTheme="minorEastAsia" w:eastAsiaTheme="minorEastAsia" w:cstheme="minorEastAsia"/>
              </w:rPr>
            </w:pPr>
          </w:p>
        </w:tc>
      </w:tr>
      <w:tr w14:paraId="673AA6BA">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07D8FED6">
            <w:pPr>
              <w:spacing w:line="360" w:lineRule="auto"/>
              <w:jc w:val="center"/>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8</w:t>
            </w:r>
          </w:p>
        </w:tc>
        <w:tc>
          <w:tcPr>
            <w:tcW w:w="6834" w:type="dxa"/>
            <w:tcBorders>
              <w:tl2br w:val="nil"/>
              <w:tr2bl w:val="nil"/>
            </w:tcBorders>
            <w:vAlign w:val="center"/>
          </w:tcPr>
          <w:p w14:paraId="2C8BF8EB">
            <w:pPr>
              <w:rPr>
                <w:rFonts w:asciiTheme="minorEastAsia" w:hAnsiTheme="minorEastAsia" w:eastAsiaTheme="minorEastAsia" w:cstheme="minorEastAsia"/>
              </w:rPr>
            </w:pPr>
            <w:r>
              <w:rPr>
                <w:rFonts w:hint="eastAsia" w:asciiTheme="minorEastAsia" w:hAnsiTheme="minorEastAsia" w:eastAsiaTheme="minorEastAsia" w:cstheme="minorEastAsia"/>
              </w:rPr>
              <w:t>不符合法律、法规和招标文件中规定的其他实质性要求。</w:t>
            </w:r>
          </w:p>
        </w:tc>
        <w:tc>
          <w:tcPr>
            <w:tcW w:w="486" w:type="dxa"/>
            <w:tcBorders>
              <w:tl2br w:val="nil"/>
              <w:tr2bl w:val="nil"/>
            </w:tcBorders>
            <w:vAlign w:val="center"/>
          </w:tcPr>
          <w:p w14:paraId="53E3457E">
            <w:pPr>
              <w:shd w:val="clear" w:color="auto" w:fill="FAFAFA"/>
              <w:spacing w:line="360" w:lineRule="auto"/>
              <w:jc w:val="center"/>
              <w:rPr>
                <w:rFonts w:asciiTheme="minorEastAsia" w:hAnsiTheme="minorEastAsia" w:eastAsiaTheme="minorEastAsia" w:cstheme="minorEastAsia"/>
              </w:rPr>
            </w:pPr>
          </w:p>
        </w:tc>
        <w:tc>
          <w:tcPr>
            <w:tcW w:w="537" w:type="dxa"/>
            <w:tcBorders>
              <w:tl2br w:val="nil"/>
              <w:tr2bl w:val="nil"/>
            </w:tcBorders>
            <w:vAlign w:val="center"/>
          </w:tcPr>
          <w:p w14:paraId="0A50EA67">
            <w:pPr>
              <w:spacing w:line="360" w:lineRule="auto"/>
              <w:jc w:val="center"/>
              <w:rPr>
                <w:rFonts w:asciiTheme="minorEastAsia" w:hAnsiTheme="minorEastAsia" w:eastAsiaTheme="minorEastAsia" w:cstheme="minorEastAsia"/>
              </w:rPr>
            </w:pPr>
          </w:p>
        </w:tc>
        <w:tc>
          <w:tcPr>
            <w:tcW w:w="755" w:type="dxa"/>
            <w:tcBorders>
              <w:tl2br w:val="nil"/>
              <w:tr2bl w:val="nil"/>
            </w:tcBorders>
            <w:vAlign w:val="center"/>
          </w:tcPr>
          <w:p w14:paraId="564DA77C">
            <w:pPr>
              <w:spacing w:line="360" w:lineRule="auto"/>
              <w:jc w:val="center"/>
              <w:rPr>
                <w:rFonts w:asciiTheme="minorEastAsia" w:hAnsiTheme="minorEastAsia" w:eastAsiaTheme="minorEastAsia" w:cstheme="minorEastAsia"/>
              </w:rPr>
            </w:pPr>
          </w:p>
        </w:tc>
        <w:tc>
          <w:tcPr>
            <w:tcW w:w="597" w:type="dxa"/>
            <w:tcBorders>
              <w:tl2br w:val="nil"/>
              <w:tr2bl w:val="nil"/>
            </w:tcBorders>
            <w:vAlign w:val="center"/>
          </w:tcPr>
          <w:p w14:paraId="1739B0F2">
            <w:pPr>
              <w:spacing w:line="360" w:lineRule="auto"/>
              <w:jc w:val="center"/>
              <w:rPr>
                <w:rFonts w:asciiTheme="minorEastAsia" w:hAnsiTheme="minorEastAsia" w:eastAsiaTheme="minorEastAsia" w:cstheme="minorEastAsia"/>
              </w:rPr>
            </w:pPr>
          </w:p>
        </w:tc>
      </w:tr>
      <w:tr w14:paraId="1EF5A47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tcBorders>
              <w:tl2br w:val="nil"/>
              <w:tr2bl w:val="nil"/>
            </w:tcBorders>
            <w:vAlign w:val="center"/>
          </w:tcPr>
          <w:p w14:paraId="29B1D611">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审查结果</w:t>
            </w:r>
          </w:p>
        </w:tc>
        <w:tc>
          <w:tcPr>
            <w:tcW w:w="486" w:type="dxa"/>
            <w:tcBorders>
              <w:tl2br w:val="nil"/>
              <w:tr2bl w:val="nil"/>
            </w:tcBorders>
            <w:vAlign w:val="center"/>
          </w:tcPr>
          <w:p w14:paraId="4FCEE5A8">
            <w:pPr>
              <w:spacing w:line="360" w:lineRule="auto"/>
              <w:jc w:val="center"/>
              <w:rPr>
                <w:rFonts w:asciiTheme="minorEastAsia" w:hAnsiTheme="minorEastAsia" w:eastAsiaTheme="minorEastAsia" w:cstheme="minorEastAsia"/>
              </w:rPr>
            </w:pPr>
          </w:p>
        </w:tc>
        <w:tc>
          <w:tcPr>
            <w:tcW w:w="537" w:type="dxa"/>
            <w:tcBorders>
              <w:tl2br w:val="nil"/>
              <w:tr2bl w:val="nil"/>
            </w:tcBorders>
            <w:vAlign w:val="center"/>
          </w:tcPr>
          <w:p w14:paraId="6D1C0DB4">
            <w:pPr>
              <w:spacing w:line="360" w:lineRule="auto"/>
              <w:jc w:val="center"/>
              <w:rPr>
                <w:rFonts w:asciiTheme="minorEastAsia" w:hAnsiTheme="minorEastAsia" w:eastAsiaTheme="minorEastAsia" w:cstheme="minorEastAsia"/>
              </w:rPr>
            </w:pPr>
          </w:p>
        </w:tc>
        <w:tc>
          <w:tcPr>
            <w:tcW w:w="755" w:type="dxa"/>
            <w:tcBorders>
              <w:tl2br w:val="nil"/>
              <w:tr2bl w:val="nil"/>
            </w:tcBorders>
            <w:vAlign w:val="center"/>
          </w:tcPr>
          <w:p w14:paraId="06A51FCF">
            <w:pPr>
              <w:spacing w:line="360" w:lineRule="auto"/>
              <w:jc w:val="center"/>
              <w:rPr>
                <w:rFonts w:asciiTheme="minorEastAsia" w:hAnsiTheme="minorEastAsia" w:eastAsiaTheme="minorEastAsia" w:cstheme="minorEastAsia"/>
              </w:rPr>
            </w:pPr>
          </w:p>
        </w:tc>
        <w:tc>
          <w:tcPr>
            <w:tcW w:w="597" w:type="dxa"/>
            <w:tcBorders>
              <w:tl2br w:val="nil"/>
              <w:tr2bl w:val="nil"/>
            </w:tcBorders>
            <w:vAlign w:val="center"/>
          </w:tcPr>
          <w:p w14:paraId="08F256BF">
            <w:pPr>
              <w:spacing w:line="360" w:lineRule="auto"/>
              <w:jc w:val="center"/>
              <w:rPr>
                <w:rFonts w:asciiTheme="minorEastAsia" w:hAnsiTheme="minorEastAsia" w:eastAsiaTheme="minorEastAsia" w:cstheme="minorEastAsia"/>
              </w:rPr>
            </w:pPr>
          </w:p>
        </w:tc>
      </w:tr>
      <w:tr w14:paraId="6BB2670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tcBorders>
              <w:tl2br w:val="nil"/>
              <w:tr2bl w:val="nil"/>
            </w:tcBorders>
            <w:vAlign w:val="center"/>
          </w:tcPr>
          <w:p w14:paraId="2E5A1B87">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不通过理由说明</w:t>
            </w:r>
          </w:p>
        </w:tc>
        <w:tc>
          <w:tcPr>
            <w:tcW w:w="486" w:type="dxa"/>
            <w:tcBorders>
              <w:tl2br w:val="nil"/>
              <w:tr2bl w:val="nil"/>
            </w:tcBorders>
            <w:vAlign w:val="center"/>
          </w:tcPr>
          <w:p w14:paraId="171F8FE7">
            <w:pPr>
              <w:spacing w:line="360" w:lineRule="auto"/>
              <w:jc w:val="center"/>
              <w:rPr>
                <w:rFonts w:asciiTheme="minorEastAsia" w:hAnsiTheme="minorEastAsia" w:eastAsiaTheme="minorEastAsia" w:cstheme="minorEastAsia"/>
              </w:rPr>
            </w:pPr>
          </w:p>
        </w:tc>
        <w:tc>
          <w:tcPr>
            <w:tcW w:w="537" w:type="dxa"/>
            <w:tcBorders>
              <w:tl2br w:val="nil"/>
              <w:tr2bl w:val="nil"/>
            </w:tcBorders>
            <w:vAlign w:val="center"/>
          </w:tcPr>
          <w:p w14:paraId="39AE1234">
            <w:pPr>
              <w:spacing w:line="360" w:lineRule="auto"/>
              <w:jc w:val="center"/>
              <w:rPr>
                <w:rFonts w:asciiTheme="minorEastAsia" w:hAnsiTheme="minorEastAsia" w:eastAsiaTheme="minorEastAsia" w:cstheme="minorEastAsia"/>
              </w:rPr>
            </w:pPr>
          </w:p>
        </w:tc>
        <w:tc>
          <w:tcPr>
            <w:tcW w:w="755" w:type="dxa"/>
            <w:tcBorders>
              <w:tl2br w:val="nil"/>
              <w:tr2bl w:val="nil"/>
            </w:tcBorders>
            <w:vAlign w:val="center"/>
          </w:tcPr>
          <w:p w14:paraId="55E2AA1C">
            <w:pPr>
              <w:spacing w:line="360" w:lineRule="auto"/>
              <w:jc w:val="center"/>
              <w:rPr>
                <w:rFonts w:asciiTheme="minorEastAsia" w:hAnsiTheme="minorEastAsia" w:eastAsiaTheme="minorEastAsia" w:cstheme="minorEastAsia"/>
              </w:rPr>
            </w:pPr>
          </w:p>
        </w:tc>
        <w:tc>
          <w:tcPr>
            <w:tcW w:w="597" w:type="dxa"/>
            <w:tcBorders>
              <w:tl2br w:val="nil"/>
              <w:tr2bl w:val="nil"/>
            </w:tcBorders>
            <w:vAlign w:val="center"/>
          </w:tcPr>
          <w:p w14:paraId="72272279">
            <w:pPr>
              <w:spacing w:line="360" w:lineRule="auto"/>
              <w:jc w:val="center"/>
              <w:rPr>
                <w:rFonts w:asciiTheme="minorEastAsia" w:hAnsiTheme="minorEastAsia" w:eastAsiaTheme="minorEastAsia" w:cstheme="minorEastAsia"/>
              </w:rPr>
            </w:pPr>
          </w:p>
        </w:tc>
      </w:tr>
    </w:tbl>
    <w:p w14:paraId="729EC5B0">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 符合性审查审查合格的打“√”，不合格的打“×”。</w:t>
      </w:r>
    </w:p>
    <w:p w14:paraId="4E6A1F29">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 符合性审查审查结果，通过打“√”，不通过的打“×”。</w:t>
      </w:r>
    </w:p>
    <w:p w14:paraId="06CC2358">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3.请填写不通过符合性审查审查的供应商的原因。</w:t>
      </w:r>
    </w:p>
    <w:p w14:paraId="43B5702C">
      <w:pPr>
        <w:spacing w:line="360" w:lineRule="auto"/>
        <w:ind w:firstLine="480"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rPr>
        <w:t>投标文件响应程度初步审查通过的投标企业，进入下一步详细评审阶段，未通过投标文件响应程度初步审查的企业，其投标作为无效标，不进入后期评审阶段。</w:t>
      </w:r>
    </w:p>
    <w:p w14:paraId="4FDE2A1B">
      <w:pPr>
        <w:tabs>
          <w:tab w:val="left" w:pos="0"/>
        </w:tabs>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21.8评标委员会将根据政府采购政策支持中小企业政策对最后报价进行价格折扣，折扣的价格将作为评审价格。</w:t>
      </w:r>
    </w:p>
    <w:p w14:paraId="087FC993">
      <w:pPr>
        <w:tabs>
          <w:tab w:val="left" w:pos="0"/>
        </w:tabs>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中小企业价格折扣比例及方法</w:t>
      </w:r>
    </w:p>
    <w:tbl>
      <w:tblPr>
        <w:tblStyle w:val="40"/>
        <w:tblW w:w="9854" w:type="dxa"/>
        <w:tblInd w:w="0" w:type="dxa"/>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345D04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854" w:type="dxa"/>
            <w:tcBorders>
              <w:tl2br w:val="nil"/>
              <w:tr2bl w:val="nil"/>
            </w:tcBorders>
            <w:vAlign w:val="center"/>
          </w:tcPr>
          <w:p w14:paraId="31D21B9A">
            <w:pPr>
              <w:snapToGrid w:val="0"/>
              <w:spacing w:line="360" w:lineRule="auto"/>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根据中华人民共和国财政部、中华人民共和国工业和信息化部《政府采购促进中小企业发展管理办法》（财库〔2020〕46号）文件的规定，</w:t>
            </w:r>
            <w:r>
              <w:rPr>
                <w:rFonts w:hint="eastAsia" w:asciiTheme="minorEastAsia" w:hAnsiTheme="minorEastAsia" w:eastAsiaTheme="minorEastAsia" w:cstheme="minorEastAsia"/>
                <w:bCs/>
              </w:rPr>
              <w:t>属于中小企业</w:t>
            </w:r>
            <w:r>
              <w:rPr>
                <w:rFonts w:hint="eastAsia" w:asciiTheme="minorEastAsia" w:hAnsiTheme="minorEastAsia" w:eastAsiaTheme="minorEastAsia" w:cstheme="minorEastAsia"/>
              </w:rPr>
              <w:t>评审优惠内容及幅度如下：</w:t>
            </w:r>
          </w:p>
          <w:p w14:paraId="7F6A71D0">
            <w:pPr>
              <w:snapToGrid w:val="0"/>
              <w:spacing w:line="360" w:lineRule="auto"/>
              <w:ind w:firstLine="241" w:firstLineChars="100"/>
              <w:rPr>
                <w:rFonts w:asciiTheme="minorEastAsia" w:hAnsiTheme="minorEastAsia" w:eastAsiaTheme="minorEastAsia" w:cstheme="minorEastAsia"/>
              </w:rPr>
            </w:pPr>
            <w:r>
              <w:rPr>
                <w:rFonts w:hint="eastAsia" w:asciiTheme="minorEastAsia" w:hAnsiTheme="minorEastAsia" w:eastAsiaTheme="minorEastAsia" w:cstheme="minorEastAsia"/>
                <w:b/>
              </w:rPr>
              <w:t>（一）</w:t>
            </w:r>
            <w:r>
              <w:rPr>
                <w:rFonts w:hint="eastAsia" w:asciiTheme="minorEastAsia" w:hAnsiTheme="minorEastAsia" w:eastAsiaTheme="minorEastAsia" w:cstheme="minorEastAsia"/>
              </w:rPr>
              <w:t>中小企业（含中型、小型、微型企业）应当</w:t>
            </w:r>
            <w:r>
              <w:rPr>
                <w:rFonts w:hint="eastAsia" w:asciiTheme="minorEastAsia" w:hAnsiTheme="minorEastAsia" w:eastAsiaTheme="minorEastAsia" w:cstheme="minorEastAsia"/>
                <w:b/>
              </w:rPr>
              <w:t>同时符合</w:t>
            </w:r>
            <w:r>
              <w:rPr>
                <w:rFonts w:hint="eastAsia" w:asciiTheme="minorEastAsia" w:hAnsiTheme="minorEastAsia" w:eastAsiaTheme="minorEastAsia" w:cstheme="minorEastAsia"/>
              </w:rPr>
              <w:t>以下条件：</w:t>
            </w:r>
          </w:p>
          <w:p w14:paraId="1E3CC131">
            <w:pPr>
              <w:pStyle w:val="115"/>
              <w:spacing w:line="360" w:lineRule="auto"/>
              <w:ind w:left="967" w:leftChars="40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①符合中小企业划分标准（按《关于印发中小企业划型标准规定的通知》（工信部联企业〔2011〕300号）执行）；</w:t>
            </w:r>
          </w:p>
          <w:p w14:paraId="2247B23F">
            <w:pPr>
              <w:pStyle w:val="115"/>
              <w:spacing w:line="360" w:lineRule="auto"/>
              <w:ind w:left="967" w:leftChars="40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②提供本企业制造的货物、承担的项目或者服务，或者提供其他中小企业制造的货物。本项所称货物不包括使用大型企业注册商标的货物；</w:t>
            </w:r>
          </w:p>
          <w:p w14:paraId="1C715A28">
            <w:pPr>
              <w:pStyle w:val="115"/>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在货物采购项目中，供应商提供的货物既有中小企业制造货物，也有大型企业制造货物的，不享受本办法规定的中小企业扶持政策。</w:t>
            </w:r>
          </w:p>
          <w:p w14:paraId="38A994BF">
            <w:pPr>
              <w:snapToGrid w:val="0"/>
              <w:spacing w:line="360" w:lineRule="auto"/>
              <w:ind w:firstLine="361" w:firstLineChars="150"/>
              <w:rPr>
                <w:rFonts w:asciiTheme="minorEastAsia" w:hAnsiTheme="minorEastAsia" w:eastAsiaTheme="minorEastAsia" w:cstheme="minorEastAsia"/>
              </w:rPr>
            </w:pPr>
            <w:r>
              <w:rPr>
                <w:rFonts w:hint="eastAsia" w:asciiTheme="minorEastAsia" w:hAnsiTheme="minorEastAsia" w:eastAsiaTheme="minorEastAsia" w:cstheme="minorEastAsia"/>
                <w:b/>
              </w:rPr>
              <w:t>（二）</w:t>
            </w:r>
            <w:r>
              <w:rPr>
                <w:rFonts w:hint="eastAsia" w:asciiTheme="minorEastAsia" w:hAnsiTheme="minorEastAsia" w:eastAsiaTheme="minorEastAsia" w:cstheme="minorEastAsia"/>
              </w:rPr>
              <w:t>价格扣除办法：</w:t>
            </w:r>
          </w:p>
          <w:p w14:paraId="2E8BD965">
            <w:pPr>
              <w:pStyle w:val="115"/>
              <w:spacing w:line="360" w:lineRule="auto"/>
              <w:ind w:left="751" w:leftChars="313"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 1 \* GB3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①</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对于非专门面向中小企业的项目，对小型和微型企业（或联合体各方均为小型、</w:t>
            </w:r>
          </w:p>
          <w:p w14:paraId="189DF73A">
            <w:pPr>
              <w:pStyle w:val="115"/>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微型企业的，残疾人福利性单位、监狱企业视为小微企业）产品的价格给予10%的扣除，用扣除后的价格参与价格的评审。</w:t>
            </w:r>
          </w:p>
          <w:p w14:paraId="12EC5F08">
            <w:pPr>
              <w:snapToGrid w:val="0"/>
              <w:spacing w:line="360" w:lineRule="auto"/>
              <w:ind w:firstLine="361" w:firstLineChars="150"/>
              <w:rPr>
                <w:rFonts w:asciiTheme="minorEastAsia" w:hAnsiTheme="minorEastAsia" w:eastAsiaTheme="minorEastAsia" w:cstheme="minorEastAsia"/>
              </w:rPr>
            </w:pPr>
            <w:r>
              <w:rPr>
                <w:rFonts w:hint="eastAsia" w:asciiTheme="minorEastAsia" w:hAnsiTheme="minorEastAsia" w:eastAsiaTheme="minorEastAsia" w:cstheme="minorEastAsia"/>
                <w:b/>
              </w:rPr>
              <w:t>（三）</w:t>
            </w:r>
            <w:r>
              <w:rPr>
                <w:rFonts w:hint="eastAsia" w:asciiTheme="minorEastAsia" w:hAnsiTheme="minorEastAsia" w:eastAsiaTheme="minorEastAsia" w:cstheme="minorEastAsia"/>
              </w:rPr>
              <w:t>小型和微型企业适用价格扣除办法时应提供的相关资料：</w:t>
            </w:r>
          </w:p>
          <w:p w14:paraId="3D286097">
            <w:pPr>
              <w:pStyle w:val="115"/>
              <w:spacing w:line="360" w:lineRule="auto"/>
              <w:ind w:left="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 1 \* GB3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①</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、供应商《中小企业声明函》或残疾人福利性单位声明函或监狱企业证明文件；</w:t>
            </w:r>
          </w:p>
          <w:p w14:paraId="49A69E06">
            <w:pPr>
              <w:pStyle w:val="115"/>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供应商应同时提供以上材料，否则将不给予价格扣除。若所供应产品为进口产品的，不适用《政府采购促进中小企业发展管理办法》。中标单位符合小微企业投标时享受中小企业扶持政策的，将随中标结果公开中标供应商的企业类型声明函。</w:t>
            </w:r>
          </w:p>
        </w:tc>
      </w:tr>
    </w:tbl>
    <w:p w14:paraId="7C925EA3">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22. 详细评审</w:t>
      </w:r>
    </w:p>
    <w:p w14:paraId="340E399E">
      <w:pPr>
        <w:spacing w:line="360" w:lineRule="auto"/>
        <w:ind w:firstLine="472" w:firstLineChars="200"/>
        <w:rPr>
          <w:rFonts w:asciiTheme="minorEastAsia" w:hAnsiTheme="minorEastAsia" w:eastAsiaTheme="minorEastAsia" w:cstheme="minorEastAsia"/>
        </w:rPr>
      </w:pPr>
      <w:r>
        <w:rPr>
          <w:rFonts w:hint="eastAsia" w:asciiTheme="minorEastAsia" w:hAnsiTheme="minorEastAsia" w:eastAsiaTheme="minorEastAsia" w:cstheme="minorEastAsia"/>
          <w:spacing w:val="-2"/>
        </w:rPr>
        <w:t>22.1  经初步评审合格的投标文件，评标委员会应当根据招标文件确定的评标标准和方法，对</w:t>
      </w:r>
      <w:r>
        <w:rPr>
          <w:rFonts w:hint="eastAsia" w:asciiTheme="minorEastAsia" w:hAnsiTheme="minorEastAsia" w:eastAsiaTheme="minorEastAsia" w:cstheme="minorEastAsia"/>
        </w:rPr>
        <w:t>投标人所有投标产品的</w:t>
      </w:r>
      <w:r>
        <w:rPr>
          <w:rFonts w:hint="eastAsia" w:asciiTheme="minorEastAsia" w:hAnsiTheme="minorEastAsia" w:eastAsiaTheme="minorEastAsia" w:cstheme="minorEastAsia"/>
          <w:spacing w:val="-2"/>
        </w:rPr>
        <w:t>技术和商务部分进行详细评审</w:t>
      </w:r>
      <w:r>
        <w:rPr>
          <w:rFonts w:hint="eastAsia" w:asciiTheme="minorEastAsia" w:hAnsiTheme="minorEastAsia" w:eastAsiaTheme="minorEastAsia" w:cstheme="minorEastAsia"/>
        </w:rPr>
        <w:t>。</w:t>
      </w:r>
    </w:p>
    <w:p w14:paraId="13CC16B5">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22.2  在评审过程中，为了有助于对投标文件进行审查、评估，投标人有责任按照招标方通知的时间、地点指派专人进行答疑和澄清。评标委员会可能要求投标人就投标文件中的内容进行答辩，投标人应按要求进行答辩。</w:t>
      </w:r>
    </w:p>
    <w:p w14:paraId="62C9EF25">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22.3采用综合评分法衡量投标文件在是否最大限度地满足招标文件实质性要求前提下，按照招标文件中规定的各项因素进行综合评审后，依据得分高低，依次确定为中标候选人。</w:t>
      </w:r>
    </w:p>
    <w:p w14:paraId="28148A57">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AF7C776">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非单一产品采购项目，采购人应当根据采购项目技术构成、产品价格比重等合理确定核心产品，并在招标文件中载明。多家投标人提供的核心产品品牌相同的，按前款规定处理。</w:t>
      </w:r>
    </w:p>
    <w:p w14:paraId="71C3E5E3">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22.3.1当投标人总得分相同时，以投标价格低者排位在前。</w:t>
      </w:r>
    </w:p>
    <w:p w14:paraId="7036ADD0">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22.4根据综合评分法完成评标后，评标委员会应当拟定一份书面评标报告提交招标方。</w:t>
      </w:r>
    </w:p>
    <w:p w14:paraId="6703FA57">
      <w:pPr>
        <w:spacing w:line="440" w:lineRule="exact"/>
        <w:jc w:val="center"/>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22.5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响应延长投标保证金的有效期，但不得修改投标文件的实质性内容。</w:t>
      </w:r>
    </w:p>
    <w:p w14:paraId="3AC2FCB8">
      <w:pP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标项一：</w:t>
      </w:r>
    </w:p>
    <w:p w14:paraId="0E9AC78A">
      <w:pPr>
        <w:spacing w:line="44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技术商务部分（占总分值的90%）</w:t>
      </w:r>
    </w:p>
    <w:tbl>
      <w:tblPr>
        <w:tblStyle w:val="40"/>
        <w:tblW w:w="11178"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17"/>
        <w:gridCol w:w="7872"/>
        <w:gridCol w:w="769"/>
      </w:tblGrid>
      <w:tr w14:paraId="32833B58">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20" w:type="dxa"/>
            <w:tcBorders>
              <w:tl2br w:val="nil"/>
              <w:tr2bl w:val="nil"/>
            </w:tcBorders>
            <w:vAlign w:val="center"/>
          </w:tcPr>
          <w:p w14:paraId="0FB28907">
            <w:pPr>
              <w:pStyle w:val="131"/>
              <w:spacing w:before="0" w:after="0" w:line="360" w:lineRule="auto"/>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序号</w:t>
            </w:r>
          </w:p>
        </w:tc>
        <w:tc>
          <w:tcPr>
            <w:tcW w:w="1717" w:type="dxa"/>
            <w:tcBorders>
              <w:tl2br w:val="nil"/>
              <w:tr2bl w:val="nil"/>
            </w:tcBorders>
            <w:vAlign w:val="center"/>
          </w:tcPr>
          <w:p w14:paraId="06D737BE">
            <w:pPr>
              <w:pStyle w:val="131"/>
              <w:spacing w:before="0" w:after="0" w:line="360" w:lineRule="auto"/>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评审项目</w:t>
            </w:r>
          </w:p>
        </w:tc>
        <w:tc>
          <w:tcPr>
            <w:tcW w:w="7872" w:type="dxa"/>
            <w:tcBorders>
              <w:tl2br w:val="nil"/>
              <w:tr2bl w:val="nil"/>
            </w:tcBorders>
            <w:vAlign w:val="center"/>
          </w:tcPr>
          <w:p w14:paraId="7DCA84D3">
            <w:pPr>
              <w:pStyle w:val="131"/>
              <w:spacing w:before="0" w:after="0" w:line="360" w:lineRule="auto"/>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评分标准</w:t>
            </w:r>
          </w:p>
        </w:tc>
        <w:tc>
          <w:tcPr>
            <w:tcW w:w="769" w:type="dxa"/>
            <w:tcBorders>
              <w:tl2br w:val="nil"/>
              <w:tr2bl w:val="nil"/>
            </w:tcBorders>
            <w:vAlign w:val="center"/>
          </w:tcPr>
          <w:p w14:paraId="6C6E2332">
            <w:pPr>
              <w:pStyle w:val="131"/>
              <w:spacing w:before="0" w:after="0" w:line="360" w:lineRule="auto"/>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分值</w:t>
            </w:r>
          </w:p>
        </w:tc>
      </w:tr>
      <w:tr w14:paraId="22A0FCF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20" w:type="dxa"/>
            <w:tcBorders>
              <w:tl2br w:val="nil"/>
              <w:tr2bl w:val="nil"/>
            </w:tcBorders>
            <w:vAlign w:val="center"/>
          </w:tcPr>
          <w:p w14:paraId="3DA4F9E4">
            <w:pPr>
              <w:pStyle w:val="131"/>
              <w:spacing w:before="0" w:after="0" w:line="360" w:lineRule="auto"/>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1</w:t>
            </w:r>
          </w:p>
        </w:tc>
        <w:tc>
          <w:tcPr>
            <w:tcW w:w="1717" w:type="dxa"/>
            <w:tcBorders>
              <w:tl2br w:val="nil"/>
              <w:tr2bl w:val="nil"/>
            </w:tcBorders>
            <w:shd w:val="clear" w:color="auto" w:fill="auto"/>
            <w:vAlign w:val="center"/>
          </w:tcPr>
          <w:p w14:paraId="2B0368D0">
            <w:pPr>
              <w:pBdr>
                <w:top w:val="none" w:color="auto" w:sz="0" w:space="1"/>
                <w:left w:val="none" w:color="auto" w:sz="0" w:space="4"/>
                <w:bottom w:val="none" w:color="auto" w:sz="0" w:space="1"/>
                <w:right w:val="none" w:color="auto" w:sz="0" w:space="4"/>
              </w:pBdr>
              <w:spacing w:line="360" w:lineRule="auto"/>
              <w:contextualSpacing/>
              <w:jc w:val="center"/>
              <w:rPr>
                <w:b/>
                <w:szCs w:val="21"/>
              </w:rPr>
            </w:pPr>
            <w:r>
              <w:rPr>
                <w:rFonts w:hint="eastAsia"/>
                <w:b/>
                <w:szCs w:val="21"/>
              </w:rPr>
              <w:t>企业实力</w:t>
            </w:r>
          </w:p>
          <w:p w14:paraId="43611271">
            <w:pPr>
              <w:pBdr>
                <w:top w:val="none" w:color="auto" w:sz="0" w:space="1"/>
                <w:left w:val="none" w:color="auto" w:sz="0" w:space="4"/>
                <w:bottom w:val="none" w:color="auto" w:sz="0" w:space="1"/>
                <w:right w:val="none" w:color="auto" w:sz="0" w:space="4"/>
              </w:pBdr>
              <w:spacing w:line="360" w:lineRule="auto"/>
              <w:contextualSpacing/>
              <w:jc w:val="center"/>
              <w:rPr>
                <w:b/>
                <w:szCs w:val="21"/>
              </w:rPr>
            </w:pPr>
            <w:r>
              <w:rPr>
                <w:rFonts w:hint="eastAsia"/>
                <w:b/>
                <w:szCs w:val="21"/>
              </w:rPr>
              <w:t>（10分）</w:t>
            </w:r>
          </w:p>
        </w:tc>
        <w:tc>
          <w:tcPr>
            <w:tcW w:w="7872" w:type="dxa"/>
            <w:tcBorders>
              <w:tl2br w:val="nil"/>
              <w:tr2bl w:val="nil"/>
            </w:tcBorders>
            <w:shd w:val="clear" w:color="auto" w:fill="auto"/>
            <w:vAlign w:val="center"/>
          </w:tcPr>
          <w:p w14:paraId="405F1105">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1.供应商具有ISO9001质量管理体系认证证书，（响应文件中须提供证书复印件并加盖公章，证书需在有效期内）得1分；</w:t>
            </w:r>
          </w:p>
          <w:p w14:paraId="52D0E2DD">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2.供应商具有高新技术企业认定证书，（响应文件中须提供证书复印件并加盖公章，证书需在有效期内）得1分；</w:t>
            </w:r>
          </w:p>
          <w:p w14:paraId="7D9EEE63">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3.供应商获得信息安全管理体系ISO27001证书，（响应文件中须提供证书复印件并加盖公章，证书需在有效期内）得1分；</w:t>
            </w:r>
          </w:p>
          <w:p w14:paraId="2F98925E">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4.供应商获得诚信管理体系认证证书，（响应文件中须提供证书复印件并加盖公章，证书需在有效期内）得1分；</w:t>
            </w:r>
          </w:p>
          <w:p w14:paraId="2D55FD3F">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5.供应商获得教育APP备案，得2分（响应文件中须提供教育部官网搜索名单公告截图并加盖公章）</w:t>
            </w:r>
          </w:p>
          <w:p w14:paraId="24CEEAD2">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6.平台具备信息安全等级保护证书。提供三级等保证书，得2分。</w:t>
            </w:r>
          </w:p>
          <w:p w14:paraId="777AF917">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（提供相关证明材料并加盖供应商公章）</w:t>
            </w:r>
          </w:p>
          <w:p w14:paraId="5B16C442">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7.响应供应商具有教育部公布“国培计划”教师远程培训资质，得2分；（提供相关证明材料并加盖供应商公章）</w:t>
            </w:r>
          </w:p>
        </w:tc>
        <w:tc>
          <w:tcPr>
            <w:tcW w:w="769" w:type="dxa"/>
            <w:tcBorders>
              <w:tl2br w:val="nil"/>
              <w:tr2bl w:val="nil"/>
            </w:tcBorders>
            <w:shd w:val="clear" w:color="auto" w:fill="auto"/>
            <w:vAlign w:val="center"/>
          </w:tcPr>
          <w:p w14:paraId="0E2137F2">
            <w:pPr>
              <w:pBdr>
                <w:top w:val="none" w:color="auto" w:sz="0" w:space="1"/>
                <w:left w:val="none" w:color="auto" w:sz="0" w:space="4"/>
                <w:bottom w:val="none" w:color="auto" w:sz="0" w:space="1"/>
                <w:right w:val="none" w:color="auto" w:sz="0" w:space="4"/>
              </w:pBdr>
              <w:spacing w:line="360" w:lineRule="auto"/>
              <w:jc w:val="center"/>
              <w:rPr>
                <w:kern w:val="10"/>
                <w:szCs w:val="21"/>
              </w:rPr>
            </w:pPr>
            <w:r>
              <w:rPr>
                <w:rFonts w:hint="eastAsia"/>
                <w:kern w:val="10"/>
                <w:szCs w:val="21"/>
              </w:rPr>
              <w:t>10</w:t>
            </w:r>
          </w:p>
        </w:tc>
      </w:tr>
      <w:tr w14:paraId="799A9CF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20" w:type="dxa"/>
            <w:tcBorders>
              <w:tl2br w:val="nil"/>
              <w:tr2bl w:val="nil"/>
            </w:tcBorders>
            <w:vAlign w:val="center"/>
          </w:tcPr>
          <w:p w14:paraId="334805A3">
            <w:pPr>
              <w:pStyle w:val="120"/>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2</w:t>
            </w:r>
          </w:p>
        </w:tc>
        <w:tc>
          <w:tcPr>
            <w:tcW w:w="1717" w:type="dxa"/>
            <w:tcBorders>
              <w:tl2br w:val="nil"/>
              <w:tr2bl w:val="nil"/>
            </w:tcBorders>
            <w:shd w:val="clear" w:color="auto" w:fill="auto"/>
            <w:vAlign w:val="center"/>
          </w:tcPr>
          <w:p w14:paraId="19B58E74">
            <w:pPr>
              <w:pBdr>
                <w:top w:val="none" w:color="auto" w:sz="0" w:space="1"/>
                <w:left w:val="none" w:color="auto" w:sz="0" w:space="4"/>
                <w:bottom w:val="none" w:color="auto" w:sz="0" w:space="1"/>
                <w:right w:val="none" w:color="auto" w:sz="0" w:space="4"/>
              </w:pBdr>
              <w:spacing w:line="360" w:lineRule="auto"/>
              <w:contextualSpacing/>
              <w:jc w:val="center"/>
              <w:rPr>
                <w:b/>
                <w:szCs w:val="21"/>
              </w:rPr>
            </w:pPr>
            <w:r>
              <w:rPr>
                <w:rFonts w:hint="eastAsia"/>
                <w:b/>
                <w:szCs w:val="21"/>
              </w:rPr>
              <w:t>业绩（5分）</w:t>
            </w:r>
          </w:p>
        </w:tc>
        <w:tc>
          <w:tcPr>
            <w:tcW w:w="7872" w:type="dxa"/>
            <w:tcBorders>
              <w:tl2br w:val="nil"/>
              <w:tr2bl w:val="nil"/>
            </w:tcBorders>
            <w:shd w:val="clear" w:color="auto" w:fill="auto"/>
            <w:vAlign w:val="center"/>
          </w:tcPr>
          <w:p w14:paraId="4D257346">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lang w:val="en-US" w:eastAsia="zh-CN"/>
              </w:rPr>
              <w:t>2022</w:t>
            </w:r>
            <w:r>
              <w:rPr>
                <w:rFonts w:hint="eastAsia" w:asciiTheme="minorEastAsia" w:hAnsiTheme="minorEastAsia" w:eastAsiaTheme="minorEastAsia" w:cstheme="minorEastAsia"/>
                <w:bCs/>
              </w:rPr>
              <w:t>年至今取得类似项目经验，响应文件中须提供项目合作协议或中标通知书复印件并加盖公章，提供1份得2.5分，最多得5分。</w:t>
            </w:r>
          </w:p>
        </w:tc>
        <w:tc>
          <w:tcPr>
            <w:tcW w:w="769" w:type="dxa"/>
            <w:tcBorders>
              <w:tl2br w:val="nil"/>
              <w:tr2bl w:val="nil"/>
            </w:tcBorders>
            <w:shd w:val="clear" w:color="auto" w:fill="auto"/>
            <w:vAlign w:val="center"/>
          </w:tcPr>
          <w:p w14:paraId="29C5E1C9">
            <w:pPr>
              <w:pBdr>
                <w:top w:val="none" w:color="auto" w:sz="0" w:space="1"/>
                <w:left w:val="none" w:color="auto" w:sz="0" w:space="4"/>
                <w:bottom w:val="none" w:color="auto" w:sz="0" w:space="1"/>
                <w:right w:val="none" w:color="auto" w:sz="0" w:space="4"/>
              </w:pBdr>
              <w:spacing w:line="360" w:lineRule="auto"/>
              <w:jc w:val="center"/>
              <w:rPr>
                <w:kern w:val="10"/>
                <w:szCs w:val="21"/>
              </w:rPr>
            </w:pPr>
            <w:r>
              <w:rPr>
                <w:rFonts w:hint="eastAsia"/>
                <w:kern w:val="10"/>
                <w:szCs w:val="21"/>
              </w:rPr>
              <w:t>5</w:t>
            </w:r>
          </w:p>
        </w:tc>
      </w:tr>
      <w:tr w14:paraId="1932F49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20" w:type="dxa"/>
            <w:tcBorders>
              <w:tl2br w:val="nil"/>
              <w:tr2bl w:val="nil"/>
            </w:tcBorders>
            <w:vAlign w:val="center"/>
          </w:tcPr>
          <w:p w14:paraId="4EFEEFE8">
            <w:pPr>
              <w:pStyle w:val="120"/>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3</w:t>
            </w:r>
          </w:p>
        </w:tc>
        <w:tc>
          <w:tcPr>
            <w:tcW w:w="1717" w:type="dxa"/>
            <w:tcBorders>
              <w:tl2br w:val="nil"/>
              <w:tr2bl w:val="nil"/>
            </w:tcBorders>
            <w:shd w:val="clear" w:color="auto" w:fill="auto"/>
            <w:vAlign w:val="center"/>
          </w:tcPr>
          <w:p w14:paraId="77748534">
            <w:pPr>
              <w:pBdr>
                <w:top w:val="none" w:color="auto" w:sz="0" w:space="1"/>
                <w:left w:val="none" w:color="auto" w:sz="0" w:space="4"/>
                <w:bottom w:val="none" w:color="auto" w:sz="0" w:space="1"/>
                <w:right w:val="none" w:color="auto" w:sz="0" w:space="4"/>
              </w:pBdr>
              <w:spacing w:line="360" w:lineRule="auto"/>
              <w:contextualSpacing/>
              <w:jc w:val="center"/>
              <w:rPr>
                <w:b/>
                <w:kern w:val="10"/>
                <w:szCs w:val="21"/>
              </w:rPr>
            </w:pPr>
            <w:r>
              <w:rPr>
                <w:rFonts w:hint="eastAsia"/>
                <w:b/>
                <w:kern w:val="10"/>
                <w:szCs w:val="21"/>
              </w:rPr>
              <w:t>服务方案</w:t>
            </w:r>
          </w:p>
          <w:p w14:paraId="56ECE6F2">
            <w:pPr>
              <w:pBdr>
                <w:top w:val="none" w:color="auto" w:sz="0" w:space="1"/>
                <w:left w:val="none" w:color="auto" w:sz="0" w:space="4"/>
                <w:bottom w:val="none" w:color="auto" w:sz="0" w:space="1"/>
                <w:right w:val="none" w:color="auto" w:sz="0" w:space="4"/>
              </w:pBdr>
              <w:spacing w:line="360" w:lineRule="auto"/>
              <w:contextualSpacing/>
              <w:jc w:val="center"/>
              <w:rPr>
                <w:b/>
                <w:kern w:val="10"/>
                <w:szCs w:val="21"/>
              </w:rPr>
            </w:pPr>
            <w:r>
              <w:rPr>
                <w:rFonts w:hint="eastAsia"/>
                <w:b/>
                <w:kern w:val="10"/>
                <w:szCs w:val="21"/>
              </w:rPr>
              <w:t>（20分）</w:t>
            </w:r>
          </w:p>
        </w:tc>
        <w:tc>
          <w:tcPr>
            <w:tcW w:w="7872" w:type="dxa"/>
            <w:tcBorders>
              <w:tl2br w:val="nil"/>
              <w:tr2bl w:val="nil"/>
            </w:tcBorders>
            <w:shd w:val="clear" w:color="auto" w:fill="auto"/>
            <w:vAlign w:val="center"/>
          </w:tcPr>
          <w:p w14:paraId="75D883FD">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提供完整培训服务方案，需包含①服务内容、②服务方式、③实施流程、④培训计划。服务内容需包含技术服务、客户服务以及教学教务服务。服务方案完整，可实施性强，每小项5分，满分20分，每有一项表述不完整或实施性差扣5分，扣完为止。</w:t>
            </w:r>
          </w:p>
        </w:tc>
        <w:tc>
          <w:tcPr>
            <w:tcW w:w="769" w:type="dxa"/>
            <w:tcBorders>
              <w:tl2br w:val="nil"/>
              <w:tr2bl w:val="nil"/>
            </w:tcBorders>
            <w:vAlign w:val="center"/>
          </w:tcPr>
          <w:p w14:paraId="746CC783">
            <w:pPr>
              <w:pStyle w:val="120"/>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20</w:t>
            </w:r>
          </w:p>
        </w:tc>
      </w:tr>
      <w:tr w14:paraId="7AC5A43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tcBorders>
              <w:tl2br w:val="nil"/>
              <w:tr2bl w:val="nil"/>
            </w:tcBorders>
            <w:vAlign w:val="center"/>
          </w:tcPr>
          <w:p w14:paraId="1F464770">
            <w:pPr>
              <w:pStyle w:val="120"/>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w:t>
            </w:r>
          </w:p>
        </w:tc>
        <w:tc>
          <w:tcPr>
            <w:tcW w:w="1717" w:type="dxa"/>
            <w:tcBorders>
              <w:tl2br w:val="nil"/>
              <w:tr2bl w:val="nil"/>
            </w:tcBorders>
            <w:shd w:val="clear" w:color="auto" w:fill="auto"/>
            <w:vAlign w:val="center"/>
          </w:tcPr>
          <w:p w14:paraId="777C6CED">
            <w:pPr>
              <w:pBdr>
                <w:top w:val="none" w:color="auto" w:sz="0" w:space="1"/>
                <w:left w:val="none" w:color="auto" w:sz="0" w:space="4"/>
                <w:bottom w:val="none" w:color="auto" w:sz="0" w:space="1"/>
                <w:right w:val="none" w:color="auto" w:sz="0" w:space="4"/>
              </w:pBdr>
              <w:spacing w:line="360" w:lineRule="auto"/>
              <w:contextualSpacing/>
              <w:jc w:val="center"/>
              <w:rPr>
                <w:b/>
                <w:kern w:val="10"/>
                <w:szCs w:val="21"/>
              </w:rPr>
            </w:pPr>
            <w:r>
              <w:rPr>
                <w:rFonts w:hint="eastAsia"/>
                <w:b/>
                <w:kern w:val="10"/>
                <w:szCs w:val="21"/>
              </w:rPr>
              <w:t>一体化管理</w:t>
            </w:r>
          </w:p>
          <w:p w14:paraId="1D95EC3A">
            <w:pPr>
              <w:pBdr>
                <w:top w:val="none" w:color="auto" w:sz="0" w:space="1"/>
                <w:left w:val="none" w:color="auto" w:sz="0" w:space="4"/>
                <w:bottom w:val="none" w:color="auto" w:sz="0" w:space="1"/>
                <w:right w:val="none" w:color="auto" w:sz="0" w:space="4"/>
              </w:pBdr>
              <w:spacing w:line="360" w:lineRule="auto"/>
              <w:contextualSpacing/>
              <w:jc w:val="center"/>
              <w:rPr>
                <w:b/>
                <w:bCs/>
                <w:szCs w:val="21"/>
              </w:rPr>
            </w:pPr>
            <w:r>
              <w:rPr>
                <w:rFonts w:hint="eastAsia"/>
                <w:b/>
                <w:kern w:val="10"/>
                <w:szCs w:val="21"/>
              </w:rPr>
              <w:t>（5分）</w:t>
            </w:r>
          </w:p>
        </w:tc>
        <w:tc>
          <w:tcPr>
            <w:tcW w:w="7872" w:type="dxa"/>
            <w:tcBorders>
              <w:tl2br w:val="nil"/>
              <w:tr2bl w:val="nil"/>
            </w:tcBorders>
            <w:shd w:val="clear" w:color="auto" w:fill="auto"/>
            <w:vAlign w:val="center"/>
          </w:tcPr>
          <w:p w14:paraId="58F5FC46">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平台支撑参训学员在线培训同步培训阶段、在线培训的异步培训阶段均能够在一个平台上完成所有学习和任务，能够统一设置培训考核要求，并自动记录、汇总学员在不同培训形式下的成绩。组织者、授课专家和学员都能够在统一平台上完成各自的工作，必须满足同一账号同一平台登陆无需跳转，达到无缝衔接，得5分。（供应商提供操作界面截图，并加盖公章，同时提供平台操作的相关视频，未提供操作截图（或操作视频）或提供的产品不能满足服务需求的不得分。）</w:t>
            </w:r>
          </w:p>
        </w:tc>
        <w:tc>
          <w:tcPr>
            <w:tcW w:w="769" w:type="dxa"/>
            <w:tcBorders>
              <w:tl2br w:val="nil"/>
              <w:tr2bl w:val="nil"/>
            </w:tcBorders>
            <w:vAlign w:val="center"/>
          </w:tcPr>
          <w:p w14:paraId="34D78E00">
            <w:pPr>
              <w:pStyle w:val="120"/>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5</w:t>
            </w:r>
          </w:p>
        </w:tc>
      </w:tr>
      <w:tr w14:paraId="24FA4C0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0" w:type="dxa"/>
            <w:tcBorders>
              <w:tl2br w:val="nil"/>
              <w:tr2bl w:val="nil"/>
            </w:tcBorders>
            <w:vAlign w:val="center"/>
          </w:tcPr>
          <w:p w14:paraId="356B2B0A">
            <w:pPr>
              <w:pStyle w:val="120"/>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5</w:t>
            </w:r>
          </w:p>
        </w:tc>
        <w:tc>
          <w:tcPr>
            <w:tcW w:w="1717" w:type="dxa"/>
            <w:tcBorders>
              <w:tl2br w:val="nil"/>
              <w:tr2bl w:val="nil"/>
            </w:tcBorders>
            <w:shd w:val="clear" w:color="auto" w:fill="auto"/>
            <w:vAlign w:val="center"/>
          </w:tcPr>
          <w:p w14:paraId="61563073">
            <w:pPr>
              <w:pBdr>
                <w:top w:val="none" w:color="auto" w:sz="0" w:space="1"/>
                <w:left w:val="none" w:color="auto" w:sz="0" w:space="4"/>
                <w:bottom w:val="none" w:color="auto" w:sz="0" w:space="1"/>
                <w:right w:val="none" w:color="auto" w:sz="0" w:space="4"/>
              </w:pBdr>
              <w:spacing w:line="360" w:lineRule="auto"/>
              <w:contextualSpacing/>
              <w:jc w:val="center"/>
              <w:rPr>
                <w:b/>
                <w:kern w:val="10"/>
                <w:szCs w:val="21"/>
              </w:rPr>
            </w:pPr>
            <w:r>
              <w:rPr>
                <w:rFonts w:hint="eastAsia"/>
                <w:b/>
                <w:kern w:val="10"/>
                <w:szCs w:val="21"/>
              </w:rPr>
              <w:t>网络课程资源（30分）</w:t>
            </w:r>
          </w:p>
        </w:tc>
        <w:tc>
          <w:tcPr>
            <w:tcW w:w="7872" w:type="dxa"/>
            <w:tcBorders>
              <w:tl2br w:val="nil"/>
              <w:tr2bl w:val="nil"/>
            </w:tcBorders>
            <w:shd w:val="clear" w:color="auto" w:fill="auto"/>
            <w:vAlign w:val="center"/>
          </w:tcPr>
          <w:p w14:paraId="62EBEDB4">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1.具有丰富、权威、优质、覆盖全学段、全学科，针对不同层次的师资、课程等培训资源。课程包含政治素养、政策解读、师德师风、教育家精神等通用课程，课时不少于20学时（45分钟/学时）。最多得5分。</w:t>
            </w:r>
          </w:p>
          <w:p w14:paraId="1C469DDE">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2.课程资源中教师数字素养相关课程，课程分模块（数字化意识、数字技术知识与技能、数字化应用、数字社会责任、专业发展），涵盖数字素养政策解读、大</w:t>
            </w:r>
            <w:r>
              <w:rPr>
                <w:rFonts w:asciiTheme="minorEastAsia" w:hAnsiTheme="minorEastAsia" w:eastAsiaTheme="minorEastAsia" w:cstheme="minorEastAsia"/>
                <w:bCs/>
              </w:rPr>
              <w:t>数据、</w:t>
            </w:r>
            <w:r>
              <w:rPr>
                <w:rFonts w:hint="eastAsia" w:asciiTheme="minorEastAsia" w:hAnsiTheme="minorEastAsia" w:eastAsiaTheme="minorEastAsia" w:cstheme="minorEastAsia"/>
                <w:bCs/>
              </w:rPr>
              <w:t>虚拟</w:t>
            </w:r>
            <w:r>
              <w:rPr>
                <w:rFonts w:asciiTheme="minorEastAsia" w:hAnsiTheme="minorEastAsia" w:eastAsiaTheme="minorEastAsia" w:cstheme="minorEastAsia"/>
                <w:bCs/>
              </w:rPr>
              <w:t>现实、</w:t>
            </w:r>
            <w:r>
              <w:rPr>
                <w:rFonts w:hint="eastAsia" w:asciiTheme="minorEastAsia" w:hAnsiTheme="minorEastAsia" w:eastAsiaTheme="minorEastAsia" w:cstheme="minorEastAsia"/>
                <w:bCs/>
              </w:rPr>
              <w:t>云</w:t>
            </w:r>
            <w:r>
              <w:rPr>
                <w:rFonts w:asciiTheme="minorEastAsia" w:hAnsiTheme="minorEastAsia" w:eastAsiaTheme="minorEastAsia" w:cstheme="minorEastAsia"/>
                <w:bCs/>
              </w:rPr>
              <w:t>计算、</w:t>
            </w:r>
            <w:r>
              <w:rPr>
                <w:rFonts w:hint="eastAsia" w:asciiTheme="minorEastAsia" w:hAnsiTheme="minorEastAsia" w:eastAsiaTheme="minorEastAsia" w:cstheme="minorEastAsia"/>
                <w:bCs/>
              </w:rPr>
              <w:t>课堂教学</w:t>
            </w:r>
            <w:r>
              <w:rPr>
                <w:rFonts w:asciiTheme="minorEastAsia" w:hAnsiTheme="minorEastAsia" w:eastAsiaTheme="minorEastAsia" w:cstheme="minorEastAsia"/>
                <w:bCs/>
              </w:rPr>
              <w:t>模式转型</w:t>
            </w:r>
            <w:r>
              <w:rPr>
                <w:rFonts w:hint="eastAsia" w:asciiTheme="minorEastAsia" w:hAnsiTheme="minorEastAsia" w:eastAsiaTheme="minorEastAsia" w:cstheme="minorEastAsia"/>
                <w:bCs/>
              </w:rPr>
              <w:t>（如</w:t>
            </w:r>
            <w:r>
              <w:rPr>
                <w:rFonts w:asciiTheme="minorEastAsia" w:hAnsiTheme="minorEastAsia" w:eastAsiaTheme="minorEastAsia" w:cstheme="minorEastAsia"/>
                <w:bCs/>
              </w:rPr>
              <w:t>项目式学习、跨学科学习</w:t>
            </w:r>
            <w:r>
              <w:rPr>
                <w:rFonts w:hint="eastAsia" w:asciiTheme="minorEastAsia" w:hAnsiTheme="minorEastAsia" w:eastAsiaTheme="minorEastAsia" w:cstheme="minorEastAsia"/>
                <w:bCs/>
              </w:rPr>
              <w:t>、</w:t>
            </w:r>
            <w:r>
              <w:rPr>
                <w:rFonts w:asciiTheme="minorEastAsia" w:hAnsiTheme="minorEastAsia" w:eastAsiaTheme="minorEastAsia" w:cstheme="minorEastAsia"/>
                <w:bCs/>
              </w:rPr>
              <w:t>研究性学习）</w:t>
            </w:r>
            <w:r>
              <w:rPr>
                <w:rFonts w:hint="eastAsia" w:asciiTheme="minorEastAsia" w:hAnsiTheme="minorEastAsia" w:eastAsiaTheme="minorEastAsia" w:cstheme="minorEastAsia"/>
                <w:bCs/>
              </w:rPr>
              <w:t>、</w:t>
            </w:r>
            <w:r>
              <w:rPr>
                <w:rFonts w:asciiTheme="minorEastAsia" w:hAnsiTheme="minorEastAsia" w:eastAsiaTheme="minorEastAsia" w:cstheme="minorEastAsia"/>
                <w:bCs/>
              </w:rPr>
              <w:t>学业评价模式探索</w:t>
            </w:r>
            <w:r>
              <w:rPr>
                <w:rFonts w:hint="eastAsia" w:asciiTheme="minorEastAsia" w:hAnsiTheme="minorEastAsia" w:eastAsiaTheme="minorEastAsia" w:cstheme="minorEastAsia"/>
                <w:bCs/>
              </w:rPr>
              <w:t>（如学生</w:t>
            </w:r>
            <w:r>
              <w:rPr>
                <w:rFonts w:asciiTheme="minorEastAsia" w:hAnsiTheme="minorEastAsia" w:eastAsiaTheme="minorEastAsia" w:cstheme="minorEastAsia"/>
                <w:bCs/>
              </w:rPr>
              <w:t>学习行为分析、基于</w:t>
            </w:r>
            <w:r>
              <w:rPr>
                <w:rFonts w:hint="eastAsia" w:asciiTheme="minorEastAsia" w:hAnsiTheme="minorEastAsia" w:eastAsiaTheme="minorEastAsia" w:cstheme="minorEastAsia"/>
                <w:bCs/>
              </w:rPr>
              <w:t>数据</w:t>
            </w:r>
            <w:r>
              <w:rPr>
                <w:rFonts w:asciiTheme="minorEastAsia" w:hAnsiTheme="minorEastAsia" w:eastAsiaTheme="minorEastAsia" w:cstheme="minorEastAsia"/>
                <w:bCs/>
              </w:rPr>
              <w:t>分析的学情诊断、数据支持的</w:t>
            </w:r>
            <w:r>
              <w:rPr>
                <w:rFonts w:hint="eastAsia" w:asciiTheme="minorEastAsia" w:hAnsiTheme="minorEastAsia" w:eastAsiaTheme="minorEastAsia" w:cstheme="minorEastAsia"/>
                <w:bCs/>
              </w:rPr>
              <w:t>课堂</w:t>
            </w:r>
            <w:r>
              <w:rPr>
                <w:rFonts w:asciiTheme="minorEastAsia" w:hAnsiTheme="minorEastAsia" w:eastAsiaTheme="minorEastAsia" w:cstheme="minorEastAsia"/>
                <w:bCs/>
              </w:rPr>
              <w:t>教</w:t>
            </w:r>
            <w:r>
              <w:rPr>
                <w:rFonts w:hint="eastAsia" w:asciiTheme="minorEastAsia" w:hAnsiTheme="minorEastAsia" w:eastAsiaTheme="minorEastAsia" w:cstheme="minorEastAsia"/>
                <w:bCs/>
              </w:rPr>
              <w:t>-</w:t>
            </w:r>
            <w:r>
              <w:rPr>
                <w:rFonts w:asciiTheme="minorEastAsia" w:hAnsiTheme="minorEastAsia" w:eastAsiaTheme="minorEastAsia" w:cstheme="minorEastAsia"/>
                <w:bCs/>
              </w:rPr>
              <w:t>学</w:t>
            </w:r>
            <w:r>
              <w:rPr>
                <w:rFonts w:hint="eastAsia" w:asciiTheme="minorEastAsia" w:hAnsiTheme="minorEastAsia" w:eastAsiaTheme="minorEastAsia" w:cstheme="minorEastAsia"/>
                <w:bCs/>
              </w:rPr>
              <w:t>-</w:t>
            </w:r>
            <w:r>
              <w:rPr>
                <w:rFonts w:asciiTheme="minorEastAsia" w:hAnsiTheme="minorEastAsia" w:eastAsiaTheme="minorEastAsia" w:cstheme="minorEastAsia"/>
                <w:bCs/>
              </w:rPr>
              <w:t>评一体化</w:t>
            </w:r>
            <w:r>
              <w:rPr>
                <w:rFonts w:hint="eastAsia" w:asciiTheme="minorEastAsia" w:hAnsiTheme="minorEastAsia" w:eastAsiaTheme="minorEastAsia" w:cstheme="minorEastAsia"/>
                <w:bCs/>
              </w:rPr>
              <w:t>、评价</w:t>
            </w:r>
            <w:r>
              <w:rPr>
                <w:rFonts w:asciiTheme="minorEastAsia" w:hAnsiTheme="minorEastAsia" w:eastAsiaTheme="minorEastAsia" w:cstheme="minorEastAsia"/>
                <w:bCs/>
              </w:rPr>
              <w:t>数据采集与分析、</w:t>
            </w:r>
            <w:r>
              <w:rPr>
                <w:rFonts w:hint="eastAsia" w:asciiTheme="minorEastAsia" w:hAnsiTheme="minorEastAsia" w:eastAsiaTheme="minorEastAsia" w:cstheme="minorEastAsia"/>
                <w:bCs/>
              </w:rPr>
              <w:t>基于</w:t>
            </w:r>
            <w:r>
              <w:rPr>
                <w:rFonts w:asciiTheme="minorEastAsia" w:hAnsiTheme="minorEastAsia" w:eastAsiaTheme="minorEastAsia" w:cstheme="minorEastAsia"/>
                <w:bCs/>
              </w:rPr>
              <w:t>分析的个性化指导）</w:t>
            </w:r>
            <w:r>
              <w:rPr>
                <w:rFonts w:hint="eastAsia" w:asciiTheme="minorEastAsia" w:hAnsiTheme="minorEastAsia" w:eastAsiaTheme="minorEastAsia" w:cstheme="minorEastAsia"/>
                <w:bCs/>
              </w:rPr>
              <w:t>、</w:t>
            </w:r>
            <w:r>
              <w:rPr>
                <w:rFonts w:asciiTheme="minorEastAsia" w:hAnsiTheme="minorEastAsia" w:eastAsiaTheme="minorEastAsia" w:cstheme="minorEastAsia"/>
                <w:bCs/>
              </w:rPr>
              <w:t>协同育人模式创建</w:t>
            </w:r>
            <w:r>
              <w:rPr>
                <w:rFonts w:hint="eastAsia" w:asciiTheme="minorEastAsia" w:hAnsiTheme="minorEastAsia" w:eastAsiaTheme="minorEastAsia" w:cstheme="minorEastAsia"/>
                <w:bCs/>
              </w:rPr>
              <w:t>（如国家中小学智慧平台功能与应用、</w:t>
            </w:r>
            <w:r>
              <w:rPr>
                <w:rFonts w:asciiTheme="minorEastAsia" w:hAnsiTheme="minorEastAsia" w:eastAsiaTheme="minorEastAsia" w:cstheme="minorEastAsia"/>
                <w:bCs/>
              </w:rPr>
              <w:t>数字化教学典型场景、协同教研、技术支持的德育一体化、技术支持的</w:t>
            </w:r>
            <w:r>
              <w:rPr>
                <w:rFonts w:hint="eastAsia" w:asciiTheme="minorEastAsia" w:hAnsiTheme="minorEastAsia" w:eastAsiaTheme="minorEastAsia" w:cstheme="minorEastAsia"/>
                <w:bCs/>
              </w:rPr>
              <w:t>心理</w:t>
            </w:r>
            <w:r>
              <w:rPr>
                <w:rFonts w:asciiTheme="minorEastAsia" w:hAnsiTheme="minorEastAsia" w:eastAsiaTheme="minorEastAsia" w:cstheme="minorEastAsia"/>
                <w:bCs/>
              </w:rPr>
              <w:t>健康教育</w:t>
            </w:r>
            <w:r>
              <w:rPr>
                <w:rFonts w:hint="eastAsia" w:asciiTheme="minorEastAsia" w:hAnsiTheme="minorEastAsia" w:eastAsiaTheme="minorEastAsia" w:cstheme="minorEastAsia"/>
                <w:bCs/>
              </w:rPr>
              <w:t>、</w:t>
            </w:r>
            <w:r>
              <w:rPr>
                <w:rFonts w:asciiTheme="minorEastAsia" w:hAnsiTheme="minorEastAsia" w:eastAsiaTheme="minorEastAsia" w:cstheme="minorEastAsia"/>
                <w:bCs/>
              </w:rPr>
              <w:t>技术支持的</w:t>
            </w:r>
            <w:r>
              <w:rPr>
                <w:rFonts w:hint="eastAsia" w:asciiTheme="minorEastAsia" w:hAnsiTheme="minorEastAsia" w:eastAsiaTheme="minorEastAsia" w:cstheme="minorEastAsia"/>
                <w:bCs/>
              </w:rPr>
              <w:t>学生</w:t>
            </w:r>
            <w:r>
              <w:rPr>
                <w:rFonts w:asciiTheme="minorEastAsia" w:hAnsiTheme="minorEastAsia" w:eastAsiaTheme="minorEastAsia" w:cstheme="minorEastAsia"/>
                <w:bCs/>
              </w:rPr>
              <w:t>数字素养</w:t>
            </w:r>
            <w:r>
              <w:rPr>
                <w:rFonts w:hint="eastAsia" w:asciiTheme="minorEastAsia" w:hAnsiTheme="minorEastAsia" w:eastAsiaTheme="minorEastAsia" w:cstheme="minorEastAsia"/>
                <w:bCs/>
              </w:rPr>
              <w:t>培养</w:t>
            </w:r>
            <w:r>
              <w:rPr>
                <w:rFonts w:asciiTheme="minorEastAsia" w:hAnsiTheme="minorEastAsia" w:eastAsiaTheme="minorEastAsia" w:cstheme="minorEastAsia"/>
                <w:bCs/>
              </w:rPr>
              <w:t>、</w:t>
            </w:r>
            <w:r>
              <w:rPr>
                <w:rFonts w:hint="eastAsia" w:asciiTheme="minorEastAsia" w:hAnsiTheme="minorEastAsia" w:eastAsiaTheme="minorEastAsia" w:cstheme="minorEastAsia"/>
                <w:bCs/>
              </w:rPr>
              <w:t>家</w:t>
            </w:r>
            <w:r>
              <w:rPr>
                <w:rFonts w:asciiTheme="minorEastAsia" w:hAnsiTheme="minorEastAsia" w:eastAsiaTheme="minorEastAsia" w:cstheme="minorEastAsia"/>
                <w:bCs/>
              </w:rPr>
              <w:t>校共育）</w:t>
            </w:r>
            <w:r>
              <w:rPr>
                <w:rFonts w:hint="eastAsia" w:asciiTheme="minorEastAsia" w:hAnsiTheme="minorEastAsia" w:eastAsiaTheme="minorEastAsia" w:cstheme="minorEastAsia"/>
                <w:bCs/>
              </w:rPr>
              <w:t>、AI人工智能工具、数据时代的安全意识、数字化教研等，内容充实，紧贴教育教学一线实际，需提供不低于150学时（45分钟/学时）的课程供挑选。最多得10分。（提供课程目录，包括课程名称、主讲人、单位、职称、时长、课程更新时间等）</w:t>
            </w:r>
          </w:p>
          <w:p w14:paraId="605349A7">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3.课程资源能够整合具有深厚理论功底和实践经验的专家学者、中小学一线名优校园长、教研员和名师的专家资源，职称在副教授/副高级及以上的占80%。最多得5分。评分标准：职称在副教授/副高级及以上的占80%及以上得满分5分，高级职称比例低于8</w:t>
            </w:r>
            <w:r>
              <w:rPr>
                <w:rFonts w:asciiTheme="minorEastAsia" w:hAnsiTheme="minorEastAsia" w:eastAsiaTheme="minorEastAsia" w:cstheme="minorEastAsia"/>
                <w:bCs/>
              </w:rPr>
              <w:t>0</w:t>
            </w:r>
            <w:r>
              <w:rPr>
                <w:rFonts w:hint="eastAsia" w:asciiTheme="minorEastAsia" w:hAnsiTheme="minorEastAsia" w:eastAsiaTheme="minorEastAsia" w:cstheme="minorEastAsia"/>
                <w:bCs/>
              </w:rPr>
              <w:t>%者按相应比例计算得分。得分=实际比例/</w:t>
            </w:r>
            <w:r>
              <w:rPr>
                <w:rFonts w:asciiTheme="minorEastAsia" w:hAnsiTheme="minorEastAsia" w:eastAsiaTheme="minorEastAsia" w:cstheme="minorEastAsia"/>
                <w:bCs/>
              </w:rPr>
              <w:t>0.8*5</w:t>
            </w:r>
            <w:r>
              <w:rPr>
                <w:rFonts w:hint="eastAsia" w:asciiTheme="minorEastAsia" w:hAnsiTheme="minorEastAsia" w:eastAsiaTheme="minorEastAsia" w:cstheme="minorEastAsia"/>
                <w:bCs/>
              </w:rPr>
              <w:t>（保留小数点后两位）</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4.确保所提供的培训课程的使用权，需提供版权或使用权的合同或授权证明材料，采购人在合作期内对提供的课程具有使用权。最多得5分。</w:t>
            </w:r>
          </w:p>
          <w:p w14:paraId="56BB0CE3">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5.获得省级精品课程证书，1张得2.5分；获得市级精品课程证书，1张得1.5分。最多得5分。</w:t>
            </w:r>
          </w:p>
        </w:tc>
        <w:tc>
          <w:tcPr>
            <w:tcW w:w="769" w:type="dxa"/>
            <w:tcBorders>
              <w:tl2br w:val="nil"/>
              <w:tr2bl w:val="nil"/>
            </w:tcBorders>
            <w:vAlign w:val="center"/>
          </w:tcPr>
          <w:p w14:paraId="7228EBEE">
            <w:pPr>
              <w:pStyle w:val="120"/>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30</w:t>
            </w:r>
          </w:p>
        </w:tc>
      </w:tr>
      <w:tr w14:paraId="687E93C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0" w:type="dxa"/>
            <w:tcBorders>
              <w:tl2br w:val="nil"/>
              <w:tr2bl w:val="nil"/>
            </w:tcBorders>
            <w:vAlign w:val="center"/>
          </w:tcPr>
          <w:p w14:paraId="02DFF715">
            <w:pPr>
              <w:pStyle w:val="120"/>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6</w:t>
            </w:r>
          </w:p>
        </w:tc>
        <w:tc>
          <w:tcPr>
            <w:tcW w:w="1717" w:type="dxa"/>
            <w:tcBorders>
              <w:tl2br w:val="nil"/>
              <w:tr2bl w:val="nil"/>
            </w:tcBorders>
            <w:shd w:val="clear" w:color="auto" w:fill="auto"/>
            <w:vAlign w:val="center"/>
          </w:tcPr>
          <w:p w14:paraId="7D4437C4">
            <w:pPr>
              <w:pBdr>
                <w:top w:val="none" w:color="auto" w:sz="0" w:space="1"/>
                <w:left w:val="none" w:color="auto" w:sz="0" w:space="4"/>
                <w:bottom w:val="none" w:color="auto" w:sz="0" w:space="1"/>
                <w:right w:val="none" w:color="auto" w:sz="0" w:space="4"/>
              </w:pBdr>
              <w:spacing w:line="360" w:lineRule="auto"/>
              <w:contextualSpacing/>
              <w:jc w:val="center"/>
              <w:rPr>
                <w:b/>
                <w:kern w:val="10"/>
                <w:szCs w:val="21"/>
              </w:rPr>
            </w:pPr>
            <w:r>
              <w:rPr>
                <w:rFonts w:hint="eastAsia"/>
                <w:b/>
                <w:kern w:val="10"/>
                <w:szCs w:val="21"/>
              </w:rPr>
              <w:t>平台服务部分（20分）</w:t>
            </w:r>
          </w:p>
        </w:tc>
        <w:tc>
          <w:tcPr>
            <w:tcW w:w="7872" w:type="dxa"/>
            <w:tcBorders>
              <w:tl2br w:val="nil"/>
              <w:tr2bl w:val="nil"/>
            </w:tcBorders>
            <w:shd w:val="clear" w:color="auto" w:fill="auto"/>
            <w:vAlign w:val="center"/>
          </w:tcPr>
          <w:p w14:paraId="71598689">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供应商提供操作界面截图，并加盖公章。每个评审小项未提供操作截图（或操作视频，操作视频可单独 U 盘存放)或提供的产品不能满足服务需求的，该小项不得分。</w:t>
            </w:r>
          </w:p>
          <w:p w14:paraId="52DD7568">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内容如下：</w:t>
            </w:r>
          </w:p>
          <w:p w14:paraId="6226C3D8">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1）成绩考核管理功能（1分）；（2）学员信息采集功能（1分）；（3）通知公告管理功能（1分）；（4）学员分组功能（1分）；（5）作业提交、评价及查重功能（2分）；（6）学员互评作业功能（2分）；（7）考试测评：（2分）；（8）任务发布与督促功能（1分）；（9）总结报告功能；（1分）；</w:t>
            </w:r>
          </w:p>
          <w:p w14:paraId="6012575C">
            <w:pPr>
              <w:pBdr>
                <w:top w:val="none" w:color="auto" w:sz="0" w:space="1"/>
                <w:left w:val="none" w:color="auto" w:sz="0" w:space="4"/>
                <w:bottom w:val="none" w:color="auto" w:sz="0" w:space="1"/>
                <w:right w:val="none" w:color="auto" w:sz="0" w:space="4"/>
              </w:pBd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10）数据报表功能（1分）；（11）证书管理功能（1分）；（12）调研问卷功能（1分）；（13）互动内容监控管理功能（1分）；（14）支持多端学习（1分）；（15）在线讨论功能（1分）；（16）数据监控功能（2分）。</w:t>
            </w:r>
          </w:p>
        </w:tc>
        <w:tc>
          <w:tcPr>
            <w:tcW w:w="769" w:type="dxa"/>
            <w:tcBorders>
              <w:tl2br w:val="nil"/>
              <w:tr2bl w:val="nil"/>
            </w:tcBorders>
            <w:vAlign w:val="center"/>
          </w:tcPr>
          <w:p w14:paraId="173A77B5">
            <w:pPr>
              <w:pStyle w:val="120"/>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20</w:t>
            </w:r>
          </w:p>
        </w:tc>
      </w:tr>
    </w:tbl>
    <w:p w14:paraId="5BFD6FEB">
      <w:pPr>
        <w:jc w:val="center"/>
        <w:rPr>
          <w:rFonts w:asciiTheme="minorEastAsia" w:hAnsiTheme="minorEastAsia" w:eastAsiaTheme="minorEastAsia" w:cstheme="minorEastAsia"/>
          <w:bCs/>
        </w:rPr>
      </w:pPr>
    </w:p>
    <w:p w14:paraId="0A2F0094">
      <w:pPr>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经济部分（占总分值的10%）</w:t>
      </w:r>
    </w:p>
    <w:tbl>
      <w:tblPr>
        <w:tblStyle w:val="40"/>
        <w:tblW w:w="11149"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54"/>
        <w:gridCol w:w="8190"/>
        <w:gridCol w:w="1276"/>
      </w:tblGrid>
      <w:tr w14:paraId="25D76677">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46" w:hRule="atLeast"/>
          <w:tblHeader/>
          <w:jc w:val="center"/>
        </w:trPr>
        <w:tc>
          <w:tcPr>
            <w:tcW w:w="829" w:type="dxa"/>
            <w:tcBorders>
              <w:tl2br w:val="nil"/>
              <w:tr2bl w:val="nil"/>
            </w:tcBorders>
            <w:vAlign w:val="center"/>
          </w:tcPr>
          <w:p w14:paraId="3DE6878D">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序号</w:t>
            </w:r>
          </w:p>
        </w:tc>
        <w:tc>
          <w:tcPr>
            <w:tcW w:w="854" w:type="dxa"/>
            <w:tcBorders>
              <w:tl2br w:val="nil"/>
              <w:tr2bl w:val="nil"/>
            </w:tcBorders>
            <w:vAlign w:val="center"/>
          </w:tcPr>
          <w:p w14:paraId="1E8EC1F7">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评审项目</w:t>
            </w:r>
          </w:p>
        </w:tc>
        <w:tc>
          <w:tcPr>
            <w:tcW w:w="8190" w:type="dxa"/>
            <w:tcBorders>
              <w:tl2br w:val="nil"/>
              <w:tr2bl w:val="nil"/>
            </w:tcBorders>
            <w:vAlign w:val="center"/>
          </w:tcPr>
          <w:p w14:paraId="1B90797E">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评分标准</w:t>
            </w:r>
          </w:p>
        </w:tc>
        <w:tc>
          <w:tcPr>
            <w:tcW w:w="1276" w:type="dxa"/>
            <w:tcBorders>
              <w:tl2br w:val="nil"/>
              <w:tr2bl w:val="nil"/>
            </w:tcBorders>
            <w:vAlign w:val="center"/>
          </w:tcPr>
          <w:p w14:paraId="3B18CA72">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分值</w:t>
            </w:r>
          </w:p>
        </w:tc>
      </w:tr>
      <w:tr w14:paraId="334C9CD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829" w:type="dxa"/>
            <w:tcBorders>
              <w:tl2br w:val="nil"/>
              <w:tr2bl w:val="nil"/>
            </w:tcBorders>
            <w:vAlign w:val="center"/>
          </w:tcPr>
          <w:p w14:paraId="6AE1530F">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1</w:t>
            </w:r>
          </w:p>
        </w:tc>
        <w:tc>
          <w:tcPr>
            <w:tcW w:w="854" w:type="dxa"/>
            <w:tcBorders>
              <w:tl2br w:val="nil"/>
              <w:tr2bl w:val="nil"/>
            </w:tcBorders>
            <w:vAlign w:val="center"/>
          </w:tcPr>
          <w:p w14:paraId="76933176">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报价</w:t>
            </w:r>
          </w:p>
        </w:tc>
        <w:tc>
          <w:tcPr>
            <w:tcW w:w="8190" w:type="dxa"/>
            <w:tcBorders>
              <w:tl2br w:val="nil"/>
              <w:tr2bl w:val="nil"/>
            </w:tcBorders>
            <w:vAlign w:val="center"/>
          </w:tcPr>
          <w:p w14:paraId="61F76627">
            <w:p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价格得分的评分方法：价格分采用低价优先法计算，即满足招标文件要求且最低的投标报价为评标基准价，其价格分为满分。其他中标方的价格得分统一按照下列公式计算： 投标报价得分=（评标基准价/投标报价）×10%×100，如此类推，算出所有投标中标方的价格得分。</w:t>
            </w:r>
          </w:p>
        </w:tc>
        <w:tc>
          <w:tcPr>
            <w:tcW w:w="1276" w:type="dxa"/>
            <w:tcBorders>
              <w:tl2br w:val="nil"/>
              <w:tr2bl w:val="nil"/>
            </w:tcBorders>
            <w:vAlign w:val="center"/>
          </w:tcPr>
          <w:p w14:paraId="13D10AD4">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10分</w:t>
            </w:r>
          </w:p>
        </w:tc>
      </w:tr>
    </w:tbl>
    <w:p w14:paraId="6D540677">
      <w:pPr>
        <w:spacing w:line="360" w:lineRule="auto"/>
        <w:jc w:val="center"/>
        <w:outlineLvl w:val="1"/>
        <w:rPr>
          <w:rFonts w:asciiTheme="minorEastAsia" w:hAnsiTheme="minorEastAsia" w:eastAsiaTheme="minorEastAsia" w:cstheme="minorEastAsia"/>
          <w:b/>
          <w:sz w:val="32"/>
          <w:szCs w:val="32"/>
        </w:rPr>
      </w:pPr>
      <w:bookmarkStart w:id="17" w:name="_Toc80724659"/>
    </w:p>
    <w:p w14:paraId="06F6C37C">
      <w:pP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14:paraId="6D0A06C1">
      <w:pP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标项二：</w:t>
      </w:r>
    </w:p>
    <w:p w14:paraId="1C50AA70">
      <w:pPr>
        <w:spacing w:line="44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技术商务部分（占总分值的90%）</w:t>
      </w:r>
    </w:p>
    <w:tbl>
      <w:tblPr>
        <w:tblStyle w:val="40"/>
        <w:tblW w:w="11178"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17"/>
        <w:gridCol w:w="7872"/>
        <w:gridCol w:w="769"/>
      </w:tblGrid>
      <w:tr w14:paraId="0E5A495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20" w:type="dxa"/>
            <w:tcBorders>
              <w:tl2br w:val="nil"/>
              <w:tr2bl w:val="nil"/>
            </w:tcBorders>
            <w:vAlign w:val="center"/>
          </w:tcPr>
          <w:p w14:paraId="32BF5DA9">
            <w:pPr>
              <w:pStyle w:val="131"/>
              <w:spacing w:before="0" w:after="0" w:line="440" w:lineRule="exact"/>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序号</w:t>
            </w:r>
          </w:p>
        </w:tc>
        <w:tc>
          <w:tcPr>
            <w:tcW w:w="1717" w:type="dxa"/>
            <w:tcBorders>
              <w:tl2br w:val="nil"/>
              <w:tr2bl w:val="nil"/>
            </w:tcBorders>
            <w:vAlign w:val="center"/>
          </w:tcPr>
          <w:p w14:paraId="5BAFBB97">
            <w:pPr>
              <w:pStyle w:val="131"/>
              <w:spacing w:before="0" w:after="0" w:line="440" w:lineRule="exact"/>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评审项目</w:t>
            </w:r>
          </w:p>
        </w:tc>
        <w:tc>
          <w:tcPr>
            <w:tcW w:w="7872" w:type="dxa"/>
            <w:tcBorders>
              <w:tl2br w:val="nil"/>
              <w:tr2bl w:val="nil"/>
            </w:tcBorders>
            <w:vAlign w:val="center"/>
          </w:tcPr>
          <w:p w14:paraId="50117452">
            <w:pPr>
              <w:pStyle w:val="131"/>
              <w:spacing w:before="0" w:after="0" w:line="440" w:lineRule="exact"/>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评分标准</w:t>
            </w:r>
          </w:p>
        </w:tc>
        <w:tc>
          <w:tcPr>
            <w:tcW w:w="769" w:type="dxa"/>
            <w:tcBorders>
              <w:tl2br w:val="nil"/>
              <w:tr2bl w:val="nil"/>
            </w:tcBorders>
            <w:vAlign w:val="center"/>
          </w:tcPr>
          <w:p w14:paraId="38973FCF">
            <w:pPr>
              <w:pStyle w:val="131"/>
              <w:spacing w:before="0" w:after="0" w:line="440" w:lineRule="exact"/>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分值</w:t>
            </w:r>
          </w:p>
        </w:tc>
      </w:tr>
      <w:tr w14:paraId="3BB0D99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20" w:type="dxa"/>
            <w:tcBorders>
              <w:tl2br w:val="nil"/>
              <w:tr2bl w:val="nil"/>
            </w:tcBorders>
            <w:vAlign w:val="center"/>
          </w:tcPr>
          <w:p w14:paraId="422EF220">
            <w:pPr>
              <w:pStyle w:val="131"/>
              <w:spacing w:before="0" w:after="0" w:line="440" w:lineRule="exact"/>
              <w:ind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1</w:t>
            </w:r>
          </w:p>
        </w:tc>
        <w:tc>
          <w:tcPr>
            <w:tcW w:w="1717" w:type="dxa"/>
            <w:tcBorders>
              <w:tl2br w:val="nil"/>
              <w:tr2bl w:val="nil"/>
            </w:tcBorders>
            <w:shd w:val="clear" w:color="auto" w:fill="auto"/>
            <w:vAlign w:val="center"/>
          </w:tcPr>
          <w:p w14:paraId="528AF32B">
            <w:pPr>
              <w:spacing w:line="44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rPr>
              <w:t>企业实力</w:t>
            </w:r>
          </w:p>
        </w:tc>
        <w:tc>
          <w:tcPr>
            <w:tcW w:w="7872" w:type="dxa"/>
            <w:tcBorders>
              <w:tl2br w:val="nil"/>
              <w:tr2bl w:val="nil"/>
            </w:tcBorders>
            <w:shd w:val="clear" w:color="auto" w:fill="auto"/>
            <w:vAlign w:val="center"/>
          </w:tcPr>
          <w:p w14:paraId="7775706A">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1.提供有效的培训管理体系认证证书得3分，须提供有效证书复印件及www.cnca.gov.cn“认证结果”查询截图并加盖公章；</w:t>
            </w:r>
          </w:p>
          <w:p w14:paraId="2748EC0C">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2.提供有效的知识产权管理体系认证证书得3分，须提供有效证书复印件及www.cnca.gov.cn“认证结果”查询截图并加盖公章；</w:t>
            </w:r>
          </w:p>
          <w:p w14:paraId="06EBCB3F">
            <w:pPr>
              <w:spacing w:line="440" w:lineRule="exact"/>
              <w:rPr>
                <w:rFonts w:asciiTheme="minorEastAsia" w:hAnsiTheme="minorEastAsia" w:eastAsiaTheme="minorEastAsia" w:cstheme="minorEastAsia"/>
                <w:bCs/>
              </w:rPr>
            </w:pPr>
            <w:r>
              <w:rPr>
                <w:rFonts w:hint="eastAsia" w:asciiTheme="minorEastAsia" w:hAnsiTheme="minorEastAsia" w:eastAsiaTheme="minorEastAsia" w:cstheme="minorEastAsia"/>
              </w:rPr>
              <w:t>3.提供有效的实名认证注册、智能阅卷、缴费管理、教学统计、督导评教系统相关的软件著作权登记证书；每提供一个著作权证书得3分,最多得15分。须提供有效证书复印件并加盖公章。</w:t>
            </w:r>
          </w:p>
        </w:tc>
        <w:tc>
          <w:tcPr>
            <w:tcW w:w="769" w:type="dxa"/>
            <w:tcBorders>
              <w:tl2br w:val="nil"/>
              <w:tr2bl w:val="nil"/>
            </w:tcBorders>
            <w:shd w:val="clear" w:color="auto" w:fill="auto"/>
            <w:vAlign w:val="center"/>
          </w:tcPr>
          <w:p w14:paraId="065C9BA5">
            <w:pPr>
              <w:pBdr>
                <w:top w:val="none" w:color="auto" w:sz="0" w:space="1"/>
                <w:left w:val="none" w:color="auto" w:sz="0" w:space="4"/>
                <w:bottom w:val="none" w:color="auto" w:sz="0" w:space="1"/>
                <w:right w:val="none" w:color="auto" w:sz="0" w:space="4"/>
              </w:pBdr>
              <w:spacing w:line="440" w:lineRule="exact"/>
              <w:jc w:val="center"/>
              <w:rPr>
                <w:rFonts w:asciiTheme="minorEastAsia" w:hAnsiTheme="minorEastAsia" w:eastAsiaTheme="minorEastAsia" w:cstheme="minorEastAsia"/>
                <w:kern w:val="10"/>
              </w:rPr>
            </w:pPr>
            <w:r>
              <w:rPr>
                <w:rFonts w:hint="eastAsia" w:asciiTheme="minorEastAsia" w:hAnsiTheme="minorEastAsia" w:eastAsiaTheme="minorEastAsia" w:cstheme="minorEastAsia"/>
                <w:kern w:val="10"/>
              </w:rPr>
              <w:t>21</w:t>
            </w:r>
          </w:p>
        </w:tc>
      </w:tr>
      <w:tr w14:paraId="0F20B37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20" w:type="dxa"/>
            <w:tcBorders>
              <w:tl2br w:val="nil"/>
              <w:tr2bl w:val="nil"/>
            </w:tcBorders>
            <w:vAlign w:val="center"/>
          </w:tcPr>
          <w:p w14:paraId="03A37202">
            <w:pPr>
              <w:pStyle w:val="120"/>
              <w:spacing w:line="44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2</w:t>
            </w:r>
          </w:p>
        </w:tc>
        <w:tc>
          <w:tcPr>
            <w:tcW w:w="1717" w:type="dxa"/>
            <w:tcBorders>
              <w:tl2br w:val="nil"/>
              <w:tr2bl w:val="nil"/>
            </w:tcBorders>
            <w:shd w:val="clear" w:color="auto" w:fill="auto"/>
            <w:vAlign w:val="center"/>
          </w:tcPr>
          <w:p w14:paraId="05174B74">
            <w:pPr>
              <w:spacing w:line="44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rPr>
              <w:t>类似业绩情况</w:t>
            </w:r>
          </w:p>
        </w:tc>
        <w:tc>
          <w:tcPr>
            <w:tcW w:w="7872" w:type="dxa"/>
            <w:tcBorders>
              <w:tl2br w:val="nil"/>
              <w:tr2bl w:val="nil"/>
            </w:tcBorders>
            <w:shd w:val="clear" w:color="auto" w:fill="auto"/>
            <w:vAlign w:val="center"/>
          </w:tcPr>
          <w:p w14:paraId="35ED97B3">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2022年1月1日至今（以合同签订日期为准），投标人每有一项相关业绩合同得2.5分，最高得5分。</w:t>
            </w:r>
          </w:p>
          <w:p w14:paraId="66DDDF34">
            <w:pPr>
              <w:spacing w:line="440" w:lineRule="exact"/>
              <w:rPr>
                <w:rFonts w:asciiTheme="minorEastAsia" w:hAnsiTheme="minorEastAsia" w:eastAsiaTheme="minorEastAsia" w:cstheme="minorEastAsia"/>
                <w:bCs/>
              </w:rPr>
            </w:pPr>
            <w:r>
              <w:rPr>
                <w:rFonts w:hint="eastAsia" w:asciiTheme="minorEastAsia" w:hAnsiTheme="minorEastAsia" w:eastAsiaTheme="minorEastAsia" w:cstheme="minorEastAsia"/>
              </w:rPr>
              <w:t>须提供合同复印件或扫描件，否则不得分。</w:t>
            </w:r>
          </w:p>
        </w:tc>
        <w:tc>
          <w:tcPr>
            <w:tcW w:w="769" w:type="dxa"/>
            <w:tcBorders>
              <w:tl2br w:val="nil"/>
              <w:tr2bl w:val="nil"/>
            </w:tcBorders>
            <w:shd w:val="clear" w:color="auto" w:fill="auto"/>
            <w:vAlign w:val="center"/>
          </w:tcPr>
          <w:p w14:paraId="45911DD0">
            <w:pPr>
              <w:pBdr>
                <w:top w:val="none" w:color="auto" w:sz="0" w:space="1"/>
                <w:left w:val="none" w:color="auto" w:sz="0" w:space="4"/>
                <w:bottom w:val="none" w:color="auto" w:sz="0" w:space="1"/>
                <w:right w:val="none" w:color="auto" w:sz="0" w:space="4"/>
              </w:pBdr>
              <w:spacing w:line="440" w:lineRule="exact"/>
              <w:jc w:val="center"/>
              <w:rPr>
                <w:rFonts w:asciiTheme="minorEastAsia" w:hAnsiTheme="minorEastAsia" w:eastAsiaTheme="minorEastAsia" w:cstheme="minorEastAsia"/>
                <w:kern w:val="10"/>
              </w:rPr>
            </w:pPr>
            <w:r>
              <w:rPr>
                <w:rFonts w:hint="eastAsia" w:asciiTheme="minorEastAsia" w:hAnsiTheme="minorEastAsia" w:eastAsiaTheme="minorEastAsia" w:cstheme="minorEastAsia"/>
                <w:kern w:val="10"/>
              </w:rPr>
              <w:t>5</w:t>
            </w:r>
          </w:p>
        </w:tc>
      </w:tr>
      <w:tr w14:paraId="4E074CD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20" w:type="dxa"/>
            <w:tcBorders>
              <w:tl2br w:val="nil"/>
              <w:tr2bl w:val="nil"/>
            </w:tcBorders>
            <w:vAlign w:val="center"/>
          </w:tcPr>
          <w:p w14:paraId="22F0A0B5">
            <w:pPr>
              <w:pStyle w:val="120"/>
              <w:spacing w:line="44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3</w:t>
            </w:r>
          </w:p>
        </w:tc>
        <w:tc>
          <w:tcPr>
            <w:tcW w:w="1717" w:type="dxa"/>
            <w:tcBorders>
              <w:tl2br w:val="nil"/>
              <w:tr2bl w:val="nil"/>
            </w:tcBorders>
            <w:shd w:val="clear" w:color="auto" w:fill="auto"/>
            <w:vAlign w:val="center"/>
          </w:tcPr>
          <w:p w14:paraId="0FFE8D6B">
            <w:pPr>
              <w:pBdr>
                <w:top w:val="none" w:color="auto" w:sz="0" w:space="1"/>
                <w:left w:val="none" w:color="auto" w:sz="0" w:space="4"/>
                <w:bottom w:val="none" w:color="auto" w:sz="0" w:space="1"/>
                <w:right w:val="none" w:color="auto" w:sz="0" w:space="4"/>
              </w:pBdr>
              <w:spacing w:line="440" w:lineRule="exact"/>
              <w:contextualSpacing/>
              <w:jc w:val="center"/>
              <w:rPr>
                <w:rFonts w:asciiTheme="minorEastAsia" w:hAnsiTheme="minorEastAsia" w:eastAsiaTheme="minorEastAsia" w:cstheme="minorEastAsia"/>
                <w:b/>
                <w:kern w:val="10"/>
              </w:rPr>
            </w:pPr>
            <w:r>
              <w:rPr>
                <w:rFonts w:hint="eastAsia" w:asciiTheme="minorEastAsia" w:hAnsiTheme="minorEastAsia" w:eastAsiaTheme="minorEastAsia" w:cstheme="minorEastAsia"/>
              </w:rPr>
              <w:t>系统演示</w:t>
            </w:r>
          </w:p>
        </w:tc>
        <w:tc>
          <w:tcPr>
            <w:tcW w:w="7872" w:type="dxa"/>
            <w:tcBorders>
              <w:tl2br w:val="nil"/>
              <w:tr2bl w:val="nil"/>
            </w:tcBorders>
            <w:shd w:val="clear" w:color="auto" w:fill="auto"/>
            <w:vAlign w:val="center"/>
          </w:tcPr>
          <w:p w14:paraId="60D52225">
            <w:p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一、本项目要求投标人提供配套平台功能演示，内容如下：</w:t>
            </w:r>
          </w:p>
          <w:p w14:paraId="14C61954">
            <w:p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演示设备：演示所需设备由供应商自行准备。</w:t>
            </w:r>
          </w:p>
          <w:p w14:paraId="468FBCD4">
            <w:p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演示时间：每个供应商演示时间不超过15分钟，不包含评委提问解答时间。</w:t>
            </w:r>
          </w:p>
          <w:p w14:paraId="383C0CF2">
            <w:pPr>
              <w:numPr>
                <w:ilvl w:val="0"/>
                <w:numId w:val="8"/>
              </w:num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打印设置：支持证明材料导出和打印功能，导出类型可选择一个学生一个PDF或合并为一个PDF导出，支持设置文件按学号排序，支持设置调用电子签章。</w:t>
            </w:r>
          </w:p>
          <w:p w14:paraId="6DFB5D10">
            <w:pPr>
              <w:numPr>
                <w:ilvl w:val="0"/>
                <w:numId w:val="8"/>
              </w:num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数据统计看板：统计看板包括学生地域分布图看板、教学点地域分布图看板、办学规模看板；支持添加统计看板，可选择可用单位、工作范围。</w:t>
            </w:r>
          </w:p>
          <w:p w14:paraId="638FC1E0">
            <w:pPr>
              <w:numPr>
                <w:ilvl w:val="0"/>
                <w:numId w:val="8"/>
              </w:num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支持自定义学号生成规则，可进行学号字段配置，包括：年级、专业、教学点代码、流水号等。</w:t>
            </w:r>
          </w:p>
          <w:p w14:paraId="728D498D">
            <w:pPr>
              <w:numPr>
                <w:ilvl w:val="0"/>
                <w:numId w:val="8"/>
              </w:num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支持管理员账号模拟登录学生账号，查看学生所有课程的学习记录和考试情况。</w:t>
            </w:r>
          </w:p>
          <w:p w14:paraId="15762FB7">
            <w:pPr>
              <w:numPr>
                <w:ilvl w:val="0"/>
                <w:numId w:val="8"/>
              </w:num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支持开启防录屏安全设置，防录屏必须同时包含开启动态水印、禁止回放下载、禁止 APP 录屏， 自定义水印尺寸和 不透明度，可预览查看课程视频中水印动态。</w:t>
            </w:r>
          </w:p>
          <w:p w14:paraId="5C2CD4D8">
            <w:pPr>
              <w:numPr>
                <w:ilvl w:val="0"/>
                <w:numId w:val="8"/>
              </w:num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支持自定义选择角色和老师赋予紧急终止直播权限。</w:t>
            </w:r>
          </w:p>
          <w:p w14:paraId="3C3BF621">
            <w:pPr>
              <w:numPr>
                <w:ilvl w:val="0"/>
                <w:numId w:val="8"/>
              </w:num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支持学生隐私信息管理，添加提取任务，支持提取类型选择，类型包括隐私信息导出和学生照片下载，自定义选择提取字段和数据范围，提取任务必须输入用途。</w:t>
            </w:r>
          </w:p>
          <w:p w14:paraId="4DFC3BA9">
            <w:pPr>
              <w:numPr>
                <w:ilvl w:val="0"/>
                <w:numId w:val="8"/>
              </w:num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督导评教模块支持设置督导范围、督导次数、申请审核、评教统计分析。</w:t>
            </w:r>
          </w:p>
          <w:p w14:paraId="28D5663E">
            <w:pPr>
              <w:numPr>
                <w:ilvl w:val="0"/>
                <w:numId w:val="8"/>
              </w:num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支持自定义选择被评教师是否可查看评教结果，开启后被评教师可以收到通知查看督导结果。支持督导评课次数统计，按学期汇总各个督导的应督导次数和已督导次数数据，帮助督导管理员了解督导的工作量和完成情况。</w:t>
            </w:r>
          </w:p>
          <w:p w14:paraId="0B949730">
            <w:pPr>
              <w:numPr>
                <w:ilvl w:val="0"/>
                <w:numId w:val="8"/>
              </w:num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支持填写项目申报信息，信息包括项目名称、项目类型、预计培训人数、教学模式、合作单位名称、培训时间等；</w:t>
            </w:r>
          </w:p>
          <w:p w14:paraId="4BCE35CF">
            <w:p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二、计分标准</w:t>
            </w:r>
          </w:p>
          <w:p w14:paraId="02FD1693">
            <w:pPr>
              <w:pBdr>
                <w:top w:val="none" w:color="auto" w:sz="0" w:space="1"/>
                <w:left w:val="none" w:color="auto" w:sz="0" w:space="4"/>
                <w:bottom w:val="none" w:color="auto" w:sz="0" w:space="1"/>
                <w:right w:val="none" w:color="auto" w:sz="0" w:space="4"/>
              </w:pBdr>
              <w:spacing w:line="440" w:lineRule="exact"/>
              <w:rPr>
                <w:rFonts w:asciiTheme="minorEastAsia" w:hAnsiTheme="minorEastAsia" w:eastAsiaTheme="minorEastAsia" w:cstheme="minorEastAsia"/>
                <w:bCs/>
              </w:rPr>
            </w:pPr>
            <w:r>
              <w:rPr>
                <w:rFonts w:hint="eastAsia" w:asciiTheme="minorEastAsia" w:hAnsiTheme="minorEastAsia" w:eastAsiaTheme="minorEastAsia" w:cstheme="minorEastAsia"/>
              </w:rPr>
              <w:t>以上功能演示完全满足要求的20分，每有 1 项无法演示、演示不全或演示但不完全符合要求的该项扣2分。</w:t>
            </w:r>
          </w:p>
        </w:tc>
        <w:tc>
          <w:tcPr>
            <w:tcW w:w="769" w:type="dxa"/>
            <w:tcBorders>
              <w:tl2br w:val="nil"/>
              <w:tr2bl w:val="nil"/>
            </w:tcBorders>
            <w:vAlign w:val="center"/>
          </w:tcPr>
          <w:p w14:paraId="20D0EB31">
            <w:pPr>
              <w:pStyle w:val="120"/>
              <w:spacing w:line="44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20</w:t>
            </w:r>
          </w:p>
        </w:tc>
      </w:tr>
      <w:tr w14:paraId="4B31EF8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tcBorders>
              <w:tl2br w:val="nil"/>
              <w:tr2bl w:val="nil"/>
            </w:tcBorders>
            <w:vAlign w:val="center"/>
          </w:tcPr>
          <w:p w14:paraId="6DF21267">
            <w:pPr>
              <w:pStyle w:val="120"/>
              <w:spacing w:line="44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w:t>
            </w:r>
          </w:p>
        </w:tc>
        <w:tc>
          <w:tcPr>
            <w:tcW w:w="1717" w:type="dxa"/>
            <w:tcBorders>
              <w:tl2br w:val="nil"/>
              <w:tr2bl w:val="nil"/>
            </w:tcBorders>
            <w:shd w:val="clear" w:color="auto" w:fill="auto"/>
            <w:vAlign w:val="center"/>
          </w:tcPr>
          <w:p w14:paraId="4438C384">
            <w:pPr>
              <w:pBdr>
                <w:top w:val="none" w:color="auto" w:sz="0" w:space="1"/>
                <w:left w:val="none" w:color="auto" w:sz="0" w:space="4"/>
                <w:bottom w:val="none" w:color="auto" w:sz="0" w:space="1"/>
                <w:right w:val="none" w:color="auto" w:sz="0" w:space="4"/>
              </w:pBdr>
              <w:spacing w:line="440" w:lineRule="exact"/>
              <w:contextualSpacing/>
              <w:jc w:val="center"/>
              <w:rPr>
                <w:rFonts w:asciiTheme="minorEastAsia" w:hAnsiTheme="minorEastAsia" w:eastAsiaTheme="minorEastAsia" w:cstheme="minorEastAsia"/>
                <w:b/>
                <w:bCs/>
              </w:rPr>
            </w:pPr>
            <w:r>
              <w:rPr>
                <w:rFonts w:hint="eastAsia" w:asciiTheme="minorEastAsia" w:hAnsiTheme="minorEastAsia" w:eastAsiaTheme="minorEastAsia" w:cstheme="minorEastAsia"/>
              </w:rPr>
              <w:t>平台设计方 案</w:t>
            </w:r>
          </w:p>
        </w:tc>
        <w:tc>
          <w:tcPr>
            <w:tcW w:w="7872" w:type="dxa"/>
            <w:tcBorders>
              <w:tl2br w:val="nil"/>
              <w:tr2bl w:val="nil"/>
            </w:tcBorders>
            <w:shd w:val="clear" w:color="auto" w:fill="auto"/>
            <w:vAlign w:val="center"/>
          </w:tcPr>
          <w:p w14:paraId="4EED9BA7">
            <w:pPr>
              <w:spacing w:line="4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一、平台设计方案</w:t>
            </w:r>
          </w:p>
          <w:p w14:paraId="1F37E3A6">
            <w:pPr>
              <w:spacing w:line="440" w:lineRule="exact"/>
              <w:rPr>
                <w:rFonts w:asciiTheme="minorEastAsia" w:hAnsiTheme="minorEastAsia" w:eastAsiaTheme="minorEastAsia" w:cstheme="minorEastAsia"/>
                <w:lang w:val="zh-CN"/>
              </w:rPr>
            </w:pPr>
            <w:r>
              <w:rPr>
                <w:rFonts w:hint="eastAsia" w:asciiTheme="minorEastAsia" w:hAnsiTheme="minorEastAsia" w:eastAsiaTheme="minorEastAsia" w:cstheme="minorEastAsia"/>
              </w:rPr>
              <w:t>投标人应按照招标要求提供平台详细设计方案进行综合评审。方案包括①产品的总体介绍、开发流程；②遵循的标准、功能性能特色；③系统安全措施； ④系统检测运行方法、安装调试等</w:t>
            </w:r>
            <w:r>
              <w:rPr>
                <w:rFonts w:hint="eastAsia" w:asciiTheme="minorEastAsia" w:hAnsiTheme="minorEastAsia" w:eastAsiaTheme="minorEastAsia" w:cstheme="minorEastAsia"/>
                <w:lang w:val="zh-CN"/>
              </w:rPr>
              <w:t>以上四项内容，每提供一项得2分，本项最高得8分，否则不得分。</w:t>
            </w:r>
          </w:p>
          <w:p w14:paraId="603A407D">
            <w:pPr>
              <w:spacing w:line="4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二、产品性能</w:t>
            </w:r>
          </w:p>
          <w:p w14:paraId="43392D63">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投标人提供的产品性能优越、安全可靠、技术先进，提供经国家认证监督管理委员会认可的检验机构出具的带有 CMA 或 CNAS 标识的检测报告扫描件加盖投标人单位公章， 以下功能每支持 1 点得 2 分，满分 10 分：</w:t>
            </w:r>
          </w:p>
          <w:p w14:paraId="57F71481">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（1）平台支持课程学习、考试安排、毕业管理、学籍异动功能；</w:t>
            </w:r>
          </w:p>
          <w:p w14:paraId="148D1829">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（2）平台支持身份验证、 口令加密、具有灵活安全的授权机制；</w:t>
            </w:r>
          </w:p>
          <w:p w14:paraId="257E6F46">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（3）平台支持对用户输入的数据进行校验，包括：数据长度、 数字、字母、 日期、特殊符号、数据范围等；</w:t>
            </w:r>
          </w:p>
          <w:p w14:paraId="473A4D0E">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（4）平台支持自动刷新，提供必要的信息，指示系统处理状态；</w:t>
            </w:r>
          </w:p>
          <w:p w14:paraId="59C92281">
            <w:pPr>
              <w:pBdr>
                <w:top w:val="none" w:color="auto" w:sz="0" w:space="1"/>
                <w:left w:val="none" w:color="auto" w:sz="0" w:space="4"/>
                <w:bottom w:val="none" w:color="auto" w:sz="0" w:space="1"/>
                <w:right w:val="none" w:color="auto" w:sz="0" w:space="4"/>
              </w:pBdr>
              <w:spacing w:line="440" w:lineRule="exact"/>
              <w:rPr>
                <w:rFonts w:asciiTheme="minorEastAsia" w:hAnsiTheme="minorEastAsia" w:eastAsiaTheme="minorEastAsia" w:cstheme="minorEastAsia"/>
                <w:bCs/>
              </w:rPr>
            </w:pPr>
            <w:r>
              <w:rPr>
                <w:rFonts w:hint="eastAsia" w:asciiTheme="minorEastAsia" w:hAnsiTheme="minorEastAsia" w:eastAsiaTheme="minorEastAsia" w:cstheme="minorEastAsia"/>
              </w:rPr>
              <w:t>（5）平台支持伤害性操作提示、屏蔽用户错误、出错和界面提示。</w:t>
            </w:r>
          </w:p>
        </w:tc>
        <w:tc>
          <w:tcPr>
            <w:tcW w:w="769" w:type="dxa"/>
            <w:tcBorders>
              <w:tl2br w:val="nil"/>
              <w:tr2bl w:val="nil"/>
            </w:tcBorders>
            <w:vAlign w:val="center"/>
          </w:tcPr>
          <w:p w14:paraId="621DFDED">
            <w:pPr>
              <w:pStyle w:val="120"/>
              <w:spacing w:line="44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18</w:t>
            </w:r>
          </w:p>
        </w:tc>
      </w:tr>
      <w:tr w14:paraId="716088D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0" w:type="dxa"/>
            <w:tcBorders>
              <w:tl2br w:val="nil"/>
              <w:tr2bl w:val="nil"/>
            </w:tcBorders>
            <w:vAlign w:val="center"/>
          </w:tcPr>
          <w:p w14:paraId="41A8F064">
            <w:pPr>
              <w:pStyle w:val="120"/>
              <w:spacing w:line="440" w:lineRule="exact"/>
              <w:jc w:val="center"/>
              <w:rPr>
                <w:rFonts w:asciiTheme="minorEastAsia" w:hAnsiTheme="minorEastAsia" w:eastAsiaTheme="minorEastAsia" w:cstheme="minorEastAsia"/>
                <w:bCs/>
              </w:rPr>
            </w:pPr>
            <w:bookmarkStart w:id="37" w:name="_GoBack" w:colFirst="1" w:colLast="2"/>
            <w:r>
              <w:rPr>
                <w:rFonts w:hint="eastAsia" w:asciiTheme="minorEastAsia" w:hAnsiTheme="minorEastAsia" w:eastAsiaTheme="minorEastAsia" w:cstheme="minorEastAsia"/>
                <w:bCs/>
              </w:rPr>
              <w:t>5</w:t>
            </w:r>
          </w:p>
        </w:tc>
        <w:tc>
          <w:tcPr>
            <w:tcW w:w="1717" w:type="dxa"/>
            <w:tcBorders>
              <w:tl2br w:val="nil"/>
              <w:tr2bl w:val="nil"/>
            </w:tcBorders>
            <w:shd w:val="clear" w:color="auto" w:fill="auto"/>
            <w:vAlign w:val="center"/>
          </w:tcPr>
          <w:p w14:paraId="18F48385">
            <w:pPr>
              <w:pBdr>
                <w:top w:val="none" w:color="auto" w:sz="0" w:space="1"/>
                <w:left w:val="none" w:color="auto" w:sz="0" w:space="4"/>
                <w:bottom w:val="none" w:color="auto" w:sz="0" w:space="1"/>
                <w:right w:val="none" w:color="auto" w:sz="0" w:space="4"/>
              </w:pBdr>
              <w:spacing w:line="440" w:lineRule="exact"/>
              <w:contextualSpacing/>
              <w:jc w:val="center"/>
              <w:rPr>
                <w:rFonts w:asciiTheme="minorEastAsia" w:hAnsiTheme="minorEastAsia" w:eastAsiaTheme="minorEastAsia" w:cstheme="minorEastAsia"/>
                <w:b/>
                <w:kern w:val="10"/>
              </w:rPr>
            </w:pPr>
            <w:r>
              <w:rPr>
                <w:rFonts w:hint="eastAsia" w:asciiTheme="minorEastAsia" w:hAnsiTheme="minorEastAsia" w:eastAsiaTheme="minorEastAsia" w:cstheme="minorEastAsia"/>
                <w:lang w:val="zh-CN"/>
              </w:rPr>
              <w:t>售后服务</w:t>
            </w:r>
            <w:r>
              <w:rPr>
                <w:rFonts w:hint="eastAsia" w:asciiTheme="minorEastAsia" w:hAnsiTheme="minorEastAsia" w:eastAsiaTheme="minorEastAsia" w:cstheme="minorEastAsia"/>
              </w:rPr>
              <w:t>保障</w:t>
            </w:r>
          </w:p>
        </w:tc>
        <w:tc>
          <w:tcPr>
            <w:tcW w:w="7872" w:type="dxa"/>
            <w:tcBorders>
              <w:tl2br w:val="nil"/>
              <w:tr2bl w:val="nil"/>
            </w:tcBorders>
            <w:shd w:val="clear" w:color="auto" w:fill="auto"/>
            <w:vAlign w:val="center"/>
          </w:tcPr>
          <w:p w14:paraId="1EEC54FD">
            <w:pPr>
              <w:pBdr>
                <w:top w:val="none" w:color="auto" w:sz="0" w:space="1"/>
                <w:left w:val="none" w:color="auto" w:sz="0" w:space="4"/>
                <w:bottom w:val="none" w:color="auto" w:sz="0" w:space="1"/>
                <w:right w:val="none" w:color="auto" w:sz="0" w:space="4"/>
              </w:pBdr>
              <w:spacing w:line="440" w:lineRule="exact"/>
              <w:rPr>
                <w:rFonts w:asciiTheme="minorEastAsia" w:hAnsiTheme="minorEastAsia" w:eastAsiaTheme="minorEastAsia" w:cstheme="minorEastAsia"/>
                <w:bCs/>
                <w:lang w:val="zh-CN"/>
              </w:rPr>
            </w:pPr>
            <w:r>
              <w:rPr>
                <w:rFonts w:hint="eastAsia" w:asciiTheme="minorEastAsia" w:hAnsiTheme="minorEastAsia" w:eastAsiaTheme="minorEastAsia" w:cstheme="minorEastAsia"/>
                <w:bCs/>
                <w:lang w:val="zh-CN"/>
              </w:rPr>
              <w:t>一、售后服务保障</w:t>
            </w:r>
          </w:p>
          <w:p w14:paraId="42CA64A0">
            <w:pPr>
              <w:pBdr>
                <w:top w:val="none" w:color="auto" w:sz="0" w:space="1"/>
                <w:left w:val="none" w:color="auto" w:sz="0" w:space="4"/>
                <w:bottom w:val="none" w:color="auto" w:sz="0" w:space="1"/>
                <w:right w:val="none" w:color="auto" w:sz="0" w:space="4"/>
              </w:pBdr>
              <w:spacing w:line="440" w:lineRule="exact"/>
              <w:rPr>
                <w:rFonts w:asciiTheme="minorEastAsia" w:hAnsiTheme="minorEastAsia" w:eastAsiaTheme="minorEastAsia" w:cstheme="minorEastAsia"/>
                <w:bCs/>
                <w:lang w:val="zh-CN"/>
              </w:rPr>
            </w:pPr>
            <w:r>
              <w:rPr>
                <w:rFonts w:hint="eastAsia" w:asciiTheme="minorEastAsia" w:hAnsiTheme="minorEastAsia" w:eastAsiaTheme="minorEastAsia" w:cstheme="minorEastAsia"/>
                <w:bCs/>
                <w:lang w:val="zh-CN"/>
              </w:rPr>
              <w:t>1、供应商针对本项目提供完善的培训及售后服务方案，方案内容包含但不限于：①培训方案、②售后服务标准、③售后服务流程、④响应时间、⑤</w:t>
            </w:r>
            <w:r>
              <w:rPr>
                <w:rFonts w:hint="eastAsia" w:asciiTheme="minorEastAsia" w:hAnsiTheme="minorEastAsia" w:eastAsiaTheme="minorEastAsia" w:cstheme="minorEastAsia"/>
                <w:bCs/>
              </w:rPr>
              <w:t>应急预案、⑥服务保障</w:t>
            </w:r>
            <w:r>
              <w:rPr>
                <w:rFonts w:hint="eastAsia" w:asciiTheme="minorEastAsia" w:hAnsiTheme="minorEastAsia" w:eastAsiaTheme="minorEastAsia" w:cstheme="minorEastAsia"/>
                <w:bCs/>
                <w:lang w:val="zh-CN"/>
              </w:rPr>
              <w:t>等以上</w:t>
            </w:r>
            <w:r>
              <w:rPr>
                <w:rFonts w:hint="eastAsia" w:asciiTheme="minorEastAsia" w:hAnsiTheme="minorEastAsia" w:eastAsiaTheme="minorEastAsia" w:cstheme="minorEastAsia"/>
                <w:bCs/>
              </w:rPr>
              <w:t>六</w:t>
            </w:r>
            <w:r>
              <w:rPr>
                <w:rFonts w:hint="eastAsia" w:asciiTheme="minorEastAsia" w:hAnsiTheme="minorEastAsia" w:eastAsiaTheme="minorEastAsia" w:cstheme="minorEastAsia"/>
                <w:bCs/>
                <w:lang w:val="zh-CN"/>
              </w:rPr>
              <w:t>项内容，每提供一项得</w:t>
            </w:r>
            <w:r>
              <w:rPr>
                <w:rFonts w:hint="eastAsia" w:asciiTheme="minorEastAsia" w:hAnsiTheme="minorEastAsia" w:eastAsiaTheme="minorEastAsia" w:cstheme="minorEastAsia"/>
                <w:bCs/>
              </w:rPr>
              <w:t>3</w:t>
            </w:r>
            <w:r>
              <w:rPr>
                <w:rFonts w:hint="eastAsia" w:asciiTheme="minorEastAsia" w:hAnsiTheme="minorEastAsia" w:eastAsiaTheme="minorEastAsia" w:cstheme="minorEastAsia"/>
                <w:bCs/>
                <w:lang w:val="zh-CN"/>
              </w:rPr>
              <w:t>分，本项最高得</w:t>
            </w:r>
            <w:r>
              <w:rPr>
                <w:rFonts w:hint="eastAsia" w:asciiTheme="minorEastAsia" w:hAnsiTheme="minorEastAsia" w:eastAsiaTheme="minorEastAsia" w:cstheme="minorEastAsia"/>
                <w:bCs/>
              </w:rPr>
              <w:t>18</w:t>
            </w:r>
            <w:r>
              <w:rPr>
                <w:rFonts w:hint="eastAsia" w:asciiTheme="minorEastAsia" w:hAnsiTheme="minorEastAsia" w:eastAsiaTheme="minorEastAsia" w:cstheme="minorEastAsia"/>
                <w:bCs/>
                <w:lang w:val="zh-CN"/>
              </w:rPr>
              <w:t>分，否则不得分。</w:t>
            </w:r>
          </w:p>
          <w:p w14:paraId="57D73AD7">
            <w:pPr>
              <w:pBdr>
                <w:top w:val="none" w:color="auto" w:sz="0" w:space="1"/>
                <w:left w:val="none" w:color="auto" w:sz="0" w:space="4"/>
                <w:bottom w:val="none" w:color="auto" w:sz="0" w:space="1"/>
                <w:right w:val="none" w:color="auto" w:sz="0" w:space="4"/>
              </w:pBdr>
              <w:spacing w:line="440" w:lineRule="exact"/>
              <w:rPr>
                <w:rFonts w:asciiTheme="minorEastAsia" w:hAnsiTheme="minorEastAsia" w:eastAsiaTheme="minorEastAsia" w:cstheme="minorEastAsia"/>
                <w:bCs/>
                <w:lang w:val="zh-CN"/>
              </w:rPr>
            </w:pPr>
            <w:r>
              <w:rPr>
                <w:rFonts w:hint="eastAsia" w:asciiTheme="minorEastAsia" w:hAnsiTheme="minorEastAsia" w:eastAsiaTheme="minorEastAsia" w:cstheme="minorEastAsia"/>
                <w:bCs/>
                <w:lang w:val="zh-CN"/>
              </w:rPr>
              <w:t>二、服务团队</w:t>
            </w:r>
          </w:p>
          <w:p w14:paraId="1AF33D6B">
            <w:pPr>
              <w:pBdr>
                <w:top w:val="none" w:color="auto" w:sz="0" w:space="1"/>
                <w:left w:val="none" w:color="auto" w:sz="0" w:space="4"/>
                <w:bottom w:val="none" w:color="auto" w:sz="0" w:space="1"/>
                <w:right w:val="none" w:color="auto" w:sz="0" w:space="4"/>
              </w:pBdr>
              <w:spacing w:line="44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lang w:val="zh-CN"/>
              </w:rPr>
              <w:t>拟投入本项目的项目组成员具有与本项目相关的资质证书：pmp或信息系统项目管理师证书、网络安全架构师、信息系统运维工程师、信息系统集成管理、云计算技术、软件测评师、保密教育培训证书，</w:t>
            </w:r>
            <w:r>
              <w:rPr>
                <w:rFonts w:hint="eastAsia" w:asciiTheme="minorEastAsia" w:hAnsiTheme="minorEastAsia" w:eastAsiaTheme="minorEastAsia" w:cstheme="minorEastAsia"/>
                <w:bCs/>
              </w:rPr>
              <w:t>每提供一人得1分，本项最高得8分。</w:t>
            </w:r>
          </w:p>
          <w:p w14:paraId="1E451DF3">
            <w:pPr>
              <w:pBdr>
                <w:top w:val="none" w:color="auto" w:sz="0" w:space="1"/>
                <w:left w:val="none" w:color="auto" w:sz="0" w:space="4"/>
                <w:bottom w:val="none" w:color="auto" w:sz="0" w:space="1"/>
                <w:right w:val="none" w:color="auto" w:sz="0" w:space="4"/>
              </w:pBdr>
              <w:spacing w:line="44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lang w:val="zh-CN"/>
              </w:rPr>
              <w:t>评审依据：提供所需证书复印件，并提供2024年1月至今任意1个月供应商为证书拥有人缴纳社保的证明，否则不计分。</w:t>
            </w:r>
          </w:p>
        </w:tc>
        <w:tc>
          <w:tcPr>
            <w:tcW w:w="769" w:type="dxa"/>
            <w:tcBorders>
              <w:tl2br w:val="nil"/>
              <w:tr2bl w:val="nil"/>
            </w:tcBorders>
            <w:vAlign w:val="center"/>
          </w:tcPr>
          <w:p w14:paraId="20DA6E1F">
            <w:pPr>
              <w:pStyle w:val="120"/>
              <w:spacing w:line="44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26</w:t>
            </w:r>
          </w:p>
        </w:tc>
      </w:tr>
      <w:bookmarkEnd w:id="37"/>
    </w:tbl>
    <w:p w14:paraId="6E2FA3BD">
      <w:pPr>
        <w:jc w:val="center"/>
        <w:rPr>
          <w:rFonts w:asciiTheme="minorEastAsia" w:hAnsiTheme="minorEastAsia" w:eastAsiaTheme="minorEastAsia" w:cstheme="minorEastAsia"/>
          <w:bCs/>
        </w:rPr>
      </w:pPr>
    </w:p>
    <w:p w14:paraId="266E14BE">
      <w:pPr>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经济部分（占总分值的10%）</w:t>
      </w:r>
    </w:p>
    <w:tbl>
      <w:tblPr>
        <w:tblStyle w:val="40"/>
        <w:tblW w:w="11149"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54"/>
        <w:gridCol w:w="8190"/>
        <w:gridCol w:w="1276"/>
      </w:tblGrid>
      <w:tr w14:paraId="657D14B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46" w:hRule="atLeast"/>
          <w:tblHeader/>
          <w:jc w:val="center"/>
        </w:trPr>
        <w:tc>
          <w:tcPr>
            <w:tcW w:w="829" w:type="dxa"/>
            <w:tcBorders>
              <w:tl2br w:val="nil"/>
              <w:tr2bl w:val="nil"/>
            </w:tcBorders>
            <w:vAlign w:val="center"/>
          </w:tcPr>
          <w:p w14:paraId="69724183">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序号</w:t>
            </w:r>
          </w:p>
        </w:tc>
        <w:tc>
          <w:tcPr>
            <w:tcW w:w="854" w:type="dxa"/>
            <w:tcBorders>
              <w:tl2br w:val="nil"/>
              <w:tr2bl w:val="nil"/>
            </w:tcBorders>
            <w:vAlign w:val="center"/>
          </w:tcPr>
          <w:p w14:paraId="5BA0997B">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评审项目</w:t>
            </w:r>
          </w:p>
        </w:tc>
        <w:tc>
          <w:tcPr>
            <w:tcW w:w="8190" w:type="dxa"/>
            <w:tcBorders>
              <w:tl2br w:val="nil"/>
              <w:tr2bl w:val="nil"/>
            </w:tcBorders>
            <w:vAlign w:val="center"/>
          </w:tcPr>
          <w:p w14:paraId="3F116B5A">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评分标准</w:t>
            </w:r>
          </w:p>
        </w:tc>
        <w:tc>
          <w:tcPr>
            <w:tcW w:w="1276" w:type="dxa"/>
            <w:tcBorders>
              <w:tl2br w:val="nil"/>
              <w:tr2bl w:val="nil"/>
            </w:tcBorders>
            <w:vAlign w:val="center"/>
          </w:tcPr>
          <w:p w14:paraId="70573B75">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分值</w:t>
            </w:r>
          </w:p>
        </w:tc>
      </w:tr>
      <w:tr w14:paraId="449459B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829" w:type="dxa"/>
            <w:tcBorders>
              <w:tl2br w:val="nil"/>
              <w:tr2bl w:val="nil"/>
            </w:tcBorders>
            <w:vAlign w:val="center"/>
          </w:tcPr>
          <w:p w14:paraId="7E465AB0">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1</w:t>
            </w:r>
          </w:p>
        </w:tc>
        <w:tc>
          <w:tcPr>
            <w:tcW w:w="854" w:type="dxa"/>
            <w:tcBorders>
              <w:tl2br w:val="nil"/>
              <w:tr2bl w:val="nil"/>
            </w:tcBorders>
            <w:vAlign w:val="center"/>
          </w:tcPr>
          <w:p w14:paraId="1E9F032B">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报价</w:t>
            </w:r>
          </w:p>
        </w:tc>
        <w:tc>
          <w:tcPr>
            <w:tcW w:w="8190" w:type="dxa"/>
            <w:tcBorders>
              <w:tl2br w:val="nil"/>
              <w:tr2bl w:val="nil"/>
            </w:tcBorders>
            <w:vAlign w:val="center"/>
          </w:tcPr>
          <w:p w14:paraId="5472D014">
            <w:p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价格得分的评分方法：价格分采用低价优先法计算，即满足招标文件要求且最低的投标报价为评标基准价，其价格分为满分。其他中标方的价格得分统一按照下列公式计算： 投标报价得分=（评标基准价/投标报价）×10%×100，如此类推，算出所有投标中标方的价格得分。</w:t>
            </w:r>
          </w:p>
        </w:tc>
        <w:tc>
          <w:tcPr>
            <w:tcW w:w="1276" w:type="dxa"/>
            <w:tcBorders>
              <w:tl2br w:val="nil"/>
              <w:tr2bl w:val="nil"/>
            </w:tcBorders>
            <w:vAlign w:val="center"/>
          </w:tcPr>
          <w:p w14:paraId="04B7FA33">
            <w:pPr>
              <w:spacing w:line="36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10分</w:t>
            </w:r>
          </w:p>
        </w:tc>
      </w:tr>
    </w:tbl>
    <w:p w14:paraId="64316288">
      <w:pPr>
        <w:spacing w:line="360" w:lineRule="auto"/>
        <w:jc w:val="center"/>
        <w:outlineLvl w:val="1"/>
        <w:rPr>
          <w:rFonts w:asciiTheme="minorEastAsia" w:hAnsiTheme="minorEastAsia" w:eastAsiaTheme="minorEastAsia" w:cstheme="minorEastAsia"/>
          <w:b/>
          <w:sz w:val="32"/>
          <w:szCs w:val="32"/>
        </w:rPr>
      </w:pPr>
    </w:p>
    <w:p w14:paraId="3E3FB5B7">
      <w:pPr>
        <w:spacing w:line="360" w:lineRule="auto"/>
        <w:jc w:val="center"/>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第七章 定　标</w:t>
      </w:r>
      <w:bookmarkEnd w:id="17"/>
    </w:p>
    <w:p w14:paraId="07DAC543">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23. 定标标准</w:t>
      </w:r>
    </w:p>
    <w:p w14:paraId="4195F24E">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23.1　合同将授予被确定为实质性响应招标文件要求，经评定认为具备履行合同能力、报价合理、技术和商务条件都符合招标文件要求的，得分最高的投标人。</w:t>
      </w:r>
    </w:p>
    <w:p w14:paraId="6ED42E87">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23.2　如果确定中标人没有条件圆满履行合同，招标方有权按照投标人的得分高低把合同授予下一个中标候选人。</w:t>
      </w:r>
    </w:p>
    <w:p w14:paraId="3E2B3230">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24. 接受和拒绝任何或所有投标的权力</w:t>
      </w:r>
    </w:p>
    <w:p w14:paraId="667EEB4C">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24.1　为维护国家利益，招标方在授予合同之前仍有选择或拒绝任何全部投标的权力。</w:t>
      </w:r>
    </w:p>
    <w:p w14:paraId="2DA5CF29">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25. 中标通知书</w:t>
      </w:r>
    </w:p>
    <w:p w14:paraId="72A039AF">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25.1 中标结果确定后，招标方将以书面形式发出《中标通知书》，但发出时间不超过投标有效期，《中标通知书》一经发出即发生法律效力。</w:t>
      </w:r>
    </w:p>
    <w:p w14:paraId="6674F243">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25.2  《中标通知书》将作为签订合同的依据。</w:t>
      </w:r>
    </w:p>
    <w:p w14:paraId="6B113DFF">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25.3  中标人在领取《中标通知书》时，必须按招标文件规定向招标代理机构缴纳招标代理服务费。</w:t>
      </w:r>
    </w:p>
    <w:p w14:paraId="2C5ED0DB">
      <w:pPr>
        <w:spacing w:line="360" w:lineRule="auto"/>
        <w:ind w:firstLine="424" w:firstLineChars="180"/>
        <w:rPr>
          <w:rFonts w:asciiTheme="minorEastAsia" w:hAnsiTheme="minorEastAsia" w:eastAsiaTheme="minorEastAsia" w:cstheme="minorEastAsia"/>
          <w:spacing w:val="-2"/>
        </w:rPr>
      </w:pPr>
    </w:p>
    <w:p w14:paraId="3C3D47E6">
      <w:pPr>
        <w:spacing w:line="360" w:lineRule="auto"/>
        <w:ind w:firstLine="643" w:firstLineChars="200"/>
        <w:jc w:val="center"/>
        <w:outlineLvl w:val="1"/>
        <w:rPr>
          <w:rFonts w:asciiTheme="minorEastAsia" w:hAnsiTheme="minorEastAsia" w:eastAsiaTheme="minorEastAsia" w:cstheme="minorEastAsia"/>
          <w:b/>
          <w:sz w:val="32"/>
          <w:szCs w:val="32"/>
        </w:rPr>
      </w:pPr>
      <w:bookmarkStart w:id="18" w:name="_Toc80724660"/>
      <w:bookmarkStart w:id="19" w:name="_Toc507513106"/>
      <w:r>
        <w:rPr>
          <w:rFonts w:hint="eastAsia" w:asciiTheme="minorEastAsia" w:hAnsiTheme="minorEastAsia" w:eastAsiaTheme="minorEastAsia" w:cstheme="minorEastAsia"/>
          <w:b/>
          <w:sz w:val="32"/>
          <w:szCs w:val="32"/>
        </w:rPr>
        <w:t>第八章 授予合同</w:t>
      </w:r>
      <w:bookmarkEnd w:id="18"/>
      <w:bookmarkEnd w:id="19"/>
    </w:p>
    <w:p w14:paraId="58356B8B">
      <w:pPr>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26. 签订合同</w:t>
      </w:r>
    </w:p>
    <w:p w14:paraId="79F06306">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26.1  中标人收到招标方的《中标通知书》后三十日内，按照招标文件和中标人投标文件中的约定与采购人签订书面合同，所签订的合同不得对招标文件和中标人的投标文件作实质性修改。</w:t>
      </w:r>
    </w:p>
    <w:p w14:paraId="1A243FB8">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26.2  招标方在授予合同时，有权对招标文件中规定的货物和服务的数量在10%的幅度内予以增加。</w:t>
      </w:r>
    </w:p>
    <w:p w14:paraId="71E3CF5F">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26.3  如中标人拒签合同，则按违约处理。</w:t>
      </w:r>
    </w:p>
    <w:p w14:paraId="11F4814A">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26.4  招标文件、中标人的投标文件及其澄清文件等，均为签订合同的依据。</w:t>
      </w:r>
    </w:p>
    <w:p w14:paraId="534508E0">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26.5  不允许中标人将中标项目分包或转交他人承担。</w:t>
      </w:r>
    </w:p>
    <w:p w14:paraId="6BB75772">
      <w:pPr>
        <w:spacing w:line="360" w:lineRule="auto"/>
        <w:ind w:firstLine="472"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27 投标人低价恶意中标不能按要求供货的，五年内禁止参加</w:t>
      </w:r>
      <w:r>
        <w:rPr>
          <w:rFonts w:hint="eastAsia" w:asciiTheme="minorEastAsia" w:hAnsiTheme="minorEastAsia" w:eastAsiaTheme="minorEastAsia" w:cstheme="minorEastAsia"/>
          <w:b/>
          <w:bCs/>
          <w:spacing w:val="-2"/>
        </w:rPr>
        <w:t>乌鲁木齐职业大学</w:t>
      </w:r>
      <w:r>
        <w:rPr>
          <w:rFonts w:hint="eastAsia" w:asciiTheme="minorEastAsia" w:hAnsiTheme="minorEastAsia" w:eastAsiaTheme="minorEastAsia" w:cstheme="minorEastAsia"/>
          <w:spacing w:val="-2"/>
        </w:rPr>
        <w:t>的任何招标活动。</w:t>
      </w:r>
    </w:p>
    <w:p w14:paraId="3F5809F6">
      <w:pPr>
        <w:spacing w:line="360" w:lineRule="auto"/>
        <w:ind w:firstLine="472" w:firstLineChars="200"/>
        <w:rPr>
          <w:rFonts w:asciiTheme="minorEastAsia" w:hAnsiTheme="minorEastAsia" w:eastAsiaTheme="minorEastAsia" w:cstheme="minorEastAsia"/>
          <w:bCs/>
          <w:spacing w:val="-2"/>
        </w:rPr>
      </w:pPr>
      <w:bookmarkStart w:id="20" w:name="_Toc80724661"/>
      <w:r>
        <w:rPr>
          <w:rFonts w:hint="eastAsia" w:asciiTheme="minorEastAsia" w:hAnsiTheme="minorEastAsia" w:eastAsiaTheme="minorEastAsia" w:cstheme="minorEastAsia"/>
          <w:bCs/>
          <w:spacing w:val="-2"/>
        </w:rPr>
        <w:t>28  合同签订、服务交付采购人使用后，采购人将依据采购文件中采购需求及中标（成交）人投标（响应）文件中的响应内容组织项目履约验收。</w:t>
      </w:r>
    </w:p>
    <w:p w14:paraId="4637A0B6">
      <w:pPr>
        <w:spacing w:line="360" w:lineRule="auto"/>
        <w:ind w:firstLine="474" w:firstLineChars="200"/>
        <w:rPr>
          <w:rFonts w:asciiTheme="minorEastAsia" w:hAnsiTheme="minorEastAsia" w:eastAsiaTheme="minorEastAsia" w:cstheme="minorEastAsia"/>
          <w:b/>
          <w:spacing w:val="-2"/>
        </w:rPr>
      </w:pPr>
      <w:r>
        <w:rPr>
          <w:rFonts w:hint="eastAsia" w:asciiTheme="minorEastAsia" w:hAnsiTheme="minorEastAsia" w:eastAsiaTheme="minorEastAsia" w:cstheme="minorEastAsia"/>
          <w:b/>
          <w:spacing w:val="-2"/>
        </w:rPr>
        <w:t>29  中标人与采购人签订合同时，必须提供产品合法来源证明材料。</w:t>
      </w:r>
    </w:p>
    <w:p w14:paraId="0A524F8D">
      <w:pPr>
        <w:spacing w:line="360" w:lineRule="auto"/>
        <w:ind w:firstLine="472" w:firstLineChars="200"/>
        <w:rPr>
          <w:rFonts w:asciiTheme="minorEastAsia" w:hAnsiTheme="minorEastAsia" w:eastAsiaTheme="minorEastAsia" w:cstheme="minorEastAsia"/>
          <w:bCs/>
          <w:spacing w:val="-2"/>
        </w:rPr>
      </w:pPr>
      <w:r>
        <w:rPr>
          <w:rFonts w:hint="eastAsia" w:asciiTheme="minorEastAsia" w:hAnsiTheme="minorEastAsia" w:eastAsiaTheme="minorEastAsia" w:cstheme="minorEastAsia"/>
          <w:bCs/>
          <w:spacing w:val="-2"/>
        </w:rPr>
        <w:t>30 中标人将政府采购合同扫描件于签订合同之日起3个工作日发送到本项目招标代理机构联系邮箱以进行备案留存。</w:t>
      </w:r>
    </w:p>
    <w:p w14:paraId="730A8173">
      <w:pPr>
        <w:pStyle w:val="154"/>
        <w:keepNext/>
        <w:keepLines/>
        <w:adjustRightInd w:val="0"/>
        <w:spacing w:before="260" w:after="260" w:line="360" w:lineRule="auto"/>
        <w:jc w:val="left"/>
        <w:textAlignment w:val="baseline"/>
        <w:outlineLvl w:val="2"/>
        <w:rPr>
          <w:rFonts w:asciiTheme="minorEastAsia" w:hAnsiTheme="minorEastAsia" w:eastAsiaTheme="minorEastAsia" w:cstheme="minorEastAsia"/>
          <w:bCs/>
          <w:spacing w:val="-2"/>
          <w:sz w:val="24"/>
          <w:szCs w:val="24"/>
        </w:rPr>
      </w:pPr>
      <w:bookmarkStart w:id="21" w:name="_Toc519111271"/>
      <w:bookmarkStart w:id="22" w:name="_Toc256000064"/>
      <w:r>
        <w:rPr>
          <w:rFonts w:hint="eastAsia" w:asciiTheme="minorEastAsia" w:hAnsiTheme="minorEastAsia" w:eastAsiaTheme="minorEastAsia" w:cstheme="minorEastAsia"/>
          <w:bCs/>
          <w:spacing w:val="-2"/>
          <w:sz w:val="24"/>
          <w:szCs w:val="24"/>
        </w:rPr>
        <w:t>十二、保密和披露</w:t>
      </w:r>
      <w:bookmarkEnd w:id="21"/>
      <w:bookmarkEnd w:id="22"/>
    </w:p>
    <w:p w14:paraId="3D13F21F">
      <w:pPr>
        <w:pStyle w:val="154"/>
        <w:spacing w:line="360" w:lineRule="auto"/>
        <w:rPr>
          <w:rFonts w:asciiTheme="minorEastAsia" w:hAnsiTheme="minorEastAsia" w:eastAsiaTheme="minorEastAsia" w:cstheme="minorEastAsia"/>
          <w:bCs/>
          <w:spacing w:val="-2"/>
          <w:sz w:val="24"/>
          <w:szCs w:val="24"/>
        </w:rPr>
      </w:pPr>
      <w:r>
        <w:rPr>
          <w:rFonts w:hint="eastAsia" w:asciiTheme="minorEastAsia" w:hAnsiTheme="minorEastAsia" w:eastAsiaTheme="minorEastAsia" w:cstheme="minorEastAsia"/>
          <w:bCs/>
          <w:spacing w:val="-2"/>
          <w:sz w:val="24"/>
          <w:szCs w:val="24"/>
        </w:rPr>
        <w:t>31.保密和披露</w:t>
      </w:r>
    </w:p>
    <w:p w14:paraId="046A7999">
      <w:pPr>
        <w:pStyle w:val="154"/>
        <w:spacing w:line="360" w:lineRule="auto"/>
        <w:ind w:firstLine="472" w:firstLineChars="200"/>
        <w:rPr>
          <w:rFonts w:asciiTheme="minorEastAsia" w:hAnsiTheme="minorEastAsia" w:eastAsiaTheme="minorEastAsia" w:cstheme="minorEastAsia"/>
          <w:bCs/>
          <w:spacing w:val="-2"/>
          <w:sz w:val="24"/>
          <w:szCs w:val="24"/>
        </w:rPr>
      </w:pPr>
      <w:r>
        <w:rPr>
          <w:rFonts w:hint="eastAsia" w:asciiTheme="minorEastAsia" w:hAnsiTheme="minorEastAsia" w:eastAsiaTheme="minorEastAsia" w:cstheme="minorEastAsia"/>
          <w:bCs/>
          <w:spacing w:val="-2"/>
          <w:sz w:val="24"/>
          <w:szCs w:val="24"/>
        </w:rPr>
        <w:t>31.1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77CEA674">
      <w:pPr>
        <w:pStyle w:val="154"/>
        <w:spacing w:line="360" w:lineRule="auto"/>
        <w:ind w:firstLine="472" w:firstLineChars="200"/>
        <w:rPr>
          <w:rFonts w:asciiTheme="minorEastAsia" w:hAnsiTheme="minorEastAsia" w:eastAsiaTheme="minorEastAsia" w:cstheme="minorEastAsia"/>
          <w:bCs/>
          <w:spacing w:val="-2"/>
          <w:sz w:val="24"/>
          <w:szCs w:val="24"/>
        </w:rPr>
      </w:pPr>
      <w:r>
        <w:rPr>
          <w:rFonts w:hint="eastAsia" w:asciiTheme="minorEastAsia" w:hAnsiTheme="minorEastAsia" w:eastAsiaTheme="minorEastAsia" w:cstheme="minorEastAsia"/>
          <w:bCs/>
          <w:spacing w:val="-2"/>
          <w:sz w:val="24"/>
          <w:szCs w:val="24"/>
        </w:rPr>
        <w:t>31.2采购代理机构有权将投标人提供的所有资料向有关政府部门或评审标书的有关人员披露。</w:t>
      </w:r>
    </w:p>
    <w:p w14:paraId="144ED33A">
      <w:pPr>
        <w:pStyle w:val="154"/>
        <w:spacing w:line="360" w:lineRule="auto"/>
        <w:ind w:firstLine="472" w:firstLineChars="200"/>
        <w:rPr>
          <w:rFonts w:asciiTheme="minorEastAsia" w:hAnsiTheme="minorEastAsia" w:eastAsiaTheme="minorEastAsia" w:cstheme="minorEastAsia"/>
          <w:bCs/>
          <w:spacing w:val="-2"/>
          <w:sz w:val="24"/>
          <w:szCs w:val="24"/>
        </w:rPr>
      </w:pPr>
      <w:r>
        <w:rPr>
          <w:rFonts w:hint="eastAsia" w:asciiTheme="minorEastAsia" w:hAnsiTheme="minorEastAsia" w:eastAsiaTheme="minorEastAsia" w:cstheme="minorEastAsia"/>
          <w:bCs/>
          <w:spacing w:val="-2"/>
          <w:sz w:val="24"/>
          <w:szCs w:val="24"/>
        </w:rPr>
        <w:t>31.3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64AE03C3">
      <w:pPr>
        <w:spacing w:line="440" w:lineRule="exact"/>
        <w:jc w:val="center"/>
        <w:outlineLvl w:val="0"/>
        <w:rPr>
          <w:rFonts w:asciiTheme="minorEastAsia" w:hAnsiTheme="minorEastAsia" w:eastAsiaTheme="minorEastAsia" w:cstheme="minorEastAsia"/>
          <w:b/>
          <w:sz w:val="36"/>
        </w:rPr>
        <w:sectPr>
          <w:pgSz w:w="11906" w:h="16838"/>
          <w:pgMar w:top="1134" w:right="1134" w:bottom="1134" w:left="1134" w:header="851" w:footer="992" w:gutter="0"/>
          <w:cols w:space="720" w:num="1"/>
          <w:docGrid w:type="lines" w:linePitch="333" w:charSpace="0"/>
        </w:sectPr>
      </w:pPr>
    </w:p>
    <w:p w14:paraId="13326CC7">
      <w:pPr>
        <w:spacing w:line="440" w:lineRule="exact"/>
        <w:jc w:val="center"/>
        <w:outlineLvl w:val="0"/>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t>第四部分  采购需求</w:t>
      </w:r>
      <w:bookmarkEnd w:id="20"/>
    </w:p>
    <w:p w14:paraId="7FE2FB3A">
      <w:pPr>
        <w:tabs>
          <w:tab w:val="left" w:pos="0"/>
        </w:tabs>
        <w:spacing w:before="166" w:beforeLines="50" w:line="360" w:lineRule="auto"/>
        <w:jc w:val="center"/>
        <w:rPr>
          <w:rFonts w:ascii="黑体" w:hAnsi="黑体" w:eastAsia="黑体"/>
          <w:b/>
          <w:bCs/>
          <w:sz w:val="28"/>
          <w:szCs w:val="28"/>
        </w:rPr>
      </w:pPr>
      <w:bookmarkStart w:id="23" w:name="_Toc80724662"/>
      <w:r>
        <w:rPr>
          <w:rFonts w:hint="eastAsia" w:ascii="黑体" w:hAnsi="黑体" w:eastAsia="黑体"/>
          <w:b/>
          <w:bCs/>
          <w:sz w:val="28"/>
          <w:szCs w:val="28"/>
        </w:rPr>
        <w:t>乌鲁木齐职业大学2025年乌鲁木齐市中小学和幼儿园教师数字素养研修网络课程资源采购项目需求</w:t>
      </w:r>
    </w:p>
    <w:p w14:paraId="5F440CDF">
      <w:pPr>
        <w:pStyle w:val="3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C52364B">
      <w:pPr>
        <w:numPr>
          <w:ilvl w:val="0"/>
          <w:numId w:val="9"/>
        </w:numPr>
        <w:spacing w:before="166" w:beforeLines="50" w:line="360" w:lineRule="auto"/>
        <w:outlineLvl w:val="0"/>
        <w:rPr>
          <w:rFonts w:ascii="黑体" w:hAnsi="黑体" w:eastAsia="黑体" w:cs="黑体"/>
          <w:lang w:val="zh-CN"/>
        </w:rPr>
      </w:pPr>
      <w:r>
        <w:rPr>
          <w:rFonts w:hint="eastAsia" w:ascii="黑体" w:hAnsi="黑体" w:eastAsia="黑体" w:cs="黑体"/>
          <w:lang w:val="zh-CN"/>
        </w:rPr>
        <w:t xml:space="preserve">采购项目名称 </w:t>
      </w:r>
    </w:p>
    <w:p w14:paraId="0798ADFF">
      <w:pPr>
        <w:tabs>
          <w:tab w:val="left" w:pos="0"/>
        </w:tabs>
        <w:spacing w:before="166" w:beforeLines="50" w:line="360" w:lineRule="auto"/>
        <w:ind w:firstLine="480" w:firstLineChars="200"/>
        <w:outlineLvl w:val="0"/>
        <w:rPr>
          <w:szCs w:val="21"/>
        </w:rPr>
      </w:pPr>
      <w:r>
        <w:rPr>
          <w:rFonts w:hint="eastAsia"/>
          <w:szCs w:val="21"/>
        </w:rPr>
        <w:t>乌鲁木齐职业大学“2025年乌鲁木齐市中小学和幼儿园教师数字素养研修网络课程资源”采购项目</w:t>
      </w:r>
    </w:p>
    <w:p w14:paraId="1F6DA126">
      <w:pPr>
        <w:pStyle w:val="3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hAnsi="黑体" w:eastAsia="黑体" w:cs="黑体"/>
          <w:sz w:val="24"/>
          <w:lang w:val="zh-CN"/>
        </w:rPr>
      </w:pPr>
      <w:r>
        <w:rPr>
          <w:rFonts w:hint="eastAsia" w:ascii="黑体" w:hAnsi="黑体" w:eastAsia="黑体" w:cs="黑体"/>
          <w:sz w:val="24"/>
          <w:lang w:val="zh-CN"/>
        </w:rPr>
        <w:t>二、采购预算</w:t>
      </w:r>
    </w:p>
    <w:p w14:paraId="21B31981">
      <w:pPr>
        <w:tabs>
          <w:tab w:val="left" w:pos="0"/>
        </w:tabs>
        <w:spacing w:before="166" w:beforeLines="50" w:line="360" w:lineRule="auto"/>
        <w:ind w:firstLine="480" w:firstLineChars="200"/>
        <w:outlineLvl w:val="0"/>
        <w:rPr>
          <w:rFonts w:ascii="Arial" w:hAnsi="Arial"/>
        </w:rPr>
      </w:pPr>
      <w:r>
        <w:rPr>
          <w:rFonts w:hint="eastAsia" w:ascii="Arial" w:hAnsi="Arial"/>
        </w:rPr>
        <w:t>本采购项目预计课时总量为200,000课时，采购预算45万元整。项目费用采用据实结算机制，最终执行金额将依据实际使用课时数核算。采购内容涵盖课程资源采购、平台使用、培训服务、技术支持服务等与本次采购相关的全部费用，包含但不限于课程资源、平台运维、技术保障等全流程支出，确保项目顺利实施。供应商报价不得超过预算金额，否则视为无效报价。</w:t>
      </w:r>
    </w:p>
    <w:p w14:paraId="2E0B7363">
      <w:pPr>
        <w:pStyle w:val="3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hAnsi="黑体" w:eastAsia="黑体" w:cs="黑体"/>
          <w:sz w:val="24"/>
          <w:lang w:val="zh-CN"/>
        </w:rPr>
      </w:pPr>
      <w:r>
        <w:rPr>
          <w:rFonts w:hint="eastAsia" w:ascii="黑体" w:hAnsi="黑体" w:eastAsia="黑体" w:cs="黑体"/>
          <w:sz w:val="24"/>
          <w:lang w:val="zh-CN"/>
        </w:rPr>
        <w:t>三、服务内容及要求</w:t>
      </w:r>
    </w:p>
    <w:p w14:paraId="16A9B0E1">
      <w:pPr>
        <w:tabs>
          <w:tab w:val="left" w:pos="0"/>
        </w:tabs>
        <w:spacing w:before="166" w:beforeLines="50" w:line="360" w:lineRule="auto"/>
        <w:ind w:firstLine="480" w:firstLineChars="200"/>
        <w:outlineLvl w:val="0"/>
        <w:rPr>
          <w:rFonts w:ascii="Arial" w:hAnsi="Arial"/>
        </w:rPr>
      </w:pPr>
      <w:r>
        <w:rPr>
          <w:rFonts w:hint="eastAsia" w:ascii="Arial" w:hAnsi="Arial"/>
        </w:rPr>
        <w:t>《教育强国建设规划纲要（2024－2035年）》提出实施国家教育数字化战略，促进人工智能助力教育变革，制定完善师生数字素养标准，深化人工智能助推教师队伍建设。教师专业发展与教师数字素养的培养已成为教育改革的关键任务。为进一步提升乌鲁木齐市中小学和幼儿园教师数字素养，通过为教师提供全面、系统、优质的培训课程资源和便捷的培训平台，助力教师队伍素质整体提升，组织开展“2025年乌鲁木齐市中小学</w:t>
      </w:r>
      <w:r>
        <w:rPr>
          <w:rFonts w:hint="eastAsia"/>
          <w:szCs w:val="21"/>
        </w:rPr>
        <w:t>和幼儿园教师数字素养专题网络研修”，参训教师需完成不少于50学时的课程学习及培训考核。</w:t>
      </w:r>
    </w:p>
    <w:p w14:paraId="19F8941C">
      <w:pPr>
        <w:spacing w:line="360" w:lineRule="auto"/>
        <w:ind w:firstLine="482" w:firstLineChars="200"/>
        <w:outlineLvl w:val="1"/>
        <w:rPr>
          <w:b/>
          <w:bCs/>
          <w:szCs w:val="21"/>
        </w:rPr>
      </w:pPr>
      <w:r>
        <w:rPr>
          <w:rFonts w:hint="eastAsia"/>
          <w:b/>
          <w:bCs/>
          <w:szCs w:val="21"/>
        </w:rPr>
        <w:t>(一）</w:t>
      </w:r>
      <w:bookmarkStart w:id="24" w:name="_Toc12063"/>
      <w:r>
        <w:rPr>
          <w:rFonts w:hint="eastAsia"/>
          <w:b/>
          <w:bCs/>
          <w:szCs w:val="21"/>
        </w:rPr>
        <w:t>课程资源要求</w:t>
      </w:r>
    </w:p>
    <w:p w14:paraId="02F7EE63">
      <w:pPr>
        <w:spacing w:line="360" w:lineRule="auto"/>
        <w:ind w:firstLine="482" w:firstLineChars="200"/>
        <w:rPr>
          <w:rFonts w:ascii="Arial" w:hAnsi="Arial"/>
          <w:b/>
          <w:bCs/>
        </w:rPr>
      </w:pPr>
      <w:r>
        <w:rPr>
          <w:rFonts w:hint="eastAsia"/>
          <w:b/>
          <w:bCs/>
          <w:szCs w:val="21"/>
        </w:rPr>
        <w:t>1.</w:t>
      </w:r>
      <w:r>
        <w:rPr>
          <w:rFonts w:hint="eastAsia" w:ascii="Arial" w:hAnsi="Arial"/>
          <w:b/>
          <w:bCs/>
        </w:rPr>
        <w:t>满足教师在政治素养、政策解读、师德师风以及教育家精神等方面的培训需求</w:t>
      </w:r>
    </w:p>
    <w:p w14:paraId="071E3592">
      <w:pPr>
        <w:tabs>
          <w:tab w:val="left" w:pos="0"/>
        </w:tabs>
        <w:spacing w:before="166" w:beforeLines="50" w:line="360" w:lineRule="auto"/>
        <w:ind w:firstLine="480" w:firstLineChars="200"/>
        <w:outlineLvl w:val="0"/>
        <w:rPr>
          <w:szCs w:val="21"/>
        </w:rPr>
      </w:pPr>
      <w:r>
        <w:rPr>
          <w:rFonts w:hint="eastAsia" w:ascii="Arial" w:hAnsi="Arial"/>
        </w:rPr>
        <w:t>引导教师树立正确的价值观和教育理念，强化其政治意识与职业道德修养，为教育事业的健康发展奠定坚实的思想基础。供应商需</w:t>
      </w:r>
      <w:r>
        <w:rPr>
          <w:rFonts w:hint="eastAsia"/>
          <w:kern w:val="10"/>
          <w:szCs w:val="21"/>
        </w:rPr>
        <w:t>具有丰富、权威、优质、覆盖全学段、全学科，针对不同层次的师资、课程等培训资源。</w:t>
      </w:r>
      <w:r>
        <w:rPr>
          <w:rFonts w:hint="eastAsia"/>
          <w:szCs w:val="21"/>
        </w:rPr>
        <w:t>课程包含</w:t>
      </w:r>
      <w:r>
        <w:rPr>
          <w:rFonts w:hint="eastAsia"/>
          <w:kern w:val="10"/>
          <w:szCs w:val="21"/>
        </w:rPr>
        <w:t>政治素养、政策解读、师德师风、</w:t>
      </w:r>
      <w:r>
        <w:rPr>
          <w:rFonts w:hint="eastAsia"/>
          <w:szCs w:val="21"/>
        </w:rPr>
        <w:t>教育家精神等通用课程，需提供课时不少于20学时（45分钟/学时）。</w:t>
      </w:r>
    </w:p>
    <w:p w14:paraId="4FD3AFD1">
      <w:pPr>
        <w:spacing w:line="360" w:lineRule="auto"/>
        <w:ind w:firstLine="482" w:firstLineChars="200"/>
        <w:rPr>
          <w:b/>
          <w:bCs/>
          <w:szCs w:val="21"/>
        </w:rPr>
      </w:pPr>
      <w:r>
        <w:rPr>
          <w:rFonts w:hint="eastAsia"/>
          <w:b/>
          <w:bCs/>
          <w:szCs w:val="21"/>
        </w:rPr>
        <w:t>2.</w:t>
      </w:r>
      <w:r>
        <w:rPr>
          <w:rFonts w:hint="eastAsia" w:ascii="Arial" w:hAnsi="Arial"/>
          <w:b/>
          <w:bCs/>
        </w:rPr>
        <w:t>重点聚焦于教师数字素养的培养</w:t>
      </w:r>
    </w:p>
    <w:p w14:paraId="7A9CA213">
      <w:pPr>
        <w:spacing w:line="360" w:lineRule="auto"/>
        <w:ind w:firstLine="480" w:firstLineChars="200"/>
        <w:rPr>
          <w:szCs w:val="21"/>
        </w:rPr>
      </w:pPr>
      <w:r>
        <w:rPr>
          <w:rFonts w:hint="eastAsia" w:ascii="Arial" w:hAnsi="Arial"/>
        </w:rPr>
        <w:t>提升教育质量，推动教学模式的创新与变革。</w:t>
      </w:r>
      <w:r>
        <w:rPr>
          <w:rFonts w:hint="eastAsia"/>
          <w:szCs w:val="21"/>
        </w:rPr>
        <w:t>课程资源中教师数字素养相关课程，课程分模块，包括但不限于数字化意识、数字技术知识与技能、数字化应用、数字社会责任、专业发展等，涵盖数字素养政策解读、大数据、虚拟现实、云计算、课堂教学模式转型、学业评价模式探索、协同育人模式创建、AI人工智能工具、数据时代的安全意识、数字化教研等，内容充实，紧贴教育教学一线实际，需提供课时不低于150学时（45分钟/学时）。</w:t>
      </w:r>
    </w:p>
    <w:p w14:paraId="72EB7BF9">
      <w:pPr>
        <w:pStyle w:val="3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宋体" w:hAnsi="宋体"/>
          <w:b/>
          <w:bCs/>
          <w:szCs w:val="21"/>
        </w:rPr>
      </w:pPr>
      <w:r>
        <w:rPr>
          <w:rFonts w:hint="eastAsia" w:ascii="宋体" w:hAnsi="宋体"/>
          <w:b/>
          <w:bCs/>
          <w:szCs w:val="21"/>
        </w:rPr>
        <w:t>3.</w:t>
      </w:r>
      <w:r>
        <w:rPr>
          <w:rFonts w:hint="eastAsia"/>
          <w:b/>
          <w:bCs/>
        </w:rPr>
        <w:t>紧密贴合教育教学一线实际，助力教师掌握并运用数字技术优化教学实践</w:t>
      </w:r>
    </w:p>
    <w:p w14:paraId="63D6A603">
      <w:pPr>
        <w:pStyle w:val="3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
        <w:rPr>
          <w:rFonts w:hint="eastAsia" w:ascii="宋体" w:hAnsi="宋体"/>
          <w:szCs w:val="21"/>
        </w:rPr>
        <w:t>提供人工智能技术在教育教学领域的多元应用实践相关课程，如DeepSeek助力教学教研等专业课程，需提供课时不少于10学时（45分钟/学时）。</w:t>
      </w:r>
    </w:p>
    <w:p w14:paraId="53224BAE">
      <w:pPr>
        <w:spacing w:line="360" w:lineRule="auto"/>
        <w:ind w:firstLine="482" w:firstLineChars="200"/>
        <w:rPr>
          <w:b/>
          <w:bCs/>
          <w:szCs w:val="21"/>
        </w:rPr>
      </w:pPr>
      <w:r>
        <w:rPr>
          <w:rFonts w:hint="eastAsia"/>
          <w:b/>
          <w:bCs/>
          <w:szCs w:val="21"/>
        </w:rPr>
        <w:t>4.课程资源授课专家团队专业水平高，课程针对性强</w:t>
      </w:r>
    </w:p>
    <w:p w14:paraId="5BD224B8">
      <w:pPr>
        <w:spacing w:line="360" w:lineRule="auto"/>
        <w:ind w:firstLine="480" w:firstLineChars="200"/>
        <w:rPr>
          <w:kern w:val="10"/>
          <w:szCs w:val="21"/>
        </w:rPr>
      </w:pPr>
      <w:r>
        <w:rPr>
          <w:rFonts w:hint="eastAsia"/>
          <w:szCs w:val="21"/>
        </w:rPr>
        <w:t>课程资源</w:t>
      </w:r>
      <w:r>
        <w:rPr>
          <w:rFonts w:hint="eastAsia"/>
          <w:kern w:val="10"/>
          <w:szCs w:val="21"/>
        </w:rPr>
        <w:t>能够整合具有深厚理论功底和实践经验的专家学者、中小学一线名优校园长、教研员和名师的专家资源，职称在副教授/副高级及以上的占80%。</w:t>
      </w:r>
    </w:p>
    <w:p w14:paraId="5770FB73">
      <w:pPr>
        <w:spacing w:line="360" w:lineRule="auto"/>
        <w:ind w:firstLine="482" w:firstLineChars="200"/>
        <w:rPr>
          <w:b/>
          <w:bCs/>
          <w:kern w:val="10"/>
          <w:szCs w:val="21"/>
        </w:rPr>
      </w:pPr>
      <w:r>
        <w:rPr>
          <w:rFonts w:hint="eastAsia"/>
          <w:b/>
          <w:bCs/>
          <w:kern w:val="10"/>
          <w:szCs w:val="21"/>
        </w:rPr>
        <w:t>5.培训课程以自有版权为主</w:t>
      </w:r>
    </w:p>
    <w:p w14:paraId="15A8BB99">
      <w:pPr>
        <w:spacing w:line="360" w:lineRule="auto"/>
        <w:ind w:firstLine="480" w:firstLineChars="200"/>
        <w:rPr>
          <w:kern w:val="10"/>
          <w:szCs w:val="21"/>
        </w:rPr>
      </w:pPr>
      <w:r>
        <w:rPr>
          <w:rFonts w:hint="eastAsia"/>
          <w:kern w:val="10"/>
          <w:szCs w:val="21"/>
        </w:rPr>
        <w:t>确保所提供的培训课程是自有版权或使用权，需提供版权或使用权的合同或授权证明材料。提供实施课程清单，按学段学科配置，包括课程模块、课程名称、课程简介、专家姓名、课程时长等信息。</w:t>
      </w:r>
    </w:p>
    <w:p w14:paraId="4EC7325A">
      <w:pPr>
        <w:spacing w:line="360" w:lineRule="auto"/>
        <w:ind w:firstLine="480" w:firstLineChars="200"/>
        <w:rPr>
          <w:color w:val="FF0000"/>
          <w:szCs w:val="21"/>
        </w:rPr>
      </w:pPr>
      <w:r>
        <w:rPr>
          <w:rFonts w:hint="eastAsia"/>
          <w:szCs w:val="21"/>
        </w:rPr>
        <w:t>6.课程内容质量高且所有课程资源必须经过严谨的审核流程，确保课程内容的政治性、专业性和科学性，不得存在任何意识形态的安全隐患。需提供承诺函。</w:t>
      </w:r>
    </w:p>
    <w:p w14:paraId="387EE282">
      <w:pPr>
        <w:spacing w:line="360" w:lineRule="auto"/>
        <w:outlineLvl w:val="1"/>
        <w:rPr>
          <w:b/>
          <w:bCs/>
          <w:szCs w:val="21"/>
        </w:rPr>
      </w:pPr>
      <w:r>
        <w:rPr>
          <w:rFonts w:hint="eastAsia"/>
          <w:b/>
          <w:bCs/>
          <w:szCs w:val="21"/>
        </w:rPr>
        <w:t>（二）平台技术功能要求</w:t>
      </w:r>
      <w:bookmarkEnd w:id="24"/>
    </w:p>
    <w:p w14:paraId="301EAF68">
      <w:pPr>
        <w:spacing w:line="360" w:lineRule="auto"/>
        <w:ind w:firstLine="482" w:firstLineChars="200"/>
        <w:outlineLvl w:val="2"/>
        <w:rPr>
          <w:b/>
          <w:bCs/>
          <w:szCs w:val="21"/>
        </w:rPr>
      </w:pPr>
      <w:r>
        <w:rPr>
          <w:rFonts w:hint="eastAsia"/>
          <w:b/>
          <w:bCs/>
          <w:szCs w:val="21"/>
        </w:rPr>
        <w:t>1.成绩考核管理功能</w:t>
      </w:r>
    </w:p>
    <w:p w14:paraId="432B6BCF">
      <w:pPr>
        <w:spacing w:line="360" w:lineRule="auto"/>
        <w:ind w:firstLine="480" w:firstLineChars="200"/>
      </w:pPr>
      <w:r>
        <w:rPr>
          <w:rFonts w:hint="eastAsia"/>
        </w:rPr>
        <w:t>（1）支持整体设置学校培训成绩考核策略，便于统一要求，橫向对比。</w:t>
      </w:r>
    </w:p>
    <w:p w14:paraId="095A8E6F">
      <w:pPr>
        <w:spacing w:line="360" w:lineRule="auto"/>
        <w:ind w:firstLine="480" w:firstLineChars="200"/>
      </w:pPr>
      <w:r>
        <w:rPr>
          <w:rFonts w:hint="eastAsia"/>
        </w:rPr>
        <w:t>（2）考核策略自动同步至各个培训项目当中，在项目中可做适当个性化设置。</w:t>
      </w:r>
    </w:p>
    <w:p w14:paraId="666ADA9D">
      <w:pPr>
        <w:spacing w:line="360" w:lineRule="auto"/>
        <w:ind w:firstLine="482" w:firstLineChars="200"/>
        <w:outlineLvl w:val="2"/>
        <w:rPr>
          <w:b/>
          <w:bCs/>
        </w:rPr>
      </w:pPr>
      <w:r>
        <w:rPr>
          <w:rFonts w:hint="eastAsia"/>
          <w:b/>
          <w:bCs/>
          <w:szCs w:val="21"/>
        </w:rPr>
        <w:t>2.学员信息采集功能</w:t>
      </w:r>
    </w:p>
    <w:p w14:paraId="226A7263">
      <w:pPr>
        <w:spacing w:line="360" w:lineRule="auto"/>
        <w:ind w:firstLine="480" w:firstLineChars="200"/>
        <w:rPr>
          <w:szCs w:val="21"/>
        </w:rPr>
      </w:pPr>
      <w:r>
        <w:rPr>
          <w:rFonts w:hint="eastAsia"/>
          <w:szCs w:val="21"/>
        </w:rPr>
        <w:t>支持学员学员信息线上采集：管理者可以设置线上报名，确定所需采集项，系统自动生成二维码，可分享给学员，完成学员的信息线上采集。支持学员信息审核：管理者可实时收到学员报名信息，并进行审核。支持一键导入学员：快速进班管理者可一键导入审核通过的学员，系统会自动将学员加入到班级中并生成账号。支持报名结果通知与学员自主查询：管理者导入或者拒绝之后，学员将会收到对应的结果，学员也可通过微信公众号进行报名结果查询。</w:t>
      </w:r>
    </w:p>
    <w:p w14:paraId="73636A68">
      <w:pPr>
        <w:spacing w:line="360" w:lineRule="auto"/>
        <w:ind w:firstLine="482" w:firstLineChars="200"/>
        <w:outlineLvl w:val="2"/>
        <w:rPr>
          <w:b/>
          <w:bCs/>
          <w:szCs w:val="21"/>
        </w:rPr>
      </w:pPr>
      <w:r>
        <w:rPr>
          <w:rFonts w:hint="eastAsia"/>
          <w:b/>
          <w:bCs/>
          <w:szCs w:val="21"/>
        </w:rPr>
        <w:t>3.通知公告管理功能</w:t>
      </w:r>
    </w:p>
    <w:p w14:paraId="6E1FA5B8">
      <w:pPr>
        <w:pStyle w:val="13"/>
        <w:spacing w:line="360" w:lineRule="auto"/>
        <w:ind w:firstLineChars="0"/>
      </w:pPr>
      <w:r>
        <w:rPr>
          <w:rFonts w:hint="eastAsia"/>
        </w:rPr>
        <w:t>项目管理员或者班主任通过PC端或APP端，均可对管理的班级发布通知公告，学员端可自动弹出通知公告内容。</w:t>
      </w:r>
    </w:p>
    <w:p w14:paraId="45FEB78D">
      <w:pPr>
        <w:spacing w:line="360" w:lineRule="auto"/>
        <w:ind w:firstLine="482" w:firstLineChars="200"/>
        <w:outlineLvl w:val="2"/>
        <w:rPr>
          <w:b/>
          <w:bCs/>
          <w:szCs w:val="21"/>
        </w:rPr>
      </w:pPr>
      <w:r>
        <w:rPr>
          <w:rFonts w:hint="eastAsia"/>
          <w:b/>
          <w:bCs/>
          <w:szCs w:val="21"/>
        </w:rPr>
        <w:t>4.学员分组功能</w:t>
      </w:r>
    </w:p>
    <w:p w14:paraId="4E19A259">
      <w:pPr>
        <w:spacing w:line="360" w:lineRule="auto"/>
      </w:pPr>
      <w:r>
        <w:rPr>
          <w:rFonts w:hint="eastAsia"/>
        </w:rPr>
        <w:t xml:space="preserve">    </w:t>
      </w:r>
      <w:r>
        <w:rPr>
          <w:rFonts w:hint="eastAsia"/>
          <w:szCs w:val="21"/>
        </w:rPr>
        <w:t>管理者可自定义分组，可按照单位、性别、学科等信息进行分组，可以手动创建小组，并将学员分配到小组中，也可以一键导入分组名单。系统支持随机自动分组，会将学员随机分配到若干个小组中，每个小组学员的数量基本平均。管理者可以为各组设置组长，组长可以设置本小组的组名、口号、组标信息。</w:t>
      </w:r>
    </w:p>
    <w:p w14:paraId="29C50C21">
      <w:pPr>
        <w:spacing w:line="360" w:lineRule="auto"/>
        <w:ind w:firstLine="482" w:firstLineChars="200"/>
        <w:outlineLvl w:val="2"/>
        <w:rPr>
          <w:b/>
          <w:bCs/>
          <w:szCs w:val="21"/>
        </w:rPr>
      </w:pPr>
      <w:r>
        <w:rPr>
          <w:rFonts w:hint="eastAsia"/>
          <w:b/>
          <w:bCs/>
          <w:szCs w:val="21"/>
        </w:rPr>
        <w:t>5.作业提交、评价及查重功能</w:t>
      </w:r>
    </w:p>
    <w:p w14:paraId="2E9113A5">
      <w:pPr>
        <w:pStyle w:val="13"/>
        <w:spacing w:line="360" w:lineRule="auto"/>
        <w:ind w:firstLineChars="0"/>
        <w:rPr>
          <w:b/>
          <w:bCs/>
        </w:rPr>
      </w:pPr>
      <w:r>
        <w:rPr>
          <w:rFonts w:hint="eastAsia"/>
          <w:b/>
          <w:bCs/>
        </w:rPr>
        <w:t>（1）作业提交</w:t>
      </w:r>
    </w:p>
    <w:p w14:paraId="3C32C3FA">
      <w:pPr>
        <w:pStyle w:val="13"/>
        <w:spacing w:line="360" w:lineRule="auto"/>
        <w:rPr>
          <w:rFonts w:ascii="宋体" w:hAnsi="宋体" w:cs="宋体"/>
          <w:color w:val="000000"/>
          <w:kern w:val="0"/>
          <w:szCs w:val="21"/>
        </w:rPr>
      </w:pPr>
      <w:r>
        <w:rPr>
          <w:rFonts w:hint="eastAsia" w:ascii="宋体" w:hAnsi="宋体" w:cs="宋体"/>
          <w:color w:val="000000"/>
          <w:kern w:val="0"/>
          <w:szCs w:val="21"/>
        </w:rPr>
        <w:t>学员通过APP完成作业的撰写和提交，也可以通过PC端书写作业或上传附件。作业形式包括文字、图片、附件，在写作业的过程中，系统随时保存学员作业，只要作业还未批改，学员可随时对作业进行修改。</w:t>
      </w:r>
    </w:p>
    <w:p w14:paraId="29F7D20E">
      <w:pPr>
        <w:pStyle w:val="13"/>
        <w:numPr>
          <w:ilvl w:val="0"/>
          <w:numId w:val="10"/>
        </w:numPr>
        <w:spacing w:line="360" w:lineRule="auto"/>
        <w:ind w:firstLine="422"/>
        <w:rPr>
          <w:rFonts w:ascii="宋体" w:hAnsi="宋体" w:cs="宋体"/>
          <w:b/>
          <w:bCs/>
          <w:color w:val="000000"/>
          <w:kern w:val="0"/>
          <w:szCs w:val="21"/>
        </w:rPr>
      </w:pPr>
      <w:r>
        <w:rPr>
          <w:rFonts w:hint="eastAsia" w:ascii="宋体" w:hAnsi="宋体" w:cs="宋体"/>
          <w:b/>
          <w:bCs/>
          <w:color w:val="000000"/>
          <w:kern w:val="0"/>
          <w:szCs w:val="21"/>
        </w:rPr>
        <w:t>作业评价</w:t>
      </w:r>
    </w:p>
    <w:p w14:paraId="3885B6EB">
      <w:pPr>
        <w:pStyle w:val="13"/>
        <w:spacing w:line="360" w:lineRule="auto"/>
        <w:rPr>
          <w:rFonts w:ascii="宋体" w:hAnsi="宋体" w:cs="宋体"/>
          <w:color w:val="000000"/>
          <w:kern w:val="0"/>
          <w:szCs w:val="21"/>
        </w:rPr>
      </w:pPr>
      <w:r>
        <w:rPr>
          <w:rFonts w:hint="eastAsia" w:ascii="宋体" w:hAnsi="宋体" w:cs="宋体"/>
          <w:color w:val="000000"/>
          <w:kern w:val="0"/>
          <w:szCs w:val="21"/>
        </w:rPr>
        <w:t>作业提交后，所以人员均可看到其他人提交的作业，学员之间可以互相进行点评、点赞等；班主任、专家在收到学员提交的作业时，自动收到手机消息推送；专家评价后，学员也会收到消息推送，告知作业已被评阅。</w:t>
      </w:r>
    </w:p>
    <w:p w14:paraId="7ECD2DBE">
      <w:pPr>
        <w:pStyle w:val="13"/>
        <w:numPr>
          <w:ilvl w:val="0"/>
          <w:numId w:val="10"/>
        </w:numPr>
        <w:spacing w:line="360" w:lineRule="auto"/>
        <w:ind w:firstLine="422"/>
        <w:rPr>
          <w:rFonts w:ascii="宋体" w:hAnsi="宋体" w:cs="宋体"/>
          <w:b/>
          <w:bCs/>
          <w:color w:val="000000"/>
          <w:kern w:val="0"/>
          <w:szCs w:val="21"/>
        </w:rPr>
      </w:pPr>
      <w:r>
        <w:rPr>
          <w:rFonts w:hint="eastAsia" w:ascii="宋体" w:hAnsi="宋体" w:cs="宋体"/>
          <w:b/>
          <w:bCs/>
          <w:color w:val="000000"/>
          <w:kern w:val="0"/>
          <w:szCs w:val="21"/>
        </w:rPr>
        <w:t>作业查重</w:t>
      </w:r>
    </w:p>
    <w:p w14:paraId="520313E7">
      <w:pPr>
        <w:pStyle w:val="13"/>
        <w:spacing w:line="360" w:lineRule="auto"/>
        <w:rPr>
          <w:rFonts w:ascii="宋体" w:hAnsi="宋体" w:cs="宋体"/>
          <w:color w:val="000000"/>
          <w:kern w:val="0"/>
          <w:szCs w:val="21"/>
        </w:rPr>
      </w:pPr>
      <w:r>
        <w:rPr>
          <w:rFonts w:hint="eastAsia" w:ascii="宋体" w:hAnsi="宋体" w:cs="宋体"/>
          <w:kern w:val="0"/>
          <w:szCs w:val="21"/>
        </w:rPr>
        <w:t>平台可以设置学员提交作业的查重率，在学员提交作业后，平台系统可以查重学员提交到作业内容处的文字内容，与其他学员重复率达到设置的值时，系统自动提醒学员因与他人提交内容重复率过高，审核失败。</w:t>
      </w:r>
    </w:p>
    <w:p w14:paraId="35E7C8D6">
      <w:pPr>
        <w:spacing w:line="360" w:lineRule="auto"/>
        <w:ind w:firstLine="482" w:firstLineChars="200"/>
        <w:outlineLvl w:val="2"/>
        <w:rPr>
          <w:b/>
          <w:bCs/>
          <w:szCs w:val="21"/>
        </w:rPr>
      </w:pPr>
      <w:r>
        <w:rPr>
          <w:rFonts w:hint="eastAsia"/>
          <w:b/>
          <w:bCs/>
          <w:szCs w:val="21"/>
        </w:rPr>
        <w:t>6.学员互评作业功能</w:t>
      </w:r>
    </w:p>
    <w:p w14:paraId="771E4B39">
      <w:pPr>
        <w:pStyle w:val="13"/>
        <w:spacing w:line="360" w:lineRule="auto"/>
        <w:rPr>
          <w:rFonts w:ascii="宋体" w:hAnsi="宋体" w:cs="宋体"/>
          <w:color w:val="000000"/>
          <w:kern w:val="0"/>
          <w:szCs w:val="21"/>
        </w:rPr>
      </w:pPr>
      <w:r>
        <w:rPr>
          <w:rFonts w:hint="eastAsia" w:ascii="宋体" w:hAnsi="宋体" w:cs="宋体"/>
          <w:color w:val="000000"/>
          <w:kern w:val="0"/>
          <w:szCs w:val="21"/>
        </w:rPr>
        <w:t>作业提交时间截止后进入互评期，系统会随机为每位学员推送几份其他学员的作业，学员按照1-10分对其进行打分。班主任或专家也可对作业进行评分</w:t>
      </w:r>
    </w:p>
    <w:p w14:paraId="07BC5801">
      <w:pPr>
        <w:spacing w:line="360" w:lineRule="auto"/>
        <w:ind w:firstLine="482" w:firstLineChars="200"/>
        <w:outlineLvl w:val="2"/>
        <w:rPr>
          <w:b/>
          <w:bCs/>
          <w:szCs w:val="21"/>
        </w:rPr>
      </w:pPr>
      <w:r>
        <w:rPr>
          <w:rFonts w:hint="eastAsia"/>
          <w:b/>
          <w:bCs/>
          <w:szCs w:val="21"/>
        </w:rPr>
        <w:t>7.考试测评</w:t>
      </w:r>
    </w:p>
    <w:p w14:paraId="3E83AC44">
      <w:pPr>
        <w:spacing w:line="360" w:lineRule="auto"/>
        <w:ind w:firstLine="480" w:firstLineChars="200"/>
        <w:rPr>
          <w:szCs w:val="21"/>
        </w:rPr>
      </w:pPr>
      <w:r>
        <w:rPr>
          <w:rFonts w:hint="eastAsia"/>
          <w:szCs w:val="21"/>
        </w:rPr>
        <w:t>（1）创建考试：管理者通过管理后台和手机APP手动或者使用模板创建一场考试，可以指定课程、可以设置开始时间、截止时间、考试用时、及格分数线。</w:t>
      </w:r>
    </w:p>
    <w:p w14:paraId="0B41B063">
      <w:pPr>
        <w:spacing w:line="360" w:lineRule="auto"/>
        <w:ind w:firstLine="480" w:firstLineChars="200"/>
        <w:rPr>
          <w:szCs w:val="21"/>
        </w:rPr>
      </w:pPr>
      <w:r>
        <w:rPr>
          <w:rFonts w:hint="eastAsia"/>
          <w:szCs w:val="21"/>
        </w:rPr>
        <w:t>（2）考试组卷：管理者可以在创建的考试中完成试卷的编辑，可以选择题型，对题目进行分值设置，可以对题目进行顺序调整，可以进行设置答案解析，组卷过程中有累计总分提示。</w:t>
      </w:r>
    </w:p>
    <w:p w14:paraId="6D3ABD5F">
      <w:pPr>
        <w:spacing w:line="360" w:lineRule="auto"/>
        <w:ind w:firstLine="480" w:firstLineChars="200"/>
        <w:rPr>
          <w:szCs w:val="21"/>
        </w:rPr>
      </w:pPr>
      <w:r>
        <w:rPr>
          <w:rFonts w:hint="eastAsia"/>
          <w:szCs w:val="21"/>
        </w:rPr>
        <w:t>（3）参与考试：学员可以通过PC或者APP完成考试并提交。学员进入考试页面系统开始计时，每个正常参与考试的学员的考试用时都是公平统一的。考试时间到系统将强制提交学员的作答试卷。</w:t>
      </w:r>
    </w:p>
    <w:p w14:paraId="64338DDA">
      <w:pPr>
        <w:spacing w:line="360" w:lineRule="auto"/>
        <w:ind w:firstLine="480" w:firstLineChars="200"/>
        <w:rPr>
          <w:szCs w:val="21"/>
        </w:rPr>
      </w:pPr>
      <w:r>
        <w:rPr>
          <w:rFonts w:hint="eastAsia"/>
          <w:szCs w:val="21"/>
        </w:rPr>
        <w:t>（4）试卷批阅：管理者可以通过管理后台和APP进行考试的批阅和重新批阅。客观题系统自动批阅，主观题需要人工批阅。</w:t>
      </w:r>
    </w:p>
    <w:p w14:paraId="0709F37C">
      <w:pPr>
        <w:spacing w:line="360" w:lineRule="auto"/>
        <w:ind w:firstLine="480" w:firstLineChars="200"/>
        <w:rPr>
          <w:szCs w:val="21"/>
        </w:rPr>
      </w:pPr>
      <w:r>
        <w:rPr>
          <w:rFonts w:hint="eastAsia"/>
          <w:szCs w:val="21"/>
        </w:rPr>
        <w:t>（5）试卷统计：批阅完成后学员可以查看自己的得分，管理端可以查看本次考试的正答率统计。</w:t>
      </w:r>
    </w:p>
    <w:p w14:paraId="04061852">
      <w:pPr>
        <w:pStyle w:val="13"/>
        <w:spacing w:line="360" w:lineRule="auto"/>
      </w:pPr>
      <w:r>
        <w:rPr>
          <w:rFonts w:hint="eastAsia" w:ascii="宋体" w:hAnsi="宋体" w:cs="宋体"/>
          <w:kern w:val="0"/>
          <w:szCs w:val="21"/>
        </w:rPr>
        <w:t>（6）考试导出：管理者可以在管理后台进行试卷统计的PDF文件导出和学员作答明细的Excel文件导出。</w:t>
      </w:r>
    </w:p>
    <w:p w14:paraId="00B504FB">
      <w:pPr>
        <w:spacing w:line="360" w:lineRule="auto"/>
        <w:ind w:firstLine="482" w:firstLineChars="200"/>
        <w:outlineLvl w:val="2"/>
        <w:rPr>
          <w:b/>
          <w:bCs/>
          <w:szCs w:val="21"/>
        </w:rPr>
      </w:pPr>
      <w:r>
        <w:rPr>
          <w:rFonts w:hint="eastAsia"/>
          <w:b/>
          <w:bCs/>
          <w:szCs w:val="21"/>
        </w:rPr>
        <w:t>8.任务发布与督促功能</w:t>
      </w:r>
    </w:p>
    <w:p w14:paraId="0AB0F1C2">
      <w:pPr>
        <w:spacing w:line="360" w:lineRule="auto"/>
        <w:ind w:firstLine="482" w:firstLineChars="200"/>
        <w:rPr>
          <w:b/>
          <w:bCs/>
          <w:color w:val="000000"/>
          <w:szCs w:val="21"/>
        </w:rPr>
      </w:pPr>
      <w:r>
        <w:rPr>
          <w:rFonts w:hint="eastAsia"/>
          <w:b/>
          <w:bCs/>
          <w:color w:val="000000"/>
          <w:szCs w:val="21"/>
        </w:rPr>
        <w:t>（1）任务发布</w:t>
      </w:r>
    </w:p>
    <w:p w14:paraId="7478E830">
      <w:pPr>
        <w:spacing w:line="360" w:lineRule="auto"/>
        <w:ind w:firstLine="480" w:firstLineChars="200"/>
        <w:rPr>
          <w:szCs w:val="21"/>
        </w:rPr>
      </w:pPr>
      <w:r>
        <w:rPr>
          <w:rFonts w:hint="eastAsia"/>
          <w:color w:val="000000"/>
          <w:szCs w:val="21"/>
        </w:rPr>
        <w:t>支持管理者在线发布培训任务，包括但不限于作业、签到、学习日志、主题讨论等活动任务。发布后学员可在线提交相关培训任务。</w:t>
      </w:r>
    </w:p>
    <w:p w14:paraId="0F32986B">
      <w:pPr>
        <w:pStyle w:val="13"/>
        <w:numPr>
          <w:ilvl w:val="0"/>
          <w:numId w:val="11"/>
        </w:numPr>
        <w:spacing w:line="360" w:lineRule="auto"/>
        <w:ind w:firstLine="422"/>
        <w:rPr>
          <w:rFonts w:ascii="宋体" w:hAnsi="宋体" w:cs="宋体"/>
          <w:b/>
          <w:bCs/>
          <w:color w:val="000000"/>
          <w:kern w:val="0"/>
          <w:szCs w:val="21"/>
        </w:rPr>
      </w:pPr>
      <w:r>
        <w:rPr>
          <w:rFonts w:hint="eastAsia" w:ascii="宋体" w:hAnsi="宋体" w:cs="宋体"/>
          <w:b/>
          <w:bCs/>
          <w:color w:val="000000"/>
          <w:kern w:val="0"/>
          <w:szCs w:val="21"/>
        </w:rPr>
        <w:t>任务督促</w:t>
      </w:r>
    </w:p>
    <w:p w14:paraId="25D01854">
      <w:pPr>
        <w:pStyle w:val="13"/>
        <w:spacing w:line="360" w:lineRule="auto"/>
      </w:pPr>
      <w:r>
        <w:rPr>
          <w:rFonts w:hint="eastAsia" w:ascii="宋体" w:hAnsi="宋体" w:cs="宋体"/>
          <w:color w:val="000000"/>
          <w:kern w:val="0"/>
          <w:szCs w:val="21"/>
        </w:rPr>
        <w:t>管理者可通过学情查看每位学员的任务完成进度，在线督促学员完成作业等培训任务。</w:t>
      </w:r>
    </w:p>
    <w:p w14:paraId="70882DB2">
      <w:pPr>
        <w:spacing w:line="360" w:lineRule="auto"/>
        <w:ind w:firstLine="482" w:firstLineChars="200"/>
        <w:outlineLvl w:val="2"/>
        <w:rPr>
          <w:b/>
          <w:bCs/>
          <w:szCs w:val="21"/>
        </w:rPr>
      </w:pPr>
      <w:r>
        <w:rPr>
          <w:rFonts w:hint="eastAsia"/>
          <w:b/>
          <w:bCs/>
          <w:szCs w:val="21"/>
        </w:rPr>
        <w:t>9.总结报告功能</w:t>
      </w:r>
    </w:p>
    <w:p w14:paraId="5A1135CE">
      <w:pPr>
        <w:spacing w:line="360" w:lineRule="auto"/>
        <w:ind w:firstLine="480" w:firstLineChars="200"/>
      </w:pPr>
      <w:r>
        <w:rPr>
          <w:rFonts w:hint="eastAsia"/>
          <w:color w:val="000000"/>
          <w:szCs w:val="21"/>
        </w:rPr>
        <w:t>系统自动汇总各项目数据，形成各类总结报告，包括项目统计、培训学员报告、专家授课报告、项目评分、课程评分、项目满意度、课程满意度、任务完成度、学员留言、课程报告等。所有报告均以图表形式呈现，并可导出Word文件</w:t>
      </w:r>
    </w:p>
    <w:p w14:paraId="3EA1301A">
      <w:pPr>
        <w:numPr>
          <w:ilvl w:val="0"/>
          <w:numId w:val="12"/>
        </w:numPr>
        <w:spacing w:line="360" w:lineRule="auto"/>
        <w:ind w:firstLine="482" w:firstLineChars="200"/>
        <w:outlineLvl w:val="2"/>
        <w:rPr>
          <w:b/>
          <w:bCs/>
          <w:szCs w:val="21"/>
        </w:rPr>
      </w:pPr>
      <w:r>
        <w:rPr>
          <w:rFonts w:hint="eastAsia"/>
          <w:b/>
          <w:bCs/>
          <w:szCs w:val="21"/>
        </w:rPr>
        <w:t>数据报表功能</w:t>
      </w:r>
    </w:p>
    <w:p w14:paraId="22FC5FB0">
      <w:pPr>
        <w:spacing w:line="360" w:lineRule="auto"/>
        <w:ind w:firstLine="480" w:firstLineChars="200"/>
        <w:rPr>
          <w:szCs w:val="21"/>
        </w:rPr>
      </w:pPr>
      <w:r>
        <w:rPr>
          <w:rFonts w:hint="eastAsia"/>
          <w:color w:val="000000"/>
          <w:szCs w:val="21"/>
        </w:rPr>
        <w:t>（1）培训明细数据：支持管理者在线查看培训进度、相关培训明细数据，并支持一键导出，包括签到明细数据、作业提交明细数据、课程满意度明细数据、项目满意度明细数据、学员学情明细数据、资源学习明细数据。</w:t>
      </w:r>
    </w:p>
    <w:p w14:paraId="1D17B3C8">
      <w:pPr>
        <w:spacing w:line="360" w:lineRule="auto"/>
        <w:ind w:firstLine="480" w:firstLineChars="200"/>
        <w:rPr>
          <w:szCs w:val="21"/>
        </w:rPr>
      </w:pPr>
      <w:r>
        <w:rPr>
          <w:rFonts w:hint="eastAsia"/>
          <w:color w:val="000000"/>
          <w:szCs w:val="21"/>
        </w:rPr>
        <w:t>（2）培训报告：系统可自动生成不同维度数据报告并支持一键导出，包括但不限于班级综合报告、培训课程报告、考勤报告、学员报告、在线课程资源学习报告、巡课报告、同步培训报告、培训效果报告、专家报告等。</w:t>
      </w:r>
    </w:p>
    <w:p w14:paraId="30A54003">
      <w:pPr>
        <w:pStyle w:val="13"/>
        <w:spacing w:line="360" w:lineRule="auto"/>
      </w:pPr>
      <w:r>
        <w:rPr>
          <w:rFonts w:hint="eastAsia" w:ascii="宋体" w:hAnsi="宋体" w:cs="宋体"/>
          <w:color w:val="000000"/>
          <w:kern w:val="0"/>
          <w:szCs w:val="21"/>
        </w:rPr>
        <w:t>（3）成果数据：系统可以直接查看学员提交的作业、日志、讨论等内容，并可支持一键导出，其中作业要求可针对优秀作业单独导出。</w:t>
      </w:r>
    </w:p>
    <w:p w14:paraId="0BB0A9C2">
      <w:pPr>
        <w:spacing w:line="360" w:lineRule="auto"/>
        <w:ind w:firstLine="482" w:firstLineChars="200"/>
        <w:outlineLvl w:val="2"/>
        <w:rPr>
          <w:b/>
          <w:bCs/>
          <w:szCs w:val="21"/>
        </w:rPr>
      </w:pPr>
      <w:r>
        <w:rPr>
          <w:rFonts w:hint="eastAsia"/>
          <w:b/>
          <w:bCs/>
          <w:szCs w:val="21"/>
        </w:rPr>
        <w:t>11.证书管理功能</w:t>
      </w:r>
    </w:p>
    <w:p w14:paraId="5A3CCF6D">
      <w:pPr>
        <w:spacing w:line="360" w:lineRule="auto"/>
        <w:ind w:firstLine="480" w:firstLineChars="200"/>
        <w:rPr>
          <w:szCs w:val="21"/>
        </w:rPr>
      </w:pPr>
      <w:r>
        <w:rPr>
          <w:rFonts w:hint="eastAsia"/>
          <w:color w:val="000000"/>
          <w:szCs w:val="21"/>
        </w:rPr>
        <w:t>（1）颁发证书：管理者可根据学员的学习成绩区间、是否已发证书、合格与否、是否有电子照片选择满足相应条件的学员进行证书的发布。</w:t>
      </w:r>
    </w:p>
    <w:p w14:paraId="5A9EE3FB">
      <w:pPr>
        <w:pStyle w:val="13"/>
        <w:spacing w:line="360" w:lineRule="auto"/>
      </w:pPr>
      <w:r>
        <w:rPr>
          <w:rFonts w:hint="eastAsia" w:ascii="宋体" w:hAnsi="宋体" w:cs="宋体"/>
          <w:color w:val="000000"/>
          <w:kern w:val="0"/>
          <w:szCs w:val="21"/>
        </w:rPr>
        <w:t>（2）查询与下载证书：学员可通过APP或者第三方扫码查询自己的证书，并可对证书进行下载、打印。</w:t>
      </w:r>
    </w:p>
    <w:p w14:paraId="30B3A6C8">
      <w:pPr>
        <w:spacing w:line="360" w:lineRule="auto"/>
        <w:ind w:firstLine="482" w:firstLineChars="200"/>
        <w:outlineLvl w:val="2"/>
        <w:rPr>
          <w:b/>
          <w:bCs/>
          <w:szCs w:val="21"/>
        </w:rPr>
      </w:pPr>
      <w:r>
        <w:rPr>
          <w:rFonts w:hint="eastAsia"/>
          <w:b/>
          <w:bCs/>
          <w:szCs w:val="21"/>
        </w:rPr>
        <w:t>12.调研问卷功能</w:t>
      </w:r>
    </w:p>
    <w:p w14:paraId="240191C0">
      <w:pPr>
        <w:spacing w:line="360" w:lineRule="auto"/>
        <w:ind w:firstLine="480" w:firstLineChars="200"/>
        <w:rPr>
          <w:szCs w:val="21"/>
        </w:rPr>
      </w:pPr>
      <w:r>
        <w:rPr>
          <w:rFonts w:hint="eastAsia"/>
          <w:szCs w:val="21"/>
        </w:rPr>
        <w:t>（1）</w:t>
      </w:r>
      <w:r>
        <w:rPr>
          <w:rFonts w:hint="eastAsia"/>
          <w:color w:val="000000"/>
          <w:szCs w:val="21"/>
        </w:rPr>
        <w:t>问卷发布：专家、班主任通过手机发布调研问卷，包括单选、多选和简答题</w:t>
      </w:r>
    </w:p>
    <w:p w14:paraId="146F710C">
      <w:pPr>
        <w:spacing w:line="360" w:lineRule="auto"/>
        <w:ind w:firstLine="480" w:firstLineChars="200"/>
        <w:rPr>
          <w:szCs w:val="21"/>
        </w:rPr>
      </w:pPr>
      <w:r>
        <w:rPr>
          <w:rFonts w:hint="eastAsia"/>
          <w:color w:val="000000"/>
          <w:szCs w:val="21"/>
        </w:rPr>
        <w:t>（2）问卷收集：学员通过手机APP填写问卷并提交</w:t>
      </w:r>
    </w:p>
    <w:p w14:paraId="18F8D35C">
      <w:pPr>
        <w:pStyle w:val="13"/>
        <w:spacing w:line="360" w:lineRule="auto"/>
      </w:pPr>
      <w:r>
        <w:rPr>
          <w:rFonts w:hint="eastAsia" w:ascii="宋体" w:hAnsi="宋体" w:cs="宋体"/>
          <w:color w:val="000000"/>
          <w:kern w:val="0"/>
          <w:szCs w:val="21"/>
        </w:rPr>
        <w:t>（3）结果统计：系统自动生成问卷统计结果，并可在投影上实时展示统计结果</w:t>
      </w:r>
    </w:p>
    <w:p w14:paraId="12F6D9CB">
      <w:pPr>
        <w:spacing w:line="360" w:lineRule="auto"/>
        <w:ind w:firstLine="482" w:firstLineChars="200"/>
        <w:outlineLvl w:val="2"/>
        <w:rPr>
          <w:b/>
          <w:bCs/>
          <w:szCs w:val="21"/>
        </w:rPr>
      </w:pPr>
      <w:r>
        <w:rPr>
          <w:rFonts w:hint="eastAsia"/>
          <w:b/>
          <w:bCs/>
          <w:szCs w:val="21"/>
        </w:rPr>
        <w:t>13.互动内容监控管理功能</w:t>
      </w:r>
    </w:p>
    <w:p w14:paraId="02AA88B5">
      <w:pPr>
        <w:pStyle w:val="13"/>
        <w:spacing w:line="360" w:lineRule="auto"/>
      </w:pPr>
      <w:r>
        <w:rPr>
          <w:rFonts w:hint="eastAsia" w:ascii="宋体" w:hAnsi="宋体" w:cs="宋体"/>
          <w:color w:val="000000"/>
          <w:kern w:val="0"/>
          <w:szCs w:val="21"/>
        </w:rPr>
        <w:t>管理人员可通过管理后台实时查看并监控学员发布的互动内容，包括班级圈、群组讨论等，发现有问题的内容可进行快速处理，并对该用户进行停号操作。</w:t>
      </w:r>
    </w:p>
    <w:p w14:paraId="6B1A4054">
      <w:pPr>
        <w:numPr>
          <w:ilvl w:val="0"/>
          <w:numId w:val="13"/>
        </w:numPr>
        <w:spacing w:line="360" w:lineRule="auto"/>
        <w:ind w:firstLine="482" w:firstLineChars="200"/>
        <w:outlineLvl w:val="2"/>
        <w:rPr>
          <w:b/>
          <w:bCs/>
          <w:szCs w:val="21"/>
        </w:rPr>
      </w:pPr>
      <w:r>
        <w:rPr>
          <w:rFonts w:hint="eastAsia"/>
          <w:b/>
          <w:bCs/>
          <w:szCs w:val="21"/>
        </w:rPr>
        <w:t>支持多端学习</w:t>
      </w:r>
    </w:p>
    <w:p w14:paraId="60AAD6B2">
      <w:pPr>
        <w:pStyle w:val="13"/>
        <w:spacing w:line="360" w:lineRule="auto"/>
        <w:ind w:firstLine="0" w:firstLineChars="0"/>
      </w:pPr>
      <w:r>
        <w:rPr>
          <w:rFonts w:hint="eastAsia"/>
        </w:rPr>
        <w:t xml:space="preserve">    平台支持学员通过PC端、APP端，及不同浏览器的使用与学习。</w:t>
      </w:r>
    </w:p>
    <w:p w14:paraId="63756AB7">
      <w:pPr>
        <w:numPr>
          <w:ilvl w:val="0"/>
          <w:numId w:val="13"/>
        </w:numPr>
        <w:spacing w:line="360" w:lineRule="auto"/>
        <w:ind w:firstLine="482" w:firstLineChars="200"/>
        <w:outlineLvl w:val="2"/>
        <w:rPr>
          <w:b/>
          <w:bCs/>
        </w:rPr>
      </w:pPr>
      <w:r>
        <w:rPr>
          <w:rFonts w:hint="eastAsia"/>
          <w:b/>
          <w:bCs/>
          <w:szCs w:val="21"/>
        </w:rPr>
        <w:t>在线讨论功能</w:t>
      </w:r>
    </w:p>
    <w:p w14:paraId="4DB4B187">
      <w:pPr>
        <w:spacing w:line="360" w:lineRule="auto"/>
        <w:ind w:firstLine="480" w:firstLineChars="200"/>
        <w:rPr>
          <w:szCs w:val="21"/>
        </w:rPr>
      </w:pPr>
      <w:r>
        <w:rPr>
          <w:rFonts w:hint="eastAsia"/>
          <w:color w:val="000000"/>
          <w:szCs w:val="21"/>
        </w:rPr>
        <w:t>（1）音视频互动：主讲人可同时与6名学员或助教进行在线视频互动。并可对互动学员进行关闭声音、摄像头等操作。</w:t>
      </w:r>
    </w:p>
    <w:p w14:paraId="33D84F56">
      <w:pPr>
        <w:spacing w:line="360" w:lineRule="auto"/>
        <w:ind w:firstLine="480" w:firstLineChars="200"/>
        <w:rPr>
          <w:szCs w:val="21"/>
        </w:rPr>
      </w:pPr>
      <w:r>
        <w:rPr>
          <w:rFonts w:hint="eastAsia"/>
          <w:color w:val="000000"/>
          <w:szCs w:val="21"/>
        </w:rPr>
        <w:t>（2）文字互动：直播间参与人员可直接在直播间中进行文字聊天互动。主讲人或助教可单独与某一在线学员私聊，并支持对学员的禁言操作。</w:t>
      </w:r>
    </w:p>
    <w:p w14:paraId="46648169">
      <w:pPr>
        <w:spacing w:line="360" w:lineRule="auto"/>
        <w:ind w:firstLine="480" w:firstLineChars="200"/>
        <w:rPr>
          <w:szCs w:val="21"/>
        </w:rPr>
      </w:pPr>
      <w:r>
        <w:rPr>
          <w:rFonts w:hint="eastAsia"/>
          <w:color w:val="000000"/>
          <w:szCs w:val="21"/>
        </w:rPr>
        <w:t>（3）主讲人或助教可在直播中，随时发起答题卡，可设置选项数量以及正确答案，发起后学员可在直播中参与答题互动，主讲人或助教可实时查看答题结果。</w:t>
      </w:r>
    </w:p>
    <w:p w14:paraId="57B5D4F2">
      <w:pPr>
        <w:spacing w:line="360" w:lineRule="auto"/>
        <w:ind w:firstLine="480" w:firstLineChars="200"/>
        <w:rPr>
          <w:szCs w:val="21"/>
        </w:rPr>
      </w:pPr>
      <w:r>
        <w:rPr>
          <w:rFonts w:hint="eastAsia"/>
          <w:color w:val="000000"/>
          <w:szCs w:val="21"/>
        </w:rPr>
        <w:t>（4）主讲人或助教可在直播中，随时发起在线签到，并可在过程中实时查看签到的人员明细，并支持对学员的签到进行补签。</w:t>
      </w:r>
    </w:p>
    <w:p w14:paraId="03FD6767">
      <w:pPr>
        <w:spacing w:line="360" w:lineRule="auto"/>
        <w:ind w:firstLine="480" w:firstLineChars="200"/>
        <w:rPr>
          <w:szCs w:val="21"/>
        </w:rPr>
      </w:pPr>
      <w:r>
        <w:rPr>
          <w:rFonts w:hint="eastAsia"/>
          <w:color w:val="000000"/>
          <w:szCs w:val="21"/>
        </w:rPr>
        <w:t>（5）主讲人或助教可在直播中，随时发起开启作业、投票、问卷、评价、反思等活动。学员可即时收到任务提醒，并可去参与任务。</w:t>
      </w:r>
    </w:p>
    <w:p w14:paraId="01CB5F4A">
      <w:pPr>
        <w:spacing w:line="360" w:lineRule="auto"/>
        <w:ind w:firstLine="482" w:firstLineChars="200"/>
        <w:outlineLvl w:val="2"/>
        <w:rPr>
          <w:b/>
          <w:bCs/>
          <w:szCs w:val="21"/>
        </w:rPr>
      </w:pPr>
      <w:r>
        <w:rPr>
          <w:rFonts w:hint="eastAsia"/>
          <w:b/>
          <w:bCs/>
          <w:szCs w:val="21"/>
        </w:rPr>
        <w:t>16.数据监控功能</w:t>
      </w:r>
    </w:p>
    <w:p w14:paraId="39257B34">
      <w:pPr>
        <w:pStyle w:val="13"/>
        <w:spacing w:line="360" w:lineRule="auto"/>
      </w:pPr>
      <w:r>
        <w:rPr>
          <w:rFonts w:hint="eastAsia"/>
        </w:rPr>
        <w:t>运用大数据分析直观体现学员的参训情况，从学员签到、进出直播间频次、答题记录、任务参与、成果提交、研讨发言、课程满意度、网络课程学习情况等进行实时数据跟踪，为每个学员的学情提供多维度统计及分析，对学习行为等作出客观评价。向培训管理者直观并且实时的展示学员参训情况数据，做到及时调控、过程干预，确保培训效果。</w:t>
      </w:r>
    </w:p>
    <w:p w14:paraId="04780C8C">
      <w:pPr>
        <w:rPr>
          <w:rFonts w:asciiTheme="minorEastAsia" w:hAnsiTheme="minorEastAsia" w:eastAsiaTheme="minorEastAsia" w:cstheme="minorEastAsia"/>
          <w:b/>
          <w:kern w:val="2"/>
          <w:sz w:val="36"/>
          <w:szCs w:val="22"/>
        </w:rPr>
      </w:pPr>
    </w:p>
    <w:p w14:paraId="65F226E7">
      <w:pPr>
        <w:spacing w:line="360" w:lineRule="auto"/>
        <w:jc w:val="center"/>
        <w:rPr>
          <w:rFonts w:ascii="黑体" w:hAnsi="黑体" w:eastAsia="黑体"/>
          <w:b/>
          <w:bCs/>
          <w:sz w:val="28"/>
          <w:szCs w:val="28"/>
        </w:rPr>
      </w:pPr>
      <w:r>
        <w:rPr>
          <w:rFonts w:hint="eastAsia" w:asciiTheme="minorEastAsia" w:hAnsiTheme="minorEastAsia" w:eastAsiaTheme="minorEastAsia" w:cstheme="minorEastAsia"/>
          <w:b/>
          <w:sz w:val="36"/>
        </w:rPr>
        <w:br w:type="page"/>
      </w:r>
      <w:r>
        <w:rPr>
          <w:rFonts w:hint="eastAsia" w:ascii="黑体" w:hAnsi="黑体" w:eastAsia="黑体"/>
          <w:b/>
          <w:bCs/>
          <w:sz w:val="28"/>
          <w:szCs w:val="28"/>
        </w:rPr>
        <w:t>2025年乌鲁木齐职业大学高等学历继续教育和职业教育培训网络教学平台采购项目</w:t>
      </w:r>
    </w:p>
    <w:p w14:paraId="206B6450">
      <w:pPr>
        <w:pStyle w:val="4"/>
        <w:numPr>
          <w:ilvl w:val="0"/>
          <w:numId w:val="0"/>
        </w:numPr>
        <w:jc w:val="center"/>
        <w:rPr>
          <w:rFonts w:asciiTheme="minorEastAsia" w:hAnsiTheme="minorEastAsia" w:eastAsiaTheme="minorEastAsia" w:cstheme="minorEastAsia"/>
          <w:b w:val="0"/>
          <w:bCs/>
          <w:kern w:val="2"/>
          <w:sz w:val="24"/>
          <w:szCs w:val="24"/>
        </w:rPr>
      </w:pPr>
      <w:r>
        <w:rPr>
          <w:rFonts w:hint="eastAsia" w:asciiTheme="minorEastAsia" w:hAnsiTheme="minorEastAsia" w:eastAsiaTheme="minorEastAsia" w:cstheme="minorEastAsia"/>
          <w:b w:val="0"/>
          <w:bCs/>
          <w:kern w:val="2"/>
          <w:sz w:val="24"/>
          <w:szCs w:val="24"/>
        </w:rPr>
        <w:t>采购清单</w:t>
      </w:r>
    </w:p>
    <w:tbl>
      <w:tblPr>
        <w:tblStyle w:val="412"/>
        <w:tblW w:w="96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2063"/>
        <w:gridCol w:w="2166"/>
        <w:gridCol w:w="2166"/>
        <w:gridCol w:w="2530"/>
      </w:tblGrid>
      <w:tr w14:paraId="6F5B8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747" w:type="dxa"/>
            <w:vAlign w:val="center"/>
          </w:tcPr>
          <w:p w14:paraId="6E5A9730">
            <w:pPr>
              <w:widowControl w:val="0"/>
              <w:spacing w:line="300" w:lineRule="exact"/>
              <w:jc w:val="center"/>
            </w:pPr>
            <w:r>
              <w:rPr>
                <w:rFonts w:hint="eastAsia"/>
              </w:rPr>
              <w:t>序号</w:t>
            </w:r>
          </w:p>
        </w:tc>
        <w:tc>
          <w:tcPr>
            <w:tcW w:w="2063" w:type="dxa"/>
            <w:vAlign w:val="center"/>
          </w:tcPr>
          <w:p w14:paraId="1978D41B">
            <w:pPr>
              <w:widowControl w:val="0"/>
              <w:spacing w:line="300" w:lineRule="exact"/>
              <w:jc w:val="center"/>
            </w:pPr>
            <w:r>
              <w:rPr>
                <w:rFonts w:hint="eastAsia"/>
              </w:rPr>
              <w:t>服务名称</w:t>
            </w:r>
          </w:p>
        </w:tc>
        <w:tc>
          <w:tcPr>
            <w:tcW w:w="2166" w:type="dxa"/>
            <w:vAlign w:val="center"/>
          </w:tcPr>
          <w:p w14:paraId="06334C16">
            <w:pPr>
              <w:widowControl w:val="0"/>
              <w:spacing w:line="300" w:lineRule="exact"/>
              <w:jc w:val="center"/>
            </w:pPr>
            <w:r>
              <w:rPr>
                <w:rFonts w:hint="eastAsia"/>
              </w:rPr>
              <w:t>数量（套）</w:t>
            </w:r>
          </w:p>
        </w:tc>
        <w:tc>
          <w:tcPr>
            <w:tcW w:w="2166" w:type="dxa"/>
            <w:vAlign w:val="center"/>
          </w:tcPr>
          <w:p w14:paraId="70A71516">
            <w:pPr>
              <w:widowControl w:val="0"/>
              <w:spacing w:line="300" w:lineRule="exact"/>
              <w:jc w:val="center"/>
            </w:pPr>
            <w:r>
              <w:rPr>
                <w:rFonts w:hint="eastAsia"/>
              </w:rPr>
              <w:t>招标预算</w:t>
            </w:r>
          </w:p>
        </w:tc>
        <w:tc>
          <w:tcPr>
            <w:tcW w:w="2530" w:type="dxa"/>
            <w:vAlign w:val="center"/>
          </w:tcPr>
          <w:p w14:paraId="6E370478">
            <w:pPr>
              <w:widowControl w:val="0"/>
              <w:spacing w:line="300" w:lineRule="exact"/>
              <w:jc w:val="center"/>
            </w:pPr>
            <w:r>
              <w:rPr>
                <w:rFonts w:hint="eastAsia"/>
              </w:rPr>
              <w:t>服务期限</w:t>
            </w:r>
          </w:p>
        </w:tc>
      </w:tr>
      <w:tr w14:paraId="0F112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4" w:hRule="atLeast"/>
          <w:jc w:val="center"/>
        </w:trPr>
        <w:tc>
          <w:tcPr>
            <w:tcW w:w="747" w:type="dxa"/>
            <w:vAlign w:val="center"/>
          </w:tcPr>
          <w:p w14:paraId="0DDAD83A">
            <w:pPr>
              <w:widowControl w:val="0"/>
              <w:spacing w:line="300" w:lineRule="exact"/>
              <w:jc w:val="center"/>
            </w:pPr>
            <w:r>
              <w:rPr>
                <w:rFonts w:hint="eastAsia"/>
              </w:rPr>
              <w:t>1</w:t>
            </w:r>
          </w:p>
        </w:tc>
        <w:tc>
          <w:tcPr>
            <w:tcW w:w="2063" w:type="dxa"/>
            <w:vAlign w:val="center"/>
          </w:tcPr>
          <w:p w14:paraId="07945E14">
            <w:pPr>
              <w:widowControl w:val="0"/>
              <w:spacing w:line="300" w:lineRule="exact"/>
              <w:jc w:val="center"/>
            </w:pPr>
            <w:r>
              <w:rPr>
                <w:rFonts w:hint="eastAsia"/>
              </w:rPr>
              <w:t>高等学历继续教育平台</w:t>
            </w:r>
          </w:p>
        </w:tc>
        <w:tc>
          <w:tcPr>
            <w:tcW w:w="2166" w:type="dxa"/>
            <w:vAlign w:val="center"/>
          </w:tcPr>
          <w:p w14:paraId="60974373">
            <w:pPr>
              <w:widowControl w:val="0"/>
              <w:spacing w:line="300" w:lineRule="exact"/>
              <w:jc w:val="center"/>
            </w:pPr>
            <w:r>
              <w:rPr>
                <w:rFonts w:hint="eastAsia"/>
              </w:rPr>
              <w:t>1</w:t>
            </w:r>
          </w:p>
        </w:tc>
        <w:tc>
          <w:tcPr>
            <w:tcW w:w="2166" w:type="dxa"/>
            <w:vAlign w:val="center"/>
          </w:tcPr>
          <w:p w14:paraId="39603F85">
            <w:pPr>
              <w:widowControl w:val="0"/>
              <w:spacing w:line="300" w:lineRule="exact"/>
              <w:jc w:val="center"/>
            </w:pPr>
            <w:r>
              <w:rPr>
                <w:rFonts w:hint="eastAsia"/>
              </w:rPr>
              <w:t>320元/人</w:t>
            </w:r>
          </w:p>
        </w:tc>
        <w:tc>
          <w:tcPr>
            <w:tcW w:w="2530" w:type="dxa"/>
            <w:vAlign w:val="center"/>
          </w:tcPr>
          <w:p w14:paraId="308DA314">
            <w:pPr>
              <w:widowControl w:val="0"/>
              <w:spacing w:line="300" w:lineRule="exact"/>
              <w:jc w:val="center"/>
            </w:pPr>
            <w:r>
              <w:rPr>
                <w:rFonts w:hint="eastAsia"/>
              </w:rPr>
              <w:t>学历平台服务、2025、2026、2027级学生入学开始至毕业结束。职业教育培训平台服务年限、2026、2027年。</w:t>
            </w:r>
          </w:p>
        </w:tc>
      </w:tr>
      <w:tr w14:paraId="51353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7" w:type="dxa"/>
            <w:vAlign w:val="center"/>
          </w:tcPr>
          <w:p w14:paraId="303FC5EF">
            <w:pPr>
              <w:widowControl w:val="0"/>
              <w:spacing w:line="300" w:lineRule="exact"/>
              <w:jc w:val="center"/>
            </w:pPr>
            <w:r>
              <w:rPr>
                <w:rFonts w:hint="eastAsia"/>
              </w:rPr>
              <w:t>2</w:t>
            </w:r>
          </w:p>
        </w:tc>
        <w:tc>
          <w:tcPr>
            <w:tcW w:w="2063" w:type="dxa"/>
            <w:vAlign w:val="center"/>
          </w:tcPr>
          <w:p w14:paraId="26EEFC15">
            <w:pPr>
              <w:widowControl w:val="0"/>
              <w:spacing w:line="300" w:lineRule="exact"/>
              <w:jc w:val="center"/>
            </w:pPr>
            <w:r>
              <w:rPr>
                <w:rFonts w:hint="eastAsia"/>
              </w:rPr>
              <w:t>职业教育培训平台</w:t>
            </w:r>
          </w:p>
        </w:tc>
        <w:tc>
          <w:tcPr>
            <w:tcW w:w="2166" w:type="dxa"/>
            <w:vAlign w:val="center"/>
          </w:tcPr>
          <w:p w14:paraId="5B9DCE85">
            <w:pPr>
              <w:widowControl w:val="0"/>
              <w:spacing w:line="300" w:lineRule="exact"/>
              <w:jc w:val="center"/>
            </w:pPr>
            <w:r>
              <w:rPr>
                <w:rFonts w:hint="eastAsia"/>
              </w:rPr>
              <w:t>1</w:t>
            </w:r>
          </w:p>
        </w:tc>
        <w:tc>
          <w:tcPr>
            <w:tcW w:w="2166" w:type="dxa"/>
            <w:vAlign w:val="center"/>
          </w:tcPr>
          <w:p w14:paraId="0136A0AB">
            <w:pPr>
              <w:widowControl w:val="0"/>
              <w:spacing w:line="300" w:lineRule="exact"/>
              <w:jc w:val="center"/>
            </w:pPr>
            <w:r>
              <w:rPr>
                <w:rFonts w:hint="eastAsia"/>
              </w:rPr>
              <w:t>4万/年</w:t>
            </w:r>
          </w:p>
        </w:tc>
        <w:tc>
          <w:tcPr>
            <w:tcW w:w="2530" w:type="dxa"/>
            <w:vAlign w:val="center"/>
          </w:tcPr>
          <w:p w14:paraId="19085103">
            <w:pPr>
              <w:widowControl w:val="0"/>
              <w:spacing w:line="300" w:lineRule="exact"/>
              <w:jc w:val="center"/>
            </w:pPr>
            <w:r>
              <w:rPr>
                <w:rFonts w:hint="eastAsia"/>
              </w:rPr>
              <w:t>按年服务</w:t>
            </w:r>
          </w:p>
        </w:tc>
      </w:tr>
    </w:tbl>
    <w:p w14:paraId="6A73C24F">
      <w:pPr>
        <w:spacing w:line="440" w:lineRule="exact"/>
        <w:ind w:firstLine="480" w:firstLineChars="200"/>
        <w:rPr>
          <w:rFonts w:asciiTheme="minorEastAsia" w:hAnsiTheme="minorEastAsia" w:eastAsiaTheme="minorEastAsia" w:cstheme="minorEastAsia"/>
          <w:bCs/>
          <w:kern w:val="2"/>
        </w:rPr>
      </w:pPr>
    </w:p>
    <w:p w14:paraId="33AD1308">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技术要求</w:t>
      </w:r>
    </w:p>
    <w:p w14:paraId="5D080DA3">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（一）基本要求</w:t>
      </w:r>
    </w:p>
    <w:p w14:paraId="2018891E">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平台应采用计算机技术、多媒体技术、网络通信技术、数字技术等现代信息技术手段构建的一种新型管理与教学模式，融合现代教育理念、教学内容和现代信息技术的具有多种功能的开放式管理与教学系统。</w:t>
      </w:r>
    </w:p>
    <w:p w14:paraId="7D6BC56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1.支持系统设置、基础数据、各角色权限管理数据、学籍信息、教学计划、开课数据、网络课程学习数据、成绩数据等无缝对接。</w:t>
      </w:r>
    </w:p>
    <w:p w14:paraId="0B53CFB9">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2.支持建立学生、教师、教学点管理员、院系管理员、管理部门管理员等角色，一级管理员可以创建二级管理员，并为角色分配管理权限。</w:t>
      </w:r>
    </w:p>
    <w:p w14:paraId="1675BE69">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（二）系统性能要求</w:t>
      </w:r>
    </w:p>
    <w:p w14:paraId="16127F3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1．平台的性能指标：7×24小时不间断运行；平均页面响应不高于1秒；平均检索响应不高于1秒；平均视频点播响应不高于3秒。</w:t>
      </w:r>
    </w:p>
    <w:p w14:paraId="3A5130AA">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2．平台的系统设计满足大规模用户使用，平台系统满足并发数不少于2000人，用户并发请求登录接口响应时间小于8秒。</w:t>
      </w:r>
    </w:p>
    <w:p w14:paraId="40325289">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（三）系统安全要求</w:t>
      </w:r>
    </w:p>
    <w:p w14:paraId="184CD73A">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1．系统至少通过国家网络安全等级保护2.0标准，具备完整的网络与信息安全保障策略，能够有效防止各种系统入侵方式，防止数据被非法窃取、篡改，防止数据丢失。</w:t>
      </w:r>
    </w:p>
    <w:p w14:paraId="3EE0A50C">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2．要求敏感信息加密存储，确保信息安全。数据库服务器设置访问权限，仅允许授权的内网服务器IP访问，对外网隔绝。</w:t>
      </w:r>
    </w:p>
    <w:p w14:paraId="55354A53">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3．数据库采用主从热备机制，提升性能的同时保证数据的安全性，同时建立定期冷备策略，保证一段时间的数据可追查可恢复。</w:t>
      </w:r>
    </w:p>
    <w:p w14:paraId="48F1B02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4．支持利用数据库的备份功能将建设的平台和系统数据备份到指定的服务器或存储系统上。</w:t>
      </w:r>
    </w:p>
    <w:p w14:paraId="7CCC4DA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5．保障服务器网络安全，建立并启用防火墙，杜绝未经授权的访问。采用加密传输机制，确保数据在传输过程中的安全性。</w:t>
      </w:r>
    </w:p>
    <w:p w14:paraId="4B4F9C8A">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6．能够完整记录相关系统日志，并至少保留半年以上时间。</w:t>
      </w:r>
    </w:p>
    <w:p w14:paraId="11F6934A">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（四）系统对接要求</w:t>
      </w:r>
    </w:p>
    <w:p w14:paraId="77447964">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1．系统接口:支持免费开放相应系统接口，对接学校数据中心与其他应用系统，支持将系统数据提供给学校数据中心开展数据治理。</w:t>
      </w:r>
    </w:p>
    <w:p w14:paraId="35023FC9">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2．系统具有良好的扩展性，提供统一的系统版本，支持对接学校现有业务系统。</w:t>
      </w:r>
    </w:p>
    <w:p w14:paraId="1C23891A">
      <w:pPr>
        <w:spacing w:line="440" w:lineRule="exact"/>
        <w:ind w:firstLine="480" w:firstLineChars="200"/>
        <w:rPr>
          <w:rFonts w:asciiTheme="minorEastAsia" w:hAnsiTheme="minorEastAsia" w:eastAsiaTheme="minorEastAsia" w:cstheme="minorEastAsia"/>
          <w:bCs/>
          <w:kern w:val="2"/>
        </w:rPr>
      </w:pPr>
    </w:p>
    <w:p w14:paraId="0F844881">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服务要求</w:t>
      </w:r>
    </w:p>
    <w:p w14:paraId="5077AB0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高等学历继续教育平台</w:t>
      </w:r>
    </w:p>
    <w:p w14:paraId="710CD927">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（一）综合管理平台</w:t>
      </w:r>
    </w:p>
    <w:p w14:paraId="7D21855A">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1.系统管理</w:t>
      </w:r>
    </w:p>
    <w:p w14:paraId="30C86FEE">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 角色权限管理：支持自定义角色，支持权限设置细化到操作按钮；平台可设置不同权限的账号，使用人员具备不同的操作或管理权限。</w:t>
      </w:r>
    </w:p>
    <w:p w14:paraId="6C8A2C1D">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 账号管理：支持添加管理员账号，设置管理员账号密码、名称、业务部门、联系电话等信息。</w:t>
      </w:r>
    </w:p>
    <w:p w14:paraId="404C24B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 打印设置：支持证明材料导出和打印功能，导出类型可选择一个学生一个PDF或合并为一个PDF导出，支持设置文件按学号排序，支持设置调用电子签章。</w:t>
      </w:r>
    </w:p>
    <w:p w14:paraId="5EF025A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 安全监管</w:t>
      </w:r>
    </w:p>
    <w:p w14:paraId="7C7123D1">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1)支持管理员账号模拟登录学生账号，查看学生所有课程的学习记录和考试情况。</w:t>
      </w:r>
    </w:p>
    <w:p w14:paraId="21E68F4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w:t>
      </w:r>
      <w:r>
        <w:t>支持开启防录屏安全设置，防录屏必须同时包含开启动态水印、禁止回放下载、禁止APP录屏，自定义水印尺寸和不透明度，可预览查看课程视频中水印动态。</w:t>
      </w:r>
    </w:p>
    <w:p w14:paraId="3E125884">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3)支持自定义选择角色和老师赋予紧急终止直播权限。</w:t>
      </w:r>
    </w:p>
    <w:p w14:paraId="71581958">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4)支持学生隐私信息管理，添加提取任务，支持提取类型选择，类型包括隐私信息导出和学生照片下载，自定义选择提取字段和数据范围，提取任务必须输入用途。</w:t>
      </w:r>
    </w:p>
    <w:p w14:paraId="247FB79E">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2.基础数据管理</w:t>
      </w:r>
    </w:p>
    <w:p w14:paraId="0AA2A0F2">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 支持对平台基础性数据进行管理，包括学期管理、年级管理、专业管理、院系管理、课程管理、网络课程、教师管理、教室管理、学籍状态管理等。支持相关数据增、删、改、查操作。</w:t>
      </w:r>
    </w:p>
    <w:p w14:paraId="1B12D717">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 支持包含但不限于以下四种得分规则设置（登录、签到、课件学习、学校资料学习、网络资料学习、直播录播学习、作业、教学点评分）。</w:t>
      </w:r>
    </w:p>
    <w:p w14:paraId="5A3AFA68">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 批量设置课程章节开放模式：支持按学期、课程、教学点、班级设置课程章节的开放模式。</w:t>
      </w:r>
    </w:p>
    <w:p w14:paraId="3D401DC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 批量设置课程学习时间：支持按学期、课程、教学点、班级设置学生允许学习课程的时间。</w:t>
      </w:r>
    </w:p>
    <w:p w14:paraId="593CA2B1">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3.模版自定义管理</w:t>
      </w:r>
    </w:p>
    <w:p w14:paraId="7F9BB72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（1）支持平台内各业务报表模版自定义，可以在线编辑模版，添加字段，生成模版。</w:t>
      </w:r>
    </w:p>
    <w:p w14:paraId="5B96A3D2">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（2）支持查看各模版数据字典。</w:t>
      </w:r>
    </w:p>
    <w:p w14:paraId="39FAFFF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（3）支持包含但不限于以下七种模板配置（录取通知书、毕业证书、在读证明、毕业生登记表、学籍卡、毕业成绩单、入学登记表、试卷袋、签到表、考试记事、学籍成绩表、自定义模板）。</w:t>
      </w:r>
    </w:p>
    <w:p w14:paraId="51E33FF7">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4.新生管理</w:t>
      </w:r>
    </w:p>
    <w:p w14:paraId="6DBD3377">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 录取学生管理：支持与考试院提供的数据字段一致，支持自定义录取学生信息模板的字段和顺序，支持批量导入导出，支持DBF和Excel导入。</w:t>
      </w:r>
    </w:p>
    <w:p w14:paraId="034B5CAD">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 新生注册后支持使用移动端进行线上报到，人脸识别采集照片与录取照片和身份证照片进行相似度对比，并输出结论，由后台管理员审核确认。</w:t>
      </w:r>
    </w:p>
    <w:p w14:paraId="16AEF0F3">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 新生异动：支持注册前新生异动，包括但不限于保留、放弃、恢复入学资格；专业及函授站调剂。</w:t>
      </w:r>
    </w:p>
    <w:p w14:paraId="1D44A8AA">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 新生统计：支持招生报名统计和录取学生统计。</w:t>
      </w:r>
    </w:p>
    <w:p w14:paraId="09BB6B8F">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5.班级管理</w:t>
      </w:r>
    </w:p>
    <w:p w14:paraId="57C4F8D4">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 班级管理：支持给班级指定班主任，查询班级学生信息，调整学生班级。</w:t>
      </w:r>
    </w:p>
    <w:p w14:paraId="1DCB206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 班主任管理：支持查询、调整班主任管理的班级信息。</w:t>
      </w:r>
    </w:p>
    <w:p w14:paraId="4ACE3C62">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6.学籍管理</w:t>
      </w:r>
    </w:p>
    <w:p w14:paraId="30563032">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支持学生自主核对个人学籍信息；支持设置学籍填写内容，包括但不限于：邮箱、地址、紧急联系人电话、工作单位、原学历所学专业等。支持管理员按不同条件组合查询学生学籍信息：包括，但不限于按照年级、层次、专业、教学点、异动情况、在籍情况、学生姓名、学号等。</w:t>
      </w:r>
    </w:p>
    <w:p w14:paraId="2BFBD014">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（2）支持为新录取的新生批量创建账号，账号基于学号构建，且创建后可进行撤销操作。</w:t>
      </w:r>
    </w:p>
    <w:p w14:paraId="5624518C">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（3）支持学生信息修改功能。 </w:t>
      </w:r>
    </w:p>
    <w:p w14:paraId="31BDB322">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（4）支持包含但不限于以下七种学籍异动审批流程（转专业、休复学、退学、换教学点、留级、转学、转班级、提前毕业、结业、肄业、恢复学籍、开除学籍）。</w:t>
      </w:r>
    </w:p>
    <w:p w14:paraId="78D99384">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（5）支持欠费停学。</w:t>
      </w:r>
    </w:p>
    <w:p w14:paraId="144E4E5D">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（6）支持前置学历清查。支持导入待清查学生名单，自定义设置学历清查条件，根据设置条件上传学生证明材料进行对比，审核通过后可生成学生学籍。 </w:t>
      </w:r>
    </w:p>
    <w:p w14:paraId="69FD73D1">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（7）支持上报教育部统计网的 7 个高基表导出（包含高基报表 313、314、321、322、331、332、341）。</w:t>
      </w:r>
    </w:p>
    <w:p w14:paraId="31167A1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（8）支持学籍上报信息导出：根据学信网格式要求，导出文件支持 excel 及 DBF 格式；同时支持学籍表在线批量打印。</w:t>
      </w:r>
    </w:p>
    <w:p w14:paraId="24340B81">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（9）学号生成规则：支持自定义学号生成规则，可进行学号字段配置，包括：年级、专业、教学点代码、流水号等。</w:t>
      </w:r>
    </w:p>
    <w:p w14:paraId="67B13493">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7.教学管理</w:t>
      </w:r>
    </w:p>
    <w:p w14:paraId="7EE403C3">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 教学计划管理：支持管理员可新增、编辑、删除各专业层次的教学计划信息和内容；支持单条或批量导入教学计划、添加所属课程，单条或按年级批量复制教学计划，发布教学计划。</w:t>
      </w:r>
    </w:p>
    <w:p w14:paraId="4D6B77D1">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 选课批次管理：支持设置学生和管理员选课开始结束时间。</w:t>
      </w:r>
    </w:p>
    <w:p w14:paraId="2F1737A8">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 选课调整：支持管理员修改学生已选课程；支持管理员可批量代选课。</w:t>
      </w:r>
    </w:p>
    <w:p w14:paraId="11614333">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 已选课程统计：支持统计每门课程选课人数及选课学生详情；支持按照课程批量退课。</w:t>
      </w:r>
    </w:p>
    <w:p w14:paraId="62669DC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 教学点选课统计：支持按学期展示各教学点每门课程选课情况。</w:t>
      </w:r>
    </w:p>
    <w:p w14:paraId="3F741685">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8.成绩管理</w:t>
      </w:r>
    </w:p>
    <w:p w14:paraId="07E22BEE">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 成绩录入：支持正考成绩、补考成绩、缓考成绩录入；支持按照授课方式录入考试成绩；支持管理员或教师录入成绩；支持单条录入或批量导入；支持发布录入成绩，同时支持考试成绩审核变更。</w:t>
      </w:r>
    </w:p>
    <w:p w14:paraId="03D6D481">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 成绩查询：支持正考总评成绩查询、补考总评成绩查询、缓考总评成绩查询。</w:t>
      </w:r>
    </w:p>
    <w:p w14:paraId="4AE12AA4">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(3) </w:t>
      </w:r>
      <w:r>
        <w:rPr>
          <w:rFonts w:hint="eastAsia" w:asciiTheme="minorEastAsia" w:hAnsiTheme="minorEastAsia" w:eastAsiaTheme="minorEastAsia" w:cstheme="minorEastAsia"/>
          <w:bCs/>
          <w:kern w:val="2"/>
          <w:lang w:eastAsia="zh-Hans"/>
        </w:rPr>
        <w:t>支持</w:t>
      </w:r>
      <w:r>
        <w:rPr>
          <w:rFonts w:hint="eastAsia" w:asciiTheme="minorEastAsia" w:hAnsiTheme="minorEastAsia" w:eastAsiaTheme="minorEastAsia" w:cstheme="minorEastAsia"/>
          <w:bCs/>
          <w:kern w:val="2"/>
        </w:rPr>
        <w:t>成绩单模板自定义设置。</w:t>
      </w:r>
    </w:p>
    <w:p w14:paraId="43B56EF4">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 支持各种维度成绩统计分析，包括校外教学点、年级、专业、班级、课程；支持打印各类成绩报表。</w:t>
      </w:r>
    </w:p>
    <w:p w14:paraId="6984474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 支持成绩留档与更新：支持将学生成绩留档固定不变；支持学生补学过往学期课程并更新成绩；支持自定义留档时间。</w:t>
      </w:r>
    </w:p>
    <w:p w14:paraId="748059B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(6) 支持直播与录播课程回放，支持采用不同的计算规则来计算平时成绩。</w:t>
      </w:r>
    </w:p>
    <w:p w14:paraId="53527559">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(7) 支持以多种模板形式导出成绩单，模板可根据需求进行个性化定制；支持在线批量打印成绩单。</w:t>
      </w:r>
    </w:p>
    <w:p w14:paraId="05CFD207">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9.毕业管理</w:t>
      </w:r>
    </w:p>
    <w:p w14:paraId="1364F50D">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 毕业审核：支持包含但不限于以下三种毕业审核类型（毕业生登记表审核、学费清缴审核、课程毕业审核、毕业生信息核对表审核、毕业照片审核、毕业论文审核、终审）。</w:t>
      </w:r>
    </w:p>
    <w:p w14:paraId="410EEE8B">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 毕业批次管理：支持设置毕业批次时间；支持设置学生自我鉴定审核时间段。</w:t>
      </w:r>
    </w:p>
    <w:p w14:paraId="269C7FE8">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 毕业管理：支持对学生进行毕业判断；支持发送毕业申请通知；支持管理员可代申请延期毕业。</w:t>
      </w:r>
    </w:p>
    <w:p w14:paraId="24687C9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 毕业生列表：支持发布正式毕业、撤销毕业；支持自动生成毕业证书编号，导入毕业证书编号；支持打印毕业证书，毕业证明书。</w:t>
      </w:r>
    </w:p>
    <w:p w14:paraId="3F16950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10.通知管理</w:t>
      </w:r>
    </w:p>
    <w:p w14:paraId="33D1956D">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 支持总管理员给所有管理员、教师、学生分别发送通知；支持按照教学点、学生类别、年级、专业、学籍状态、学习形式、班级进行人员筛选给学生发送通知。</w:t>
      </w:r>
    </w:p>
    <w:p w14:paraId="10D2CA0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 支持查看已读和未读消息情况，消息查看包括接收人、读取时间、学号、教学点、班级。</w:t>
      </w:r>
    </w:p>
    <w:p w14:paraId="7B8CF23B">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11.教学统计</w:t>
      </w:r>
      <w:r>
        <w:rPr>
          <w:rFonts w:hint="eastAsia" w:asciiTheme="minorEastAsia" w:hAnsiTheme="minorEastAsia" w:eastAsiaTheme="minorEastAsia" w:cstheme="minorEastAsia"/>
          <w:bCs/>
          <w:kern w:val="2"/>
          <w:lang w:eastAsia="zh-Hans"/>
        </w:rPr>
        <w:t>管理</w:t>
      </w:r>
    </w:p>
    <w:p w14:paraId="286867F2">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(1) </w:t>
      </w:r>
      <w:r>
        <w:rPr>
          <w:rFonts w:hint="eastAsia" w:asciiTheme="minorEastAsia" w:hAnsiTheme="minorEastAsia" w:eastAsiaTheme="minorEastAsia" w:cstheme="minorEastAsia"/>
          <w:bCs/>
          <w:kern w:val="2"/>
          <w:lang w:eastAsia="zh-Hans"/>
        </w:rPr>
        <w:t>支持</w:t>
      </w:r>
      <w:r>
        <w:rPr>
          <w:rFonts w:hint="eastAsia" w:asciiTheme="minorEastAsia" w:hAnsiTheme="minorEastAsia" w:eastAsiaTheme="minorEastAsia" w:cstheme="minorEastAsia"/>
          <w:bCs/>
          <w:kern w:val="2"/>
        </w:rPr>
        <w:t>图形化、可视化的操作界面，</w:t>
      </w:r>
      <w:r>
        <w:rPr>
          <w:rFonts w:hint="eastAsia" w:asciiTheme="minorEastAsia" w:hAnsiTheme="minorEastAsia" w:eastAsiaTheme="minorEastAsia" w:cstheme="minorEastAsia"/>
          <w:bCs/>
          <w:kern w:val="2"/>
          <w:lang w:eastAsia="zh-Hans"/>
        </w:rPr>
        <w:t>支持</w:t>
      </w:r>
      <w:r>
        <w:rPr>
          <w:rFonts w:hint="eastAsia" w:asciiTheme="minorEastAsia" w:hAnsiTheme="minorEastAsia" w:eastAsiaTheme="minorEastAsia" w:cstheme="minorEastAsia"/>
          <w:bCs/>
          <w:kern w:val="2"/>
        </w:rPr>
        <w:t>统计图、统计表的导出。</w:t>
      </w:r>
    </w:p>
    <w:p w14:paraId="17933815">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(2) </w:t>
      </w:r>
      <w:r>
        <w:rPr>
          <w:rFonts w:hint="eastAsia" w:asciiTheme="minorEastAsia" w:hAnsiTheme="minorEastAsia" w:eastAsiaTheme="minorEastAsia" w:cstheme="minorEastAsia"/>
          <w:bCs/>
          <w:kern w:val="2"/>
          <w:lang w:eastAsia="zh-Hans"/>
        </w:rPr>
        <w:t>支持</w:t>
      </w:r>
      <w:r>
        <w:rPr>
          <w:rFonts w:hint="eastAsia" w:asciiTheme="minorEastAsia" w:hAnsiTheme="minorEastAsia" w:eastAsiaTheme="minorEastAsia" w:cstheme="minorEastAsia"/>
          <w:bCs/>
          <w:kern w:val="2"/>
        </w:rPr>
        <w:t>学校各类数据以统计报表形式体现，包括：招生情况、课程学习进度、考试情况、学籍异动情况、缴费情况、毕业情况等。</w:t>
      </w:r>
    </w:p>
    <w:p w14:paraId="6886F6E6">
      <w:pPr>
        <w:spacing w:line="440" w:lineRule="exact"/>
        <w:ind w:firstLine="480" w:firstLineChars="200"/>
        <w:rPr>
          <w:rFonts w:asciiTheme="minorEastAsia" w:hAnsiTheme="minorEastAsia" w:eastAsiaTheme="minorEastAsia" w:cstheme="minorEastAsia"/>
          <w:bCs/>
          <w:kern w:val="2"/>
          <w:lang w:eastAsia="zh-Hans"/>
        </w:rPr>
      </w:pPr>
      <w:r>
        <w:rPr>
          <w:rFonts w:hint="eastAsia" w:asciiTheme="minorEastAsia" w:hAnsiTheme="minorEastAsia" w:eastAsiaTheme="minorEastAsia" w:cstheme="minorEastAsia"/>
          <w:bCs/>
          <w:kern w:val="2"/>
          <w:lang w:eastAsia="zh-Hans"/>
        </w:rPr>
        <w:t>(3)</w:t>
      </w:r>
      <w:r>
        <w:rPr>
          <w:rFonts w:hint="eastAsia" w:asciiTheme="minorEastAsia" w:hAnsiTheme="minorEastAsia" w:eastAsiaTheme="minorEastAsia" w:cstheme="minorEastAsia"/>
          <w:bCs/>
          <w:kern w:val="2"/>
        </w:rPr>
        <w:t xml:space="preserve"> 数据统计看板：统计看板包括学生地域分布图看板、教学点地域分布图看板、办学规模看板，支持自定义添加统计看板，可选择可用单位、工作范围。</w:t>
      </w:r>
    </w:p>
    <w:p w14:paraId="43D2FAD8">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12.督导评教</w:t>
      </w:r>
    </w:p>
    <w:p w14:paraId="6F7C58E3">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（1）督导评教模块支持设置督导范围、督导次数、申请审核、评教统计分析。</w:t>
      </w:r>
    </w:p>
    <w:p w14:paraId="2C290AEE">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（2）督导任务管理：支持单个、批量创建督导任务，修改、删除督导任务，创建任务后可将任务指派给有权限的督导员，督导员可查看指派情况。</w:t>
      </w:r>
    </w:p>
    <w:p w14:paraId="0B4C79D9">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（3）督导权限管理：支持管理员从督导学期、督导层次、督导专业、督导单位4个维度限制督导员的范围，设置后督导员只能看到自己有权限的数据。 </w:t>
      </w:r>
    </w:p>
    <w:p w14:paraId="22E5C5CB">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（4）支持自定义选择被评教师是否可查看评教结果，开启后被评教师可以收到通知查看督导结果。</w:t>
      </w:r>
    </w:p>
    <w:p w14:paraId="23050634">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（5）支持督导评课次数统计，按学期汇总各个督导的应督导次数和已督导次数数据，帮助督导管理员了解督导的工作量和完成情况。</w:t>
      </w:r>
    </w:p>
    <w:p w14:paraId="0026F604">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（二）移动学习平台</w:t>
      </w:r>
    </w:p>
    <w:p w14:paraId="78B0832B">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1.移动端 APP 同时支持 IOS 和 Android 版本访问使用，且学习记录与 web 端同步。 </w:t>
      </w:r>
    </w:p>
    <w:p w14:paraId="286103FA">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2.支持学生个人信息核对修改。 </w:t>
      </w:r>
    </w:p>
    <w:p w14:paraId="3ED91828">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3.支持教学计划查询、学籍信息查询。 </w:t>
      </w:r>
    </w:p>
    <w:p w14:paraId="0E7E0C8D">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4.支持课程学习： </w:t>
      </w:r>
    </w:p>
    <w:p w14:paraId="56182E7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（1）课程信息查询：在学课程、未学课程、已学课程； </w:t>
      </w:r>
    </w:p>
    <w:p w14:paraId="37403B99">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（2）视频学习：支持在线播放，支持视频缓存，支持观看计时并与 web 端计时同步参与课程考核； </w:t>
      </w:r>
    </w:p>
    <w:p w14:paraId="617B5987">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（3）在线作业：支持多种题型，支持自动阅卷，支持错题解析； </w:t>
      </w:r>
    </w:p>
    <w:p w14:paraId="4050CBB9">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（4）支持命题作业功能。 </w:t>
      </w:r>
    </w:p>
    <w:p w14:paraId="729FBB79">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5.支持在线考试功能。 </w:t>
      </w:r>
    </w:p>
    <w:p w14:paraId="38562EAF">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6.支持线下考试的考场查询功能。 </w:t>
      </w:r>
    </w:p>
    <w:p w14:paraId="753246CA">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 xml:space="preserve">7.支持成绩查询，查看已学课程的课程成绩。 </w:t>
      </w:r>
    </w:p>
    <w:p w14:paraId="76BC1DE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8.支持即时通讯：与学习小组内的其他学生、手机联系人中使用APP 的学生实时沟通。</w:t>
      </w:r>
    </w:p>
    <w:p w14:paraId="58DDBBCF">
      <w:pPr>
        <w:spacing w:line="440" w:lineRule="exact"/>
        <w:ind w:firstLine="480" w:firstLineChars="200"/>
        <w:rPr>
          <w:rFonts w:asciiTheme="minorEastAsia" w:hAnsiTheme="minorEastAsia" w:eastAsiaTheme="minorEastAsia" w:cstheme="minorEastAsia"/>
          <w:bCs/>
          <w:kern w:val="2"/>
        </w:rPr>
      </w:pPr>
    </w:p>
    <w:p w14:paraId="14084008">
      <w:pPr>
        <w:spacing w:line="440" w:lineRule="exact"/>
        <w:ind w:firstLine="480" w:firstLineChars="200"/>
        <w:rPr>
          <w:rFonts w:asciiTheme="minorEastAsia" w:hAnsiTheme="minorEastAsia" w:eastAsiaTheme="minorEastAsia" w:cstheme="minorEastAsia"/>
          <w:bCs/>
          <w:kern w:val="2"/>
        </w:rPr>
      </w:pPr>
    </w:p>
    <w:p w14:paraId="6CD844F8">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职业教育培训平台</w:t>
      </w:r>
    </w:p>
    <w:p w14:paraId="16DA1677">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系统管理</w:t>
      </w:r>
    </w:p>
    <w:p w14:paraId="7278BA0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（1）官网设计：可以针对学校定制个性化的平台门户，实现以下模块的动态化配置：院校信息、轮播图、宣传报道、新闻通知、院校简介、推荐报班、招生简章、联系方式。</w:t>
      </w:r>
    </w:p>
    <w:p w14:paraId="2C0D2A1E">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（2）角色权限管理：实现依据管理员、教师类按照岗位职责进行角色定义及对应角色权限分配，满足不同场景下管理需求。</w:t>
      </w:r>
    </w:p>
    <w:p w14:paraId="1394322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（3）数据权限管理：支持自定义选择办学单位、项目、班级、课程数据公开或私有。</w:t>
      </w:r>
    </w:p>
    <w:p w14:paraId="756E527F">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（4）审批规范设置：支持根据不同项目类型设置不同项目审批流程，自定义设置多级审批人，设置签名为必选项。</w:t>
      </w:r>
    </w:p>
    <w:p w14:paraId="355AE882">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（5）办学单位管理：支持添加办学单位，编辑单位信息，分配负责人，设置办学状态。</w:t>
      </w:r>
    </w:p>
    <w:p w14:paraId="2233115F">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（6）委托单位管理：支持添加委托单位，编辑委托单位信息，设置单位状态。</w:t>
      </w:r>
    </w:p>
    <w:p w14:paraId="7C4F70B4">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（7）基础类型管理:支持根据教学模式、费用、项目、证书、项目资料等类别，自定义添加类型名称和编码，设置是否启用。</w:t>
      </w:r>
    </w:p>
    <w:p w14:paraId="5798A508">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（8）考核标准管理：支持设置考核标准，自定义成绩权重分配，可根据分数区间和分布比例设置成绩等级，自定义设置及格分数线。</w:t>
      </w:r>
    </w:p>
    <w:p w14:paraId="2AF27A5D">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项目管理</w:t>
      </w:r>
    </w:p>
    <w:p w14:paraId="6DA89F51">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(1)项目调研</w:t>
      </w:r>
    </w:p>
    <w:p w14:paraId="0D00CB91">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支持新建项目调研信息，发布后支持分享邀请用户参与调研，统计参与调研人数，评估项目可培训规模；</w:t>
      </w:r>
    </w:p>
    <w:p w14:paraId="72E0B7D8">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支持将调研项目申报提交给审批部门进行在线审批。</w:t>
      </w:r>
    </w:p>
    <w:p w14:paraId="65E1A26B">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(2)项目申报</w:t>
      </w:r>
    </w:p>
    <w:p w14:paraId="20B62DF7">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支持填写项目申报信息，信息包括项目名称、项目类型、预计培训人数、教学模式、合作单位名称、培训时间等；</w:t>
      </w:r>
    </w:p>
    <w:p w14:paraId="26FD3DA9">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支持申报的项目预算，可以分项目添加预算。项目审核通过前可以修改预算，审核通过后不得修改预算；</w:t>
      </w:r>
    </w:p>
    <w:p w14:paraId="79602DF7">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支持查看项目申报审批进度。</w:t>
      </w:r>
    </w:p>
    <w:p w14:paraId="328F0F5C">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(3)项目审批</w:t>
      </w:r>
    </w:p>
    <w:p w14:paraId="6EA356B7">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支持项目审批部门审批处理已申报的培训项目，填写审核意见，支持审批时电子签名。未审核通过的项目可以进行编辑、删除；</w:t>
      </w:r>
    </w:p>
    <w:p w14:paraId="1FDDEF3F">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支持查看项目审批进度。</w:t>
      </w:r>
    </w:p>
    <w:p w14:paraId="0FBBE1D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合同申报</w:t>
      </w:r>
    </w:p>
    <w:p w14:paraId="08C344E9">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（1）支持填写项目合同信息，添加合同附件，提交到审批部分进行合同申报审批。未审核通过的项目合同可以进行编辑、删除；</w:t>
      </w:r>
    </w:p>
    <w:p w14:paraId="3BED81A8">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（2）支持查看项目合同审批进度。</w:t>
      </w:r>
    </w:p>
    <w:p w14:paraId="6E1B6363">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（3）合同审批：支持项目审批部门审批处理已申报的项目合同，填写审核意见，支持审批时电子签名。</w:t>
      </w:r>
    </w:p>
    <w:p w14:paraId="501CD5FB">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项目开班</w:t>
      </w:r>
    </w:p>
    <w:p w14:paraId="70AA48E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 项目审批通过后，支持查看项目信息，可以对该项目开设培训班级，提交审批部门审批。未审核通过的项目开班可以进行编辑、删除；</w:t>
      </w:r>
    </w:p>
    <w:p w14:paraId="3A0E6A8F">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(2)支持查看项目开班审批进度。</w:t>
      </w:r>
    </w:p>
    <w:p w14:paraId="48A37980">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(3)支持项目审批部门审批处理已申报的项目开班，填写审核意见，支持审批时电子签名；</w:t>
      </w:r>
    </w:p>
    <w:p w14:paraId="08CED9DC">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(4)支持查看项目审批进度。</w:t>
      </w:r>
    </w:p>
    <w:p w14:paraId="6ADBDCA2">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资源管理</w:t>
      </w:r>
    </w:p>
    <w:p w14:paraId="06748C24">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(1)课程管理：课程基本信息维护，可关联上课教师；</w:t>
      </w:r>
    </w:p>
    <w:p w14:paraId="0ED1D671">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(2)教师管理：教师基本信息维护，可关联多门待负责的课程；</w:t>
      </w:r>
    </w:p>
    <w:p w14:paraId="2552879E">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(3)教室管理：教室基本信息维护，在建立课程安排时，选择教室时需有教室使用情况数据看板，主要体现在已被占用教室的时间段，可选择的教室时间段；</w:t>
      </w:r>
    </w:p>
    <w:p w14:paraId="71C859B1">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(4)直播管理：建立直播计划，配置需要直播的课程、主讲老师和助教；分享直播链接给学员；</w:t>
      </w:r>
    </w:p>
    <w:p w14:paraId="4C465E1A">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(5)文章资讯：可设置文章资讯的分组信息；添加或修改文章资讯内容；可设置文字资讯是否发布或置顶；</w:t>
      </w:r>
    </w:p>
    <w:p w14:paraId="26B8E885">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(6)线上资源：素材资源、题库资源（题库管理，题目管理，快速录题，题目纠错）、图文、视频、音频和试卷；线上资源均可添加或修改，于学员的线上培训。</w:t>
      </w:r>
    </w:p>
    <w:p w14:paraId="6ECF6FC7">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经费分配方案</w:t>
      </w:r>
    </w:p>
    <w:p w14:paraId="76EEFDF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(1)支持可以查看所有项目的经费分配方案；</w:t>
      </w:r>
    </w:p>
    <w:p w14:paraId="2AAE2A81">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(2)支持文件材料的上传，银行汇款单、资金收入确认表、经费分配方案电子版材料；</w:t>
      </w:r>
    </w:p>
    <w:p w14:paraId="3CE1E2EC">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(3)支持查看项目经费分配方案审批进度。</w:t>
      </w:r>
    </w:p>
    <w:p w14:paraId="36BF59EE">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(4)支持对项目的经费分配方案进行线上审核，填写审核意见，支持审批时电子签名；</w:t>
      </w:r>
    </w:p>
    <w:p w14:paraId="7F532482">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(5)支持查看经费审批进度。</w:t>
      </w:r>
    </w:p>
    <w:p w14:paraId="5EC5CC8E">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项目归档</w:t>
      </w:r>
    </w:p>
    <w:p w14:paraId="0AD9C534">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支持项目归档整理，查看项目基础信息、收支预算、项目材料等，导出项目数据。</w:t>
      </w:r>
    </w:p>
    <w:p w14:paraId="24A5531E">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证书管理</w:t>
      </w:r>
    </w:p>
    <w:p w14:paraId="53910B38">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（1）证书颁发：对参加培训通过考核的学员进行结业证书的颁发，可对未颁发的学生颁发证书，或查看已颁发的学生的证书；支持学员证书的打印和下载，对于已颁发的证书可批量勾选打印；</w:t>
      </w:r>
    </w:p>
    <w:p w14:paraId="3B744B78">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（2）证书编码设定：支持自定义证书编码规则，可以自由组合编码设定的条件；</w:t>
      </w:r>
    </w:p>
    <w:p w14:paraId="475AEBC6">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（3）证书模板设计：可以根据不同的培训项目进行证书模板的设计，应用于学生结业电子版证书颁发；</w:t>
      </w:r>
    </w:p>
    <w:p w14:paraId="427DADCF">
      <w:pPr>
        <w:spacing w:line="440" w:lineRule="exact"/>
        <w:ind w:firstLine="480" w:firstLineChars="200"/>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（4）公章配置管理：用于管理电子章，用于电子证书显示。</w:t>
      </w:r>
    </w:p>
    <w:p w14:paraId="498AC825">
      <w:pPr>
        <w:spacing w:line="440" w:lineRule="exact"/>
        <w:ind w:firstLine="480" w:firstLineChars="200"/>
        <w:rPr>
          <w:rFonts w:asciiTheme="minorEastAsia" w:hAnsiTheme="minorEastAsia" w:eastAsiaTheme="minorEastAsia" w:cstheme="minorEastAsia"/>
          <w:bCs/>
          <w:kern w:val="2"/>
        </w:rPr>
      </w:pPr>
    </w:p>
    <w:p w14:paraId="33DC6EF6">
      <w:pP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br w:type="page"/>
      </w:r>
    </w:p>
    <w:p w14:paraId="4EEEE2A7">
      <w:pPr>
        <w:pStyle w:val="157"/>
        <w:widowControl/>
        <w:spacing w:line="440" w:lineRule="exact"/>
        <w:ind w:firstLine="0" w:firstLineChars="0"/>
        <w:jc w:val="cente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t>第五部分 合同部分</w:t>
      </w:r>
      <w:bookmarkEnd w:id="23"/>
      <w:bookmarkStart w:id="25" w:name="_Toc80724672"/>
    </w:p>
    <w:p w14:paraId="6AAF0D5F">
      <w:pPr>
        <w:pStyle w:val="406"/>
        <w:spacing w:after="333"/>
        <w:rPr>
          <w:rFonts w:ascii="宋体" w:hAnsi="宋体" w:eastAsia="宋体" w:cs="宋体"/>
          <w:sz w:val="24"/>
          <w:szCs w:val="24"/>
        </w:rPr>
      </w:pPr>
      <w:r>
        <w:rPr>
          <w:rFonts w:hint="eastAsia" w:ascii="宋体" w:hAnsi="宋体" w:eastAsia="宋体" w:cs="宋体"/>
          <w:sz w:val="24"/>
          <w:szCs w:val="24"/>
        </w:rPr>
        <w:t>政府购买服务合同</w:t>
      </w:r>
    </w:p>
    <w:p w14:paraId="228D9EB8">
      <w:pPr>
        <w:pStyle w:val="407"/>
        <w:ind w:firstLine="0" w:firstLineChars="0"/>
        <w:rPr>
          <w:rFonts w:ascii="宋体" w:hAnsi="宋体"/>
        </w:rPr>
      </w:pPr>
      <w:r>
        <w:rPr>
          <w:rStyle w:val="408"/>
          <w:rFonts w:hint="eastAsia" w:ascii="宋体" w:hAnsi="宋体" w:eastAsia="宋体"/>
          <w:sz w:val="24"/>
        </w:rPr>
        <w:t>甲方：</w:t>
      </w:r>
      <w:r>
        <w:rPr>
          <w:rFonts w:hint="eastAsia" w:ascii="宋体" w:hAnsi="宋体"/>
        </w:rPr>
        <w:t xml:space="preserve">_______________               </w:t>
      </w:r>
      <w:r>
        <w:rPr>
          <w:rStyle w:val="408"/>
          <w:rFonts w:hint="eastAsia" w:ascii="宋体" w:hAnsi="宋体" w:eastAsia="宋体"/>
          <w:sz w:val="24"/>
        </w:rPr>
        <w:t>乙方：</w:t>
      </w:r>
      <w:r>
        <w:rPr>
          <w:rFonts w:hint="eastAsia" w:ascii="宋体" w:hAnsi="宋体"/>
        </w:rPr>
        <w:t>_______________</w:t>
      </w:r>
    </w:p>
    <w:p w14:paraId="721C3003">
      <w:pPr>
        <w:pStyle w:val="407"/>
        <w:ind w:firstLine="480"/>
        <w:rPr>
          <w:rFonts w:ascii="宋体" w:hAnsi="宋体"/>
        </w:rPr>
      </w:pPr>
      <w:r>
        <w:rPr>
          <w:rFonts w:hint="eastAsia" w:ascii="宋体" w:hAnsi="宋体"/>
        </w:rPr>
        <w:t>根据甲方委托__________________(政府采购代理机构名称)实施的</w:t>
      </w:r>
      <w:r>
        <w:rPr>
          <w:rFonts w:hint="eastAsia" w:ascii="宋体" w:hAnsi="宋体"/>
          <w:u w:val="single"/>
        </w:rPr>
        <w:t xml:space="preserve">     </w:t>
      </w:r>
      <w:r>
        <w:rPr>
          <w:rFonts w:hint="eastAsia" w:ascii="宋体" w:hAnsi="宋体"/>
        </w:rPr>
        <w:t>省政府采购____________项目的采购结果，经甲乙双方协商，本着平等互利和诚实信用的原则，双方一致同意，签订本合同.</w:t>
      </w:r>
    </w:p>
    <w:p w14:paraId="555993CE">
      <w:pPr>
        <w:pStyle w:val="410"/>
        <w:ind w:firstLine="482"/>
        <w:rPr>
          <w:rFonts w:ascii="宋体" w:hAnsi="宋体"/>
        </w:rPr>
      </w:pPr>
      <w:r>
        <w:rPr>
          <w:rFonts w:hint="eastAsia" w:ascii="宋体" w:hAnsi="宋体"/>
        </w:rPr>
        <w:t>第一条 购买服务的内容及期限</w:t>
      </w:r>
    </w:p>
    <w:p w14:paraId="6D9485A5">
      <w:pPr>
        <w:pStyle w:val="407"/>
        <w:ind w:firstLine="480"/>
        <w:rPr>
          <w:rFonts w:ascii="宋体" w:hAnsi="宋体"/>
        </w:rPr>
      </w:pPr>
      <w:r>
        <w:rPr>
          <w:rFonts w:hint="eastAsia" w:ascii="宋体" w:hAnsi="宋体"/>
        </w:rPr>
        <w:t>1、甲方以____________(政府采购方式)采购乙方提供的以下服务：_______________。内容包括：_______________ 。</w:t>
      </w:r>
    </w:p>
    <w:p w14:paraId="64F1EE41">
      <w:pPr>
        <w:pStyle w:val="407"/>
        <w:ind w:firstLine="480"/>
        <w:rPr>
          <w:rFonts w:ascii="宋体" w:hAnsi="宋体"/>
        </w:rPr>
      </w:pPr>
      <w:r>
        <w:rPr>
          <w:rFonts w:hint="eastAsia" w:ascii="宋体" w:hAnsi="宋体"/>
        </w:rPr>
        <w:t>2、本合同项目下的服务期限为：_______________</w:t>
      </w:r>
    </w:p>
    <w:p w14:paraId="4C73E55E">
      <w:pPr>
        <w:pStyle w:val="407"/>
        <w:ind w:firstLine="480"/>
        <w:rPr>
          <w:rFonts w:ascii="宋体" w:hAnsi="宋体"/>
        </w:rPr>
      </w:pPr>
      <w:r>
        <w:rPr>
          <w:rFonts w:hint="eastAsia" w:ascii="宋体" w:hAnsi="宋体"/>
        </w:rPr>
        <w:t>自______年___________月______日至______年___________月______日止，共计______天。</w:t>
      </w:r>
    </w:p>
    <w:p w14:paraId="56D3BC86">
      <w:pPr>
        <w:pStyle w:val="407"/>
        <w:ind w:firstLine="480"/>
        <w:rPr>
          <w:rFonts w:ascii="宋体" w:hAnsi="宋体"/>
        </w:rPr>
      </w:pPr>
      <w:r>
        <w:rPr>
          <w:rFonts w:hint="eastAsia" w:ascii="宋体" w:hAnsi="宋体"/>
        </w:rPr>
        <w:t>3、服务地点：_______________ 。</w:t>
      </w:r>
    </w:p>
    <w:p w14:paraId="3C06CB92">
      <w:pPr>
        <w:pStyle w:val="410"/>
        <w:ind w:firstLine="482"/>
        <w:rPr>
          <w:rFonts w:ascii="宋体" w:hAnsi="宋体"/>
        </w:rPr>
      </w:pPr>
      <w:r>
        <w:rPr>
          <w:rFonts w:hint="eastAsia" w:ascii="宋体" w:hAnsi="宋体"/>
        </w:rPr>
        <w:t>第二条 合同金额</w:t>
      </w:r>
    </w:p>
    <w:p w14:paraId="55697C06">
      <w:pPr>
        <w:pStyle w:val="407"/>
        <w:ind w:firstLine="480"/>
        <w:rPr>
          <w:rFonts w:ascii="宋体" w:hAnsi="宋体"/>
        </w:rPr>
      </w:pPr>
      <w:r>
        <w:rPr>
          <w:rFonts w:hint="eastAsia" w:ascii="宋体" w:hAnsi="宋体"/>
        </w:rPr>
        <w:t>本合同服务费总金额为人民币(大写)：____________________________元(￥_______________元)。</w:t>
      </w:r>
    </w:p>
    <w:p w14:paraId="0C7125C8">
      <w:pPr>
        <w:pStyle w:val="407"/>
        <w:numPr>
          <w:ilvl w:val="0"/>
          <w:numId w:val="14"/>
        </w:numPr>
        <w:ind w:firstLine="482"/>
        <w:rPr>
          <w:rFonts w:ascii="宋体" w:hAnsi="宋体"/>
          <w:b/>
          <w:kern w:val="2"/>
        </w:rPr>
      </w:pPr>
      <w:r>
        <w:rPr>
          <w:rFonts w:hint="eastAsia" w:ascii="宋体" w:hAnsi="宋体"/>
          <w:b/>
          <w:kern w:val="2"/>
        </w:rPr>
        <w:t>服务质量标准为：</w:t>
      </w:r>
    </w:p>
    <w:p w14:paraId="3A8DD01C">
      <w:pPr>
        <w:pStyle w:val="407"/>
        <w:ind w:firstLine="480"/>
        <w:rPr>
          <w:rFonts w:ascii="宋体" w:hAnsi="宋体"/>
        </w:rPr>
      </w:pPr>
      <w:r>
        <w:rPr>
          <w:rFonts w:hint="eastAsia" w:ascii="宋体" w:hAnsi="宋体"/>
        </w:rPr>
        <w:t>_____________________________________________</w:t>
      </w:r>
    </w:p>
    <w:p w14:paraId="151FBBA2">
      <w:pPr>
        <w:pStyle w:val="407"/>
        <w:numPr>
          <w:ilvl w:val="0"/>
          <w:numId w:val="14"/>
        </w:numPr>
        <w:ind w:firstLine="482"/>
        <w:rPr>
          <w:rFonts w:ascii="宋体" w:hAnsi="宋体"/>
          <w:b/>
          <w:kern w:val="2"/>
        </w:rPr>
      </w:pPr>
      <w:r>
        <w:rPr>
          <w:rFonts w:hint="eastAsia" w:ascii="宋体" w:hAnsi="宋体"/>
          <w:b/>
          <w:kern w:val="2"/>
        </w:rPr>
        <w:t>验收方及验收标准</w:t>
      </w:r>
    </w:p>
    <w:p w14:paraId="5BD061A5">
      <w:pPr>
        <w:pStyle w:val="407"/>
        <w:ind w:firstLine="480"/>
        <w:rPr>
          <w:rFonts w:ascii="宋体" w:hAnsi="宋体"/>
        </w:rPr>
      </w:pPr>
      <w:r>
        <w:rPr>
          <w:rFonts w:hint="eastAsia" w:ascii="宋体" w:hAnsi="宋体"/>
        </w:rPr>
        <w:t>_____________________________________________</w:t>
      </w:r>
    </w:p>
    <w:p w14:paraId="2585E6AF">
      <w:pPr>
        <w:pStyle w:val="410"/>
        <w:numPr>
          <w:ilvl w:val="0"/>
          <w:numId w:val="14"/>
        </w:numPr>
        <w:ind w:firstLine="482"/>
        <w:rPr>
          <w:rFonts w:ascii="宋体" w:hAnsi="宋体"/>
        </w:rPr>
      </w:pPr>
      <w:r>
        <w:rPr>
          <w:rFonts w:hint="eastAsia" w:ascii="宋体" w:hAnsi="宋体"/>
        </w:rPr>
        <w:t>服务受益方评价标准及方法</w:t>
      </w:r>
    </w:p>
    <w:p w14:paraId="627ED002">
      <w:pPr>
        <w:pStyle w:val="407"/>
        <w:ind w:firstLine="480"/>
        <w:rPr>
          <w:rFonts w:ascii="宋体" w:hAnsi="宋体"/>
        </w:rPr>
      </w:pPr>
      <w:r>
        <w:rPr>
          <w:rFonts w:hint="eastAsia" w:ascii="宋体" w:hAnsi="宋体"/>
        </w:rPr>
        <w:t>_____________________________________________</w:t>
      </w:r>
    </w:p>
    <w:p w14:paraId="740A6D06">
      <w:pPr>
        <w:pStyle w:val="410"/>
        <w:numPr>
          <w:ilvl w:val="0"/>
          <w:numId w:val="14"/>
        </w:numPr>
        <w:ind w:firstLine="482"/>
        <w:rPr>
          <w:rFonts w:ascii="宋体" w:hAnsi="宋体"/>
        </w:rPr>
      </w:pPr>
      <w:r>
        <w:rPr>
          <w:rFonts w:hint="eastAsia" w:ascii="宋体" w:hAnsi="宋体"/>
        </w:rPr>
        <w:t>双方权利和义务</w:t>
      </w:r>
    </w:p>
    <w:p w14:paraId="7645FE55">
      <w:pPr>
        <w:pStyle w:val="407"/>
        <w:ind w:firstLine="480"/>
        <w:rPr>
          <w:rFonts w:ascii="宋体" w:hAnsi="宋体"/>
        </w:rPr>
      </w:pPr>
      <w:r>
        <w:rPr>
          <w:rFonts w:hint="eastAsia" w:ascii="宋体" w:hAnsi="宋体"/>
        </w:rPr>
        <w:t>1、甲方的权利和义务：_______________</w:t>
      </w:r>
    </w:p>
    <w:p w14:paraId="7C2E6707">
      <w:pPr>
        <w:pStyle w:val="407"/>
        <w:ind w:firstLine="480"/>
        <w:rPr>
          <w:rFonts w:ascii="宋体" w:hAnsi="宋体"/>
        </w:rPr>
      </w:pPr>
      <w:r>
        <w:rPr>
          <w:rFonts w:hint="eastAsia" w:ascii="宋体" w:hAnsi="宋体"/>
        </w:rPr>
        <w:t>2、乙方的权利和义务：_______________</w:t>
      </w:r>
    </w:p>
    <w:p w14:paraId="5202E1A6">
      <w:pPr>
        <w:pStyle w:val="410"/>
        <w:numPr>
          <w:ilvl w:val="0"/>
          <w:numId w:val="14"/>
        </w:numPr>
        <w:ind w:firstLine="482"/>
        <w:rPr>
          <w:rFonts w:ascii="宋体" w:hAnsi="宋体"/>
        </w:rPr>
      </w:pPr>
      <w:r>
        <w:rPr>
          <w:rFonts w:hint="eastAsia" w:ascii="宋体" w:hAnsi="宋体"/>
        </w:rPr>
        <w:t>付款方式</w:t>
      </w:r>
    </w:p>
    <w:p w14:paraId="640B4DC1">
      <w:pPr>
        <w:pStyle w:val="407"/>
        <w:ind w:firstLine="480"/>
        <w:rPr>
          <w:rFonts w:ascii="宋体" w:hAnsi="宋体"/>
        </w:rPr>
      </w:pPr>
      <w:r>
        <w:rPr>
          <w:rFonts w:hint="eastAsia" w:ascii="宋体" w:hAnsi="宋体"/>
        </w:rPr>
        <w:t>注：根据服务类型选择以下任一种付款方式</w:t>
      </w:r>
    </w:p>
    <w:p w14:paraId="1E1CD998">
      <w:pPr>
        <w:pStyle w:val="407"/>
        <w:ind w:firstLine="480"/>
        <w:rPr>
          <w:rFonts w:ascii="宋体" w:hAnsi="宋体"/>
        </w:rPr>
      </w:pPr>
      <w:r>
        <w:rPr>
          <w:rFonts w:hint="eastAsia" w:ascii="宋体" w:hAnsi="宋体"/>
        </w:rPr>
        <w:t>1、一次性付款：_______________</w:t>
      </w:r>
    </w:p>
    <w:p w14:paraId="49AB282A">
      <w:pPr>
        <w:pStyle w:val="407"/>
        <w:ind w:firstLine="480"/>
        <w:rPr>
          <w:rFonts w:ascii="宋体" w:hAnsi="宋体"/>
        </w:rPr>
      </w:pPr>
      <w:r>
        <w:rPr>
          <w:rFonts w:hint="eastAsia" w:ascii="宋体" w:hAnsi="宋体"/>
        </w:rPr>
        <w:t>乙方履约完毕经甲方验收合格后 日内，一次性支付全部服务费。</w:t>
      </w:r>
    </w:p>
    <w:p w14:paraId="46C8A030">
      <w:pPr>
        <w:pStyle w:val="407"/>
        <w:ind w:firstLine="480"/>
        <w:rPr>
          <w:rFonts w:ascii="宋体" w:hAnsi="宋体"/>
        </w:rPr>
      </w:pPr>
      <w:r>
        <w:rPr>
          <w:rFonts w:hint="eastAsia" w:ascii="宋体" w:hAnsi="宋体"/>
        </w:rPr>
        <w:t>2、分期支付：_______________</w:t>
      </w:r>
    </w:p>
    <w:p w14:paraId="5F8E473F">
      <w:pPr>
        <w:pStyle w:val="407"/>
        <w:ind w:firstLine="480"/>
        <w:rPr>
          <w:rFonts w:ascii="宋体" w:hAnsi="宋体"/>
        </w:rPr>
      </w:pPr>
      <w:r>
        <w:rPr>
          <w:rFonts w:hint="eastAsia" w:ascii="宋体" w:hAnsi="宋体"/>
        </w:rPr>
        <w:t>(1) 按年/按季度/按月支付等额的服务费;</w:t>
      </w:r>
    </w:p>
    <w:p w14:paraId="0CE61662">
      <w:pPr>
        <w:pStyle w:val="407"/>
        <w:ind w:firstLine="480"/>
        <w:rPr>
          <w:rFonts w:ascii="宋体" w:hAnsi="宋体"/>
        </w:rPr>
      </w:pPr>
      <w:r>
        <w:rPr>
          <w:rFonts w:hint="eastAsia" w:ascii="宋体" w:hAnsi="宋体"/>
        </w:rPr>
        <w:t>(2)合同签订后______日内，甲方向乙方支付____________元(或服务费总额的 ________% );在交付服务成果后______日内，支付服务费总额的 ________%。</w:t>
      </w:r>
    </w:p>
    <w:p w14:paraId="3270487E">
      <w:pPr>
        <w:pStyle w:val="407"/>
        <w:ind w:firstLine="480"/>
        <w:rPr>
          <w:rFonts w:ascii="宋体" w:hAnsi="宋体"/>
        </w:rPr>
      </w:pPr>
      <w:r>
        <w:rPr>
          <w:rFonts w:hint="eastAsia" w:ascii="宋体" w:hAnsi="宋体"/>
        </w:rPr>
        <w:t>(3)按进度支付服务费：_______________</w:t>
      </w:r>
    </w:p>
    <w:p w14:paraId="00843B35">
      <w:pPr>
        <w:pStyle w:val="407"/>
        <w:ind w:firstLine="480"/>
        <w:rPr>
          <w:rFonts w:ascii="宋体" w:hAnsi="宋体"/>
        </w:rPr>
      </w:pPr>
      <w:r>
        <w:rPr>
          <w:rFonts w:hint="eastAsia" w:ascii="宋体" w:hAnsi="宋体"/>
        </w:rPr>
        <w:t>1)服务人员到达服务地并提交服务实施方案后__天内，甲方应将总服务费的__________%付给乙方。</w:t>
      </w:r>
    </w:p>
    <w:p w14:paraId="26832279">
      <w:pPr>
        <w:pStyle w:val="407"/>
        <w:ind w:firstLine="480"/>
        <w:rPr>
          <w:rFonts w:ascii="宋体" w:hAnsi="宋体"/>
        </w:rPr>
      </w:pPr>
      <w:r>
        <w:rPr>
          <w:rFonts w:hint="eastAsia" w:ascii="宋体" w:hAnsi="宋体"/>
        </w:rPr>
        <w:t>2)第二次付款为总服务费的__________%，甲方应在乙方已经准备好，并递交了服务报告及其它相关文件，而这些报告和文件符合合同附件的要求并被甲方验收后付给乙方。</w:t>
      </w:r>
    </w:p>
    <w:p w14:paraId="2AB6F128">
      <w:pPr>
        <w:pStyle w:val="407"/>
        <w:ind w:firstLine="480"/>
        <w:rPr>
          <w:rFonts w:ascii="宋体" w:hAnsi="宋体"/>
        </w:rPr>
      </w:pPr>
      <w:r>
        <w:rPr>
          <w:rFonts w:hint="eastAsia" w:ascii="宋体" w:hAnsi="宋体"/>
        </w:rPr>
        <w:t>3)最后一次付款额应为总服务费的__________%，甲方应在乙方递交了服务总结报告和说明并完全履行合同完毕 日内付给乙方。</w:t>
      </w:r>
    </w:p>
    <w:p w14:paraId="10659969">
      <w:pPr>
        <w:pStyle w:val="410"/>
        <w:ind w:firstLine="482"/>
        <w:rPr>
          <w:rFonts w:ascii="宋体" w:hAnsi="宋体"/>
        </w:rPr>
      </w:pPr>
      <w:r>
        <w:rPr>
          <w:rFonts w:hint="eastAsia" w:ascii="宋体" w:hAnsi="宋体"/>
        </w:rPr>
        <w:t>第八条 违约责任</w:t>
      </w:r>
    </w:p>
    <w:p w14:paraId="1A0F3AEC">
      <w:pPr>
        <w:pStyle w:val="407"/>
        <w:ind w:firstLine="480"/>
        <w:rPr>
          <w:rFonts w:ascii="宋体" w:hAnsi="宋体"/>
        </w:rPr>
      </w:pPr>
      <w:r>
        <w:rPr>
          <w:rFonts w:hint="eastAsia" w:ascii="宋体" w:hAnsi="宋体"/>
        </w:rPr>
        <w:t>1、乙方提供的服务不符合采购文件、报价文件或本合同规定的，甲方有权拒收，并且乙方须向甲方支付本合同总价__________%的违约金。</w:t>
      </w:r>
    </w:p>
    <w:p w14:paraId="24C4A25E">
      <w:pPr>
        <w:pStyle w:val="407"/>
        <w:ind w:firstLine="480"/>
        <w:rPr>
          <w:rFonts w:ascii="宋体" w:hAnsi="宋体"/>
        </w:rPr>
      </w:pPr>
      <w:r>
        <w:rPr>
          <w:rFonts w:hint="eastAsia" w:ascii="宋体" w:hAnsi="宋体"/>
        </w:rPr>
        <w:t>2、乙方未能按本合同规定的服务时间提供服务，从逾期之日起每日按本合同总价__________%的数额向甲方支付违约金;逾期半个月以上的，甲方有权终止合同，由此造成的甲方经济损失由乙方承担。</w:t>
      </w:r>
    </w:p>
    <w:p w14:paraId="10575A3C">
      <w:pPr>
        <w:pStyle w:val="407"/>
        <w:ind w:firstLine="480"/>
        <w:rPr>
          <w:rFonts w:ascii="宋体" w:hAnsi="宋体"/>
        </w:rPr>
      </w:pPr>
      <w:r>
        <w:rPr>
          <w:rFonts w:hint="eastAsia" w:ascii="宋体" w:hAnsi="宋体"/>
        </w:rPr>
        <w:t>3、未经甲方同意乙方不得私自将该服务转包第三方完成。如私自转包，则处本合同总价__________%的违约金。</w:t>
      </w:r>
    </w:p>
    <w:p w14:paraId="1D235F42">
      <w:pPr>
        <w:pStyle w:val="407"/>
        <w:ind w:firstLine="480"/>
        <w:rPr>
          <w:rFonts w:ascii="宋体" w:hAnsi="宋体"/>
        </w:rPr>
      </w:pPr>
      <w:r>
        <w:rPr>
          <w:rFonts w:hint="eastAsia" w:ascii="宋体" w:hAnsi="宋体"/>
        </w:rPr>
        <w:t>4、甲方无正当理由拒绝接受服务，到期拒付服务款项的，甲方向乙方偿付本合同总价的__________%的违约金。甲方逾期付款，则每日按逾期金额的__________%向乙方偿付违约金。</w:t>
      </w:r>
    </w:p>
    <w:p w14:paraId="7462F21F">
      <w:pPr>
        <w:pStyle w:val="407"/>
        <w:ind w:firstLine="480"/>
        <w:rPr>
          <w:rFonts w:ascii="宋体" w:hAnsi="宋体"/>
        </w:rPr>
      </w:pPr>
      <w:r>
        <w:rPr>
          <w:rFonts w:hint="eastAsia" w:ascii="宋体" w:hAnsi="宋体"/>
        </w:rPr>
        <w:t>5、其它违约责任按《中华人民共和国民法典》处理。</w:t>
      </w:r>
    </w:p>
    <w:p w14:paraId="687F702C">
      <w:pPr>
        <w:pStyle w:val="410"/>
        <w:ind w:firstLine="482"/>
        <w:rPr>
          <w:rFonts w:ascii="宋体" w:hAnsi="宋体"/>
        </w:rPr>
      </w:pPr>
      <w:r>
        <w:rPr>
          <w:rFonts w:hint="eastAsia" w:ascii="宋体" w:hAnsi="宋体"/>
        </w:rPr>
        <w:t>第九条 知识产权归属</w:t>
      </w:r>
    </w:p>
    <w:p w14:paraId="652B2F96">
      <w:pPr>
        <w:pStyle w:val="407"/>
        <w:ind w:firstLine="480"/>
        <w:rPr>
          <w:rFonts w:ascii="宋体" w:hAnsi="宋体"/>
        </w:rPr>
      </w:pPr>
      <w:r>
        <w:rPr>
          <w:rFonts w:hint="eastAsia" w:ascii="宋体" w:hAnsi="宋体"/>
        </w:rPr>
        <w:t>_____________________________________________</w:t>
      </w:r>
    </w:p>
    <w:p w14:paraId="2E0EC920">
      <w:pPr>
        <w:pStyle w:val="410"/>
        <w:ind w:firstLine="482"/>
        <w:rPr>
          <w:rFonts w:ascii="宋体" w:hAnsi="宋体"/>
        </w:rPr>
      </w:pPr>
      <w:r>
        <w:rPr>
          <w:rFonts w:hint="eastAsia" w:ascii="宋体" w:hAnsi="宋体"/>
        </w:rPr>
        <w:t>第十条 保密条款</w:t>
      </w:r>
    </w:p>
    <w:p w14:paraId="1DDC2103">
      <w:pPr>
        <w:pStyle w:val="407"/>
        <w:ind w:firstLine="480"/>
        <w:rPr>
          <w:rFonts w:ascii="宋体" w:hAnsi="宋体"/>
        </w:rPr>
      </w:pPr>
      <w:r>
        <w:rPr>
          <w:rFonts w:hint="eastAsia" w:ascii="宋体" w:hAnsi="宋体"/>
        </w:rPr>
        <w:t>1、乙方对甲方提供的资料负有保密义务，未经甲方同意，不得向项目无关单位和个人提供有关资料。如发生以上情况，甲方有权索赔。</w:t>
      </w:r>
    </w:p>
    <w:p w14:paraId="649992AE">
      <w:pPr>
        <w:pStyle w:val="407"/>
        <w:ind w:firstLine="480"/>
        <w:rPr>
          <w:rFonts w:ascii="宋体" w:hAnsi="宋体"/>
        </w:rPr>
      </w:pPr>
      <w:r>
        <w:rPr>
          <w:rFonts w:hint="eastAsia" w:ascii="宋体" w:hAnsi="宋体"/>
        </w:rPr>
        <w:t>2、甲方有义务保护乙方的知识产权，未经乙方同意，甲方对工程咨询单位交付的成果文件、资料不得向第三方转让或用于本合同以外的项目。如发生以上情况，乙方有权索赔。</w:t>
      </w:r>
    </w:p>
    <w:p w14:paraId="757FCA90">
      <w:pPr>
        <w:pStyle w:val="410"/>
        <w:ind w:firstLine="482"/>
        <w:rPr>
          <w:rFonts w:ascii="宋体" w:hAnsi="宋体"/>
        </w:rPr>
      </w:pPr>
      <w:r>
        <w:rPr>
          <w:rFonts w:hint="eastAsia" w:ascii="宋体" w:hAnsi="宋体"/>
        </w:rPr>
        <w:t>第十一条 争议的解决</w:t>
      </w:r>
    </w:p>
    <w:p w14:paraId="7030CABB">
      <w:pPr>
        <w:pStyle w:val="407"/>
        <w:ind w:firstLine="480"/>
        <w:rPr>
          <w:rFonts w:ascii="宋体" w:hAnsi="宋体"/>
        </w:rPr>
      </w:pPr>
      <w:r>
        <w:rPr>
          <w:rFonts w:hint="eastAsia" w:ascii="宋体" w:hAnsi="宋体"/>
        </w:rPr>
        <w:t>本合同执行过程中发生的任何争议，如双方不能通过友好协商解决，由合同签订地法院处理。</w:t>
      </w:r>
    </w:p>
    <w:p w14:paraId="7F4D0036">
      <w:pPr>
        <w:pStyle w:val="410"/>
        <w:ind w:firstLine="482"/>
        <w:rPr>
          <w:rFonts w:ascii="宋体" w:hAnsi="宋体"/>
        </w:rPr>
      </w:pPr>
      <w:r>
        <w:rPr>
          <w:rFonts w:hint="eastAsia" w:ascii="宋体" w:hAnsi="宋体"/>
        </w:rPr>
        <w:t>第十二条 不可抗力</w:t>
      </w:r>
    </w:p>
    <w:p w14:paraId="3F8EC1C9">
      <w:pPr>
        <w:pStyle w:val="407"/>
        <w:ind w:firstLine="480"/>
        <w:rPr>
          <w:rFonts w:ascii="宋体" w:hAnsi="宋体"/>
        </w:rPr>
      </w:pPr>
      <w:r>
        <w:rPr>
          <w:rFonts w:hint="eastAsia" w:ascii="宋体" w:hAnsi="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4E0C45B">
      <w:pPr>
        <w:pStyle w:val="410"/>
        <w:ind w:firstLine="482"/>
        <w:rPr>
          <w:rFonts w:ascii="宋体" w:hAnsi="宋体"/>
        </w:rPr>
      </w:pPr>
      <w:r>
        <w:rPr>
          <w:rFonts w:hint="eastAsia" w:ascii="宋体" w:hAnsi="宋体"/>
        </w:rPr>
        <w:t>第十三条 合同的终止和延期</w:t>
      </w:r>
    </w:p>
    <w:p w14:paraId="78F0C1F7">
      <w:pPr>
        <w:pStyle w:val="407"/>
        <w:ind w:firstLine="480"/>
        <w:rPr>
          <w:rFonts w:ascii="宋体" w:hAnsi="宋体"/>
        </w:rPr>
      </w:pPr>
      <w:r>
        <w:rPr>
          <w:rFonts w:hint="eastAsia" w:ascii="宋体" w:hAnsi="宋体"/>
        </w:rPr>
        <w:t>1、合同期满，双方未续签的;</w:t>
      </w:r>
    </w:p>
    <w:p w14:paraId="7CC9BA82">
      <w:pPr>
        <w:pStyle w:val="407"/>
        <w:ind w:firstLine="480"/>
        <w:rPr>
          <w:rFonts w:ascii="宋体" w:hAnsi="宋体"/>
        </w:rPr>
      </w:pPr>
      <w:r>
        <w:rPr>
          <w:rFonts w:hint="eastAsia" w:ascii="宋体" w:hAnsi="宋体"/>
        </w:rPr>
        <w:t>2、乙方服务能力丧失，致使服务无法正常进行的;</w:t>
      </w:r>
    </w:p>
    <w:p w14:paraId="500B1E68">
      <w:pPr>
        <w:pStyle w:val="407"/>
        <w:ind w:firstLine="480"/>
        <w:rPr>
          <w:rFonts w:ascii="宋体" w:hAnsi="宋体"/>
        </w:rPr>
      </w:pPr>
      <w:r>
        <w:rPr>
          <w:rFonts w:hint="eastAsia" w:ascii="宋体" w:hAnsi="宋体"/>
        </w:rPr>
        <w:t>3、在履行合同过程中，发现乙方已不符合国办发〔2013〕96号、冀政办〔2014〕3号文件规定的承接主体应具备的条件，造成合同无法履行的。</w:t>
      </w:r>
    </w:p>
    <w:p w14:paraId="6D0CE328">
      <w:pPr>
        <w:pStyle w:val="407"/>
        <w:ind w:firstLine="480"/>
        <w:rPr>
          <w:rFonts w:ascii="宋体" w:hAnsi="宋体"/>
        </w:rPr>
      </w:pPr>
      <w:r>
        <w:rPr>
          <w:rFonts w:hint="eastAsia" w:ascii="宋体" w:hAnsi="宋体"/>
        </w:rPr>
        <w:t>4、合同延期：合同期满后，新的服务供应商在未确定的情况下签订补充协议，延期至新单位产生。</w:t>
      </w:r>
    </w:p>
    <w:p w14:paraId="72D71F20">
      <w:pPr>
        <w:pStyle w:val="407"/>
        <w:ind w:firstLine="480"/>
        <w:rPr>
          <w:rFonts w:ascii="宋体" w:hAnsi="宋体"/>
        </w:rPr>
      </w:pPr>
    </w:p>
    <w:p w14:paraId="101C9235">
      <w:pPr>
        <w:pStyle w:val="410"/>
        <w:ind w:firstLine="482"/>
        <w:rPr>
          <w:rFonts w:ascii="宋体" w:hAnsi="宋体"/>
        </w:rPr>
      </w:pPr>
      <w:r>
        <w:rPr>
          <w:rFonts w:hint="eastAsia" w:ascii="宋体" w:hAnsi="宋体"/>
        </w:rPr>
        <w:t>第十四条 税费</w:t>
      </w:r>
    </w:p>
    <w:p w14:paraId="2D9B94AE">
      <w:pPr>
        <w:pStyle w:val="407"/>
        <w:ind w:firstLine="480"/>
        <w:rPr>
          <w:rFonts w:ascii="宋体" w:hAnsi="宋体"/>
        </w:rPr>
      </w:pPr>
      <w:r>
        <w:rPr>
          <w:rFonts w:hint="eastAsia" w:ascii="宋体" w:hAnsi="宋体"/>
        </w:rPr>
        <w:t>此项目发生的与本合同执行有关的一切税费均由乙方负担。</w:t>
      </w:r>
    </w:p>
    <w:p w14:paraId="396CBB50">
      <w:pPr>
        <w:pStyle w:val="410"/>
        <w:ind w:firstLine="482"/>
        <w:rPr>
          <w:rFonts w:ascii="宋体" w:hAnsi="宋体"/>
        </w:rPr>
      </w:pPr>
      <w:r>
        <w:rPr>
          <w:rFonts w:hint="eastAsia" w:ascii="宋体" w:hAnsi="宋体"/>
        </w:rPr>
        <w:t>第十五条 其它</w:t>
      </w:r>
    </w:p>
    <w:p w14:paraId="1F118594">
      <w:pPr>
        <w:pStyle w:val="407"/>
        <w:ind w:firstLine="480"/>
        <w:rPr>
          <w:rFonts w:ascii="宋体" w:hAnsi="宋体"/>
        </w:rPr>
      </w:pPr>
      <w:r>
        <w:rPr>
          <w:rFonts w:hint="eastAsia" w:ascii="宋体" w:hAnsi="宋体"/>
        </w:rPr>
        <w:t>1、本合同所有附件及政府采购文件均为合同的有效组成部分，与本合同具有同等法律效力。</w:t>
      </w:r>
    </w:p>
    <w:p w14:paraId="3C11D19C">
      <w:pPr>
        <w:pStyle w:val="407"/>
        <w:ind w:firstLine="480"/>
        <w:rPr>
          <w:rFonts w:ascii="宋体" w:hAnsi="宋体"/>
        </w:rPr>
      </w:pPr>
      <w:r>
        <w:rPr>
          <w:rFonts w:hint="eastAsia" w:ascii="宋体" w:hAnsi="宋体"/>
        </w:rPr>
        <w:t>2、在执行本合同的过程中，所有经双方签署确认的文件(包括会议纪要、补充协议、往来信函)即成为本合同的有效组成部分。</w:t>
      </w:r>
    </w:p>
    <w:p w14:paraId="13CD619C">
      <w:pPr>
        <w:pStyle w:val="407"/>
        <w:ind w:firstLine="480"/>
        <w:rPr>
          <w:rFonts w:ascii="宋体" w:hAnsi="宋体"/>
        </w:rPr>
      </w:pPr>
      <w:r>
        <w:rPr>
          <w:rFonts w:hint="eastAsia" w:ascii="宋体" w:hAnsi="宋体"/>
        </w:rPr>
        <w:t>3、如一方地址、电话、传真号码有变更，应在变更当日内书面通知对方，否则，应承担响应责任。</w:t>
      </w:r>
    </w:p>
    <w:p w14:paraId="353B2A4F">
      <w:pPr>
        <w:pStyle w:val="410"/>
        <w:ind w:firstLine="482"/>
        <w:rPr>
          <w:rFonts w:ascii="宋体" w:hAnsi="宋体"/>
        </w:rPr>
      </w:pPr>
      <w:r>
        <w:rPr>
          <w:rFonts w:hint="eastAsia" w:ascii="宋体" w:hAnsi="宋体"/>
        </w:rPr>
        <w:t>第十六条 补充条款</w:t>
      </w:r>
    </w:p>
    <w:p w14:paraId="5DD88EFF">
      <w:pPr>
        <w:pStyle w:val="407"/>
        <w:ind w:firstLine="480"/>
        <w:rPr>
          <w:rFonts w:ascii="宋体" w:hAnsi="宋体"/>
        </w:rPr>
      </w:pPr>
      <w:r>
        <w:rPr>
          <w:rFonts w:hint="eastAsia" w:ascii="宋体" w:hAnsi="宋体"/>
        </w:rPr>
        <w:t>1、谅解与备忘条款：_______________</w:t>
      </w:r>
    </w:p>
    <w:p w14:paraId="4AF47E53">
      <w:pPr>
        <w:pStyle w:val="407"/>
        <w:ind w:firstLine="480"/>
        <w:rPr>
          <w:rFonts w:ascii="宋体" w:hAnsi="宋体"/>
        </w:rPr>
      </w:pPr>
      <w:r>
        <w:rPr>
          <w:rFonts w:hint="eastAsia" w:ascii="宋体" w:hAnsi="宋体"/>
        </w:rPr>
        <w:t>2、双方不可撤销的责任与义务：_______________</w:t>
      </w:r>
    </w:p>
    <w:p w14:paraId="0D7B130B">
      <w:pPr>
        <w:pStyle w:val="407"/>
        <w:ind w:firstLine="480"/>
        <w:rPr>
          <w:rFonts w:ascii="宋体" w:hAnsi="宋体"/>
        </w:rPr>
      </w:pPr>
      <w:r>
        <w:rPr>
          <w:rFonts w:hint="eastAsia" w:ascii="宋体" w:hAnsi="宋体"/>
        </w:rPr>
        <w:t>3、双方约定以下补充条款：_______________</w:t>
      </w:r>
    </w:p>
    <w:p w14:paraId="0C339D49">
      <w:pPr>
        <w:pStyle w:val="410"/>
        <w:ind w:firstLine="482"/>
        <w:rPr>
          <w:rFonts w:ascii="宋体" w:hAnsi="宋体"/>
        </w:rPr>
      </w:pPr>
      <w:r>
        <w:rPr>
          <w:rFonts w:hint="eastAsia" w:ascii="宋体" w:hAnsi="宋体"/>
        </w:rPr>
        <w:t>第十七条 合同生效</w:t>
      </w:r>
    </w:p>
    <w:p w14:paraId="309E6417">
      <w:pPr>
        <w:pStyle w:val="407"/>
        <w:ind w:firstLine="480"/>
        <w:rPr>
          <w:rFonts w:ascii="宋体" w:hAnsi="宋体"/>
        </w:rPr>
      </w:pPr>
      <w:r>
        <w:rPr>
          <w:rFonts w:hint="eastAsia" w:ascii="宋体" w:hAnsi="宋体"/>
        </w:rPr>
        <w:t>1、本合同订立时间：_______________ ________年 ________月 日</w:t>
      </w:r>
    </w:p>
    <w:p w14:paraId="00A19F7D">
      <w:pPr>
        <w:pStyle w:val="407"/>
        <w:ind w:firstLine="480"/>
        <w:rPr>
          <w:rFonts w:ascii="宋体" w:hAnsi="宋体"/>
        </w:rPr>
      </w:pPr>
      <w:r>
        <w:rPr>
          <w:rFonts w:hint="eastAsia" w:ascii="宋体" w:hAnsi="宋体"/>
        </w:rPr>
        <w:t>2、本合同订立地点：_______________ 。</w:t>
      </w:r>
    </w:p>
    <w:p w14:paraId="1A713665">
      <w:pPr>
        <w:pStyle w:val="407"/>
        <w:ind w:firstLine="480"/>
        <w:rPr>
          <w:rFonts w:ascii="宋体" w:hAnsi="宋体"/>
        </w:rPr>
      </w:pPr>
      <w:r>
        <w:rPr>
          <w:rFonts w:hint="eastAsia" w:ascii="宋体" w:hAnsi="宋体"/>
        </w:rPr>
        <w:t>3、本合同在甲乙双方法人代表或其授权代表签字盖章后生效。</w:t>
      </w:r>
    </w:p>
    <w:p w14:paraId="0EF9A1DD">
      <w:pPr>
        <w:pStyle w:val="407"/>
        <w:ind w:firstLine="480"/>
        <w:rPr>
          <w:rFonts w:ascii="宋体" w:hAnsi="宋体"/>
        </w:rPr>
      </w:pPr>
      <w:r>
        <w:rPr>
          <w:rFonts w:hint="eastAsia" w:ascii="宋体" w:hAnsi="宋体"/>
        </w:rPr>
        <w:t>4、本合同一式 份，甲乙双方、代理机构及政府采购监督管理部门各执一份，具有同等法律效力。</w:t>
      </w:r>
    </w:p>
    <w:p w14:paraId="1914760C">
      <w:pPr>
        <w:pStyle w:val="407"/>
        <w:ind w:firstLine="482"/>
        <w:rPr>
          <w:rFonts w:ascii="宋体" w:hAnsi="宋体"/>
        </w:rPr>
      </w:pPr>
      <w:r>
        <w:rPr>
          <w:rFonts w:hint="eastAsia" w:ascii="宋体" w:hAnsi="宋体"/>
          <w:b/>
          <w:kern w:val="2"/>
        </w:rPr>
        <w:t>第十八条 合同附件</w:t>
      </w:r>
      <w:r>
        <w:rPr>
          <w:rFonts w:hint="eastAsia" w:ascii="宋体" w:hAnsi="宋体"/>
        </w:rPr>
        <w:t>(签定具体合同时，若有附件应注明，并注明附件名称。)</w:t>
      </w:r>
    </w:p>
    <w:p w14:paraId="4B35B957">
      <w:pPr>
        <w:pStyle w:val="407"/>
        <w:ind w:firstLine="480"/>
        <w:rPr>
          <w:rFonts w:ascii="宋体" w:hAnsi="宋体"/>
        </w:rPr>
      </w:pPr>
    </w:p>
    <w:p w14:paraId="020C8839">
      <w:pPr>
        <w:pStyle w:val="407"/>
        <w:ind w:firstLine="0" w:firstLineChars="0"/>
        <w:rPr>
          <w:rFonts w:ascii="宋体" w:hAnsi="宋体"/>
        </w:rPr>
      </w:pPr>
      <w:r>
        <w:rPr>
          <w:rFonts w:hint="eastAsia" w:ascii="宋体" w:hAnsi="宋体"/>
        </w:rPr>
        <w:t>甲方(盖章)：_______________             乙方(盖章)：_______________</w:t>
      </w:r>
    </w:p>
    <w:p w14:paraId="597F5284">
      <w:pPr>
        <w:pStyle w:val="407"/>
        <w:ind w:firstLine="0" w:firstLineChars="0"/>
        <w:rPr>
          <w:rFonts w:ascii="宋体" w:hAnsi="宋体"/>
        </w:rPr>
      </w:pPr>
      <w:r>
        <w:rPr>
          <w:rFonts w:hint="eastAsia" w:ascii="宋体" w:hAnsi="宋体"/>
        </w:rPr>
        <w:t>法定代表人(签章)：_________             法定代表人(签章)：_________</w:t>
      </w:r>
    </w:p>
    <w:p w14:paraId="3B095DBA">
      <w:pPr>
        <w:pStyle w:val="407"/>
        <w:ind w:firstLine="0" w:firstLineChars="0"/>
        <w:rPr>
          <w:rFonts w:ascii="宋体" w:hAnsi="宋体"/>
        </w:rPr>
      </w:pPr>
      <w:r>
        <w:rPr>
          <w:rFonts w:hint="eastAsia" w:ascii="宋体" w:hAnsi="宋体"/>
        </w:rPr>
        <w:t>委托代理人(签字)：__________            委托代理人(签字)：__________</w:t>
      </w:r>
    </w:p>
    <w:p w14:paraId="7E901630">
      <w:pPr>
        <w:pStyle w:val="407"/>
        <w:ind w:firstLine="0" w:firstLineChars="0"/>
        <w:rPr>
          <w:rFonts w:ascii="宋体" w:hAnsi="宋体"/>
        </w:rPr>
      </w:pPr>
      <w:r>
        <w:rPr>
          <w:rFonts w:hint="eastAsia" w:ascii="宋体" w:hAnsi="宋体"/>
        </w:rPr>
        <w:t>地 址：_______________                 地 址：_______________</w:t>
      </w:r>
    </w:p>
    <w:p w14:paraId="24BC4706">
      <w:pPr>
        <w:pStyle w:val="407"/>
        <w:ind w:firstLine="0" w:firstLineChars="0"/>
        <w:rPr>
          <w:rFonts w:ascii="宋体" w:hAnsi="宋体"/>
        </w:rPr>
      </w:pPr>
      <w:r>
        <w:rPr>
          <w:rFonts w:hint="eastAsia" w:ascii="宋体" w:hAnsi="宋体"/>
        </w:rPr>
        <w:t>电 话：_______________                 电 话：_______________</w:t>
      </w:r>
    </w:p>
    <w:p w14:paraId="2DA91450">
      <w:pPr>
        <w:pStyle w:val="407"/>
        <w:ind w:firstLine="0" w:firstLineChars="0"/>
        <w:rPr>
          <w:rFonts w:ascii="宋体" w:hAnsi="宋体"/>
        </w:rPr>
      </w:pPr>
      <w:r>
        <w:rPr>
          <w:rFonts w:hint="eastAsia" w:ascii="宋体" w:hAnsi="宋体"/>
        </w:rPr>
        <w:t>开户名称：_______________</w:t>
      </w:r>
    </w:p>
    <w:p w14:paraId="4F9C2221">
      <w:pPr>
        <w:pStyle w:val="407"/>
        <w:ind w:firstLine="0" w:firstLineChars="0"/>
        <w:rPr>
          <w:rFonts w:ascii="宋体" w:hAnsi="宋体"/>
        </w:rPr>
      </w:pPr>
      <w:r>
        <w:rPr>
          <w:rFonts w:hint="eastAsia" w:ascii="宋体" w:hAnsi="宋体"/>
        </w:rPr>
        <w:t>开 户 行：_______________</w:t>
      </w:r>
    </w:p>
    <w:p w14:paraId="2ADFD604">
      <w:pPr>
        <w:pStyle w:val="407"/>
        <w:ind w:firstLine="0" w:firstLineChars="0"/>
        <w:rPr>
          <w:rFonts w:ascii="宋体" w:hAnsi="宋体"/>
        </w:rPr>
      </w:pPr>
      <w:r>
        <w:rPr>
          <w:rFonts w:hint="eastAsia" w:ascii="宋体" w:hAnsi="宋体"/>
        </w:rPr>
        <w:t>银行帐号：_______________</w:t>
      </w:r>
    </w:p>
    <w:p w14:paraId="42357FB2">
      <w:pPr>
        <w:pStyle w:val="407"/>
        <w:ind w:firstLine="0" w:firstLineChars="0"/>
        <w:rPr>
          <w:rFonts w:ascii="宋体" w:hAnsi="宋体"/>
        </w:rPr>
      </w:pPr>
      <w:r>
        <w:rPr>
          <w:rFonts w:hint="eastAsia" w:ascii="宋体" w:hAnsi="宋体"/>
        </w:rPr>
        <w:t>_________年_____月___日 　                _________年_____月___日</w:t>
      </w:r>
    </w:p>
    <w:p w14:paraId="7BA138DD">
      <w:pPr>
        <w:pStyle w:val="407"/>
        <w:widowControl w:val="0"/>
        <w:ind w:firstLine="0" w:firstLineChars="0"/>
        <w:rPr>
          <w:rFonts w:ascii="宋体" w:hAnsi="宋体"/>
        </w:rPr>
      </w:pPr>
    </w:p>
    <w:p w14:paraId="370AC856">
      <w:pPr>
        <w:jc w:val="center"/>
        <w:rPr>
          <w:rFonts w:asciiTheme="minorEastAsia" w:hAnsiTheme="minorEastAsia" w:eastAsiaTheme="minorEastAsia" w:cstheme="minorEastAsia"/>
          <w:b/>
          <w:bCs/>
          <w:kern w:val="44"/>
          <w:sz w:val="30"/>
          <w:szCs w:val="30"/>
        </w:rPr>
      </w:pPr>
    </w:p>
    <w:p w14:paraId="79855937">
      <w:pPr>
        <w:rPr>
          <w:rFonts w:asciiTheme="minorEastAsia" w:hAnsiTheme="minorEastAsia" w:eastAsiaTheme="minorEastAsia" w:cstheme="minorEastAsia"/>
        </w:rPr>
      </w:pPr>
    </w:p>
    <w:p w14:paraId="5F804046">
      <w:pPr>
        <w:pStyle w:val="2"/>
        <w:rPr>
          <w:rFonts w:asciiTheme="minorEastAsia" w:hAnsiTheme="minorEastAsia" w:eastAsiaTheme="minorEastAsia" w:cstheme="minorEastAsia"/>
          <w:b/>
          <w:bCs/>
        </w:rPr>
      </w:pPr>
      <w:r>
        <w:rPr>
          <w:rFonts w:hint="eastAsia" w:asciiTheme="minorEastAsia" w:hAnsiTheme="minorEastAsia" w:eastAsiaTheme="minorEastAsia" w:cstheme="minorEastAsia"/>
          <w:b/>
          <w:bCs/>
        </w:rPr>
        <w:t>注：具体合同以实际签订为准。</w:t>
      </w:r>
    </w:p>
    <w:p w14:paraId="393F533A">
      <w:pP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br w:type="page"/>
      </w:r>
    </w:p>
    <w:p w14:paraId="2DF0978B">
      <w:pPr>
        <w:spacing w:line="440" w:lineRule="exact"/>
        <w:jc w:val="center"/>
        <w:outlineLvl w:val="0"/>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t>第六部分  投标文件格式</w:t>
      </w:r>
      <w:bookmarkEnd w:id="25"/>
    </w:p>
    <w:p w14:paraId="6A209F0D">
      <w:pPr>
        <w:rPr>
          <w:rFonts w:asciiTheme="minorEastAsia" w:hAnsiTheme="minorEastAsia" w:eastAsiaTheme="minorEastAsia" w:cstheme="minorEastAsia"/>
          <w:b/>
        </w:rPr>
      </w:pPr>
    </w:p>
    <w:p w14:paraId="76F74742">
      <w:pPr>
        <w:spacing w:line="360" w:lineRule="auto"/>
        <w:jc w:val="center"/>
        <w:rPr>
          <w:rFonts w:asciiTheme="minorEastAsia" w:hAnsiTheme="minorEastAsia" w:eastAsiaTheme="minorEastAsia" w:cstheme="minorEastAsia"/>
          <w:b/>
          <w:bCs/>
        </w:rPr>
      </w:pPr>
    </w:p>
    <w:p w14:paraId="0EA5DE22">
      <w:pPr>
        <w:spacing w:line="360" w:lineRule="auto"/>
        <w:jc w:val="center"/>
        <w:rPr>
          <w:rFonts w:asciiTheme="minorEastAsia" w:hAnsiTheme="minorEastAsia" w:eastAsiaTheme="minorEastAsia" w:cstheme="minorEastAsia"/>
          <w:b/>
          <w:bCs/>
        </w:rPr>
      </w:pPr>
    </w:p>
    <w:p w14:paraId="3F79637A">
      <w:pPr>
        <w:spacing w:line="360" w:lineRule="auto"/>
        <w:jc w:val="center"/>
        <w:rPr>
          <w:rFonts w:asciiTheme="minorEastAsia" w:hAnsiTheme="minorEastAsia" w:eastAsiaTheme="minorEastAsia" w:cstheme="minorEastAsia"/>
          <w:b/>
          <w:bCs/>
        </w:rPr>
      </w:pPr>
    </w:p>
    <w:p w14:paraId="0DF86E1B">
      <w:pPr>
        <w:spacing w:line="360" w:lineRule="auto"/>
        <w:jc w:val="center"/>
        <w:rPr>
          <w:rFonts w:asciiTheme="minorEastAsia" w:hAnsiTheme="minorEastAsia" w:eastAsiaTheme="minorEastAsia" w:cstheme="minorEastAsia"/>
          <w:b/>
          <w:bCs/>
        </w:rPr>
      </w:pPr>
    </w:p>
    <w:p w14:paraId="75920A60">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报价响应文件</w:t>
      </w:r>
    </w:p>
    <w:p w14:paraId="044359D0">
      <w:pPr>
        <w:spacing w:line="360" w:lineRule="auto"/>
        <w:ind w:firstLine="480"/>
        <w:rPr>
          <w:rFonts w:asciiTheme="minorEastAsia" w:hAnsiTheme="minorEastAsia" w:eastAsiaTheme="minorEastAsia" w:cstheme="minorEastAsia"/>
        </w:rPr>
      </w:pPr>
    </w:p>
    <w:p w14:paraId="2D225AEE">
      <w:pPr>
        <w:spacing w:line="360" w:lineRule="auto"/>
        <w:ind w:firstLine="480"/>
        <w:rPr>
          <w:rFonts w:asciiTheme="minorEastAsia" w:hAnsiTheme="minorEastAsia" w:eastAsiaTheme="minorEastAsia" w:cstheme="minorEastAsia"/>
        </w:rPr>
      </w:pPr>
    </w:p>
    <w:p w14:paraId="22D19ABF">
      <w:pPr>
        <w:spacing w:line="360" w:lineRule="auto"/>
        <w:ind w:firstLine="480"/>
        <w:rPr>
          <w:rFonts w:asciiTheme="minorEastAsia" w:hAnsiTheme="minorEastAsia" w:eastAsiaTheme="minorEastAsia" w:cstheme="minorEastAsia"/>
        </w:rPr>
      </w:pPr>
    </w:p>
    <w:p w14:paraId="21E5F8EE">
      <w:pPr>
        <w:spacing w:line="360" w:lineRule="auto"/>
        <w:ind w:firstLine="480"/>
        <w:rPr>
          <w:rFonts w:asciiTheme="minorEastAsia" w:hAnsiTheme="minorEastAsia" w:eastAsiaTheme="minorEastAsia" w:cstheme="minorEastAsia"/>
        </w:rPr>
      </w:pPr>
    </w:p>
    <w:p w14:paraId="2D0291BF">
      <w:pPr>
        <w:spacing w:line="360" w:lineRule="auto"/>
        <w:ind w:firstLine="480"/>
        <w:rPr>
          <w:rFonts w:asciiTheme="minorEastAsia" w:hAnsiTheme="minorEastAsia" w:eastAsiaTheme="minorEastAsia" w:cstheme="minorEastAsia"/>
        </w:rPr>
      </w:pPr>
    </w:p>
    <w:p w14:paraId="288E0157">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p>
    <w:p w14:paraId="0BAB274B">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投标单位名称：</w:t>
      </w:r>
    </w:p>
    <w:p w14:paraId="48AD1B52">
      <w:pPr>
        <w:spacing w:line="44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投标内容/标项：</w:t>
      </w:r>
    </w:p>
    <w:p w14:paraId="673E82D5">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投标单位联系人：</w:t>
      </w:r>
    </w:p>
    <w:p w14:paraId="2E6B6F67">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投标单位联系电话：</w:t>
      </w:r>
    </w:p>
    <w:p w14:paraId="153D657E">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二〇  年  月</w:t>
      </w:r>
    </w:p>
    <w:p w14:paraId="6246C991">
      <w:pPr>
        <w:rPr>
          <w:rFonts w:asciiTheme="minorEastAsia" w:hAnsiTheme="minorEastAsia" w:eastAsiaTheme="minorEastAsia" w:cstheme="minorEastAsia"/>
          <w:b/>
        </w:rPr>
      </w:pPr>
    </w:p>
    <w:p w14:paraId="75C78371">
      <w:pPr>
        <w:rPr>
          <w:rFonts w:asciiTheme="minorEastAsia" w:hAnsiTheme="minorEastAsia" w:eastAsiaTheme="minorEastAsia" w:cstheme="minorEastAsia"/>
          <w:b/>
        </w:rPr>
      </w:pPr>
      <w:r>
        <w:rPr>
          <w:rFonts w:hint="eastAsia" w:asciiTheme="minorEastAsia" w:hAnsiTheme="minorEastAsia" w:eastAsiaTheme="minorEastAsia" w:cstheme="minorEastAsia"/>
          <w:b/>
        </w:rPr>
        <w:br w:type="page"/>
      </w:r>
    </w:p>
    <w:p w14:paraId="69B1E634">
      <w:pPr>
        <w:rPr>
          <w:rFonts w:asciiTheme="minorEastAsia" w:hAnsiTheme="minorEastAsia" w:eastAsiaTheme="minorEastAsia" w:cstheme="minorEastAsia"/>
          <w:b/>
        </w:rPr>
      </w:pPr>
      <w:r>
        <w:rPr>
          <w:rFonts w:hint="eastAsia" w:asciiTheme="minorEastAsia" w:hAnsiTheme="minorEastAsia" w:eastAsiaTheme="minorEastAsia" w:cstheme="minorEastAsia"/>
          <w:b/>
        </w:rPr>
        <w:t>（一）报价要求响应文件</w:t>
      </w:r>
    </w:p>
    <w:p w14:paraId="0F237E9B">
      <w:pPr>
        <w:spacing w:line="360" w:lineRule="auto"/>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1 开标一览表（附件1-1）</w:t>
      </w:r>
    </w:p>
    <w:p w14:paraId="70B17643">
      <w:pPr>
        <w:spacing w:line="360" w:lineRule="auto"/>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2 明细报价表（附件1-2）</w:t>
      </w:r>
    </w:p>
    <w:p w14:paraId="27F22375">
      <w:pPr>
        <w:spacing w:line="460" w:lineRule="atLeast"/>
        <w:jc w:val="center"/>
        <w:rPr>
          <w:rFonts w:asciiTheme="minorEastAsia" w:hAnsiTheme="minorEastAsia" w:eastAsiaTheme="minorEastAsia" w:cstheme="minorEastAsia"/>
          <w:b/>
          <w:sz w:val="30"/>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sz w:val="30"/>
          <w:szCs w:val="30"/>
        </w:rPr>
        <w:t xml:space="preserve">附件1-1  </w:t>
      </w:r>
      <w:r>
        <w:rPr>
          <w:rFonts w:hint="eastAsia" w:asciiTheme="minorEastAsia" w:hAnsiTheme="minorEastAsia" w:eastAsiaTheme="minorEastAsia" w:cstheme="minorEastAsia"/>
          <w:b/>
          <w:bCs/>
          <w:sz w:val="30"/>
          <w:szCs w:val="30"/>
        </w:rPr>
        <w:t>开标一览表</w:t>
      </w:r>
    </w:p>
    <w:p w14:paraId="31FCE171">
      <w:pPr>
        <w:pStyle w:val="112"/>
        <w:spacing w:line="440" w:lineRule="exact"/>
        <w:ind w:left="185" w:leftChars="-86" w:hanging="391" w:hangingChars="163"/>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招标项目名称：                                                  </w:t>
      </w:r>
    </w:p>
    <w:p w14:paraId="0B13B247">
      <w:pPr>
        <w:pStyle w:val="112"/>
        <w:spacing w:line="440" w:lineRule="exact"/>
        <w:ind w:left="185" w:leftChars="-86" w:hanging="391" w:hangingChars="163"/>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项目编号：                            </w:t>
      </w:r>
    </w:p>
    <w:tbl>
      <w:tblPr>
        <w:tblStyle w:val="40"/>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7006"/>
      </w:tblGrid>
      <w:tr w14:paraId="1029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tcBorders>
              <w:tl2br w:val="nil"/>
              <w:tr2bl w:val="nil"/>
            </w:tcBorders>
            <w:vAlign w:val="center"/>
          </w:tcPr>
          <w:p w14:paraId="637B70F0">
            <w:pPr>
              <w:spacing w:line="44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rPr>
              <w:t>标项序号、名称</w:t>
            </w:r>
          </w:p>
        </w:tc>
        <w:tc>
          <w:tcPr>
            <w:tcW w:w="7006" w:type="dxa"/>
            <w:tcBorders>
              <w:tl2br w:val="nil"/>
              <w:tr2bl w:val="nil"/>
            </w:tcBorders>
            <w:vAlign w:val="center"/>
          </w:tcPr>
          <w:p w14:paraId="5CE89C40">
            <w:pPr>
              <w:spacing w:line="44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投标报价（元）</w:t>
            </w:r>
          </w:p>
        </w:tc>
      </w:tr>
      <w:tr w14:paraId="6C2A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3167" w:type="dxa"/>
            <w:tcBorders>
              <w:tl2br w:val="nil"/>
              <w:tr2bl w:val="nil"/>
            </w:tcBorders>
            <w:vAlign w:val="center"/>
          </w:tcPr>
          <w:p w14:paraId="5ED2A783">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投标报价</w:t>
            </w:r>
          </w:p>
        </w:tc>
        <w:tc>
          <w:tcPr>
            <w:tcW w:w="7006" w:type="dxa"/>
            <w:tcBorders>
              <w:tl2br w:val="nil"/>
              <w:tr2bl w:val="nil"/>
            </w:tcBorders>
            <w:vAlign w:val="center"/>
          </w:tcPr>
          <w:p w14:paraId="31FCAF8A">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大写：</w:t>
            </w:r>
          </w:p>
          <w:p w14:paraId="6BEB68B2">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小写：</w:t>
            </w:r>
          </w:p>
        </w:tc>
      </w:tr>
      <w:tr w14:paraId="1976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tcBorders>
              <w:tl2br w:val="nil"/>
              <w:tr2bl w:val="nil"/>
            </w:tcBorders>
            <w:vAlign w:val="center"/>
          </w:tcPr>
          <w:p w14:paraId="227E12FF">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服务期限</w:t>
            </w:r>
          </w:p>
        </w:tc>
        <w:tc>
          <w:tcPr>
            <w:tcW w:w="7006" w:type="dxa"/>
            <w:tcBorders>
              <w:tl2br w:val="nil"/>
              <w:tr2bl w:val="nil"/>
            </w:tcBorders>
            <w:vAlign w:val="center"/>
          </w:tcPr>
          <w:p w14:paraId="7BE347A8">
            <w:pPr>
              <w:spacing w:line="440" w:lineRule="exact"/>
              <w:rPr>
                <w:rFonts w:asciiTheme="minorEastAsia" w:hAnsiTheme="minorEastAsia" w:eastAsiaTheme="minorEastAsia" w:cstheme="minorEastAsia"/>
              </w:rPr>
            </w:pPr>
          </w:p>
        </w:tc>
      </w:tr>
      <w:tr w14:paraId="5325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tcBorders>
              <w:tl2br w:val="nil"/>
              <w:tr2bl w:val="nil"/>
            </w:tcBorders>
            <w:vAlign w:val="center"/>
          </w:tcPr>
          <w:p w14:paraId="678B05A1">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c>
          <w:tcPr>
            <w:tcW w:w="7006" w:type="dxa"/>
            <w:tcBorders>
              <w:tl2br w:val="nil"/>
              <w:tr2bl w:val="nil"/>
            </w:tcBorders>
            <w:vAlign w:val="center"/>
          </w:tcPr>
          <w:p w14:paraId="1D92A228">
            <w:pPr>
              <w:spacing w:line="440" w:lineRule="exact"/>
              <w:rPr>
                <w:rFonts w:asciiTheme="minorEastAsia" w:hAnsiTheme="minorEastAsia" w:eastAsiaTheme="minorEastAsia" w:cstheme="minorEastAsia"/>
              </w:rPr>
            </w:pPr>
          </w:p>
        </w:tc>
      </w:tr>
    </w:tbl>
    <w:p w14:paraId="1DB53975">
      <w:pPr>
        <w:pStyle w:val="112"/>
        <w:spacing w:line="44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兹声明：以上投标报价在投标有效期内一直有效。</w:t>
      </w:r>
    </w:p>
    <w:p w14:paraId="1969F76D">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投标人名称（加盖公章）：</w:t>
      </w:r>
      <w:r>
        <w:rPr>
          <w:rFonts w:hint="eastAsia" w:asciiTheme="minorEastAsia" w:hAnsiTheme="minorEastAsia" w:eastAsiaTheme="minorEastAsia" w:cstheme="minorEastAsia"/>
          <w:u w:val="single"/>
        </w:rPr>
        <w:t xml:space="preserve">                               </w:t>
      </w:r>
    </w:p>
    <w:p w14:paraId="0C2FC6C4">
      <w:pPr>
        <w:pStyle w:val="126"/>
        <w:keepNext w:val="0"/>
        <w:keepLines w:val="0"/>
        <w:adjustRightInd/>
        <w:spacing w:before="0" w:line="440" w:lineRule="exact"/>
        <w:textAlignment w:val="auto"/>
        <w:outlineLvl w:val="9"/>
        <w:rPr>
          <w:rFonts w:asciiTheme="minorEastAsia" w:hAnsiTheme="minorEastAsia" w:eastAsiaTheme="minorEastAsia" w:cstheme="minorEastAsia"/>
          <w:b w:val="0"/>
          <w:kern w:val="2"/>
          <w:u w:val="single"/>
        </w:rPr>
      </w:pPr>
      <w:r>
        <w:rPr>
          <w:rFonts w:hint="eastAsia" w:asciiTheme="minorEastAsia" w:hAnsiTheme="minorEastAsia" w:eastAsiaTheme="minorEastAsia" w:cstheme="minorEastAsia"/>
          <w:b w:val="0"/>
        </w:rPr>
        <w:t>法定代表人或其委托代理人（签字或盖章）：</w:t>
      </w:r>
      <w:r>
        <w:rPr>
          <w:rFonts w:hint="eastAsia" w:asciiTheme="minorEastAsia" w:hAnsiTheme="minorEastAsia" w:eastAsiaTheme="minorEastAsia" w:cstheme="minorEastAsia"/>
          <w:b w:val="0"/>
          <w:u w:val="single"/>
        </w:rPr>
        <w:t xml:space="preserve">               </w:t>
      </w:r>
    </w:p>
    <w:p w14:paraId="720DBAF4">
      <w:pPr>
        <w:pStyle w:val="126"/>
        <w:keepNext w:val="0"/>
        <w:keepLines w:val="0"/>
        <w:adjustRightInd/>
        <w:spacing w:before="0" w:line="440" w:lineRule="exact"/>
        <w:textAlignment w:val="auto"/>
        <w:outlineLvl w:val="9"/>
        <w:rPr>
          <w:rFonts w:asciiTheme="minorEastAsia" w:hAnsiTheme="minorEastAsia" w:eastAsiaTheme="minorEastAsia" w:cstheme="minorEastAsia"/>
          <w:b w:val="0"/>
          <w:kern w:val="2"/>
        </w:rPr>
      </w:pPr>
      <w:r>
        <w:rPr>
          <w:rFonts w:hint="eastAsia" w:asciiTheme="minorEastAsia" w:hAnsiTheme="minorEastAsia" w:eastAsiaTheme="minorEastAsia" w:cstheme="minorEastAsia"/>
          <w:b w:val="0"/>
          <w:spacing w:val="36"/>
          <w:kern w:val="2"/>
        </w:rPr>
        <w:t>日期</w:t>
      </w:r>
      <w:r>
        <w:rPr>
          <w:rFonts w:hint="eastAsia" w:asciiTheme="minorEastAsia" w:hAnsiTheme="minorEastAsia" w:eastAsiaTheme="minorEastAsia" w:cstheme="minorEastAsia"/>
          <w:b w:val="0"/>
          <w:kern w:val="2"/>
        </w:rPr>
        <w:t>：</w:t>
      </w:r>
      <w:r>
        <w:rPr>
          <w:rFonts w:hint="eastAsia" w:asciiTheme="minorEastAsia" w:hAnsiTheme="minorEastAsia" w:eastAsiaTheme="minorEastAsia" w:cstheme="minorEastAsia"/>
          <w:b w:val="0"/>
          <w:kern w:val="2"/>
          <w:u w:val="single"/>
        </w:rPr>
        <w:t xml:space="preserve">       </w:t>
      </w:r>
      <w:r>
        <w:rPr>
          <w:rFonts w:hint="eastAsia" w:asciiTheme="minorEastAsia" w:hAnsiTheme="minorEastAsia" w:eastAsiaTheme="minorEastAsia" w:cstheme="minorEastAsia"/>
          <w:b w:val="0"/>
          <w:kern w:val="2"/>
        </w:rPr>
        <w:t>年</w:t>
      </w:r>
      <w:r>
        <w:rPr>
          <w:rFonts w:hint="eastAsia" w:asciiTheme="minorEastAsia" w:hAnsiTheme="minorEastAsia" w:eastAsiaTheme="minorEastAsia" w:cstheme="minorEastAsia"/>
          <w:b w:val="0"/>
          <w:kern w:val="2"/>
          <w:u w:val="single"/>
        </w:rPr>
        <w:t xml:space="preserve">     </w:t>
      </w:r>
      <w:r>
        <w:rPr>
          <w:rFonts w:hint="eastAsia" w:asciiTheme="minorEastAsia" w:hAnsiTheme="minorEastAsia" w:eastAsiaTheme="minorEastAsia" w:cstheme="minorEastAsia"/>
          <w:b w:val="0"/>
          <w:kern w:val="2"/>
        </w:rPr>
        <w:t>月</w:t>
      </w:r>
      <w:r>
        <w:rPr>
          <w:rFonts w:hint="eastAsia" w:asciiTheme="minorEastAsia" w:hAnsiTheme="minorEastAsia" w:eastAsiaTheme="minorEastAsia" w:cstheme="minorEastAsia"/>
          <w:b w:val="0"/>
          <w:kern w:val="2"/>
          <w:u w:val="single"/>
        </w:rPr>
        <w:t xml:space="preserve">    </w:t>
      </w:r>
      <w:r>
        <w:rPr>
          <w:rFonts w:hint="eastAsia" w:asciiTheme="minorEastAsia" w:hAnsiTheme="minorEastAsia" w:eastAsiaTheme="minorEastAsia" w:cstheme="minorEastAsia"/>
          <w:b w:val="0"/>
          <w:kern w:val="2"/>
        </w:rPr>
        <w:t>日</w:t>
      </w:r>
    </w:p>
    <w:p w14:paraId="41AAB7B3">
      <w:pPr>
        <w:pStyle w:val="126"/>
        <w:keepNext w:val="0"/>
        <w:keepLines w:val="0"/>
        <w:adjustRightInd/>
        <w:spacing w:before="0" w:line="440" w:lineRule="exact"/>
        <w:textAlignment w:val="auto"/>
        <w:outlineLvl w:val="9"/>
        <w:rPr>
          <w:rFonts w:asciiTheme="minorEastAsia" w:hAnsiTheme="minorEastAsia" w:eastAsiaTheme="minorEastAsia" w:cstheme="minorEastAsia"/>
          <w:kern w:val="2"/>
        </w:rPr>
      </w:pPr>
      <w:r>
        <w:rPr>
          <w:rFonts w:hint="eastAsia" w:asciiTheme="minorEastAsia" w:hAnsiTheme="minorEastAsia" w:eastAsiaTheme="minorEastAsia" w:cstheme="minorEastAsia"/>
        </w:rPr>
        <w:t>注：</w:t>
      </w:r>
      <w:r>
        <w:rPr>
          <w:rFonts w:hint="eastAsia" w:asciiTheme="minorEastAsia" w:hAnsiTheme="minorEastAsia" w:eastAsiaTheme="minorEastAsia" w:cstheme="minorEastAsia"/>
          <w:b w:val="0"/>
        </w:rPr>
        <w:t>1、此表需密封后单独提交。</w:t>
      </w:r>
    </w:p>
    <w:p w14:paraId="518340FD">
      <w:pPr>
        <w:pStyle w:val="112"/>
        <w:spacing w:line="440" w:lineRule="exact"/>
        <w:ind w:firstLine="480" w:firstLineChars="200"/>
        <w:rPr>
          <w:rFonts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2、本表格式不得更改，投标人只能按要求填报。</w:t>
      </w:r>
    </w:p>
    <w:p w14:paraId="1506267E">
      <w:pPr>
        <w:pStyle w:val="6"/>
        <w:spacing w:after="100"/>
        <w:jc w:val="center"/>
        <w:rPr>
          <w:rFonts w:asciiTheme="minorEastAsia" w:hAnsiTheme="minorEastAsia" w:eastAsiaTheme="minorEastAsia" w:cstheme="minorEastAsia"/>
          <w:bCs/>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Cs/>
          <w:sz w:val="30"/>
          <w:szCs w:val="30"/>
        </w:rPr>
        <w:t>附件1-2  费用清单</w:t>
      </w:r>
    </w:p>
    <w:p w14:paraId="7C8C5BFE">
      <w:pPr>
        <w:tabs>
          <w:tab w:val="left" w:pos="5100"/>
        </w:tabs>
        <w:spacing w:line="440" w:lineRule="exact"/>
        <w:ind w:firstLine="352" w:firstLineChars="147"/>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项目名称：                             </w:t>
      </w:r>
      <w:r>
        <w:rPr>
          <w:rFonts w:hint="eastAsia" w:asciiTheme="minorEastAsia" w:hAnsiTheme="minorEastAsia" w:eastAsiaTheme="minorEastAsia" w:cstheme="minorEastAsia"/>
        </w:rPr>
        <w:t xml:space="preserve">   </w:t>
      </w:r>
    </w:p>
    <w:p w14:paraId="65407D90">
      <w:pPr>
        <w:pStyle w:val="112"/>
        <w:spacing w:line="440" w:lineRule="exact"/>
        <w:ind w:left="238" w:leftChars="99" w:firstLine="120" w:firstLineChars="50"/>
        <w:jc w:val="both"/>
        <w:rPr>
          <w:rFonts w:asciiTheme="minorEastAsia" w:hAnsiTheme="minorEastAsia" w:eastAsiaTheme="minorEastAsia" w:cstheme="minorEastAsia"/>
          <w:bCs/>
          <w:color w:val="auto"/>
          <w:kern w:val="2"/>
        </w:rPr>
      </w:pPr>
      <w:r>
        <w:rPr>
          <w:rFonts w:hint="eastAsia" w:asciiTheme="minorEastAsia" w:hAnsiTheme="minorEastAsia" w:eastAsiaTheme="minorEastAsia" w:cstheme="minorEastAsia"/>
          <w:bCs/>
          <w:color w:val="auto"/>
          <w:kern w:val="2"/>
        </w:rPr>
        <w:t xml:space="preserve">招标编号：                              </w:t>
      </w:r>
    </w:p>
    <w:tbl>
      <w:tblPr>
        <w:tblStyle w:val="40"/>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2215"/>
        <w:gridCol w:w="1310"/>
        <w:gridCol w:w="2764"/>
        <w:gridCol w:w="1988"/>
      </w:tblGrid>
      <w:tr w14:paraId="15F1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10" w:type="dxa"/>
            <w:tcBorders>
              <w:tl2br w:val="nil"/>
              <w:tr2bl w:val="nil"/>
            </w:tcBorders>
            <w:vAlign w:val="center"/>
          </w:tcPr>
          <w:p w14:paraId="507BB437">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215" w:type="dxa"/>
            <w:tcBorders>
              <w:tl2br w:val="nil"/>
              <w:tr2bl w:val="nil"/>
            </w:tcBorders>
            <w:vAlign w:val="center"/>
          </w:tcPr>
          <w:p w14:paraId="0FEC4CBD">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服务内容</w:t>
            </w:r>
          </w:p>
        </w:tc>
        <w:tc>
          <w:tcPr>
            <w:tcW w:w="1310" w:type="dxa"/>
            <w:tcBorders>
              <w:tl2br w:val="nil"/>
              <w:tr2bl w:val="nil"/>
            </w:tcBorders>
            <w:vAlign w:val="center"/>
          </w:tcPr>
          <w:p w14:paraId="7ACC3B27">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2764" w:type="dxa"/>
            <w:tcBorders>
              <w:tl2br w:val="nil"/>
              <w:tr2bl w:val="nil"/>
            </w:tcBorders>
            <w:vAlign w:val="center"/>
          </w:tcPr>
          <w:p w14:paraId="1D7CBE6E">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单价（含工、含料、含税）</w:t>
            </w:r>
          </w:p>
        </w:tc>
        <w:tc>
          <w:tcPr>
            <w:tcW w:w="1988" w:type="dxa"/>
            <w:tcBorders>
              <w:tl2br w:val="nil"/>
              <w:tr2bl w:val="nil"/>
            </w:tcBorders>
            <w:vAlign w:val="center"/>
          </w:tcPr>
          <w:p w14:paraId="0536CB09">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14:paraId="16A3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0" w:type="dxa"/>
            <w:tcBorders>
              <w:tl2br w:val="nil"/>
              <w:tr2bl w:val="nil"/>
            </w:tcBorders>
            <w:vAlign w:val="center"/>
          </w:tcPr>
          <w:p w14:paraId="1C900DC1">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61D9C452">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1C7B3C6D">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3EBA199A">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0DA488B8">
            <w:pPr>
              <w:spacing w:line="440" w:lineRule="exact"/>
              <w:rPr>
                <w:rFonts w:asciiTheme="minorEastAsia" w:hAnsiTheme="minorEastAsia" w:eastAsiaTheme="minorEastAsia" w:cstheme="minorEastAsia"/>
              </w:rPr>
            </w:pPr>
          </w:p>
        </w:tc>
      </w:tr>
      <w:tr w14:paraId="3667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10" w:type="dxa"/>
            <w:tcBorders>
              <w:tl2br w:val="nil"/>
              <w:tr2bl w:val="nil"/>
            </w:tcBorders>
            <w:vAlign w:val="center"/>
          </w:tcPr>
          <w:p w14:paraId="0F7900B9">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77F6BC51">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3630873E">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5E472093">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75CEABB0">
            <w:pPr>
              <w:spacing w:line="440" w:lineRule="exact"/>
              <w:rPr>
                <w:rFonts w:asciiTheme="minorEastAsia" w:hAnsiTheme="minorEastAsia" w:eastAsiaTheme="minorEastAsia" w:cstheme="minorEastAsia"/>
              </w:rPr>
            </w:pPr>
          </w:p>
        </w:tc>
      </w:tr>
      <w:tr w14:paraId="340F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0" w:type="dxa"/>
            <w:tcBorders>
              <w:tl2br w:val="nil"/>
              <w:tr2bl w:val="nil"/>
            </w:tcBorders>
            <w:vAlign w:val="center"/>
          </w:tcPr>
          <w:p w14:paraId="6458B445">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4FEA2421">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220D64EB">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420C76CF">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24932B1A">
            <w:pPr>
              <w:spacing w:line="440" w:lineRule="exact"/>
              <w:rPr>
                <w:rFonts w:asciiTheme="minorEastAsia" w:hAnsiTheme="minorEastAsia" w:eastAsiaTheme="minorEastAsia" w:cstheme="minorEastAsia"/>
              </w:rPr>
            </w:pPr>
          </w:p>
        </w:tc>
      </w:tr>
      <w:tr w14:paraId="2FDD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10" w:type="dxa"/>
            <w:tcBorders>
              <w:tl2br w:val="nil"/>
              <w:tr2bl w:val="nil"/>
            </w:tcBorders>
            <w:vAlign w:val="center"/>
          </w:tcPr>
          <w:p w14:paraId="1557194D">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497C50FF">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770AC5D1">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3C84D965">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10298CCE">
            <w:pPr>
              <w:spacing w:line="440" w:lineRule="exact"/>
              <w:rPr>
                <w:rFonts w:asciiTheme="minorEastAsia" w:hAnsiTheme="minorEastAsia" w:eastAsiaTheme="minorEastAsia" w:cstheme="minorEastAsia"/>
              </w:rPr>
            </w:pPr>
          </w:p>
        </w:tc>
      </w:tr>
      <w:tr w14:paraId="7E1C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0" w:type="dxa"/>
            <w:tcBorders>
              <w:tl2br w:val="nil"/>
              <w:tr2bl w:val="nil"/>
            </w:tcBorders>
            <w:vAlign w:val="center"/>
          </w:tcPr>
          <w:p w14:paraId="7DD9714A">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721CF729">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05E4787E">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410A7F4F">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20A63108">
            <w:pPr>
              <w:spacing w:line="440" w:lineRule="exact"/>
              <w:rPr>
                <w:rFonts w:asciiTheme="minorEastAsia" w:hAnsiTheme="minorEastAsia" w:eastAsiaTheme="minorEastAsia" w:cstheme="minorEastAsia"/>
              </w:rPr>
            </w:pPr>
          </w:p>
        </w:tc>
      </w:tr>
      <w:tr w14:paraId="5CF6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54533D3E">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42CCE42B">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4FCA06C2">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3F4AA320">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3610E6DD">
            <w:pPr>
              <w:spacing w:line="440" w:lineRule="exact"/>
              <w:rPr>
                <w:rFonts w:asciiTheme="minorEastAsia" w:hAnsiTheme="minorEastAsia" w:eastAsiaTheme="minorEastAsia" w:cstheme="minorEastAsia"/>
              </w:rPr>
            </w:pPr>
          </w:p>
        </w:tc>
      </w:tr>
      <w:tr w14:paraId="431A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0018F898">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68DEDD27">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5C98977E">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6E54AE10">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6FD3EF62">
            <w:pPr>
              <w:spacing w:line="440" w:lineRule="exact"/>
              <w:rPr>
                <w:rFonts w:asciiTheme="minorEastAsia" w:hAnsiTheme="minorEastAsia" w:eastAsiaTheme="minorEastAsia" w:cstheme="minorEastAsia"/>
              </w:rPr>
            </w:pPr>
          </w:p>
        </w:tc>
      </w:tr>
      <w:tr w14:paraId="5C8E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2A3248A6">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30A84800">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6C92C485">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01A9F751">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14DA2F5E">
            <w:pPr>
              <w:spacing w:line="440" w:lineRule="exact"/>
              <w:rPr>
                <w:rFonts w:asciiTheme="minorEastAsia" w:hAnsiTheme="minorEastAsia" w:eastAsiaTheme="minorEastAsia" w:cstheme="minorEastAsia"/>
              </w:rPr>
            </w:pPr>
          </w:p>
        </w:tc>
      </w:tr>
      <w:tr w14:paraId="5D5D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449B13E0">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012E086E">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1EA348EA">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726475DA">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7152CB87">
            <w:pPr>
              <w:spacing w:line="440" w:lineRule="exact"/>
              <w:rPr>
                <w:rFonts w:asciiTheme="minorEastAsia" w:hAnsiTheme="minorEastAsia" w:eastAsiaTheme="minorEastAsia" w:cstheme="minorEastAsia"/>
              </w:rPr>
            </w:pPr>
          </w:p>
        </w:tc>
      </w:tr>
      <w:tr w14:paraId="0E12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5BDB58FA">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0849C776">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5A00CA4D">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50175013">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6E98E8B0">
            <w:pPr>
              <w:spacing w:line="440" w:lineRule="exact"/>
              <w:rPr>
                <w:rFonts w:asciiTheme="minorEastAsia" w:hAnsiTheme="minorEastAsia" w:eastAsiaTheme="minorEastAsia" w:cstheme="minorEastAsia"/>
              </w:rPr>
            </w:pPr>
          </w:p>
        </w:tc>
      </w:tr>
      <w:tr w14:paraId="4CAB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51364A55">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1A804D6E">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6CE42C30">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6B6B506A">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1CEE5E9C">
            <w:pPr>
              <w:spacing w:line="440" w:lineRule="exact"/>
              <w:rPr>
                <w:rFonts w:asciiTheme="minorEastAsia" w:hAnsiTheme="minorEastAsia" w:eastAsiaTheme="minorEastAsia" w:cstheme="minorEastAsia"/>
              </w:rPr>
            </w:pPr>
          </w:p>
        </w:tc>
      </w:tr>
      <w:tr w14:paraId="3AE1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31076786">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244AC8DF">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149B3357">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55A05401">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67E5A73D">
            <w:pPr>
              <w:spacing w:line="440" w:lineRule="exact"/>
              <w:rPr>
                <w:rFonts w:asciiTheme="minorEastAsia" w:hAnsiTheme="minorEastAsia" w:eastAsiaTheme="minorEastAsia" w:cstheme="minorEastAsia"/>
              </w:rPr>
            </w:pPr>
          </w:p>
        </w:tc>
      </w:tr>
      <w:tr w14:paraId="12C4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14B6ECE1">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15EFBEE5">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28AE3A6C">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1B534D40">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4B7E0AA0">
            <w:pPr>
              <w:spacing w:line="440" w:lineRule="exact"/>
              <w:rPr>
                <w:rFonts w:asciiTheme="minorEastAsia" w:hAnsiTheme="minorEastAsia" w:eastAsiaTheme="minorEastAsia" w:cstheme="minorEastAsia"/>
              </w:rPr>
            </w:pPr>
          </w:p>
        </w:tc>
      </w:tr>
      <w:tr w14:paraId="1515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3EED9978">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179B1AE9">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4DD36C80">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678D4973">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02CEA669">
            <w:pPr>
              <w:spacing w:line="440" w:lineRule="exact"/>
              <w:rPr>
                <w:rFonts w:asciiTheme="minorEastAsia" w:hAnsiTheme="minorEastAsia" w:eastAsiaTheme="minorEastAsia" w:cstheme="minorEastAsia"/>
              </w:rPr>
            </w:pPr>
          </w:p>
        </w:tc>
      </w:tr>
      <w:tr w14:paraId="05A3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02F9F0DB">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6C0E913C">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158D4C64">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7DB71A1E">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4C62C9EE">
            <w:pPr>
              <w:spacing w:line="440" w:lineRule="exact"/>
              <w:rPr>
                <w:rFonts w:asciiTheme="minorEastAsia" w:hAnsiTheme="minorEastAsia" w:eastAsiaTheme="minorEastAsia" w:cstheme="minorEastAsia"/>
              </w:rPr>
            </w:pPr>
          </w:p>
        </w:tc>
      </w:tr>
      <w:tr w14:paraId="09E1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30BE0296">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0635AD17">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3918A21C">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38F8664D">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7013EE14">
            <w:pPr>
              <w:spacing w:line="440" w:lineRule="exact"/>
              <w:rPr>
                <w:rFonts w:asciiTheme="minorEastAsia" w:hAnsiTheme="minorEastAsia" w:eastAsiaTheme="minorEastAsia" w:cstheme="minorEastAsia"/>
              </w:rPr>
            </w:pPr>
          </w:p>
        </w:tc>
      </w:tr>
      <w:tr w14:paraId="348B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2EDBB68A">
            <w:pPr>
              <w:spacing w:line="440" w:lineRule="exact"/>
              <w:rPr>
                <w:rFonts w:asciiTheme="minorEastAsia" w:hAnsiTheme="minorEastAsia" w:eastAsiaTheme="minorEastAsia" w:cstheme="minorEastAsia"/>
              </w:rPr>
            </w:pPr>
          </w:p>
        </w:tc>
        <w:tc>
          <w:tcPr>
            <w:tcW w:w="2215" w:type="dxa"/>
            <w:tcBorders>
              <w:tl2br w:val="nil"/>
              <w:tr2bl w:val="nil"/>
            </w:tcBorders>
            <w:vAlign w:val="center"/>
          </w:tcPr>
          <w:p w14:paraId="7A79D989">
            <w:pPr>
              <w:spacing w:line="440" w:lineRule="exact"/>
              <w:rPr>
                <w:rFonts w:asciiTheme="minorEastAsia" w:hAnsiTheme="minorEastAsia" w:eastAsiaTheme="minorEastAsia" w:cstheme="minorEastAsia"/>
              </w:rPr>
            </w:pPr>
          </w:p>
        </w:tc>
        <w:tc>
          <w:tcPr>
            <w:tcW w:w="1310" w:type="dxa"/>
            <w:tcBorders>
              <w:tl2br w:val="nil"/>
              <w:tr2bl w:val="nil"/>
            </w:tcBorders>
            <w:vAlign w:val="center"/>
          </w:tcPr>
          <w:p w14:paraId="7A99A8BD">
            <w:pPr>
              <w:spacing w:line="440" w:lineRule="exact"/>
              <w:rPr>
                <w:rFonts w:asciiTheme="minorEastAsia" w:hAnsiTheme="minorEastAsia" w:eastAsiaTheme="minorEastAsia" w:cstheme="minorEastAsia"/>
              </w:rPr>
            </w:pPr>
          </w:p>
        </w:tc>
        <w:tc>
          <w:tcPr>
            <w:tcW w:w="2764" w:type="dxa"/>
            <w:tcBorders>
              <w:tl2br w:val="nil"/>
              <w:tr2bl w:val="nil"/>
            </w:tcBorders>
            <w:vAlign w:val="center"/>
          </w:tcPr>
          <w:p w14:paraId="4302EA02">
            <w:pPr>
              <w:spacing w:line="440" w:lineRule="exact"/>
              <w:rPr>
                <w:rFonts w:asciiTheme="minorEastAsia" w:hAnsiTheme="minorEastAsia" w:eastAsiaTheme="minorEastAsia" w:cstheme="minorEastAsia"/>
              </w:rPr>
            </w:pPr>
          </w:p>
        </w:tc>
        <w:tc>
          <w:tcPr>
            <w:tcW w:w="1988" w:type="dxa"/>
            <w:tcBorders>
              <w:tl2br w:val="nil"/>
              <w:tr2bl w:val="nil"/>
            </w:tcBorders>
            <w:vAlign w:val="center"/>
          </w:tcPr>
          <w:p w14:paraId="7967C4DC">
            <w:pPr>
              <w:spacing w:line="440" w:lineRule="exact"/>
              <w:rPr>
                <w:rFonts w:asciiTheme="minorEastAsia" w:hAnsiTheme="minorEastAsia" w:eastAsiaTheme="minorEastAsia" w:cstheme="minorEastAsia"/>
              </w:rPr>
            </w:pPr>
          </w:p>
        </w:tc>
      </w:tr>
      <w:tr w14:paraId="1359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9587" w:type="dxa"/>
            <w:gridSpan w:val="5"/>
            <w:tcBorders>
              <w:tl2br w:val="nil"/>
              <w:tr2bl w:val="nil"/>
            </w:tcBorders>
            <w:vAlign w:val="center"/>
          </w:tcPr>
          <w:p w14:paraId="47B8E539">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合计报价：大写：</w:t>
            </w:r>
          </w:p>
          <w:p w14:paraId="15729EEB">
            <w:pPr>
              <w:spacing w:line="440" w:lineRule="exact"/>
              <w:ind w:firstLine="1200" w:firstLineChars="500"/>
              <w:rPr>
                <w:rFonts w:asciiTheme="minorEastAsia" w:hAnsiTheme="minorEastAsia" w:eastAsiaTheme="minorEastAsia" w:cstheme="minorEastAsia"/>
              </w:rPr>
            </w:pPr>
            <w:r>
              <w:rPr>
                <w:rFonts w:hint="eastAsia" w:asciiTheme="minorEastAsia" w:hAnsiTheme="minorEastAsia" w:eastAsiaTheme="minorEastAsia" w:cstheme="minorEastAsia"/>
              </w:rPr>
              <w:t>小写：</w:t>
            </w:r>
          </w:p>
        </w:tc>
      </w:tr>
    </w:tbl>
    <w:p w14:paraId="6389BF5D">
      <w:pPr>
        <w:spacing w:line="440" w:lineRule="exact"/>
        <w:rPr>
          <w:rFonts w:asciiTheme="minorEastAsia" w:hAnsiTheme="minorEastAsia" w:eastAsiaTheme="minorEastAsia" w:cstheme="minorEastAsia"/>
        </w:rPr>
      </w:pPr>
    </w:p>
    <w:p w14:paraId="43FEE672">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投标人名称（加盖公章）：</w:t>
      </w:r>
      <w:r>
        <w:rPr>
          <w:rFonts w:hint="eastAsia" w:asciiTheme="minorEastAsia" w:hAnsiTheme="minorEastAsia" w:eastAsiaTheme="minorEastAsia" w:cstheme="minorEastAsia"/>
          <w:u w:val="single"/>
        </w:rPr>
        <w:t xml:space="preserve">                               </w:t>
      </w:r>
    </w:p>
    <w:p w14:paraId="6427879F">
      <w:pPr>
        <w:pStyle w:val="126"/>
        <w:keepNext w:val="0"/>
        <w:keepLines w:val="0"/>
        <w:adjustRightInd/>
        <w:spacing w:before="0" w:line="440" w:lineRule="exact"/>
        <w:textAlignment w:val="auto"/>
        <w:outlineLvl w:val="9"/>
        <w:rPr>
          <w:rFonts w:asciiTheme="minorEastAsia" w:hAnsiTheme="minorEastAsia" w:eastAsiaTheme="minorEastAsia" w:cstheme="minorEastAsia"/>
          <w:b w:val="0"/>
          <w:kern w:val="2"/>
          <w:u w:val="single"/>
        </w:rPr>
      </w:pPr>
      <w:r>
        <w:rPr>
          <w:rFonts w:hint="eastAsia" w:asciiTheme="minorEastAsia" w:hAnsiTheme="minorEastAsia" w:eastAsiaTheme="minorEastAsia" w:cstheme="minorEastAsia"/>
          <w:b w:val="0"/>
        </w:rPr>
        <w:t>法定代表人或其委托代理人（签字或盖章）：</w:t>
      </w:r>
      <w:r>
        <w:rPr>
          <w:rFonts w:hint="eastAsia" w:asciiTheme="minorEastAsia" w:hAnsiTheme="minorEastAsia" w:eastAsiaTheme="minorEastAsia" w:cstheme="minorEastAsia"/>
          <w:b w:val="0"/>
          <w:u w:val="single"/>
        </w:rPr>
        <w:t xml:space="preserve">               </w:t>
      </w:r>
    </w:p>
    <w:p w14:paraId="11FFCF13">
      <w:pPr>
        <w:pStyle w:val="126"/>
        <w:keepNext w:val="0"/>
        <w:keepLines w:val="0"/>
        <w:adjustRightInd/>
        <w:spacing w:before="0" w:line="440" w:lineRule="exact"/>
        <w:textAlignment w:val="auto"/>
        <w:outlineLvl w:val="9"/>
        <w:rPr>
          <w:rFonts w:asciiTheme="minorEastAsia" w:hAnsiTheme="minorEastAsia" w:eastAsiaTheme="minorEastAsia" w:cstheme="minorEastAsia"/>
          <w:b w:val="0"/>
          <w:kern w:val="2"/>
        </w:rPr>
      </w:pPr>
      <w:r>
        <w:rPr>
          <w:rFonts w:hint="eastAsia" w:asciiTheme="minorEastAsia" w:hAnsiTheme="minorEastAsia" w:eastAsiaTheme="minorEastAsia" w:cstheme="minorEastAsia"/>
          <w:b w:val="0"/>
          <w:spacing w:val="36"/>
          <w:kern w:val="2"/>
        </w:rPr>
        <w:t>日期</w:t>
      </w:r>
      <w:r>
        <w:rPr>
          <w:rFonts w:hint="eastAsia" w:asciiTheme="minorEastAsia" w:hAnsiTheme="minorEastAsia" w:eastAsiaTheme="minorEastAsia" w:cstheme="minorEastAsia"/>
          <w:b w:val="0"/>
          <w:kern w:val="2"/>
        </w:rPr>
        <w:t>：</w:t>
      </w:r>
      <w:r>
        <w:rPr>
          <w:rFonts w:hint="eastAsia" w:asciiTheme="minorEastAsia" w:hAnsiTheme="minorEastAsia" w:eastAsiaTheme="minorEastAsia" w:cstheme="minorEastAsia"/>
          <w:b w:val="0"/>
          <w:kern w:val="2"/>
          <w:u w:val="single"/>
        </w:rPr>
        <w:t xml:space="preserve">       </w:t>
      </w:r>
      <w:r>
        <w:rPr>
          <w:rFonts w:hint="eastAsia" w:asciiTheme="minorEastAsia" w:hAnsiTheme="minorEastAsia" w:eastAsiaTheme="minorEastAsia" w:cstheme="minorEastAsia"/>
          <w:b w:val="0"/>
          <w:kern w:val="2"/>
        </w:rPr>
        <w:t>年</w:t>
      </w:r>
      <w:r>
        <w:rPr>
          <w:rFonts w:hint="eastAsia" w:asciiTheme="minorEastAsia" w:hAnsiTheme="minorEastAsia" w:eastAsiaTheme="minorEastAsia" w:cstheme="minorEastAsia"/>
          <w:b w:val="0"/>
          <w:kern w:val="2"/>
          <w:u w:val="single"/>
        </w:rPr>
        <w:t xml:space="preserve">     </w:t>
      </w:r>
      <w:r>
        <w:rPr>
          <w:rFonts w:hint="eastAsia" w:asciiTheme="minorEastAsia" w:hAnsiTheme="minorEastAsia" w:eastAsiaTheme="minorEastAsia" w:cstheme="minorEastAsia"/>
          <w:b w:val="0"/>
          <w:kern w:val="2"/>
        </w:rPr>
        <w:t>月</w:t>
      </w:r>
      <w:r>
        <w:rPr>
          <w:rFonts w:hint="eastAsia" w:asciiTheme="minorEastAsia" w:hAnsiTheme="minorEastAsia" w:eastAsiaTheme="minorEastAsia" w:cstheme="minorEastAsia"/>
          <w:b w:val="0"/>
          <w:kern w:val="2"/>
          <w:u w:val="single"/>
        </w:rPr>
        <w:t xml:space="preserve">    </w:t>
      </w:r>
      <w:r>
        <w:rPr>
          <w:rFonts w:hint="eastAsia" w:asciiTheme="minorEastAsia" w:hAnsiTheme="minorEastAsia" w:eastAsiaTheme="minorEastAsia" w:cstheme="minorEastAsia"/>
          <w:b w:val="0"/>
          <w:kern w:val="2"/>
        </w:rPr>
        <w:t>日</w:t>
      </w:r>
    </w:p>
    <w:p w14:paraId="0F2BCF96">
      <w:pPr>
        <w:spacing w:line="360" w:lineRule="exact"/>
        <w:ind w:firstLine="480" w:firstLineChars="200"/>
        <w:rPr>
          <w:rFonts w:asciiTheme="minorEastAsia" w:hAnsiTheme="minorEastAsia" w:eastAsiaTheme="minorEastAsia" w:cstheme="minorEastAsia"/>
          <w:b/>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rPr>
        <w:t>（二）资格响应文件</w:t>
      </w:r>
    </w:p>
    <w:p w14:paraId="4F4F1EA1">
      <w:pPr>
        <w:jc w:val="center"/>
        <w:rPr>
          <w:rFonts w:asciiTheme="minorEastAsia" w:hAnsiTheme="minorEastAsia" w:eastAsiaTheme="minorEastAsia" w:cstheme="minorEastAsia"/>
          <w:b/>
        </w:rPr>
      </w:pPr>
    </w:p>
    <w:p w14:paraId="3C55EB6C">
      <w:pPr>
        <w:jc w:val="center"/>
        <w:rPr>
          <w:rFonts w:asciiTheme="minorEastAsia" w:hAnsiTheme="minorEastAsia" w:eastAsiaTheme="minorEastAsia" w:cstheme="minorEastAsia"/>
          <w:b/>
        </w:rPr>
      </w:pPr>
    </w:p>
    <w:p w14:paraId="4E3CD32D">
      <w:pPr>
        <w:jc w:val="center"/>
        <w:rPr>
          <w:rFonts w:asciiTheme="minorEastAsia" w:hAnsiTheme="minorEastAsia" w:eastAsiaTheme="minorEastAsia" w:cstheme="minorEastAsia"/>
          <w:b/>
        </w:rPr>
      </w:pPr>
    </w:p>
    <w:p w14:paraId="15FAF9BB">
      <w:pPr>
        <w:jc w:val="center"/>
        <w:rPr>
          <w:rFonts w:asciiTheme="minorEastAsia" w:hAnsiTheme="minorEastAsia" w:eastAsiaTheme="minorEastAsia" w:cstheme="minorEastAsia"/>
          <w:b/>
        </w:rPr>
      </w:pPr>
    </w:p>
    <w:p w14:paraId="069E80C6">
      <w:pPr>
        <w:jc w:val="center"/>
        <w:rPr>
          <w:rFonts w:asciiTheme="minorEastAsia" w:hAnsiTheme="minorEastAsia" w:eastAsiaTheme="minorEastAsia" w:cstheme="minorEastAsia"/>
          <w:b/>
        </w:rPr>
      </w:pPr>
    </w:p>
    <w:p w14:paraId="259745A5">
      <w:pPr>
        <w:jc w:val="center"/>
        <w:rPr>
          <w:rFonts w:asciiTheme="minorEastAsia" w:hAnsiTheme="minorEastAsia" w:eastAsiaTheme="minorEastAsia" w:cstheme="minorEastAsia"/>
          <w:b/>
        </w:rPr>
      </w:pPr>
    </w:p>
    <w:p w14:paraId="6AF6560E">
      <w:pPr>
        <w:jc w:val="center"/>
        <w:rPr>
          <w:rFonts w:asciiTheme="minorEastAsia" w:hAnsiTheme="minorEastAsia" w:eastAsiaTheme="minorEastAsia" w:cstheme="minorEastAsia"/>
          <w:b/>
        </w:rPr>
      </w:pPr>
    </w:p>
    <w:p w14:paraId="709878F5">
      <w:pPr>
        <w:jc w:val="center"/>
        <w:rPr>
          <w:rFonts w:asciiTheme="minorEastAsia" w:hAnsiTheme="minorEastAsia" w:eastAsiaTheme="minorEastAsia" w:cstheme="minorEastAsia"/>
          <w:b/>
        </w:rPr>
      </w:pPr>
    </w:p>
    <w:p w14:paraId="4DEA0A2C">
      <w:pPr>
        <w:jc w:val="center"/>
        <w:rPr>
          <w:rFonts w:asciiTheme="minorEastAsia" w:hAnsiTheme="minorEastAsia" w:eastAsiaTheme="minorEastAsia" w:cstheme="minorEastAsia"/>
          <w:b/>
        </w:rPr>
      </w:pPr>
    </w:p>
    <w:p w14:paraId="5E0218F9">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资格响应文件</w:t>
      </w:r>
    </w:p>
    <w:p w14:paraId="208BC699">
      <w:pPr>
        <w:spacing w:line="360" w:lineRule="auto"/>
        <w:ind w:firstLine="480"/>
        <w:rPr>
          <w:rFonts w:asciiTheme="minorEastAsia" w:hAnsiTheme="minorEastAsia" w:eastAsiaTheme="minorEastAsia" w:cstheme="minorEastAsia"/>
        </w:rPr>
      </w:pPr>
    </w:p>
    <w:p w14:paraId="2E2932A8">
      <w:pPr>
        <w:spacing w:line="360" w:lineRule="auto"/>
        <w:ind w:firstLine="480"/>
        <w:rPr>
          <w:rFonts w:asciiTheme="minorEastAsia" w:hAnsiTheme="minorEastAsia" w:eastAsiaTheme="minorEastAsia" w:cstheme="minorEastAsia"/>
        </w:rPr>
      </w:pPr>
    </w:p>
    <w:p w14:paraId="342C2EF8">
      <w:pPr>
        <w:spacing w:line="360" w:lineRule="auto"/>
        <w:ind w:firstLine="480"/>
        <w:rPr>
          <w:rFonts w:asciiTheme="minorEastAsia" w:hAnsiTheme="minorEastAsia" w:eastAsiaTheme="minorEastAsia" w:cstheme="minorEastAsia"/>
        </w:rPr>
      </w:pPr>
    </w:p>
    <w:p w14:paraId="5DA92909">
      <w:pPr>
        <w:spacing w:line="360" w:lineRule="auto"/>
        <w:ind w:firstLine="480"/>
        <w:rPr>
          <w:rFonts w:asciiTheme="minorEastAsia" w:hAnsiTheme="minorEastAsia" w:eastAsiaTheme="minorEastAsia" w:cstheme="minorEastAsia"/>
        </w:rPr>
      </w:pPr>
    </w:p>
    <w:p w14:paraId="31ACB3C1">
      <w:pPr>
        <w:spacing w:line="360" w:lineRule="auto"/>
        <w:ind w:firstLine="480"/>
        <w:rPr>
          <w:rFonts w:asciiTheme="minorEastAsia" w:hAnsiTheme="minorEastAsia" w:eastAsiaTheme="minorEastAsia" w:cstheme="minorEastAsia"/>
        </w:rPr>
      </w:pPr>
    </w:p>
    <w:p w14:paraId="750237E6">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p>
    <w:p w14:paraId="79EE670E">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投标单位名称：</w:t>
      </w:r>
    </w:p>
    <w:p w14:paraId="5EDDC065">
      <w:pPr>
        <w:spacing w:line="44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投标内容/标项：</w:t>
      </w:r>
    </w:p>
    <w:p w14:paraId="44965113">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投标单位联系人：</w:t>
      </w:r>
    </w:p>
    <w:p w14:paraId="4EFA62E9">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投标单位联系电话：</w:t>
      </w:r>
    </w:p>
    <w:p w14:paraId="298F608A">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二〇  年  月</w:t>
      </w:r>
    </w:p>
    <w:p w14:paraId="6903205C">
      <w:pPr>
        <w:rPr>
          <w:rFonts w:asciiTheme="minorEastAsia" w:hAnsiTheme="minorEastAsia" w:eastAsiaTheme="minorEastAsia" w:cstheme="minorEastAsia"/>
          <w:b/>
        </w:rPr>
      </w:pPr>
      <w:r>
        <w:rPr>
          <w:rFonts w:hint="eastAsia" w:asciiTheme="minorEastAsia" w:hAnsiTheme="minorEastAsia" w:eastAsiaTheme="minorEastAsia" w:cstheme="minorEastAsia"/>
        </w:rPr>
        <w:br w:type="page"/>
      </w:r>
    </w:p>
    <w:p w14:paraId="42CC26A4">
      <w:pPr>
        <w:spacing w:line="360" w:lineRule="exact"/>
        <w:ind w:firstLine="482" w:firstLineChars="200"/>
        <w:rPr>
          <w:rFonts w:asciiTheme="minorEastAsia" w:hAnsiTheme="minorEastAsia" w:eastAsiaTheme="minorEastAsia" w:cstheme="minorEastAsia"/>
          <w:b/>
        </w:rPr>
      </w:pPr>
    </w:p>
    <w:p w14:paraId="6491848F">
      <w:pPr>
        <w:spacing w:line="36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1、资格文件组成</w:t>
      </w:r>
    </w:p>
    <w:p w14:paraId="07FDE9A8">
      <w:pPr>
        <w:spacing w:line="360" w:lineRule="exact"/>
        <w:rPr>
          <w:rFonts w:asciiTheme="minorEastAsia" w:hAnsiTheme="minorEastAsia" w:eastAsiaTheme="minorEastAsia" w:cstheme="minorEastAsia"/>
        </w:rPr>
      </w:pPr>
      <w:bookmarkStart w:id="26" w:name="_Toc18205"/>
      <w:bookmarkStart w:id="27" w:name="_Toc14936"/>
      <w:bookmarkStart w:id="28" w:name="_Toc19503"/>
      <w:bookmarkStart w:id="29" w:name="_Toc15731"/>
      <w:r>
        <w:rPr>
          <w:rFonts w:hint="eastAsia" w:asciiTheme="minorEastAsia" w:hAnsiTheme="minorEastAsia" w:eastAsiaTheme="minorEastAsia" w:cstheme="minorEastAsia"/>
        </w:rPr>
        <w:t>一、 法人或者其他组织的营业执照副本复印件或自然人的身份证明复印件</w:t>
      </w:r>
    </w:p>
    <w:p w14:paraId="5CAA05C1">
      <w:pPr>
        <w:spacing w:line="360" w:lineRule="exact"/>
        <w:outlineLvl w:val="0"/>
        <w:rPr>
          <w:rFonts w:asciiTheme="minorEastAsia" w:hAnsiTheme="minorEastAsia" w:eastAsiaTheme="minorEastAsia" w:cstheme="minorEastAsia"/>
        </w:rPr>
      </w:pPr>
      <w:r>
        <w:rPr>
          <w:rFonts w:hint="eastAsia" w:asciiTheme="minorEastAsia" w:hAnsiTheme="minorEastAsia" w:eastAsiaTheme="minorEastAsia" w:cstheme="minorEastAsia"/>
        </w:rPr>
        <w:t>二、投标人代表身份证明</w:t>
      </w:r>
      <w:bookmarkEnd w:id="26"/>
      <w:bookmarkEnd w:id="27"/>
    </w:p>
    <w:p w14:paraId="449A884A">
      <w:pPr>
        <w:spacing w:line="36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1  法定代表人身份证明复印件(法定代表人参加投标)（附件2-1）</w:t>
      </w:r>
    </w:p>
    <w:p w14:paraId="4628C20E">
      <w:pPr>
        <w:spacing w:line="36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2  法定代表人授权委托书(授权代表参加投标) （附件2-2）</w:t>
      </w:r>
    </w:p>
    <w:bookmarkEnd w:id="28"/>
    <w:bookmarkEnd w:id="29"/>
    <w:p w14:paraId="1CA46D11">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三、提供上年度（2024年）财务审计报告或半年内任意一个月财务报表</w:t>
      </w:r>
    </w:p>
    <w:p w14:paraId="1B7BA2BD">
      <w:pPr>
        <w:spacing w:line="36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（财务报表应至少包括资产负债表、损益表、现金流量表或财务状况变动表，当月新成立公司不需提供）</w:t>
      </w:r>
    </w:p>
    <w:p w14:paraId="1F6A01AB">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四、提供的近半年内任意一月依法缴纳税收证明</w:t>
      </w:r>
    </w:p>
    <w:p w14:paraId="35517B27">
      <w:pPr>
        <w:spacing w:line="36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（提供的近半年内任意一月依法缴纳税收证明，当月新成立公司不需提供；无需纳税或免税的也需提供响应证明材料。）</w:t>
      </w:r>
    </w:p>
    <w:p w14:paraId="11EA6813">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五、提供社保缴纳证明</w:t>
      </w:r>
    </w:p>
    <w:p w14:paraId="7BE5CB08">
      <w:pPr>
        <w:spacing w:line="36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（近半年内任意一月社保缴纳证明，当月新成立公司不需提供）</w:t>
      </w:r>
    </w:p>
    <w:p w14:paraId="7440584B">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六、具有履行合同所必需的设备和专业技术能力的证明材料或声明(由供应商根据项目需求提供说明材料)</w:t>
      </w:r>
    </w:p>
    <w:p w14:paraId="1665F25B">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七、参加政府采购活动前三年内在经营活动中没有重大违法记录的书面声明</w:t>
      </w:r>
    </w:p>
    <w:p w14:paraId="0C52E375">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八、其他特定资质：</w:t>
      </w:r>
    </w:p>
    <w:p w14:paraId="41DCF0AE">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（1）在中华人民共和国境内注册，未在“信用中国”网站 (www.creditchina.gov.cn) 、“中国政府采购网” (www.ccgp.gov.cn) 等渠道列入失信被执行人、税收违法黑名单、政府采购严重违法失信行为记录名单；</w:t>
      </w:r>
    </w:p>
    <w:p w14:paraId="250CAFA6">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九、落实政府采购政策需满足的资格证明文件</w:t>
      </w:r>
    </w:p>
    <w:p w14:paraId="2A6D9FC3">
      <w:pPr>
        <w:spacing w:line="360" w:lineRule="exact"/>
        <w:ind w:firstLine="240" w:firstLineChars="100"/>
        <w:rPr>
          <w:rFonts w:asciiTheme="minorEastAsia" w:hAnsiTheme="minorEastAsia" w:eastAsiaTheme="minorEastAsia" w:cstheme="minorEastAsia"/>
        </w:rPr>
      </w:pPr>
      <w:bookmarkStart w:id="30" w:name="_Toc28913"/>
      <w:bookmarkStart w:id="31" w:name="_Toc7039"/>
      <w:r>
        <w:rPr>
          <w:rFonts w:hint="eastAsia" w:asciiTheme="minorEastAsia" w:hAnsiTheme="minorEastAsia" w:eastAsiaTheme="minorEastAsia" w:cstheme="minorEastAsia"/>
        </w:rPr>
        <w:t>1中小企业声明函（附件2-3）</w:t>
      </w:r>
    </w:p>
    <w:p w14:paraId="0C74D61D">
      <w:pPr>
        <w:spacing w:line="36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2监狱企业证明文件（附件2-4）</w:t>
      </w:r>
    </w:p>
    <w:p w14:paraId="3525C809">
      <w:pPr>
        <w:spacing w:line="36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3残疾人福利性单位声明函（附件2-5）</w:t>
      </w:r>
    </w:p>
    <w:p w14:paraId="1C8D02E4">
      <w:pPr>
        <w:spacing w:line="360" w:lineRule="exact"/>
        <w:outlineLvl w:val="0"/>
        <w:rPr>
          <w:rFonts w:asciiTheme="minorEastAsia" w:hAnsiTheme="minorEastAsia" w:eastAsiaTheme="minorEastAsia" w:cstheme="minorEastAsia"/>
        </w:rPr>
      </w:pPr>
      <w:r>
        <w:rPr>
          <w:rFonts w:hint="eastAsia" w:asciiTheme="minorEastAsia" w:hAnsiTheme="minorEastAsia" w:eastAsiaTheme="minorEastAsia" w:cstheme="minorEastAsia"/>
        </w:rPr>
        <w:t>十、其他资料</w:t>
      </w:r>
      <w:bookmarkEnd w:id="30"/>
      <w:bookmarkEnd w:id="31"/>
    </w:p>
    <w:p w14:paraId="5A9907D7">
      <w:pPr>
        <w:spacing w:line="36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1不参与围标串标承诺书； </w:t>
      </w:r>
    </w:p>
    <w:p w14:paraId="608A56E1">
      <w:pPr>
        <w:spacing w:line="36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2投标保证金凭证（电汇凭证或收据等）复印件</w:t>
      </w:r>
    </w:p>
    <w:p w14:paraId="47902E5E">
      <w:pPr>
        <w:spacing w:line="360" w:lineRule="exact"/>
        <w:ind w:firstLine="241" w:firstLineChars="100"/>
        <w:rPr>
          <w:rFonts w:asciiTheme="minorEastAsia" w:hAnsiTheme="minorEastAsia" w:eastAsiaTheme="minorEastAsia" w:cstheme="minorEastAsia"/>
          <w:bCs/>
        </w:rPr>
      </w:pPr>
      <w:r>
        <w:rPr>
          <w:rFonts w:hint="eastAsia" w:asciiTheme="minorEastAsia" w:hAnsiTheme="minorEastAsia" w:eastAsiaTheme="minorEastAsia" w:cstheme="minorEastAsia"/>
          <w:b/>
        </w:rPr>
        <w:t>注：1.投标人制作投标文件，应按照投标文件组成顺序制作，编好始末页码且在投标文件目录中一一列明并对应。</w:t>
      </w:r>
    </w:p>
    <w:p w14:paraId="25237FC7">
      <w:pPr>
        <w:spacing w:line="36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2.招标文件没有提供格式的，投标人可自行设置。</w:t>
      </w:r>
    </w:p>
    <w:p w14:paraId="354F1C52">
      <w:pPr>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br w:type="page"/>
      </w:r>
      <w:r>
        <w:rPr>
          <w:rFonts w:hint="eastAsia" w:asciiTheme="minorEastAsia" w:hAnsiTheme="minorEastAsia" w:eastAsiaTheme="minorEastAsia" w:cstheme="minorEastAsia"/>
          <w:b/>
        </w:rPr>
        <w:t>2、资格文件格式</w:t>
      </w:r>
    </w:p>
    <w:p w14:paraId="2903788D">
      <w:pPr>
        <w:spacing w:line="440" w:lineRule="exact"/>
        <w:jc w:val="center"/>
        <w:outlineLvl w:val="0"/>
        <w:rPr>
          <w:rFonts w:asciiTheme="minorEastAsia" w:hAnsiTheme="minorEastAsia" w:eastAsiaTheme="minorEastAsia" w:cstheme="minorEastAsia"/>
          <w:b/>
          <w:sz w:val="30"/>
          <w:szCs w:val="30"/>
        </w:rPr>
      </w:pPr>
      <w:bookmarkStart w:id="32" w:name="_Toc25801"/>
      <w:bookmarkStart w:id="33" w:name="_Toc3192"/>
      <w:r>
        <w:rPr>
          <w:rFonts w:hint="eastAsia" w:asciiTheme="minorEastAsia" w:hAnsiTheme="minorEastAsia" w:eastAsiaTheme="minorEastAsia" w:cstheme="minorEastAsia"/>
          <w:b/>
          <w:sz w:val="30"/>
          <w:szCs w:val="30"/>
        </w:rPr>
        <w:t xml:space="preserve">附件2-1  </w:t>
      </w:r>
      <w:bookmarkEnd w:id="32"/>
      <w:bookmarkEnd w:id="33"/>
      <w:r>
        <w:rPr>
          <w:rFonts w:hint="eastAsia" w:asciiTheme="minorEastAsia" w:hAnsiTheme="minorEastAsia" w:eastAsiaTheme="minorEastAsia" w:cstheme="minorEastAsia"/>
          <w:b/>
          <w:sz w:val="30"/>
          <w:szCs w:val="30"/>
        </w:rPr>
        <w:t>法定代表人身份证明书</w:t>
      </w:r>
    </w:p>
    <w:p w14:paraId="647412CE">
      <w:pPr>
        <w:spacing w:before="166" w:beforeLines="50" w:after="166" w:afterLines="50" w:line="360" w:lineRule="auto"/>
        <w:ind w:left="624" w:leftChars="260"/>
        <w:rPr>
          <w:rFonts w:asciiTheme="minorEastAsia" w:hAnsiTheme="minorEastAsia" w:eastAsiaTheme="minorEastAsia" w:cstheme="minorEastAsia"/>
          <w:u w:val="single"/>
        </w:rPr>
      </w:pPr>
      <w:r>
        <w:rPr>
          <w:rFonts w:hint="eastAsia" w:asciiTheme="minorEastAsia" w:hAnsiTheme="minorEastAsia" w:eastAsiaTheme="minorEastAsia" w:cstheme="minorEastAsia"/>
        </w:rPr>
        <w:t>单位名称：</w:t>
      </w:r>
    </w:p>
    <w:p w14:paraId="2D8AAFAB">
      <w:pPr>
        <w:spacing w:before="166" w:beforeLines="50" w:after="166" w:afterLines="50" w:line="360" w:lineRule="auto"/>
        <w:ind w:left="624" w:leftChars="260"/>
        <w:rPr>
          <w:rFonts w:asciiTheme="minorEastAsia" w:hAnsiTheme="minorEastAsia" w:eastAsiaTheme="minorEastAsia" w:cstheme="minorEastAsia"/>
        </w:rPr>
      </w:pPr>
      <w:r>
        <w:rPr>
          <w:rFonts w:hint="eastAsia" w:asciiTheme="minorEastAsia" w:hAnsiTheme="minorEastAsia" w:eastAsiaTheme="minorEastAsia" w:cstheme="minorEastAsia"/>
        </w:rPr>
        <w:t>统一社会信用代码：</w:t>
      </w:r>
    </w:p>
    <w:p w14:paraId="7202A3B4">
      <w:pPr>
        <w:spacing w:before="166" w:beforeLines="50" w:after="166" w:afterLines="50" w:line="360" w:lineRule="auto"/>
        <w:ind w:left="624" w:leftChars="260"/>
        <w:rPr>
          <w:rFonts w:asciiTheme="minorEastAsia" w:hAnsiTheme="minorEastAsia" w:eastAsiaTheme="minorEastAsia" w:cstheme="minorEastAsia"/>
          <w:u w:val="single"/>
        </w:rPr>
      </w:pPr>
      <w:r>
        <w:rPr>
          <w:rFonts w:hint="eastAsia" w:asciiTheme="minorEastAsia" w:hAnsiTheme="minorEastAsia" w:eastAsiaTheme="minorEastAsia" w:cstheme="minorEastAsia"/>
        </w:rPr>
        <w:t>企业类型：</w:t>
      </w:r>
    </w:p>
    <w:p w14:paraId="242F9D3B">
      <w:pPr>
        <w:spacing w:before="166" w:beforeLines="50" w:after="166" w:afterLines="50" w:line="360" w:lineRule="auto"/>
        <w:ind w:left="624" w:leftChars="260"/>
        <w:rPr>
          <w:rFonts w:asciiTheme="minorEastAsia" w:hAnsiTheme="minorEastAsia" w:eastAsiaTheme="minorEastAsia" w:cstheme="minorEastAsia"/>
        </w:rPr>
      </w:pPr>
      <w:r>
        <w:rPr>
          <w:rFonts w:hint="eastAsia" w:asciiTheme="minorEastAsia" w:hAnsiTheme="minorEastAsia" w:eastAsiaTheme="minorEastAsia" w:cstheme="minorEastAsia"/>
        </w:rPr>
        <w:t>地址：</w:t>
      </w:r>
    </w:p>
    <w:p w14:paraId="1DF5082D">
      <w:pPr>
        <w:spacing w:before="166" w:beforeLines="50" w:after="166" w:afterLines="50" w:line="360" w:lineRule="auto"/>
        <w:ind w:left="624" w:leftChars="260"/>
        <w:rPr>
          <w:rFonts w:asciiTheme="minorEastAsia" w:hAnsiTheme="minorEastAsia" w:eastAsiaTheme="minorEastAsia" w:cstheme="minorEastAsia"/>
          <w:u w:val="single"/>
        </w:rPr>
      </w:pPr>
      <w:r>
        <w:rPr>
          <w:rFonts w:hint="eastAsia" w:asciiTheme="minorEastAsia" w:hAnsiTheme="minorEastAsia" w:eastAsiaTheme="minorEastAsia" w:cstheme="minorEastAsia"/>
        </w:rPr>
        <w:t>成立时间：</w:t>
      </w:r>
    </w:p>
    <w:p w14:paraId="5FD892DD">
      <w:pPr>
        <w:spacing w:before="166" w:beforeLines="50" w:after="166" w:afterLines="50" w:line="360" w:lineRule="auto"/>
        <w:ind w:left="624" w:leftChars="260"/>
        <w:rPr>
          <w:rFonts w:asciiTheme="minorEastAsia" w:hAnsiTheme="minorEastAsia" w:eastAsiaTheme="minorEastAsia" w:cstheme="minorEastAsia"/>
        </w:rPr>
      </w:pPr>
      <w:r>
        <w:rPr>
          <w:rFonts w:hint="eastAsia" w:asciiTheme="minorEastAsia" w:hAnsiTheme="minorEastAsia" w:eastAsiaTheme="minorEastAsia" w:cstheme="minorEastAsia"/>
        </w:rPr>
        <w:t>经营期限：</w:t>
      </w:r>
    </w:p>
    <w:p w14:paraId="57B8B078">
      <w:pPr>
        <w:spacing w:before="166" w:beforeLines="50" w:after="166" w:afterLines="50" w:line="360" w:lineRule="auto"/>
        <w:ind w:left="624" w:leftChars="260"/>
        <w:rPr>
          <w:rFonts w:asciiTheme="minorEastAsia" w:hAnsiTheme="minorEastAsia" w:eastAsiaTheme="minorEastAsia" w:cstheme="minorEastAsia"/>
        </w:rPr>
      </w:pPr>
    </w:p>
    <w:p w14:paraId="7C00CECC">
      <w:pPr>
        <w:spacing w:before="166" w:beforeLines="50" w:after="166" w:afterLines="50" w:line="360" w:lineRule="auto"/>
        <w:ind w:left="624" w:leftChars="260"/>
        <w:rPr>
          <w:rFonts w:asciiTheme="minorEastAsia" w:hAnsiTheme="minorEastAsia" w:eastAsiaTheme="minorEastAsia" w:cstheme="minorEastAsia"/>
        </w:rPr>
      </w:pPr>
      <w:r>
        <w:rPr>
          <w:rFonts w:hint="eastAsia" w:asciiTheme="minorEastAsia" w:hAnsiTheme="minorEastAsia" w:eastAsiaTheme="minorEastAsia" w:cstheme="minorEastAsia"/>
        </w:rPr>
        <w:t>姓名：  性别：   年龄：  职务：</w:t>
      </w:r>
    </w:p>
    <w:p w14:paraId="03C2E9F8">
      <w:pPr>
        <w:spacing w:before="166" w:beforeLines="50" w:after="166" w:afterLines="5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系</w:t>
      </w:r>
      <w:r>
        <w:rPr>
          <w:rFonts w:hint="eastAsia" w:asciiTheme="minorEastAsia" w:hAnsiTheme="minorEastAsia" w:eastAsiaTheme="minorEastAsia" w:cstheme="minorEastAsia"/>
          <w:u w:val="single"/>
        </w:rPr>
        <w:t>（投标人）</w:t>
      </w:r>
      <w:r>
        <w:rPr>
          <w:rFonts w:hint="eastAsia" w:asciiTheme="minorEastAsia" w:hAnsiTheme="minorEastAsia" w:eastAsiaTheme="minorEastAsia" w:cstheme="minorEastAsia"/>
        </w:rPr>
        <w:t>的法定代表人。</w:t>
      </w:r>
      <w:r>
        <w:rPr>
          <w:rFonts w:hint="eastAsia" w:asciiTheme="minorEastAsia" w:hAnsiTheme="minorEastAsia" w:eastAsiaTheme="minorEastAsia" w:cstheme="minorEastAsia"/>
        </w:rPr>
        <w:cr/>
      </w:r>
    </w:p>
    <w:p w14:paraId="4B212650">
      <w:pPr>
        <w:spacing w:before="166" w:beforeLines="50" w:after="166" w:afterLines="5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65B7014E">
      <w:pPr>
        <w:spacing w:before="166" w:beforeLines="50" w:after="166" w:afterLines="5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（附法定代表人身份证复印件）</w:t>
      </w:r>
    </w:p>
    <w:p w14:paraId="3B82AF31">
      <w:pPr>
        <w:spacing w:before="166" w:beforeLines="50" w:after="166" w:afterLines="50" w:line="360" w:lineRule="auto"/>
        <w:ind w:firstLine="480" w:firstLineChars="200"/>
        <w:rPr>
          <w:rFonts w:asciiTheme="minorEastAsia" w:hAnsiTheme="minorEastAsia" w:eastAsiaTheme="minorEastAsia" w:cstheme="minorEastAsia"/>
        </w:rPr>
      </w:pPr>
    </w:p>
    <w:p w14:paraId="3827CCAF">
      <w:pPr>
        <w:spacing w:before="166" w:beforeLines="50" w:after="166" w:afterLines="5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投标人（盖章）：[投标人盖章]</w:t>
      </w:r>
    </w:p>
    <w:p w14:paraId="51455F7F">
      <w:pPr>
        <w:spacing w:before="166" w:beforeLines="50" w:after="166" w:afterLines="50" w:line="360" w:lineRule="auto"/>
        <w:ind w:firstLine="496" w:firstLineChars="200"/>
        <w:rPr>
          <w:rFonts w:asciiTheme="minorEastAsia" w:hAnsiTheme="minorEastAsia" w:eastAsiaTheme="minorEastAsia" w:cstheme="minorEastAsia"/>
        </w:rPr>
      </w:pPr>
      <w:r>
        <w:rPr>
          <w:rFonts w:hint="eastAsia" w:asciiTheme="minorEastAsia" w:hAnsiTheme="minorEastAsia" w:eastAsiaTheme="minorEastAsia" w:cstheme="minorEastAsia"/>
          <w:spacing w:val="4"/>
        </w:rPr>
        <w:t xml:space="preserve">日期： </w:t>
      </w:r>
      <w:r>
        <w:rPr>
          <w:rFonts w:hint="eastAsia" w:asciiTheme="minorEastAsia" w:hAnsiTheme="minorEastAsia" w:eastAsiaTheme="minorEastAsia" w:cstheme="minorEastAsia"/>
        </w:rPr>
        <w:t>年 月 日</w:t>
      </w:r>
    </w:p>
    <w:p w14:paraId="53221127">
      <w:pPr>
        <w:spacing w:line="440" w:lineRule="exact"/>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0"/>
          <w:szCs w:val="30"/>
        </w:rPr>
        <w:br w:type="page"/>
      </w:r>
      <w:bookmarkStart w:id="34" w:name="_Toc12725"/>
      <w:bookmarkStart w:id="35" w:name="_Toc26741"/>
      <w:r>
        <w:rPr>
          <w:rFonts w:hint="eastAsia" w:asciiTheme="minorEastAsia" w:hAnsiTheme="minorEastAsia" w:eastAsiaTheme="minorEastAsia" w:cstheme="minorEastAsia"/>
          <w:b/>
          <w:sz w:val="30"/>
          <w:szCs w:val="30"/>
        </w:rPr>
        <w:t xml:space="preserve">附件2-2  </w:t>
      </w:r>
      <w:bookmarkEnd w:id="34"/>
      <w:bookmarkEnd w:id="35"/>
      <w:r>
        <w:rPr>
          <w:rFonts w:hint="eastAsia" w:asciiTheme="minorEastAsia" w:hAnsiTheme="minorEastAsia" w:eastAsiaTheme="minorEastAsia" w:cstheme="minorEastAsia"/>
          <w:b/>
          <w:sz w:val="30"/>
          <w:szCs w:val="30"/>
        </w:rPr>
        <w:t>法定代表人授权委托书</w:t>
      </w:r>
    </w:p>
    <w:p w14:paraId="32FEE305">
      <w:pPr>
        <w:spacing w:line="440" w:lineRule="exact"/>
        <w:jc w:val="center"/>
        <w:rPr>
          <w:rFonts w:asciiTheme="minorEastAsia" w:hAnsiTheme="minorEastAsia" w:eastAsiaTheme="minorEastAsia" w:cstheme="minorEastAsia"/>
          <w:b/>
          <w:sz w:val="32"/>
          <w:szCs w:val="32"/>
        </w:rPr>
      </w:pPr>
    </w:p>
    <w:p w14:paraId="41C76E71">
      <w:pPr>
        <w:autoSpaceDE w:val="0"/>
        <w:autoSpaceDN w:val="0"/>
        <w:adjustRightInd w:val="0"/>
        <w:spacing w:line="440" w:lineRule="exact"/>
        <w:ind w:firstLine="422"/>
        <w:rPr>
          <w:rFonts w:asciiTheme="minorEastAsia" w:hAnsiTheme="minorEastAsia" w:eastAsiaTheme="minorEastAsia" w:cstheme="minorEastAsia"/>
        </w:rPr>
      </w:pPr>
      <w:r>
        <w:rPr>
          <w:rFonts w:hint="eastAsia" w:asciiTheme="minorEastAsia" w:hAnsiTheme="minorEastAsia" w:eastAsiaTheme="minorEastAsia" w:cstheme="minorEastAsia"/>
        </w:rPr>
        <w:t>本授权委托书声明：我  （姓名）系（投标人名称）的法定代表人，现授权委托（投标人名称）的（姓名）为我的代理人，以本公司的名义参加（招标人）的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招标工程的投标活动。代理人在参加整个工程招标投标活动、合同谈判过程中所签署的一切文件和处理与之有关的一切事物，我均予以承认。</w:t>
      </w:r>
    </w:p>
    <w:p w14:paraId="20F59943">
      <w:pPr>
        <w:autoSpaceDE w:val="0"/>
        <w:autoSpaceDN w:val="0"/>
        <w:adjustRightInd w:val="0"/>
        <w:spacing w:line="440" w:lineRule="exact"/>
        <w:ind w:firstLine="422"/>
        <w:rPr>
          <w:rFonts w:asciiTheme="minorEastAsia" w:hAnsiTheme="minorEastAsia" w:eastAsiaTheme="minorEastAsia" w:cstheme="minorEastAsia"/>
        </w:rPr>
      </w:pPr>
    </w:p>
    <w:p w14:paraId="5E3EE745">
      <w:pPr>
        <w:autoSpaceDE w:val="0"/>
        <w:autoSpaceDN w:val="0"/>
        <w:adjustRightInd w:val="0"/>
        <w:spacing w:line="440" w:lineRule="exact"/>
        <w:ind w:firstLine="422"/>
        <w:rPr>
          <w:rFonts w:asciiTheme="minorEastAsia" w:hAnsiTheme="minorEastAsia" w:eastAsiaTheme="minorEastAsia" w:cstheme="minorEastAsia"/>
        </w:rPr>
      </w:pPr>
      <w:r>
        <w:rPr>
          <w:rFonts w:hint="eastAsia" w:asciiTheme="minorEastAsia" w:hAnsiTheme="minorEastAsia" w:eastAsiaTheme="minorEastAsia" w:cstheme="minorEastAsia"/>
        </w:rPr>
        <w:t>代理人：   性别：   年龄：</w:t>
      </w:r>
    </w:p>
    <w:p w14:paraId="3F94B74C">
      <w:pPr>
        <w:autoSpaceDE w:val="0"/>
        <w:autoSpaceDN w:val="0"/>
        <w:adjustRightInd w:val="0"/>
        <w:spacing w:line="440" w:lineRule="exact"/>
        <w:ind w:firstLine="422"/>
        <w:rPr>
          <w:rFonts w:asciiTheme="minorEastAsia" w:hAnsiTheme="minorEastAsia" w:eastAsiaTheme="minorEastAsia" w:cstheme="minorEastAsia"/>
        </w:rPr>
      </w:pPr>
      <w:r>
        <w:rPr>
          <w:rFonts w:hint="eastAsia" w:asciiTheme="minorEastAsia" w:hAnsiTheme="minorEastAsia" w:eastAsiaTheme="minorEastAsia" w:cstheme="minorEastAsia"/>
        </w:rPr>
        <w:t>单位：     部门：   职务：</w:t>
      </w:r>
    </w:p>
    <w:p w14:paraId="69335975">
      <w:pPr>
        <w:pStyle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代理人无转委权。特此委托。</w:t>
      </w:r>
    </w:p>
    <w:p w14:paraId="4CE222B3">
      <w:pPr>
        <w:rPr>
          <w:rFonts w:asciiTheme="minorEastAsia" w:hAnsiTheme="minorEastAsia" w:eastAsiaTheme="minorEastAsia" w:cstheme="minorEastAsia"/>
        </w:rPr>
      </w:pPr>
      <w:r>
        <w:rPr>
          <w:rFonts w:hint="eastAsia" w:asciiTheme="minorEastAsia" w:hAnsiTheme="minorEastAsia" w:eastAsiaTheme="minorEastAsia" w:cstheme="minorEastAsia"/>
        </w:rPr>
        <w:t>投标人：（盖章）</w:t>
      </w:r>
    </w:p>
    <w:p w14:paraId="1B98F351">
      <w:pPr>
        <w:rPr>
          <w:rFonts w:asciiTheme="minorEastAsia" w:hAnsiTheme="minorEastAsia" w:eastAsiaTheme="minorEastAsia" w:cstheme="minorEastAsia"/>
        </w:rPr>
      </w:pPr>
      <w:r>
        <w:rPr>
          <w:rFonts w:hint="eastAsia" w:asciiTheme="minorEastAsia" w:hAnsiTheme="minorEastAsia" w:eastAsiaTheme="minorEastAsia" w:cstheme="minorEastAsia"/>
        </w:rPr>
        <w:t>法定代表人：（盖章）</w:t>
      </w:r>
    </w:p>
    <w:p w14:paraId="55C4BA0A">
      <w:pPr>
        <w:rPr>
          <w:rFonts w:asciiTheme="minorEastAsia" w:hAnsiTheme="minorEastAsia" w:eastAsiaTheme="minorEastAsia" w:cstheme="minorEastAsia"/>
        </w:rPr>
      </w:pPr>
      <w:r>
        <w:rPr>
          <w:rFonts w:hint="eastAsia" w:asciiTheme="minorEastAsia" w:hAnsiTheme="minorEastAsia" w:eastAsiaTheme="minorEastAsia" w:cstheme="minorEastAsia"/>
        </w:rPr>
        <w:t>日期：      年 月 日</w:t>
      </w:r>
    </w:p>
    <w:p w14:paraId="2894B59D">
      <w:pPr>
        <w:spacing w:line="440" w:lineRule="exact"/>
        <w:rPr>
          <w:rFonts w:asciiTheme="minorEastAsia" w:hAnsiTheme="minorEastAsia" w:eastAsiaTheme="minorEastAsia" w:cstheme="minorEastAsia"/>
          <w:b/>
          <w:em w:val="dot"/>
        </w:rPr>
      </w:pPr>
    </w:p>
    <w:p w14:paraId="4898D77F">
      <w:pPr>
        <w:spacing w:line="440" w:lineRule="exact"/>
        <w:rPr>
          <w:rFonts w:asciiTheme="minorEastAsia" w:hAnsiTheme="minorEastAsia" w:eastAsiaTheme="minorEastAsia" w:cstheme="minorEastAsia"/>
          <w:b/>
          <w:em w:val="dot"/>
        </w:rPr>
      </w:pPr>
      <w:permStart w:id="2" w:edGrp="everyone"/>
      <w:permEnd w:id="2"/>
      <w:r>
        <w:rPr>
          <w:rFonts w:hint="eastAsia" w:asciiTheme="minorEastAsia" w:hAnsiTheme="minorEastAsia" w:eastAsiaTheme="minorEastAsia" w:cstheme="minorEastAsia"/>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57843D67">
                            <w:pPr>
                              <w:jc w:val="center"/>
                            </w:pPr>
                          </w:p>
                          <w:p w14:paraId="16CBD070">
                            <w:pPr>
                              <w:jc w:val="center"/>
                              <w:rPr>
                                <w:b/>
                              </w:rPr>
                            </w:pPr>
                          </w:p>
                          <w:p w14:paraId="011D2CB5">
                            <w:pPr>
                              <w:jc w:val="center"/>
                              <w:rPr>
                                <w:b/>
                              </w:rPr>
                            </w:pPr>
                          </w:p>
                          <w:p w14:paraId="6DE4BB69">
                            <w:pPr>
                              <w:jc w:val="center"/>
                              <w:rPr>
                                <w:b/>
                              </w:rPr>
                            </w:pPr>
                            <w:r>
                              <w:rPr>
                                <w:rFonts w:hint="eastAsia"/>
                                <w:b/>
                              </w:rPr>
                              <w:t>此处附</w:t>
                            </w:r>
                            <w:r>
                              <w:rPr>
                                <w:rFonts w:hint="eastAsia"/>
                                <w:b/>
                                <w:em w:val="dot"/>
                              </w:rPr>
                              <w:t>法定代表人</w:t>
                            </w:r>
                            <w:r>
                              <w:rPr>
                                <w:rFonts w:hint="eastAsia"/>
                                <w:b/>
                              </w:rPr>
                              <w:t>身份证复印件正反面</w:t>
                            </w:r>
                          </w:p>
                          <w:p w14:paraId="1263659E">
                            <w:pPr>
                              <w:pStyle w:val="6"/>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57843D67">
                      <w:pPr>
                        <w:jc w:val="center"/>
                      </w:pPr>
                    </w:p>
                    <w:p w14:paraId="16CBD070">
                      <w:pPr>
                        <w:jc w:val="center"/>
                        <w:rPr>
                          <w:b/>
                        </w:rPr>
                      </w:pPr>
                    </w:p>
                    <w:p w14:paraId="011D2CB5">
                      <w:pPr>
                        <w:jc w:val="center"/>
                        <w:rPr>
                          <w:b/>
                        </w:rPr>
                      </w:pPr>
                    </w:p>
                    <w:p w14:paraId="6DE4BB69">
                      <w:pPr>
                        <w:jc w:val="center"/>
                        <w:rPr>
                          <w:b/>
                        </w:rPr>
                      </w:pPr>
                      <w:r>
                        <w:rPr>
                          <w:rFonts w:hint="eastAsia"/>
                          <w:b/>
                        </w:rPr>
                        <w:t>此处附</w:t>
                      </w:r>
                      <w:r>
                        <w:rPr>
                          <w:rFonts w:hint="eastAsia"/>
                          <w:b/>
                          <w:em w:val="dot"/>
                        </w:rPr>
                        <w:t>法定代表人</w:t>
                      </w:r>
                      <w:r>
                        <w:rPr>
                          <w:rFonts w:hint="eastAsia"/>
                          <w:b/>
                        </w:rPr>
                        <w:t>身份证复印件正反面</w:t>
                      </w:r>
                    </w:p>
                    <w:p w14:paraId="1263659E">
                      <w:pPr>
                        <w:pStyle w:val="6"/>
                      </w:pPr>
                    </w:p>
                  </w:txbxContent>
                </v:textbox>
              </v:shape>
            </w:pict>
          </mc:Fallback>
        </mc:AlternateContent>
      </w:r>
    </w:p>
    <w:p w14:paraId="0BACF262">
      <w:pPr>
        <w:spacing w:line="440" w:lineRule="exact"/>
        <w:rPr>
          <w:rFonts w:asciiTheme="minorEastAsia" w:hAnsiTheme="minorEastAsia" w:eastAsiaTheme="minorEastAsia" w:cstheme="minorEastAsia"/>
          <w:b/>
          <w:em w:val="dot"/>
        </w:rPr>
      </w:pPr>
    </w:p>
    <w:p w14:paraId="044D2453">
      <w:pPr>
        <w:spacing w:line="440" w:lineRule="exact"/>
        <w:rPr>
          <w:rFonts w:asciiTheme="minorEastAsia" w:hAnsiTheme="minorEastAsia" w:eastAsiaTheme="minorEastAsia" w:cstheme="minorEastAsia"/>
          <w:b/>
        </w:rPr>
      </w:pPr>
    </w:p>
    <w:p w14:paraId="1AC46A71">
      <w:pPr>
        <w:spacing w:line="440" w:lineRule="exact"/>
        <w:rPr>
          <w:rFonts w:asciiTheme="minorEastAsia" w:hAnsiTheme="minorEastAsia" w:eastAsiaTheme="minorEastAsia" w:cstheme="minorEastAsia"/>
          <w:b/>
        </w:rPr>
      </w:pPr>
    </w:p>
    <w:p w14:paraId="10295297">
      <w:pPr>
        <w:spacing w:line="440" w:lineRule="exact"/>
        <w:rPr>
          <w:rFonts w:asciiTheme="minorEastAsia" w:hAnsiTheme="minorEastAsia" w:eastAsiaTheme="minorEastAsia" w:cstheme="minorEastAsia"/>
          <w:b/>
          <w:sz w:val="30"/>
          <w:szCs w:val="30"/>
        </w:rPr>
      </w:pPr>
    </w:p>
    <w:p w14:paraId="7CA0C6E1">
      <w:pPr>
        <w:spacing w:line="440" w:lineRule="exact"/>
        <w:jc w:val="center"/>
        <w:rPr>
          <w:rFonts w:asciiTheme="minorEastAsia" w:hAnsiTheme="minorEastAsia" w:eastAsiaTheme="minorEastAsia" w:cstheme="minorEastAsia"/>
          <w:b/>
          <w:sz w:val="30"/>
          <w:szCs w:val="30"/>
        </w:rPr>
      </w:pPr>
    </w:p>
    <w:p w14:paraId="338A3293">
      <w:pPr>
        <w:spacing w:line="440" w:lineRule="exact"/>
        <w:jc w:val="center"/>
        <w:rPr>
          <w:rFonts w:asciiTheme="minorEastAsia" w:hAnsiTheme="minorEastAsia" w:eastAsiaTheme="minorEastAsia" w:cstheme="minorEastAsia"/>
          <w:b/>
          <w:sz w:val="30"/>
          <w:szCs w:val="30"/>
        </w:rPr>
      </w:pPr>
    </w:p>
    <w:p w14:paraId="6D2A842E">
      <w:pPr>
        <w:spacing w:line="440" w:lineRule="exact"/>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6F0AFE4C">
                            <w:pPr>
                              <w:jc w:val="center"/>
                            </w:pPr>
                            <w:permStart w:id="3" w:edGrp="everyone"/>
                            <w:permEnd w:id="3"/>
                          </w:p>
                          <w:p w14:paraId="5B381B12">
                            <w:pPr>
                              <w:rPr>
                                <w:b/>
                              </w:rPr>
                            </w:pPr>
                          </w:p>
                          <w:p w14:paraId="7EE40CA1">
                            <w:pPr>
                              <w:pStyle w:val="6"/>
                              <w:jc w:val="center"/>
                            </w:pPr>
                            <w:r>
                              <w:rPr>
                                <w:rFonts w:hint="eastAsia" w:ascii="宋体" w:hAnsi="宋体"/>
                                <w:sz w:val="24"/>
                              </w:rPr>
                              <w:t>此处附被授权人身份证复印件正反面</w:t>
                            </w:r>
                          </w:p>
                          <w:p w14:paraId="2B481EC6"/>
                        </w:txbxContent>
                      </wps:txbx>
                      <wps:bodyPr wrap="square" upright="1"/>
                    </wps:wsp>
                  </a:graphicData>
                </a:graphic>
              </wp:anchor>
            </w:drawing>
          </mc:Choice>
          <mc:Fallback>
            <w:pict>
              <v:shape id="Text Box 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6F0AFE4C">
                      <w:pPr>
                        <w:jc w:val="center"/>
                      </w:pPr>
                      <w:permStart w:id="3" w:edGrp="everyone"/>
                      <w:permEnd w:id="3"/>
                    </w:p>
                    <w:p w14:paraId="5B381B12">
                      <w:pPr>
                        <w:rPr>
                          <w:b/>
                        </w:rPr>
                      </w:pPr>
                    </w:p>
                    <w:p w14:paraId="7EE40CA1">
                      <w:pPr>
                        <w:pStyle w:val="6"/>
                        <w:jc w:val="center"/>
                      </w:pPr>
                      <w:r>
                        <w:rPr>
                          <w:rFonts w:hint="eastAsia" w:ascii="宋体" w:hAnsi="宋体"/>
                          <w:sz w:val="24"/>
                        </w:rPr>
                        <w:t>此处附被授权人身份证复印件正反面</w:t>
                      </w:r>
                    </w:p>
                    <w:p w14:paraId="2B481EC6"/>
                  </w:txbxContent>
                </v:textbox>
              </v:shape>
            </w:pict>
          </mc:Fallback>
        </mc:AlternateContent>
      </w:r>
      <w:r>
        <w:rPr>
          <w:rFonts w:hint="eastAsia" w:asciiTheme="minorEastAsia" w:hAnsiTheme="minorEastAsia" w:eastAsiaTheme="minorEastAsia" w:cstheme="minorEastAsia"/>
          <w:b/>
          <w:sz w:val="30"/>
          <w:szCs w:val="30"/>
        </w:rPr>
        <w:br w:type="page"/>
      </w:r>
    </w:p>
    <w:p w14:paraId="4CFB0E7C">
      <w:pPr>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30"/>
          <w:szCs w:val="30"/>
        </w:rPr>
        <w:t xml:space="preserve">附件2-3   </w:t>
      </w:r>
      <w:r>
        <w:rPr>
          <w:rFonts w:hint="eastAsia" w:asciiTheme="minorEastAsia" w:hAnsiTheme="minorEastAsia" w:eastAsiaTheme="minorEastAsia" w:cstheme="minorEastAsia"/>
          <w:b/>
          <w:sz w:val="32"/>
          <w:szCs w:val="32"/>
        </w:rPr>
        <w:t>中小微企业声明函</w:t>
      </w:r>
    </w:p>
    <w:p w14:paraId="27677514">
      <w:pPr>
        <w:spacing w:line="360" w:lineRule="auto"/>
        <w:ind w:right="38"/>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中小企业声明函(（工程、服务)）</w:t>
      </w:r>
    </w:p>
    <w:p w14:paraId="4D74A4F5">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1E5ED12">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1.（标的名称），属于（采购文件中明确的所属行业）；承建（承接）企业为（企业名称），从业人员  人，营业收入为  万元，资产总额为  万元，属于（中型企业、小型企业、微型企业）；</w:t>
      </w:r>
    </w:p>
    <w:p w14:paraId="7D1EC606">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 （标的名称），属于（采购文件中明确的所属行业）；承建（承接）企业为（企业名称），从业人员  人，营业收入为  万元，资产总额为  万元，属于（中型企业、小型企业、微型企业）；</w:t>
      </w:r>
    </w:p>
    <w:p w14:paraId="17A7FF5E">
      <w:pPr>
        <w:spacing w:line="360" w:lineRule="auto"/>
        <w:ind w:firstLine="480" w:firstLineChars="200"/>
        <w:rPr>
          <w:rFonts w:asciiTheme="minorEastAsia" w:hAnsiTheme="minorEastAsia" w:eastAsiaTheme="minorEastAsia" w:cstheme="minorEastAsia"/>
        </w:rPr>
      </w:pPr>
    </w:p>
    <w:p w14:paraId="38A06E82">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p>
    <w:p w14:paraId="71E9190F">
      <w:pPr>
        <w:spacing w:line="360" w:lineRule="auto"/>
        <w:ind w:firstLine="480" w:firstLineChars="200"/>
        <w:rPr>
          <w:rFonts w:asciiTheme="minorEastAsia" w:hAnsiTheme="minorEastAsia" w:eastAsiaTheme="minorEastAsia" w:cstheme="minorEastAsia"/>
        </w:rPr>
      </w:pPr>
    </w:p>
    <w:p w14:paraId="1C71C94C">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14:paraId="63DBA215">
      <w:pPr>
        <w:spacing w:line="360" w:lineRule="auto"/>
        <w:ind w:firstLine="480" w:firstLineChars="200"/>
        <w:rPr>
          <w:rFonts w:asciiTheme="minorEastAsia" w:hAnsiTheme="minorEastAsia" w:eastAsiaTheme="minorEastAsia" w:cstheme="minorEastAsia"/>
        </w:rPr>
      </w:pPr>
    </w:p>
    <w:p w14:paraId="5193F711">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本企业对上述声明内容的真实性负责。如有虚假，将依法承担响应责任。</w:t>
      </w:r>
    </w:p>
    <w:p w14:paraId="2EFC8C21">
      <w:pPr>
        <w:spacing w:line="360" w:lineRule="auto"/>
        <w:ind w:firstLine="480" w:firstLineChars="200"/>
        <w:rPr>
          <w:rFonts w:asciiTheme="minorEastAsia" w:hAnsiTheme="minorEastAsia" w:eastAsiaTheme="minorEastAsia" w:cstheme="minorEastAsia"/>
        </w:rPr>
      </w:pPr>
    </w:p>
    <w:p w14:paraId="32761D77">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企业名称（盖章）：</w:t>
      </w:r>
    </w:p>
    <w:p w14:paraId="324DAB92">
      <w:pPr>
        <w:spacing w:line="360" w:lineRule="auto"/>
        <w:ind w:firstLine="480" w:firstLineChars="200"/>
        <w:rPr>
          <w:rFonts w:asciiTheme="minorEastAsia" w:hAnsiTheme="minorEastAsia" w:eastAsiaTheme="minorEastAsia" w:cstheme="minorEastAsia"/>
        </w:rPr>
      </w:pPr>
    </w:p>
    <w:p w14:paraId="56AC5337">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日期：       </w:t>
      </w:r>
    </w:p>
    <w:p w14:paraId="7BFCF324">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vertAlign w:val="superscript"/>
        </w:rPr>
        <w:t>1</w:t>
      </w:r>
      <w:r>
        <w:rPr>
          <w:rFonts w:hint="eastAsia" w:asciiTheme="minorEastAsia" w:hAnsiTheme="minorEastAsia" w:eastAsiaTheme="minorEastAsia" w:cstheme="minorEastAsia"/>
        </w:rPr>
        <w:t>从业人员、 营业收入、 资产总额填报上一年度数据， 无上一年度数据的新成立企业可不填报。</w:t>
      </w:r>
    </w:p>
    <w:p w14:paraId="28F8AF32">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（若投标文件中无上述文件，则在评审时不考虑对该小、微企业的相关优惠。） </w:t>
      </w:r>
    </w:p>
    <w:p w14:paraId="25145DFA">
      <w:pPr>
        <w:spacing w:line="360" w:lineRule="auto"/>
        <w:ind w:firstLine="480" w:firstLineChars="200"/>
        <w:rPr>
          <w:rFonts w:asciiTheme="minorEastAsia" w:hAnsiTheme="minorEastAsia" w:eastAsiaTheme="minorEastAsia" w:cstheme="minorEastAsia"/>
        </w:rPr>
      </w:pPr>
    </w:p>
    <w:p w14:paraId="5910CBE7">
      <w:pPr>
        <w:tabs>
          <w:tab w:val="left" w:pos="3777"/>
          <w:tab w:val="center" w:pos="4819"/>
        </w:tabs>
        <w:spacing w:line="360" w:lineRule="auto"/>
        <w:ind w:firstLine="2409" w:firstLineChars="75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sz w:val="30"/>
          <w:szCs w:val="30"/>
        </w:rPr>
        <w:t xml:space="preserve">附件2-4  </w:t>
      </w:r>
      <w:r>
        <w:rPr>
          <w:rFonts w:hint="eastAsia" w:asciiTheme="minorEastAsia" w:hAnsiTheme="minorEastAsia" w:eastAsiaTheme="minorEastAsia" w:cstheme="minorEastAsia"/>
          <w:b/>
          <w:sz w:val="32"/>
          <w:szCs w:val="32"/>
        </w:rPr>
        <w:t>监狱企业证明文件</w:t>
      </w:r>
    </w:p>
    <w:p w14:paraId="73ADBFF7">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（监狱企业适用）</w:t>
      </w:r>
    </w:p>
    <w:p w14:paraId="3285E9AF">
      <w:pPr>
        <w:spacing w:line="360" w:lineRule="auto"/>
        <w:ind w:firstLine="540" w:firstLineChars="225"/>
        <w:rPr>
          <w:rFonts w:asciiTheme="minorEastAsia" w:hAnsiTheme="minorEastAsia" w:eastAsiaTheme="minorEastAsia" w:cstheme="minorEastAsia"/>
        </w:rPr>
      </w:pPr>
      <w:r>
        <w:rPr>
          <w:rFonts w:hint="eastAsia" w:asciiTheme="minorEastAsia" w:hAnsiTheme="minorEastAsia" w:eastAsiaTheme="minorEastAsia" w:cstheme="minorEastAsia"/>
        </w:rPr>
        <w:t>监狱企业参加政府采购活动时，应当提供由省级以上监狱管理局、戒毒管理局（含新疆生产建设兵团）出具的属于监狱企业的证明文件。</w:t>
      </w:r>
    </w:p>
    <w:p w14:paraId="394F19F8">
      <w:pPr>
        <w:tabs>
          <w:tab w:val="left" w:pos="3600"/>
        </w:tabs>
        <w:adjustRightInd w:val="0"/>
        <w:snapToGrid w:val="0"/>
        <w:spacing w:line="440" w:lineRule="exact"/>
        <w:jc w:val="center"/>
        <w:rPr>
          <w:rFonts w:asciiTheme="minorEastAsia" w:hAnsiTheme="minorEastAsia" w:eastAsiaTheme="minorEastAsia" w:cstheme="minorEastAsia"/>
        </w:rPr>
      </w:pPr>
    </w:p>
    <w:p w14:paraId="4E1FBFE8">
      <w:pPr>
        <w:pStyle w:val="35"/>
        <w:rPr>
          <w:rFonts w:asciiTheme="minorEastAsia" w:hAnsiTheme="minorEastAsia" w:eastAsiaTheme="minorEastAsia" w:cstheme="minorEastAsia"/>
        </w:rPr>
      </w:pPr>
    </w:p>
    <w:p w14:paraId="6BFA50EB">
      <w:pPr>
        <w:pStyle w:val="35"/>
        <w:rPr>
          <w:rFonts w:asciiTheme="minorEastAsia" w:hAnsiTheme="minorEastAsia" w:eastAsiaTheme="minorEastAsia" w:cstheme="minorEastAsia"/>
        </w:rPr>
      </w:pPr>
    </w:p>
    <w:p w14:paraId="01721B12">
      <w:pPr>
        <w:tabs>
          <w:tab w:val="left" w:pos="3600"/>
        </w:tabs>
        <w:adjustRightInd w:val="0"/>
        <w:snapToGrid w:val="0"/>
        <w:spacing w:line="440" w:lineRule="exact"/>
        <w:jc w:val="center"/>
        <w:rPr>
          <w:rFonts w:asciiTheme="minorEastAsia" w:hAnsiTheme="minorEastAsia" w:eastAsiaTheme="minorEastAsia" w:cstheme="minorEastAsia"/>
          <w:b/>
          <w:bCs/>
          <w:spacing w:val="6"/>
          <w:sz w:val="32"/>
          <w:szCs w:val="32"/>
        </w:rPr>
      </w:pPr>
      <w:r>
        <w:rPr>
          <w:rFonts w:hint="eastAsia" w:asciiTheme="minorEastAsia" w:hAnsiTheme="minorEastAsia" w:eastAsiaTheme="minorEastAsia" w:cstheme="minorEastAsia"/>
          <w:b/>
          <w:sz w:val="30"/>
          <w:szCs w:val="30"/>
        </w:rPr>
        <w:t xml:space="preserve">附件2-5 </w:t>
      </w:r>
      <w:r>
        <w:rPr>
          <w:rFonts w:hint="eastAsia" w:asciiTheme="minorEastAsia" w:hAnsiTheme="minorEastAsia" w:eastAsiaTheme="minorEastAsia" w:cstheme="minorEastAsia"/>
          <w:b/>
          <w:bCs/>
          <w:spacing w:val="6"/>
          <w:sz w:val="32"/>
          <w:szCs w:val="32"/>
        </w:rPr>
        <w:t>残疾人福利性单位声明函</w:t>
      </w:r>
    </w:p>
    <w:p w14:paraId="6DF83D26">
      <w:pPr>
        <w:autoSpaceDE w:val="0"/>
        <w:autoSpaceDN w:val="0"/>
        <w:adjustRightInd w:val="0"/>
        <w:spacing w:line="440" w:lineRule="exact"/>
        <w:rPr>
          <w:rFonts w:asciiTheme="minorEastAsia" w:hAnsiTheme="minorEastAsia" w:eastAsiaTheme="minorEastAsia" w:cstheme="minorEastAsia"/>
          <w:b/>
          <w:bCs/>
          <w:spacing w:val="6"/>
        </w:rPr>
      </w:pPr>
    </w:p>
    <w:p w14:paraId="7D804EDD">
      <w:pPr>
        <w:adjustRightInd w:val="0"/>
        <w:snapToGrid w:val="0"/>
        <w:spacing w:line="440" w:lineRule="exact"/>
        <w:ind w:firstLine="504" w:firstLineChars="200"/>
        <w:rPr>
          <w:rFonts w:asciiTheme="minorEastAsia" w:hAnsiTheme="minorEastAsia" w:eastAsiaTheme="minorEastAsia" w:cstheme="minorEastAsia"/>
          <w:spacing w:val="6"/>
        </w:rPr>
      </w:pPr>
      <w:r>
        <w:rPr>
          <w:rFonts w:hint="eastAsia" w:asciiTheme="minorEastAsia" w:hAnsiTheme="minorEastAsia" w:eastAsiaTheme="minorEastAsia" w:cstheme="minorEastAsia"/>
          <w:spacing w:val="6"/>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EFEAE4">
      <w:pPr>
        <w:adjustRightInd w:val="0"/>
        <w:snapToGrid w:val="0"/>
        <w:spacing w:line="440" w:lineRule="exact"/>
        <w:ind w:firstLine="504" w:firstLineChars="200"/>
        <w:rPr>
          <w:rFonts w:asciiTheme="minorEastAsia" w:hAnsiTheme="minorEastAsia" w:eastAsiaTheme="minorEastAsia" w:cstheme="minorEastAsia"/>
          <w:spacing w:val="6"/>
        </w:rPr>
      </w:pPr>
      <w:r>
        <w:rPr>
          <w:rFonts w:hint="eastAsia" w:asciiTheme="minorEastAsia" w:hAnsiTheme="minorEastAsia" w:eastAsiaTheme="minorEastAsia" w:cstheme="minorEastAsia"/>
          <w:spacing w:val="6"/>
        </w:rPr>
        <w:t xml:space="preserve">本单位对上述声明的真实性负责。如有虚假，将依法承担响应责任。 </w:t>
      </w:r>
    </w:p>
    <w:p w14:paraId="2F06B825">
      <w:pPr>
        <w:adjustRightInd w:val="0"/>
        <w:snapToGrid w:val="0"/>
        <w:spacing w:line="440" w:lineRule="exact"/>
        <w:ind w:firstLine="504" w:firstLineChars="200"/>
        <w:rPr>
          <w:rFonts w:asciiTheme="minorEastAsia" w:hAnsiTheme="minorEastAsia" w:eastAsiaTheme="minorEastAsia" w:cstheme="minorEastAsia"/>
          <w:spacing w:val="6"/>
        </w:rPr>
      </w:pPr>
    </w:p>
    <w:p w14:paraId="11F4CBF4">
      <w:pPr>
        <w:adjustRightInd w:val="0"/>
        <w:snapToGrid w:val="0"/>
        <w:spacing w:line="440" w:lineRule="exact"/>
        <w:ind w:firstLine="5544" w:firstLineChars="2200"/>
        <w:rPr>
          <w:rFonts w:asciiTheme="minorEastAsia" w:hAnsiTheme="minorEastAsia" w:eastAsiaTheme="minorEastAsia" w:cstheme="minorEastAsia"/>
          <w:spacing w:val="6"/>
        </w:rPr>
      </w:pPr>
      <w:r>
        <w:rPr>
          <w:rFonts w:hint="eastAsia" w:asciiTheme="minorEastAsia" w:hAnsiTheme="minorEastAsia" w:eastAsiaTheme="minorEastAsia" w:cstheme="minorEastAsia"/>
          <w:spacing w:val="6"/>
        </w:rPr>
        <w:t>单位名称（盖章）：</w:t>
      </w:r>
    </w:p>
    <w:p w14:paraId="55E3E862">
      <w:pPr>
        <w:adjustRightInd w:val="0"/>
        <w:snapToGrid w:val="0"/>
        <w:spacing w:line="440" w:lineRule="exact"/>
        <w:ind w:firstLine="504" w:firstLineChars="200"/>
        <w:rPr>
          <w:rFonts w:asciiTheme="minorEastAsia" w:hAnsiTheme="minorEastAsia" w:eastAsiaTheme="minorEastAsia" w:cstheme="minorEastAsia"/>
          <w:spacing w:val="6"/>
        </w:rPr>
      </w:pPr>
      <w:r>
        <w:rPr>
          <w:rFonts w:hint="eastAsia" w:asciiTheme="minorEastAsia" w:hAnsiTheme="minorEastAsia" w:eastAsiaTheme="minorEastAsia" w:cstheme="minorEastAsia"/>
          <w:spacing w:val="6"/>
        </w:rPr>
        <w:t xml:space="preserve">                                      日  期：</w:t>
      </w:r>
    </w:p>
    <w:p w14:paraId="18E2E134">
      <w:pPr>
        <w:pStyle w:val="27"/>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14:paraId="30F3ED9E">
      <w:pPr>
        <w:rPr>
          <w:rFonts w:asciiTheme="minorEastAsia" w:hAnsiTheme="minorEastAsia" w:eastAsiaTheme="minorEastAsia" w:cstheme="minorEastAsia"/>
          <w:b/>
        </w:rPr>
      </w:pPr>
      <w:r>
        <w:rPr>
          <w:rFonts w:hint="eastAsia" w:asciiTheme="minorEastAsia" w:hAnsiTheme="minorEastAsia" w:eastAsiaTheme="minorEastAsia" w:cstheme="minorEastAsia"/>
          <w:b/>
        </w:rPr>
        <w:t>（三）商务技术响应文件</w:t>
      </w:r>
    </w:p>
    <w:p w14:paraId="21D99B98">
      <w:pPr>
        <w:rPr>
          <w:rFonts w:asciiTheme="minorEastAsia" w:hAnsiTheme="minorEastAsia" w:eastAsiaTheme="minorEastAsia" w:cstheme="minorEastAsia"/>
          <w:b/>
        </w:rPr>
      </w:pPr>
      <w:r>
        <w:rPr>
          <w:rFonts w:hint="eastAsia" w:asciiTheme="minorEastAsia" w:hAnsiTheme="minorEastAsia" w:eastAsiaTheme="minorEastAsia" w:cstheme="minorEastAsia"/>
          <w:b/>
        </w:rPr>
        <w:t>1、商务技术响应文件封面</w:t>
      </w:r>
    </w:p>
    <w:p w14:paraId="086CADD0">
      <w:pPr>
        <w:rPr>
          <w:rFonts w:asciiTheme="minorEastAsia" w:hAnsiTheme="minorEastAsia" w:eastAsiaTheme="minorEastAsia" w:cstheme="minorEastAsia"/>
        </w:rPr>
      </w:pPr>
    </w:p>
    <w:p w14:paraId="5615DEB5">
      <w:pPr>
        <w:rPr>
          <w:rFonts w:asciiTheme="minorEastAsia" w:hAnsiTheme="minorEastAsia" w:eastAsiaTheme="minorEastAsia" w:cstheme="minorEastAsia"/>
        </w:rPr>
      </w:pPr>
    </w:p>
    <w:p w14:paraId="3E9FB27B">
      <w:pPr>
        <w:jc w:val="center"/>
        <w:rPr>
          <w:rFonts w:asciiTheme="minorEastAsia" w:hAnsiTheme="minorEastAsia" w:eastAsiaTheme="minorEastAsia" w:cstheme="minorEastAsia"/>
          <w:b/>
        </w:rPr>
      </w:pPr>
    </w:p>
    <w:p w14:paraId="21901CC1">
      <w:pPr>
        <w:jc w:val="center"/>
        <w:rPr>
          <w:rFonts w:asciiTheme="minorEastAsia" w:hAnsiTheme="minorEastAsia" w:eastAsiaTheme="minorEastAsia" w:cstheme="minorEastAsia"/>
          <w:b/>
        </w:rPr>
      </w:pPr>
    </w:p>
    <w:p w14:paraId="7BFE8439">
      <w:pPr>
        <w:jc w:val="center"/>
        <w:rPr>
          <w:rFonts w:asciiTheme="minorEastAsia" w:hAnsiTheme="minorEastAsia" w:eastAsiaTheme="minorEastAsia" w:cstheme="minorEastAsia"/>
          <w:b/>
        </w:rPr>
      </w:pPr>
    </w:p>
    <w:p w14:paraId="60C03DCE">
      <w:pPr>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商务技术响应文件</w:t>
      </w:r>
    </w:p>
    <w:p w14:paraId="2F9A3F25">
      <w:pPr>
        <w:spacing w:line="360" w:lineRule="auto"/>
        <w:ind w:firstLine="480"/>
        <w:rPr>
          <w:rFonts w:asciiTheme="minorEastAsia" w:hAnsiTheme="minorEastAsia" w:eastAsiaTheme="minorEastAsia" w:cstheme="minorEastAsia"/>
        </w:rPr>
      </w:pPr>
    </w:p>
    <w:p w14:paraId="77B46125">
      <w:pPr>
        <w:spacing w:line="360" w:lineRule="auto"/>
        <w:ind w:firstLine="480"/>
        <w:rPr>
          <w:rFonts w:asciiTheme="minorEastAsia" w:hAnsiTheme="minorEastAsia" w:eastAsiaTheme="minorEastAsia" w:cstheme="minorEastAsia"/>
        </w:rPr>
      </w:pPr>
    </w:p>
    <w:p w14:paraId="161ADB25">
      <w:pPr>
        <w:spacing w:line="360" w:lineRule="auto"/>
        <w:ind w:firstLine="480"/>
        <w:rPr>
          <w:rFonts w:asciiTheme="minorEastAsia" w:hAnsiTheme="minorEastAsia" w:eastAsiaTheme="minorEastAsia" w:cstheme="minorEastAsia"/>
        </w:rPr>
      </w:pPr>
    </w:p>
    <w:p w14:paraId="3812AB75">
      <w:pPr>
        <w:spacing w:line="360" w:lineRule="auto"/>
        <w:ind w:firstLine="480"/>
        <w:rPr>
          <w:rFonts w:asciiTheme="minorEastAsia" w:hAnsiTheme="minorEastAsia" w:eastAsiaTheme="minorEastAsia" w:cstheme="minorEastAsia"/>
        </w:rPr>
      </w:pPr>
    </w:p>
    <w:p w14:paraId="759ED3F8">
      <w:pPr>
        <w:spacing w:line="360" w:lineRule="auto"/>
        <w:ind w:firstLine="480"/>
        <w:rPr>
          <w:rFonts w:asciiTheme="minorEastAsia" w:hAnsiTheme="minorEastAsia" w:eastAsiaTheme="minorEastAsia" w:cstheme="minorEastAsia"/>
        </w:rPr>
      </w:pPr>
    </w:p>
    <w:p w14:paraId="2678C9A8">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p>
    <w:p w14:paraId="476F70D4">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投标单位名称：</w:t>
      </w:r>
    </w:p>
    <w:p w14:paraId="278F7E9F">
      <w:pPr>
        <w:spacing w:line="44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投标内容/标项：</w:t>
      </w:r>
    </w:p>
    <w:p w14:paraId="0C6682A2">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投标单位联系人：</w:t>
      </w:r>
    </w:p>
    <w:p w14:paraId="7C12BA9B">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投标单位联系电话：</w:t>
      </w:r>
    </w:p>
    <w:p w14:paraId="584207AB">
      <w:pPr>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二〇  年  月</w:t>
      </w:r>
    </w:p>
    <w:p w14:paraId="79DA8E37">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rPr>
        <w:t>2、商务技术响应文件组成</w:t>
      </w:r>
    </w:p>
    <w:p w14:paraId="462ACA75">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一、投标函（附件3-1）</w:t>
      </w:r>
    </w:p>
    <w:p w14:paraId="374771E9">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二、反商业贿赂承诺书；（附件3-2）</w:t>
      </w:r>
    </w:p>
    <w:p w14:paraId="2D9E8444">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三、商务条款偏离表（附件3-3）</w:t>
      </w:r>
    </w:p>
    <w:p w14:paraId="5AFCAE8F">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四、提供符合政府采购政策的证明材料（如有提供，不享受相关政策的投标人无需提供。）</w:t>
      </w:r>
    </w:p>
    <w:p w14:paraId="5B8C1557">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五、项目负责人简历表及拟投入本项目主要成员表（附件3-5）</w:t>
      </w:r>
    </w:p>
    <w:p w14:paraId="71E9BCE8">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六、近三年经营业绩表（附件3-6）</w:t>
      </w:r>
    </w:p>
    <w:p w14:paraId="782F8A1A">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七、规格、技术参数偏离表（附件3-7）</w:t>
      </w:r>
    </w:p>
    <w:p w14:paraId="50E89E1D">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八、技术方案（附件3-8）</w:t>
      </w:r>
    </w:p>
    <w:p w14:paraId="7377DA4A">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九、整体服务方案（附件3-9）</w:t>
      </w:r>
    </w:p>
    <w:p w14:paraId="584E4009">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十、质量保证承诺书</w:t>
      </w:r>
    </w:p>
    <w:p w14:paraId="62DCCD0B">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十一、其他资料</w:t>
      </w:r>
    </w:p>
    <w:p w14:paraId="4E157F38">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十二、招标文件中要求提交的和投标人认为需要提供的其它说明和资料。</w:t>
      </w:r>
    </w:p>
    <w:p w14:paraId="2D0D89AF">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注：1.投标人制作商务技术响应文件，应按照商务技术响应文件组成顺序制作，编好始末页码且在投标文件目录中一一列明并对应。</w:t>
      </w:r>
    </w:p>
    <w:p w14:paraId="279E1809">
      <w:pPr>
        <w:spacing w:line="48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2.招标文件没有提供格式的，投标人可自行设置。</w:t>
      </w:r>
    </w:p>
    <w:p w14:paraId="64BEEC36">
      <w:pPr>
        <w:spacing w:line="440" w:lineRule="exact"/>
        <w:rPr>
          <w:rFonts w:asciiTheme="minorEastAsia" w:hAnsiTheme="minorEastAsia" w:eastAsiaTheme="minorEastAsia" w:cstheme="minorEastAsia"/>
          <w:b/>
          <w:sz w:val="36"/>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rPr>
        <w:t>3、商务技术响应文件格式</w:t>
      </w:r>
    </w:p>
    <w:p w14:paraId="4A56D72B">
      <w:pPr>
        <w:spacing w:line="44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0"/>
          <w:szCs w:val="30"/>
        </w:rPr>
        <w:t xml:space="preserve">附件3-1  </w:t>
      </w:r>
      <w:r>
        <w:rPr>
          <w:rFonts w:hint="eastAsia" w:asciiTheme="minorEastAsia" w:hAnsiTheme="minorEastAsia" w:eastAsiaTheme="minorEastAsia" w:cstheme="minorEastAsia"/>
          <w:b/>
          <w:sz w:val="32"/>
          <w:szCs w:val="32"/>
        </w:rPr>
        <w:t>投标函</w:t>
      </w:r>
    </w:p>
    <w:p w14:paraId="68F34D6E">
      <w:pPr>
        <w:spacing w:line="520" w:lineRule="exact"/>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 xml:space="preserve">               </w:t>
      </w:r>
    </w:p>
    <w:p w14:paraId="0517D3E4">
      <w:pPr>
        <w:adjustRightInd w:val="0"/>
        <w:snapToGrid w:val="0"/>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为响应你方组织的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项目的招标[项目编号为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]，我方愿参与投标。</w:t>
      </w:r>
    </w:p>
    <w:p w14:paraId="75EC6DAB">
      <w:pPr>
        <w:adjustRightInd w:val="0"/>
        <w:snapToGrid w:val="0"/>
        <w:spacing w:line="520" w:lineRule="exact"/>
        <w:ind w:firstLine="480"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rPr>
        <w:t>我方确认收到贵方提供的招标文件的全部内容，</w:t>
      </w:r>
      <w:r>
        <w:rPr>
          <w:rFonts w:hint="eastAsia" w:asciiTheme="minorEastAsia" w:hAnsiTheme="minorEastAsia" w:eastAsiaTheme="minorEastAsia" w:cstheme="minorEastAsia"/>
          <w:b/>
          <w:bCs/>
        </w:rPr>
        <w:t>我方愿以投标报价</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元，服务期限：</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w:t>
      </w:r>
    </w:p>
    <w:p w14:paraId="0260B750">
      <w:pPr>
        <w:adjustRightInd w:val="0"/>
        <w:snapToGrid w:val="0"/>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我方在参与投标前已详细研究了招标文件的所有内容，包括澄清、修改文件(如有)和所有已提供的参考资料以及有关附件，我方完全明白并认为此招标文件没有倾向性，也不存在排斥潜在报价供应商的内容，我方同意招标文件的相关条款，放弃对招标文件提出误解和质疑的一切权力。</w:t>
      </w:r>
    </w:p>
    <w:p w14:paraId="3616A736">
      <w:pPr>
        <w:adjustRightInd w:val="0"/>
        <w:snapToGrid w:val="0"/>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我方已完全明白招标文件的所有条款要求，并申明如下:</w:t>
      </w:r>
    </w:p>
    <w:p w14:paraId="0A5FC438">
      <w:pPr>
        <w:numPr>
          <w:ilvl w:val="0"/>
          <w:numId w:val="15"/>
        </w:numPr>
        <w:adjustRightInd w:val="0"/>
        <w:snapToGrid w:val="0"/>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按招标文件提供的全部货物与相关服务的投标总价详见《报价一览表》</w:t>
      </w:r>
    </w:p>
    <w:p w14:paraId="067AA9D7">
      <w:pPr>
        <w:numPr>
          <w:ilvl w:val="0"/>
          <w:numId w:val="15"/>
        </w:numPr>
        <w:adjustRightInd w:val="0"/>
        <w:snapToGrid w:val="0"/>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本投标文件的有效期为</w:t>
      </w:r>
      <w:r>
        <w:rPr>
          <w:rFonts w:hint="eastAsia" w:asciiTheme="minorEastAsia" w:hAnsiTheme="minorEastAsia" w:eastAsiaTheme="minorEastAsia" w:cstheme="minorEastAsia"/>
          <w:b/>
          <w:bCs/>
          <w:u w:val="single"/>
        </w:rPr>
        <w:t>投标截止时间起90天</w:t>
      </w:r>
      <w:r>
        <w:rPr>
          <w:rFonts w:hint="eastAsia" w:asciiTheme="minorEastAsia" w:hAnsiTheme="minorEastAsia" w:eastAsiaTheme="minorEastAsia" w:cstheme="minorEastAsia"/>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2B4B5B8">
      <w:pPr>
        <w:adjustRightInd w:val="0"/>
        <w:snapToGrid w:val="0"/>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(三)我方同意按照贵方可能提出的要求而提供与投标有关的任何其它数据信息或资料。</w:t>
      </w:r>
    </w:p>
    <w:p w14:paraId="7AC63EFF">
      <w:pPr>
        <w:adjustRightInd w:val="0"/>
        <w:snapToGrid w:val="0"/>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(四)我方理解贵方不一定接受最低投标价或任何贵方可能收到的投标</w:t>
      </w:r>
    </w:p>
    <w:p w14:paraId="07A3C18A">
      <w:pPr>
        <w:adjustRightInd w:val="0"/>
        <w:snapToGrid w:val="0"/>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(五)我方如果中标，将保证履行招标文件及其澄清、修改文件(如果有)中的全部责任和义务，按质、按量、按期完成《招标内容》及《合同书》中的全部任务。</w:t>
      </w:r>
    </w:p>
    <w:p w14:paraId="7741F08E">
      <w:pPr>
        <w:adjustRightInd w:val="0"/>
        <w:snapToGrid w:val="0"/>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(六)如我方被授予合同，我方承诺支付就本次招标应支付或将支付的中标服务费(详见按招标文件要求格式填写的《中标服务费支付承诺书》)</w:t>
      </w:r>
    </w:p>
    <w:p w14:paraId="6684058D">
      <w:pPr>
        <w:adjustRightInd w:val="0"/>
        <w:snapToGrid w:val="0"/>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(七)我方作为在法律、财务和运作上独立于采购人、招标代理机构的供应商，在此保证所提交的所有文件和全部说明是真实的和正确的。</w:t>
      </w:r>
    </w:p>
    <w:p w14:paraId="4F85DFD9">
      <w:pPr>
        <w:adjustRightInd w:val="0"/>
        <w:snapToGrid w:val="0"/>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(八)我方投标报价已包含应向知识产权所有权人支付的所有相关税费，并保证采购人在中国使用我方提供的货物时,如有第三方提出侵犯其知识产权主张的，责任由我方承担。</w:t>
      </w:r>
    </w:p>
    <w:p w14:paraId="1CE79D68">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(九)我方与其他供应商不存在单位负责人为同一人或者存在直接控股、管理关系。</w:t>
      </w:r>
    </w:p>
    <w:p w14:paraId="0A8B06CA">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(十)我方承诺未为本项目提供整体设计、规范编制或者项目管理、监理检测等服务。</w:t>
      </w:r>
    </w:p>
    <w:p w14:paraId="6A1D0817">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(十一)我方具备《政府采购法》第二十二条规定的条件，承诺如下:</w:t>
      </w:r>
    </w:p>
    <w:p w14:paraId="3B9B7C54">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(1)我方已依法缴纳了各项税费及社会保险费用，如有需要，可随时向采购人提供近三个月内的相关缴费证明，以便核查。</w:t>
      </w:r>
    </w:p>
    <w:p w14:paraId="6A16E869">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(2)我方已依法建立健全的财务会计制度，如有需要，可随时向采购人提供相关的证明材料，以便核查。</w:t>
      </w:r>
    </w:p>
    <w:p w14:paraId="1DD250D7">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(3)我方参加本项目政府采购活动前3年内在经营活动中没有重大违法记录。</w:t>
      </w:r>
    </w:p>
    <w:p w14:paraId="0F991768">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(4)我方具备履行合同所必需的设备和专业技术能力。</w:t>
      </w:r>
    </w:p>
    <w:p w14:paraId="72B49660">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(5)我方符合法律、行政法规规定的其他条件。</w:t>
      </w:r>
    </w:p>
    <w:p w14:paraId="3A0576DC">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以上内容如有虚假或与事实不符的，评审委员会可将我方做无效投标处理我方愿意承担响应的法律责任。</w:t>
      </w:r>
    </w:p>
    <w:p w14:paraId="693F83F2">
      <w:pPr>
        <w:numPr>
          <w:ilvl w:val="0"/>
          <w:numId w:val="16"/>
        </w:num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我方对在本函及投标文件中所作的所有承诺承担法律责任。(十四)所有与本招标有关的函件请发往下列地址:</w:t>
      </w:r>
    </w:p>
    <w:p w14:paraId="2DC50377">
      <w:pPr>
        <w:spacing w:line="520" w:lineRule="exact"/>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邮政编码：</w:t>
      </w:r>
      <w:r>
        <w:rPr>
          <w:rFonts w:hint="eastAsia" w:asciiTheme="minorEastAsia" w:hAnsiTheme="minorEastAsia" w:eastAsiaTheme="minorEastAsia" w:cstheme="minorEastAsia"/>
          <w:u w:val="single"/>
        </w:rPr>
        <w:t>　　　　　　　　　</w:t>
      </w:r>
    </w:p>
    <w:p w14:paraId="59328934">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传    真：</w:t>
      </w:r>
      <w:r>
        <w:rPr>
          <w:rFonts w:hint="eastAsia" w:asciiTheme="minorEastAsia" w:hAnsiTheme="minorEastAsia" w:eastAsiaTheme="minorEastAsia" w:cstheme="minorEastAsia"/>
          <w:u w:val="single"/>
        </w:rPr>
        <w:t>　　　　　　　　　</w:t>
      </w:r>
    </w:p>
    <w:p w14:paraId="3DED7FC6">
      <w:pPr>
        <w:spacing w:line="520" w:lineRule="exact"/>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投标人代表签字：</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    务：</w:t>
      </w:r>
      <w:r>
        <w:rPr>
          <w:rFonts w:hint="eastAsia" w:asciiTheme="minorEastAsia" w:hAnsiTheme="minorEastAsia" w:eastAsiaTheme="minorEastAsia" w:cstheme="minorEastAsia"/>
          <w:u w:val="single"/>
        </w:rPr>
        <w:t xml:space="preserve">                  </w:t>
      </w:r>
    </w:p>
    <w:p w14:paraId="55F0BA8A">
      <w:pPr>
        <w:spacing w:line="520" w:lineRule="exact"/>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投标人名称：</w:t>
      </w:r>
      <w:r>
        <w:rPr>
          <w:rFonts w:hint="eastAsia" w:asciiTheme="minorEastAsia" w:hAnsiTheme="minorEastAsia" w:eastAsiaTheme="minorEastAsia" w:cstheme="minorEastAsia"/>
          <w:u w:val="single"/>
        </w:rPr>
        <w:t>　　　　　　        　　　　</w:t>
      </w:r>
    </w:p>
    <w:p w14:paraId="54B33957">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（公章）</w:t>
      </w:r>
    </w:p>
    <w:p w14:paraId="45C9A34B">
      <w:pPr>
        <w:spacing w:line="520" w:lineRule="exact"/>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法定代表人或委托代理人：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（签字或盖章）</w:t>
      </w:r>
    </w:p>
    <w:p w14:paraId="25FA2AB3">
      <w:pPr>
        <w:spacing w:line="520" w:lineRule="exact"/>
        <w:ind w:firstLine="480" w:firstLineChars="200"/>
        <w:jc w:val="right"/>
        <w:rPr>
          <w:rFonts w:asciiTheme="minorEastAsia" w:hAnsiTheme="minorEastAsia" w:eastAsiaTheme="minorEastAsia" w:cstheme="minorEastAsia"/>
        </w:rPr>
      </w:pPr>
      <w:r>
        <w:rPr>
          <w:rFonts w:hint="eastAsia" w:asciiTheme="minorEastAsia" w:hAnsiTheme="minorEastAsia" w:eastAsiaTheme="minorEastAsia" w:cstheme="minorEastAsia"/>
        </w:rPr>
        <w:t>日期：     年  月  日</w:t>
      </w:r>
    </w:p>
    <w:p w14:paraId="4D12077F">
      <w:pPr>
        <w:adjustRightInd w:val="0"/>
        <w:snapToGrid w:val="0"/>
        <w:spacing w:line="440" w:lineRule="exact"/>
        <w:ind w:firstLine="482" w:firstLineChars="200"/>
        <w:rPr>
          <w:rFonts w:asciiTheme="minorEastAsia" w:hAnsiTheme="minorEastAsia" w:eastAsiaTheme="minorEastAsia" w:cstheme="minorEastAsia"/>
          <w:b/>
          <w:em w:val="dot"/>
        </w:rPr>
      </w:pPr>
      <w:r>
        <w:rPr>
          <w:rFonts w:hint="eastAsia" w:asciiTheme="minorEastAsia" w:hAnsiTheme="minorEastAsia" w:eastAsiaTheme="minorEastAsia" w:cstheme="minorEastAsia"/>
          <w:b/>
          <w:em w:val="dot"/>
        </w:rPr>
        <w:t>注：除可填报项目外，对本投标函的任何修改将被视为非实质性响应投标，从而导致该投标被拒绝。</w:t>
      </w:r>
    </w:p>
    <w:p w14:paraId="4B7DE571">
      <w:pPr>
        <w:spacing w:line="520" w:lineRule="exact"/>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r>
        <w:rPr>
          <w:rFonts w:hint="eastAsia" w:asciiTheme="minorEastAsia" w:hAnsiTheme="minorEastAsia" w:eastAsiaTheme="minorEastAsia" w:cstheme="minorEastAsia"/>
          <w:b/>
          <w:sz w:val="30"/>
          <w:szCs w:val="30"/>
        </w:rPr>
        <w:t>附件3-2  反商业贿赂承诺书</w:t>
      </w:r>
    </w:p>
    <w:p w14:paraId="42E07F04">
      <w:pPr>
        <w:pStyle w:val="18"/>
        <w:spacing w:line="520" w:lineRule="exact"/>
        <w:ind w:left="480"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我公司承诺在</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7DC0580E">
      <w:pPr>
        <w:pStyle w:val="18"/>
        <w:spacing w:line="520" w:lineRule="exact"/>
        <w:ind w:left="480"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公司法定代表：</w:t>
      </w:r>
    </w:p>
    <w:p w14:paraId="35C64311">
      <w:pPr>
        <w:pStyle w:val="18"/>
        <w:spacing w:line="520" w:lineRule="exact"/>
        <w:ind w:left="480"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法人授权代表：</w:t>
      </w:r>
    </w:p>
    <w:p w14:paraId="11F9C3CC">
      <w:pPr>
        <w:pStyle w:val="18"/>
        <w:spacing w:line="520" w:lineRule="exact"/>
        <w:ind w:left="48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p>
    <w:p w14:paraId="5A77B821">
      <w:pPr>
        <w:spacing w:line="52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sz w:val="30"/>
          <w:szCs w:val="30"/>
        </w:rPr>
        <w:t xml:space="preserve">附件3-3  </w:t>
      </w:r>
      <w:r>
        <w:rPr>
          <w:rFonts w:hint="eastAsia" w:asciiTheme="minorEastAsia" w:hAnsiTheme="minorEastAsia" w:eastAsiaTheme="minorEastAsia" w:cstheme="minorEastAsia"/>
          <w:b/>
          <w:sz w:val="32"/>
          <w:szCs w:val="32"/>
        </w:rPr>
        <w:t>商务条款偏离表</w:t>
      </w:r>
    </w:p>
    <w:p w14:paraId="4F37E7AA">
      <w:pPr>
        <w:spacing w:line="520" w:lineRule="exact"/>
        <w:ind w:firstLine="120" w:firstLineChars="50"/>
        <w:rPr>
          <w:rFonts w:asciiTheme="minorEastAsia" w:hAnsiTheme="minorEastAsia" w:eastAsiaTheme="minorEastAsia" w:cstheme="minorEastAsia"/>
          <w:u w:val="single"/>
        </w:rPr>
      </w:pPr>
      <w:r>
        <w:rPr>
          <w:rFonts w:hint="eastAsia" w:asciiTheme="minorEastAsia" w:hAnsiTheme="minorEastAsia" w:eastAsiaTheme="minorEastAsia" w:cstheme="minorEastAsia"/>
        </w:rPr>
        <w:t>投标人名称（公章）：</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招标编号：</w:t>
      </w:r>
      <w:r>
        <w:rPr>
          <w:rFonts w:hint="eastAsia" w:asciiTheme="minorEastAsia" w:hAnsiTheme="minorEastAsia" w:eastAsiaTheme="minorEastAsia" w:cstheme="minorEastAsia"/>
          <w:u w:val="single"/>
        </w:rPr>
        <w:t xml:space="preserve">　　　　           </w:t>
      </w:r>
    </w:p>
    <w:p w14:paraId="7D86F8B7">
      <w:pPr>
        <w:spacing w:line="520" w:lineRule="exact"/>
        <w:ind w:firstLine="120" w:firstLineChars="50"/>
        <w:rPr>
          <w:rFonts w:asciiTheme="minorEastAsia" w:hAnsiTheme="minorEastAsia" w:eastAsiaTheme="minorEastAsia" w:cstheme="minorEastAsia"/>
        </w:rPr>
      </w:pPr>
      <w:r>
        <w:rPr>
          <w:rFonts w:hint="eastAsia" w:asciiTheme="minorEastAsia" w:hAnsiTheme="minorEastAsia" w:eastAsiaTheme="minorEastAsia" w:cstheme="minorEastAsia"/>
        </w:rPr>
        <w:t>标项序号、名称：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413C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vAlign w:val="center"/>
          </w:tcPr>
          <w:p w14:paraId="091F82E6">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602" w:type="dxa"/>
            <w:vAlign w:val="center"/>
          </w:tcPr>
          <w:p w14:paraId="5272ECF9">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招标文件</w:t>
            </w:r>
          </w:p>
          <w:p w14:paraId="066A387A">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条目号</w:t>
            </w:r>
          </w:p>
        </w:tc>
        <w:tc>
          <w:tcPr>
            <w:tcW w:w="2458" w:type="dxa"/>
            <w:vAlign w:val="center"/>
          </w:tcPr>
          <w:p w14:paraId="4F8B7C7D">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招标文件的商务条款</w:t>
            </w:r>
          </w:p>
        </w:tc>
        <w:tc>
          <w:tcPr>
            <w:tcW w:w="2885" w:type="dxa"/>
            <w:vAlign w:val="center"/>
          </w:tcPr>
          <w:p w14:paraId="10EDD214">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投标文件的商务条款</w:t>
            </w:r>
          </w:p>
        </w:tc>
        <w:tc>
          <w:tcPr>
            <w:tcW w:w="2018" w:type="dxa"/>
            <w:vAlign w:val="center"/>
          </w:tcPr>
          <w:p w14:paraId="1B4D9FD7">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说明</w:t>
            </w:r>
          </w:p>
        </w:tc>
      </w:tr>
      <w:tr w14:paraId="155C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3F41DBF0">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602" w:type="dxa"/>
          </w:tcPr>
          <w:p w14:paraId="35ABAEC8">
            <w:pPr>
              <w:spacing w:line="520" w:lineRule="exact"/>
              <w:jc w:val="center"/>
              <w:rPr>
                <w:rFonts w:asciiTheme="minorEastAsia" w:hAnsiTheme="minorEastAsia" w:eastAsiaTheme="minorEastAsia" w:cstheme="minorEastAsia"/>
              </w:rPr>
            </w:pPr>
          </w:p>
        </w:tc>
        <w:tc>
          <w:tcPr>
            <w:tcW w:w="2458" w:type="dxa"/>
          </w:tcPr>
          <w:p w14:paraId="63F7A1A8">
            <w:pPr>
              <w:spacing w:line="520" w:lineRule="exact"/>
              <w:rPr>
                <w:rFonts w:asciiTheme="minorEastAsia" w:hAnsiTheme="minorEastAsia" w:eastAsiaTheme="minorEastAsia" w:cstheme="minorEastAsia"/>
              </w:rPr>
            </w:pPr>
          </w:p>
        </w:tc>
        <w:tc>
          <w:tcPr>
            <w:tcW w:w="2885" w:type="dxa"/>
          </w:tcPr>
          <w:p w14:paraId="7AEC8A88">
            <w:pPr>
              <w:spacing w:line="520" w:lineRule="exact"/>
              <w:rPr>
                <w:rFonts w:asciiTheme="minorEastAsia" w:hAnsiTheme="minorEastAsia" w:eastAsiaTheme="minorEastAsia" w:cstheme="minorEastAsia"/>
              </w:rPr>
            </w:pPr>
          </w:p>
        </w:tc>
        <w:tc>
          <w:tcPr>
            <w:tcW w:w="2018" w:type="dxa"/>
          </w:tcPr>
          <w:p w14:paraId="72DE3870">
            <w:pPr>
              <w:spacing w:line="520" w:lineRule="exact"/>
              <w:rPr>
                <w:rFonts w:asciiTheme="minorEastAsia" w:hAnsiTheme="minorEastAsia" w:eastAsiaTheme="minorEastAsia" w:cstheme="minorEastAsia"/>
              </w:rPr>
            </w:pPr>
          </w:p>
        </w:tc>
      </w:tr>
      <w:tr w14:paraId="7F56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vAlign w:val="center"/>
          </w:tcPr>
          <w:p w14:paraId="4EC8F28D">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602" w:type="dxa"/>
          </w:tcPr>
          <w:p w14:paraId="25CBDDC6">
            <w:pPr>
              <w:spacing w:line="520" w:lineRule="exact"/>
              <w:rPr>
                <w:rFonts w:asciiTheme="minorEastAsia" w:hAnsiTheme="minorEastAsia" w:eastAsiaTheme="minorEastAsia" w:cstheme="minorEastAsia"/>
              </w:rPr>
            </w:pPr>
          </w:p>
        </w:tc>
        <w:tc>
          <w:tcPr>
            <w:tcW w:w="2458" w:type="dxa"/>
          </w:tcPr>
          <w:p w14:paraId="2515DDFB">
            <w:pPr>
              <w:spacing w:line="520" w:lineRule="exact"/>
              <w:rPr>
                <w:rFonts w:asciiTheme="minorEastAsia" w:hAnsiTheme="minorEastAsia" w:eastAsiaTheme="minorEastAsia" w:cstheme="minorEastAsia"/>
              </w:rPr>
            </w:pPr>
          </w:p>
        </w:tc>
        <w:tc>
          <w:tcPr>
            <w:tcW w:w="2885" w:type="dxa"/>
          </w:tcPr>
          <w:p w14:paraId="12CFFCC9">
            <w:pPr>
              <w:spacing w:line="520" w:lineRule="exact"/>
              <w:rPr>
                <w:rFonts w:asciiTheme="minorEastAsia" w:hAnsiTheme="minorEastAsia" w:eastAsiaTheme="minorEastAsia" w:cstheme="minorEastAsia"/>
              </w:rPr>
            </w:pPr>
          </w:p>
        </w:tc>
        <w:tc>
          <w:tcPr>
            <w:tcW w:w="2018" w:type="dxa"/>
          </w:tcPr>
          <w:p w14:paraId="3F0BE27F">
            <w:pPr>
              <w:spacing w:line="520" w:lineRule="exact"/>
              <w:rPr>
                <w:rFonts w:asciiTheme="minorEastAsia" w:hAnsiTheme="minorEastAsia" w:eastAsiaTheme="minorEastAsia" w:cstheme="minorEastAsia"/>
              </w:rPr>
            </w:pPr>
          </w:p>
        </w:tc>
      </w:tr>
      <w:tr w14:paraId="5586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65C99F9F">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602" w:type="dxa"/>
          </w:tcPr>
          <w:p w14:paraId="0AA5FBA5">
            <w:pPr>
              <w:spacing w:line="520" w:lineRule="exact"/>
              <w:rPr>
                <w:rFonts w:asciiTheme="minorEastAsia" w:hAnsiTheme="minorEastAsia" w:eastAsiaTheme="minorEastAsia" w:cstheme="minorEastAsia"/>
              </w:rPr>
            </w:pPr>
          </w:p>
        </w:tc>
        <w:tc>
          <w:tcPr>
            <w:tcW w:w="2458" w:type="dxa"/>
            <w:vAlign w:val="center"/>
          </w:tcPr>
          <w:p w14:paraId="7B17E093">
            <w:pPr>
              <w:spacing w:line="520" w:lineRule="exact"/>
              <w:rPr>
                <w:rFonts w:asciiTheme="minorEastAsia" w:hAnsiTheme="minorEastAsia" w:eastAsiaTheme="minorEastAsia" w:cstheme="minorEastAsia"/>
              </w:rPr>
            </w:pPr>
          </w:p>
        </w:tc>
        <w:tc>
          <w:tcPr>
            <w:tcW w:w="2885" w:type="dxa"/>
          </w:tcPr>
          <w:p w14:paraId="708D219D">
            <w:pPr>
              <w:spacing w:line="520" w:lineRule="exact"/>
              <w:rPr>
                <w:rFonts w:asciiTheme="minorEastAsia" w:hAnsiTheme="minorEastAsia" w:eastAsiaTheme="minorEastAsia" w:cstheme="minorEastAsia"/>
              </w:rPr>
            </w:pPr>
          </w:p>
        </w:tc>
        <w:tc>
          <w:tcPr>
            <w:tcW w:w="2018" w:type="dxa"/>
          </w:tcPr>
          <w:p w14:paraId="1D63A34F">
            <w:pPr>
              <w:spacing w:line="520" w:lineRule="exact"/>
              <w:rPr>
                <w:rFonts w:asciiTheme="minorEastAsia" w:hAnsiTheme="minorEastAsia" w:eastAsiaTheme="minorEastAsia" w:cstheme="minorEastAsia"/>
              </w:rPr>
            </w:pPr>
          </w:p>
        </w:tc>
      </w:tr>
      <w:tr w14:paraId="7B72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891" w:type="dxa"/>
            <w:vAlign w:val="center"/>
          </w:tcPr>
          <w:p w14:paraId="785C70AC">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602" w:type="dxa"/>
          </w:tcPr>
          <w:p w14:paraId="75058C06">
            <w:pPr>
              <w:spacing w:line="520" w:lineRule="exact"/>
              <w:rPr>
                <w:rFonts w:asciiTheme="minorEastAsia" w:hAnsiTheme="minorEastAsia" w:eastAsiaTheme="minorEastAsia" w:cstheme="minorEastAsia"/>
              </w:rPr>
            </w:pPr>
          </w:p>
        </w:tc>
        <w:tc>
          <w:tcPr>
            <w:tcW w:w="2458" w:type="dxa"/>
            <w:vAlign w:val="center"/>
          </w:tcPr>
          <w:p w14:paraId="608F3940">
            <w:pPr>
              <w:pStyle w:val="132"/>
              <w:spacing w:line="520" w:lineRule="exact"/>
              <w:rPr>
                <w:rFonts w:asciiTheme="minorEastAsia" w:hAnsiTheme="minorEastAsia" w:eastAsiaTheme="minorEastAsia" w:cstheme="minorEastAsia"/>
                <w:kern w:val="2"/>
              </w:rPr>
            </w:pPr>
          </w:p>
        </w:tc>
        <w:tc>
          <w:tcPr>
            <w:tcW w:w="2885" w:type="dxa"/>
          </w:tcPr>
          <w:p w14:paraId="3C636DEB">
            <w:pPr>
              <w:spacing w:line="520" w:lineRule="exact"/>
              <w:rPr>
                <w:rFonts w:asciiTheme="minorEastAsia" w:hAnsiTheme="minorEastAsia" w:eastAsiaTheme="minorEastAsia" w:cstheme="minorEastAsia"/>
              </w:rPr>
            </w:pPr>
          </w:p>
        </w:tc>
        <w:tc>
          <w:tcPr>
            <w:tcW w:w="2018" w:type="dxa"/>
          </w:tcPr>
          <w:p w14:paraId="6DE1823D">
            <w:pPr>
              <w:spacing w:line="520" w:lineRule="exact"/>
              <w:rPr>
                <w:rFonts w:asciiTheme="minorEastAsia" w:hAnsiTheme="minorEastAsia" w:eastAsiaTheme="minorEastAsia" w:cstheme="minorEastAsia"/>
              </w:rPr>
            </w:pPr>
          </w:p>
        </w:tc>
      </w:tr>
      <w:tr w14:paraId="605A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44DE9392">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602" w:type="dxa"/>
          </w:tcPr>
          <w:p w14:paraId="799ABA1F">
            <w:pPr>
              <w:spacing w:line="520" w:lineRule="exact"/>
              <w:rPr>
                <w:rFonts w:asciiTheme="minorEastAsia" w:hAnsiTheme="minorEastAsia" w:eastAsiaTheme="minorEastAsia" w:cstheme="minorEastAsia"/>
              </w:rPr>
            </w:pPr>
          </w:p>
        </w:tc>
        <w:tc>
          <w:tcPr>
            <w:tcW w:w="2458" w:type="dxa"/>
          </w:tcPr>
          <w:p w14:paraId="3E72269F">
            <w:pPr>
              <w:spacing w:line="520" w:lineRule="exact"/>
              <w:rPr>
                <w:rFonts w:asciiTheme="minorEastAsia" w:hAnsiTheme="minorEastAsia" w:eastAsiaTheme="minorEastAsia" w:cstheme="minorEastAsia"/>
              </w:rPr>
            </w:pPr>
          </w:p>
        </w:tc>
        <w:tc>
          <w:tcPr>
            <w:tcW w:w="2885" w:type="dxa"/>
          </w:tcPr>
          <w:p w14:paraId="036247D7">
            <w:pPr>
              <w:spacing w:line="520" w:lineRule="exact"/>
              <w:rPr>
                <w:rFonts w:asciiTheme="minorEastAsia" w:hAnsiTheme="minorEastAsia" w:eastAsiaTheme="minorEastAsia" w:cstheme="minorEastAsia"/>
              </w:rPr>
            </w:pPr>
          </w:p>
        </w:tc>
        <w:tc>
          <w:tcPr>
            <w:tcW w:w="2018" w:type="dxa"/>
          </w:tcPr>
          <w:p w14:paraId="497C2C32">
            <w:pPr>
              <w:spacing w:line="520" w:lineRule="exact"/>
              <w:rPr>
                <w:rFonts w:asciiTheme="minorEastAsia" w:hAnsiTheme="minorEastAsia" w:eastAsiaTheme="minorEastAsia" w:cstheme="minorEastAsia"/>
              </w:rPr>
            </w:pPr>
          </w:p>
        </w:tc>
      </w:tr>
      <w:tr w14:paraId="5A08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3354E35A">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602" w:type="dxa"/>
          </w:tcPr>
          <w:p w14:paraId="13D9605A">
            <w:pPr>
              <w:spacing w:line="520" w:lineRule="exact"/>
              <w:rPr>
                <w:rFonts w:asciiTheme="minorEastAsia" w:hAnsiTheme="minorEastAsia" w:eastAsiaTheme="minorEastAsia" w:cstheme="minorEastAsia"/>
              </w:rPr>
            </w:pPr>
          </w:p>
        </w:tc>
        <w:tc>
          <w:tcPr>
            <w:tcW w:w="2458" w:type="dxa"/>
          </w:tcPr>
          <w:p w14:paraId="2E45A9B0">
            <w:pPr>
              <w:snapToGrid w:val="0"/>
              <w:spacing w:line="520" w:lineRule="exact"/>
              <w:ind w:firstLine="480" w:firstLineChars="200"/>
              <w:rPr>
                <w:rFonts w:asciiTheme="minorEastAsia" w:hAnsiTheme="minorEastAsia" w:eastAsiaTheme="minorEastAsia" w:cstheme="minorEastAsia"/>
              </w:rPr>
            </w:pPr>
          </w:p>
        </w:tc>
        <w:tc>
          <w:tcPr>
            <w:tcW w:w="2885" w:type="dxa"/>
          </w:tcPr>
          <w:p w14:paraId="2408CB91">
            <w:pPr>
              <w:spacing w:line="520" w:lineRule="exact"/>
              <w:rPr>
                <w:rFonts w:asciiTheme="minorEastAsia" w:hAnsiTheme="minorEastAsia" w:eastAsiaTheme="minorEastAsia" w:cstheme="minorEastAsia"/>
              </w:rPr>
            </w:pPr>
          </w:p>
        </w:tc>
        <w:tc>
          <w:tcPr>
            <w:tcW w:w="2018" w:type="dxa"/>
          </w:tcPr>
          <w:p w14:paraId="12D4E3C1">
            <w:pPr>
              <w:spacing w:line="520" w:lineRule="exact"/>
              <w:rPr>
                <w:rFonts w:asciiTheme="minorEastAsia" w:hAnsiTheme="minorEastAsia" w:eastAsiaTheme="minorEastAsia" w:cstheme="minorEastAsia"/>
              </w:rPr>
            </w:pPr>
          </w:p>
        </w:tc>
      </w:tr>
      <w:tr w14:paraId="75CD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4D319439">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602" w:type="dxa"/>
          </w:tcPr>
          <w:p w14:paraId="0F29557E">
            <w:pPr>
              <w:spacing w:line="520" w:lineRule="exact"/>
              <w:rPr>
                <w:rFonts w:asciiTheme="minorEastAsia" w:hAnsiTheme="minorEastAsia" w:eastAsiaTheme="minorEastAsia" w:cstheme="minorEastAsia"/>
              </w:rPr>
            </w:pPr>
          </w:p>
        </w:tc>
        <w:tc>
          <w:tcPr>
            <w:tcW w:w="2458" w:type="dxa"/>
          </w:tcPr>
          <w:p w14:paraId="7F5F0FAC">
            <w:pPr>
              <w:snapToGrid w:val="0"/>
              <w:spacing w:line="520" w:lineRule="exact"/>
              <w:rPr>
                <w:rFonts w:asciiTheme="minorEastAsia" w:hAnsiTheme="minorEastAsia" w:eastAsiaTheme="minorEastAsia" w:cstheme="minorEastAsia"/>
              </w:rPr>
            </w:pPr>
          </w:p>
        </w:tc>
        <w:tc>
          <w:tcPr>
            <w:tcW w:w="2885" w:type="dxa"/>
          </w:tcPr>
          <w:p w14:paraId="58E29CE6">
            <w:pPr>
              <w:spacing w:line="520" w:lineRule="exact"/>
              <w:rPr>
                <w:rFonts w:asciiTheme="minorEastAsia" w:hAnsiTheme="minorEastAsia" w:eastAsiaTheme="minorEastAsia" w:cstheme="minorEastAsia"/>
              </w:rPr>
            </w:pPr>
          </w:p>
        </w:tc>
        <w:tc>
          <w:tcPr>
            <w:tcW w:w="2018" w:type="dxa"/>
          </w:tcPr>
          <w:p w14:paraId="115BCA4C">
            <w:pPr>
              <w:spacing w:line="520" w:lineRule="exact"/>
              <w:rPr>
                <w:rFonts w:asciiTheme="minorEastAsia" w:hAnsiTheme="minorEastAsia" w:eastAsiaTheme="minorEastAsia" w:cstheme="minorEastAsia"/>
              </w:rPr>
            </w:pPr>
          </w:p>
        </w:tc>
      </w:tr>
      <w:tr w14:paraId="1D5A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60416E67">
            <w:pPr>
              <w:spacing w:line="52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602" w:type="dxa"/>
          </w:tcPr>
          <w:p w14:paraId="1EC26AE8">
            <w:pPr>
              <w:spacing w:line="520" w:lineRule="exact"/>
              <w:rPr>
                <w:rFonts w:asciiTheme="minorEastAsia" w:hAnsiTheme="minorEastAsia" w:eastAsiaTheme="minorEastAsia" w:cstheme="minorEastAsia"/>
              </w:rPr>
            </w:pPr>
          </w:p>
        </w:tc>
        <w:tc>
          <w:tcPr>
            <w:tcW w:w="2458" w:type="dxa"/>
          </w:tcPr>
          <w:p w14:paraId="1B1376E2">
            <w:pPr>
              <w:spacing w:line="520" w:lineRule="exact"/>
              <w:rPr>
                <w:rFonts w:asciiTheme="minorEastAsia" w:hAnsiTheme="minorEastAsia" w:eastAsiaTheme="minorEastAsia" w:cstheme="minorEastAsia"/>
              </w:rPr>
            </w:pPr>
          </w:p>
        </w:tc>
        <w:tc>
          <w:tcPr>
            <w:tcW w:w="2885" w:type="dxa"/>
          </w:tcPr>
          <w:p w14:paraId="4FCF0C26">
            <w:pPr>
              <w:spacing w:line="520" w:lineRule="exact"/>
              <w:rPr>
                <w:rFonts w:asciiTheme="minorEastAsia" w:hAnsiTheme="minorEastAsia" w:eastAsiaTheme="minorEastAsia" w:cstheme="minorEastAsia"/>
              </w:rPr>
            </w:pPr>
          </w:p>
        </w:tc>
        <w:tc>
          <w:tcPr>
            <w:tcW w:w="2018" w:type="dxa"/>
          </w:tcPr>
          <w:p w14:paraId="24FA9C9E">
            <w:pPr>
              <w:spacing w:line="520" w:lineRule="exact"/>
              <w:rPr>
                <w:rFonts w:asciiTheme="minorEastAsia" w:hAnsiTheme="minorEastAsia" w:eastAsiaTheme="minorEastAsia" w:cstheme="minorEastAsia"/>
              </w:rPr>
            </w:pPr>
          </w:p>
        </w:tc>
      </w:tr>
    </w:tbl>
    <w:p w14:paraId="6A38F339">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（公章）</w:t>
      </w:r>
    </w:p>
    <w:p w14:paraId="4D31CD72">
      <w:pPr>
        <w:spacing w:line="520" w:lineRule="exact"/>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法定代表人或委托代理人：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（签字或盖章）</w:t>
      </w:r>
    </w:p>
    <w:p w14:paraId="7F992018">
      <w:pPr>
        <w:spacing w:line="520" w:lineRule="exact"/>
        <w:ind w:firstLine="480" w:firstLineChars="200"/>
        <w:jc w:val="right"/>
        <w:rPr>
          <w:rFonts w:asciiTheme="minorEastAsia" w:hAnsiTheme="minorEastAsia" w:eastAsiaTheme="minorEastAsia" w:cstheme="minorEastAsia"/>
        </w:rPr>
      </w:pPr>
      <w:r>
        <w:rPr>
          <w:rFonts w:hint="eastAsia" w:asciiTheme="minorEastAsia" w:hAnsiTheme="minorEastAsia" w:eastAsiaTheme="minorEastAsia" w:cstheme="minorEastAsia"/>
        </w:rPr>
        <w:t>日期：     年  月  日</w:t>
      </w:r>
    </w:p>
    <w:p w14:paraId="59588B87">
      <w:pPr>
        <w:spacing w:line="440" w:lineRule="exact"/>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rPr>
        <w:br w:type="page"/>
      </w:r>
    </w:p>
    <w:p w14:paraId="178BA9FA">
      <w:pPr>
        <w:spacing w:line="440" w:lineRule="exact"/>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附件3-4 投标人概况</w:t>
      </w:r>
    </w:p>
    <w:tbl>
      <w:tblPr>
        <w:tblStyle w:val="40"/>
        <w:tblW w:w="10459" w:type="dxa"/>
        <w:jc w:val="center"/>
        <w:tblLayout w:type="fixed"/>
        <w:tblCellMar>
          <w:top w:w="0" w:type="dxa"/>
          <w:left w:w="10" w:type="dxa"/>
          <w:bottom w:w="0" w:type="dxa"/>
          <w:right w:w="10" w:type="dxa"/>
        </w:tblCellMar>
      </w:tblPr>
      <w:tblGrid>
        <w:gridCol w:w="1912"/>
        <w:gridCol w:w="1035"/>
        <w:gridCol w:w="1531"/>
        <w:gridCol w:w="1564"/>
        <w:gridCol w:w="527"/>
        <w:gridCol w:w="1099"/>
        <w:gridCol w:w="1161"/>
        <w:gridCol w:w="1630"/>
      </w:tblGrid>
      <w:tr w14:paraId="1AC5E00F">
        <w:tblPrEx>
          <w:tblCellMar>
            <w:top w:w="0" w:type="dxa"/>
            <w:left w:w="10" w:type="dxa"/>
            <w:bottom w:w="0" w:type="dxa"/>
            <w:right w:w="10" w:type="dxa"/>
          </w:tblCellMar>
        </w:tblPrEx>
        <w:trPr>
          <w:trHeight w:val="599" w:hRule="exact"/>
          <w:jc w:val="center"/>
        </w:trPr>
        <w:tc>
          <w:tcPr>
            <w:tcW w:w="1912" w:type="dxa"/>
            <w:tcBorders>
              <w:top w:val="single" w:color="auto" w:sz="4" w:space="0"/>
              <w:left w:val="single" w:color="auto" w:sz="4" w:space="0"/>
            </w:tcBorders>
            <w:shd w:val="clear" w:color="auto" w:fill="auto"/>
            <w:vAlign w:val="center"/>
          </w:tcPr>
          <w:p w14:paraId="1C0B1A0C">
            <w:pPr>
              <w:pStyle w:val="167"/>
              <w:ind w:firstLine="3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w:t>
            </w:r>
          </w:p>
        </w:tc>
        <w:tc>
          <w:tcPr>
            <w:tcW w:w="8547" w:type="dxa"/>
            <w:gridSpan w:val="7"/>
            <w:tcBorders>
              <w:top w:val="single" w:color="auto" w:sz="4" w:space="0"/>
              <w:left w:val="single" w:color="auto" w:sz="4" w:space="0"/>
              <w:right w:val="single" w:color="auto" w:sz="4" w:space="0"/>
            </w:tcBorders>
            <w:shd w:val="clear" w:color="auto" w:fill="auto"/>
            <w:vAlign w:val="center"/>
          </w:tcPr>
          <w:p w14:paraId="74650B04">
            <w:pPr>
              <w:rPr>
                <w:rFonts w:asciiTheme="minorEastAsia" w:hAnsiTheme="minorEastAsia" w:eastAsiaTheme="minorEastAsia" w:cstheme="minorEastAsia"/>
              </w:rPr>
            </w:pPr>
          </w:p>
        </w:tc>
      </w:tr>
      <w:tr w14:paraId="25BCA17A">
        <w:tblPrEx>
          <w:tblCellMar>
            <w:top w:w="0" w:type="dxa"/>
            <w:left w:w="10" w:type="dxa"/>
            <w:bottom w:w="0" w:type="dxa"/>
            <w:right w:w="10" w:type="dxa"/>
          </w:tblCellMar>
        </w:tblPrEx>
        <w:trPr>
          <w:trHeight w:val="728" w:hRule="exact"/>
          <w:jc w:val="center"/>
        </w:trPr>
        <w:tc>
          <w:tcPr>
            <w:tcW w:w="1912" w:type="dxa"/>
            <w:tcBorders>
              <w:top w:val="single" w:color="auto" w:sz="4" w:space="0"/>
              <w:left w:val="single" w:color="auto" w:sz="4" w:space="0"/>
            </w:tcBorders>
            <w:shd w:val="clear" w:color="auto" w:fill="auto"/>
            <w:vAlign w:val="center"/>
          </w:tcPr>
          <w:p w14:paraId="5BC1E4DB">
            <w:pPr>
              <w:pStyle w:val="167"/>
              <w:spacing w:line="41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p>
        </w:tc>
        <w:tc>
          <w:tcPr>
            <w:tcW w:w="8547" w:type="dxa"/>
            <w:gridSpan w:val="7"/>
            <w:tcBorders>
              <w:top w:val="single" w:color="auto" w:sz="4" w:space="0"/>
              <w:left w:val="single" w:color="auto" w:sz="4" w:space="0"/>
              <w:right w:val="single" w:color="auto" w:sz="4" w:space="0"/>
            </w:tcBorders>
            <w:shd w:val="clear" w:color="auto" w:fill="auto"/>
            <w:vAlign w:val="center"/>
          </w:tcPr>
          <w:p w14:paraId="0219E460">
            <w:pPr>
              <w:rPr>
                <w:rFonts w:asciiTheme="minorEastAsia" w:hAnsiTheme="minorEastAsia" w:eastAsiaTheme="minorEastAsia" w:cstheme="minorEastAsia"/>
              </w:rPr>
            </w:pPr>
          </w:p>
        </w:tc>
      </w:tr>
      <w:tr w14:paraId="5DAA8533">
        <w:tblPrEx>
          <w:tblCellMar>
            <w:top w:w="0" w:type="dxa"/>
            <w:left w:w="10" w:type="dxa"/>
            <w:bottom w:w="0" w:type="dxa"/>
            <w:right w:w="10" w:type="dxa"/>
          </w:tblCellMar>
        </w:tblPrEx>
        <w:trPr>
          <w:trHeight w:val="579" w:hRule="exact"/>
          <w:jc w:val="center"/>
        </w:trPr>
        <w:tc>
          <w:tcPr>
            <w:tcW w:w="1912" w:type="dxa"/>
            <w:tcBorders>
              <w:top w:val="single" w:color="auto" w:sz="4" w:space="0"/>
              <w:left w:val="single" w:color="auto" w:sz="4" w:space="0"/>
            </w:tcBorders>
            <w:shd w:val="clear" w:color="auto" w:fill="auto"/>
            <w:vAlign w:val="center"/>
          </w:tcPr>
          <w:p w14:paraId="24F4B960">
            <w:pPr>
              <w:pStyle w:val="167"/>
              <w:ind w:firstLine="4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注册地址</w:t>
            </w:r>
          </w:p>
        </w:tc>
        <w:tc>
          <w:tcPr>
            <w:tcW w:w="4130" w:type="dxa"/>
            <w:gridSpan w:val="3"/>
            <w:tcBorders>
              <w:top w:val="single" w:color="auto" w:sz="4" w:space="0"/>
              <w:left w:val="single" w:color="auto" w:sz="4" w:space="0"/>
            </w:tcBorders>
            <w:shd w:val="clear" w:color="auto" w:fill="auto"/>
            <w:vAlign w:val="center"/>
          </w:tcPr>
          <w:p w14:paraId="299876AC">
            <w:pPr>
              <w:rPr>
                <w:rFonts w:asciiTheme="minorEastAsia" w:hAnsiTheme="minorEastAsia" w:eastAsiaTheme="minorEastAsia" w:cstheme="minorEastAsia"/>
              </w:rPr>
            </w:pPr>
          </w:p>
        </w:tc>
        <w:tc>
          <w:tcPr>
            <w:tcW w:w="1626" w:type="dxa"/>
            <w:gridSpan w:val="2"/>
            <w:tcBorders>
              <w:top w:val="single" w:color="auto" w:sz="4" w:space="0"/>
              <w:left w:val="single" w:color="auto" w:sz="4" w:space="0"/>
            </w:tcBorders>
            <w:shd w:val="clear" w:color="auto" w:fill="auto"/>
            <w:vAlign w:val="center"/>
          </w:tcPr>
          <w:p w14:paraId="5AA00BF7">
            <w:pPr>
              <w:pStyle w:val="1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2791" w:type="dxa"/>
            <w:gridSpan w:val="2"/>
            <w:tcBorders>
              <w:top w:val="single" w:color="auto" w:sz="4" w:space="0"/>
              <w:left w:val="single" w:color="auto" w:sz="4" w:space="0"/>
              <w:right w:val="single" w:color="auto" w:sz="4" w:space="0"/>
            </w:tcBorders>
            <w:shd w:val="clear" w:color="auto" w:fill="auto"/>
            <w:vAlign w:val="center"/>
          </w:tcPr>
          <w:p w14:paraId="27E69E41">
            <w:pPr>
              <w:rPr>
                <w:rFonts w:asciiTheme="minorEastAsia" w:hAnsiTheme="minorEastAsia" w:eastAsiaTheme="minorEastAsia" w:cstheme="minorEastAsia"/>
              </w:rPr>
            </w:pPr>
          </w:p>
        </w:tc>
      </w:tr>
      <w:tr w14:paraId="6228DF2E">
        <w:tblPrEx>
          <w:tblCellMar>
            <w:top w:w="0" w:type="dxa"/>
            <w:left w:w="10" w:type="dxa"/>
            <w:bottom w:w="0" w:type="dxa"/>
            <w:right w:w="10" w:type="dxa"/>
          </w:tblCellMar>
        </w:tblPrEx>
        <w:trPr>
          <w:trHeight w:val="579" w:hRule="exact"/>
          <w:jc w:val="center"/>
        </w:trPr>
        <w:tc>
          <w:tcPr>
            <w:tcW w:w="1912" w:type="dxa"/>
            <w:vMerge w:val="restart"/>
            <w:tcBorders>
              <w:top w:val="single" w:color="auto" w:sz="4" w:space="0"/>
              <w:left w:val="single" w:color="auto" w:sz="4" w:space="0"/>
            </w:tcBorders>
            <w:shd w:val="clear" w:color="auto" w:fill="auto"/>
            <w:vAlign w:val="center"/>
          </w:tcPr>
          <w:p w14:paraId="13F9CD86">
            <w:pPr>
              <w:pStyle w:val="167"/>
              <w:ind w:firstLine="4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tc>
        <w:tc>
          <w:tcPr>
            <w:tcW w:w="1035" w:type="dxa"/>
            <w:tcBorders>
              <w:top w:val="single" w:color="auto" w:sz="4" w:space="0"/>
              <w:left w:val="single" w:color="auto" w:sz="4" w:space="0"/>
            </w:tcBorders>
            <w:shd w:val="clear" w:color="auto" w:fill="auto"/>
            <w:vAlign w:val="center"/>
          </w:tcPr>
          <w:p w14:paraId="5B783A69">
            <w:pPr>
              <w:pStyle w:val="1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3095" w:type="dxa"/>
            <w:gridSpan w:val="2"/>
            <w:tcBorders>
              <w:top w:val="single" w:color="auto" w:sz="4" w:space="0"/>
              <w:left w:val="single" w:color="auto" w:sz="4" w:space="0"/>
            </w:tcBorders>
            <w:shd w:val="clear" w:color="auto" w:fill="auto"/>
            <w:vAlign w:val="center"/>
          </w:tcPr>
          <w:p w14:paraId="66629E8E">
            <w:pPr>
              <w:rPr>
                <w:rFonts w:asciiTheme="minorEastAsia" w:hAnsiTheme="minorEastAsia" w:eastAsiaTheme="minorEastAsia" w:cstheme="minorEastAsia"/>
              </w:rPr>
            </w:pPr>
          </w:p>
        </w:tc>
        <w:tc>
          <w:tcPr>
            <w:tcW w:w="1626" w:type="dxa"/>
            <w:gridSpan w:val="2"/>
            <w:tcBorders>
              <w:top w:val="single" w:color="auto" w:sz="4" w:space="0"/>
              <w:left w:val="single" w:color="auto" w:sz="4" w:space="0"/>
            </w:tcBorders>
            <w:shd w:val="clear" w:color="auto" w:fill="auto"/>
            <w:vAlign w:val="center"/>
          </w:tcPr>
          <w:p w14:paraId="68F162B6">
            <w:pPr>
              <w:pStyle w:val="1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2791" w:type="dxa"/>
            <w:gridSpan w:val="2"/>
            <w:tcBorders>
              <w:top w:val="single" w:color="auto" w:sz="4" w:space="0"/>
              <w:left w:val="single" w:color="auto" w:sz="4" w:space="0"/>
              <w:right w:val="single" w:color="auto" w:sz="4" w:space="0"/>
            </w:tcBorders>
            <w:shd w:val="clear" w:color="auto" w:fill="auto"/>
            <w:vAlign w:val="center"/>
          </w:tcPr>
          <w:p w14:paraId="52179F33">
            <w:pPr>
              <w:rPr>
                <w:rFonts w:asciiTheme="minorEastAsia" w:hAnsiTheme="minorEastAsia" w:eastAsiaTheme="minorEastAsia" w:cstheme="minorEastAsia"/>
              </w:rPr>
            </w:pPr>
          </w:p>
        </w:tc>
      </w:tr>
      <w:tr w14:paraId="09ED38B6">
        <w:tblPrEx>
          <w:tblCellMar>
            <w:top w:w="0" w:type="dxa"/>
            <w:left w:w="10" w:type="dxa"/>
            <w:bottom w:w="0" w:type="dxa"/>
            <w:right w:w="10" w:type="dxa"/>
          </w:tblCellMar>
        </w:tblPrEx>
        <w:trPr>
          <w:trHeight w:val="589" w:hRule="exact"/>
          <w:jc w:val="center"/>
        </w:trPr>
        <w:tc>
          <w:tcPr>
            <w:tcW w:w="1912" w:type="dxa"/>
            <w:vMerge w:val="continue"/>
            <w:tcBorders>
              <w:left w:val="single" w:color="auto" w:sz="4" w:space="0"/>
            </w:tcBorders>
            <w:shd w:val="clear" w:color="auto" w:fill="auto"/>
            <w:vAlign w:val="center"/>
          </w:tcPr>
          <w:p w14:paraId="5FE55053">
            <w:pPr>
              <w:rPr>
                <w:rFonts w:asciiTheme="minorEastAsia" w:hAnsiTheme="minorEastAsia" w:eastAsiaTheme="minorEastAsia" w:cstheme="minorEastAsia"/>
              </w:rPr>
            </w:pPr>
          </w:p>
        </w:tc>
        <w:tc>
          <w:tcPr>
            <w:tcW w:w="1035" w:type="dxa"/>
            <w:tcBorders>
              <w:top w:val="single" w:color="auto" w:sz="4" w:space="0"/>
              <w:left w:val="single" w:color="auto" w:sz="4" w:space="0"/>
            </w:tcBorders>
            <w:shd w:val="clear" w:color="auto" w:fill="auto"/>
            <w:vAlign w:val="center"/>
          </w:tcPr>
          <w:p w14:paraId="28AD3A5D">
            <w:pPr>
              <w:pStyle w:val="1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tc>
        <w:tc>
          <w:tcPr>
            <w:tcW w:w="3095" w:type="dxa"/>
            <w:gridSpan w:val="2"/>
            <w:tcBorders>
              <w:top w:val="single" w:color="auto" w:sz="4" w:space="0"/>
              <w:left w:val="single" w:color="auto" w:sz="4" w:space="0"/>
            </w:tcBorders>
            <w:shd w:val="clear" w:color="auto" w:fill="auto"/>
            <w:vAlign w:val="center"/>
          </w:tcPr>
          <w:p w14:paraId="1831601F">
            <w:pPr>
              <w:rPr>
                <w:rFonts w:asciiTheme="minorEastAsia" w:hAnsiTheme="minorEastAsia" w:eastAsiaTheme="minorEastAsia" w:cstheme="minorEastAsia"/>
              </w:rPr>
            </w:pPr>
          </w:p>
        </w:tc>
        <w:tc>
          <w:tcPr>
            <w:tcW w:w="1626" w:type="dxa"/>
            <w:gridSpan w:val="2"/>
            <w:tcBorders>
              <w:top w:val="single" w:color="auto" w:sz="4" w:space="0"/>
              <w:left w:val="single" w:color="auto" w:sz="4" w:space="0"/>
            </w:tcBorders>
            <w:shd w:val="clear" w:color="auto" w:fill="auto"/>
            <w:vAlign w:val="center"/>
          </w:tcPr>
          <w:p w14:paraId="062E966D">
            <w:pPr>
              <w:pStyle w:val="1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w:t>
            </w:r>
          </w:p>
        </w:tc>
        <w:tc>
          <w:tcPr>
            <w:tcW w:w="2791" w:type="dxa"/>
            <w:gridSpan w:val="2"/>
            <w:tcBorders>
              <w:top w:val="single" w:color="auto" w:sz="4" w:space="0"/>
              <w:left w:val="single" w:color="auto" w:sz="4" w:space="0"/>
              <w:right w:val="single" w:color="auto" w:sz="4" w:space="0"/>
            </w:tcBorders>
            <w:shd w:val="clear" w:color="auto" w:fill="auto"/>
            <w:vAlign w:val="center"/>
          </w:tcPr>
          <w:p w14:paraId="3BEF0EB9">
            <w:pPr>
              <w:rPr>
                <w:rFonts w:asciiTheme="minorEastAsia" w:hAnsiTheme="minorEastAsia" w:eastAsiaTheme="minorEastAsia" w:cstheme="minorEastAsia"/>
              </w:rPr>
            </w:pPr>
          </w:p>
        </w:tc>
      </w:tr>
      <w:tr w14:paraId="38CC63EF">
        <w:tblPrEx>
          <w:tblCellMar>
            <w:top w:w="0" w:type="dxa"/>
            <w:left w:w="10" w:type="dxa"/>
            <w:bottom w:w="0" w:type="dxa"/>
            <w:right w:w="10" w:type="dxa"/>
          </w:tblCellMar>
        </w:tblPrEx>
        <w:trPr>
          <w:trHeight w:val="558" w:hRule="exact"/>
          <w:jc w:val="center"/>
        </w:trPr>
        <w:tc>
          <w:tcPr>
            <w:tcW w:w="1912" w:type="dxa"/>
            <w:tcBorders>
              <w:top w:val="single" w:color="auto" w:sz="4" w:space="0"/>
              <w:left w:val="single" w:color="auto" w:sz="4" w:space="0"/>
            </w:tcBorders>
            <w:shd w:val="clear" w:color="auto" w:fill="auto"/>
            <w:vAlign w:val="center"/>
          </w:tcPr>
          <w:p w14:paraId="68105431">
            <w:pPr>
              <w:pStyle w:val="167"/>
              <w:ind w:firstLine="3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1035" w:type="dxa"/>
            <w:tcBorders>
              <w:top w:val="single" w:color="auto" w:sz="4" w:space="0"/>
              <w:left w:val="single" w:color="auto" w:sz="4" w:space="0"/>
            </w:tcBorders>
            <w:shd w:val="clear" w:color="auto" w:fill="auto"/>
            <w:vAlign w:val="center"/>
          </w:tcPr>
          <w:p w14:paraId="6A9D37DC">
            <w:pPr>
              <w:pStyle w:val="167"/>
              <w:ind w:firstLine="2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531" w:type="dxa"/>
            <w:tcBorders>
              <w:top w:val="single" w:color="auto" w:sz="4" w:space="0"/>
              <w:left w:val="single" w:color="auto" w:sz="4" w:space="0"/>
            </w:tcBorders>
            <w:shd w:val="clear" w:color="auto" w:fill="auto"/>
            <w:vAlign w:val="center"/>
          </w:tcPr>
          <w:p w14:paraId="43978760">
            <w:pPr>
              <w:rPr>
                <w:rFonts w:asciiTheme="minorEastAsia" w:hAnsiTheme="minorEastAsia" w:eastAsiaTheme="minorEastAsia" w:cstheme="minorEastAsia"/>
              </w:rPr>
            </w:pPr>
          </w:p>
        </w:tc>
        <w:tc>
          <w:tcPr>
            <w:tcW w:w="1564" w:type="dxa"/>
            <w:tcBorders>
              <w:top w:val="single" w:color="auto" w:sz="4" w:space="0"/>
              <w:left w:val="single" w:color="auto" w:sz="4" w:space="0"/>
            </w:tcBorders>
            <w:shd w:val="clear" w:color="auto" w:fill="auto"/>
            <w:vAlign w:val="center"/>
          </w:tcPr>
          <w:p w14:paraId="16A5F550">
            <w:pPr>
              <w:pStyle w:val="1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技术职称</w:t>
            </w:r>
          </w:p>
        </w:tc>
        <w:tc>
          <w:tcPr>
            <w:tcW w:w="1626" w:type="dxa"/>
            <w:gridSpan w:val="2"/>
            <w:tcBorders>
              <w:top w:val="single" w:color="auto" w:sz="4" w:space="0"/>
              <w:left w:val="single" w:color="auto" w:sz="4" w:space="0"/>
            </w:tcBorders>
            <w:shd w:val="clear" w:color="auto" w:fill="auto"/>
            <w:vAlign w:val="center"/>
          </w:tcPr>
          <w:p w14:paraId="6BD5E906">
            <w:pPr>
              <w:rPr>
                <w:rFonts w:asciiTheme="minorEastAsia" w:hAnsiTheme="minorEastAsia" w:eastAsiaTheme="minorEastAsia" w:cstheme="minorEastAsia"/>
              </w:rPr>
            </w:pPr>
          </w:p>
        </w:tc>
        <w:tc>
          <w:tcPr>
            <w:tcW w:w="1161" w:type="dxa"/>
            <w:tcBorders>
              <w:top w:val="single" w:color="auto" w:sz="4" w:space="0"/>
              <w:left w:val="single" w:color="auto" w:sz="4" w:space="0"/>
            </w:tcBorders>
            <w:shd w:val="clear" w:color="auto" w:fill="auto"/>
            <w:vAlign w:val="center"/>
          </w:tcPr>
          <w:p w14:paraId="44068F76">
            <w:pPr>
              <w:pStyle w:val="1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630" w:type="dxa"/>
            <w:tcBorders>
              <w:top w:val="single" w:color="auto" w:sz="4" w:space="0"/>
              <w:left w:val="single" w:color="auto" w:sz="4" w:space="0"/>
              <w:right w:val="single" w:color="auto" w:sz="4" w:space="0"/>
            </w:tcBorders>
            <w:shd w:val="clear" w:color="auto" w:fill="auto"/>
            <w:vAlign w:val="center"/>
          </w:tcPr>
          <w:p w14:paraId="2F9AE783">
            <w:pPr>
              <w:rPr>
                <w:rFonts w:asciiTheme="minorEastAsia" w:hAnsiTheme="minorEastAsia" w:eastAsiaTheme="minorEastAsia" w:cstheme="minorEastAsia"/>
              </w:rPr>
            </w:pPr>
          </w:p>
        </w:tc>
      </w:tr>
      <w:tr w14:paraId="735CC9C1">
        <w:tblPrEx>
          <w:tblCellMar>
            <w:top w:w="0" w:type="dxa"/>
            <w:left w:w="10" w:type="dxa"/>
            <w:bottom w:w="0" w:type="dxa"/>
            <w:right w:w="10" w:type="dxa"/>
          </w:tblCellMar>
        </w:tblPrEx>
        <w:trPr>
          <w:trHeight w:val="579" w:hRule="exact"/>
          <w:jc w:val="center"/>
        </w:trPr>
        <w:tc>
          <w:tcPr>
            <w:tcW w:w="1912" w:type="dxa"/>
            <w:tcBorders>
              <w:top w:val="single" w:color="auto" w:sz="4" w:space="0"/>
              <w:left w:val="single" w:color="auto" w:sz="4" w:space="0"/>
            </w:tcBorders>
            <w:shd w:val="clear" w:color="auto" w:fill="auto"/>
            <w:vAlign w:val="center"/>
          </w:tcPr>
          <w:p w14:paraId="4558027D">
            <w:pPr>
              <w:pStyle w:val="167"/>
              <w:ind w:firstLine="3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技术负责人</w:t>
            </w:r>
          </w:p>
        </w:tc>
        <w:tc>
          <w:tcPr>
            <w:tcW w:w="1035" w:type="dxa"/>
            <w:tcBorders>
              <w:top w:val="single" w:color="auto" w:sz="4" w:space="0"/>
              <w:left w:val="single" w:color="auto" w:sz="4" w:space="0"/>
            </w:tcBorders>
            <w:shd w:val="clear" w:color="auto" w:fill="auto"/>
            <w:vAlign w:val="center"/>
          </w:tcPr>
          <w:p w14:paraId="18409BEB">
            <w:pPr>
              <w:pStyle w:val="167"/>
              <w:ind w:firstLine="2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531" w:type="dxa"/>
            <w:tcBorders>
              <w:top w:val="single" w:color="auto" w:sz="4" w:space="0"/>
              <w:left w:val="single" w:color="auto" w:sz="4" w:space="0"/>
            </w:tcBorders>
            <w:shd w:val="clear" w:color="auto" w:fill="auto"/>
            <w:vAlign w:val="center"/>
          </w:tcPr>
          <w:p w14:paraId="78E070A8">
            <w:pPr>
              <w:rPr>
                <w:rFonts w:asciiTheme="minorEastAsia" w:hAnsiTheme="minorEastAsia" w:eastAsiaTheme="minorEastAsia" w:cstheme="minorEastAsia"/>
              </w:rPr>
            </w:pPr>
          </w:p>
        </w:tc>
        <w:tc>
          <w:tcPr>
            <w:tcW w:w="1564" w:type="dxa"/>
            <w:tcBorders>
              <w:top w:val="single" w:color="auto" w:sz="4" w:space="0"/>
              <w:left w:val="single" w:color="auto" w:sz="4" w:space="0"/>
            </w:tcBorders>
            <w:shd w:val="clear" w:color="auto" w:fill="auto"/>
            <w:vAlign w:val="center"/>
          </w:tcPr>
          <w:p w14:paraId="05000668">
            <w:pPr>
              <w:pStyle w:val="1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技术职称</w:t>
            </w:r>
          </w:p>
        </w:tc>
        <w:tc>
          <w:tcPr>
            <w:tcW w:w="1626" w:type="dxa"/>
            <w:gridSpan w:val="2"/>
            <w:tcBorders>
              <w:top w:val="single" w:color="auto" w:sz="4" w:space="0"/>
              <w:left w:val="single" w:color="auto" w:sz="4" w:space="0"/>
            </w:tcBorders>
            <w:shd w:val="clear" w:color="auto" w:fill="auto"/>
            <w:vAlign w:val="center"/>
          </w:tcPr>
          <w:p w14:paraId="5CE93018">
            <w:pPr>
              <w:rPr>
                <w:rFonts w:asciiTheme="minorEastAsia" w:hAnsiTheme="minorEastAsia" w:eastAsiaTheme="minorEastAsia" w:cstheme="minorEastAsia"/>
              </w:rPr>
            </w:pPr>
          </w:p>
        </w:tc>
        <w:tc>
          <w:tcPr>
            <w:tcW w:w="1161" w:type="dxa"/>
            <w:tcBorders>
              <w:top w:val="single" w:color="auto" w:sz="4" w:space="0"/>
              <w:left w:val="single" w:color="auto" w:sz="4" w:space="0"/>
            </w:tcBorders>
            <w:shd w:val="clear" w:color="auto" w:fill="auto"/>
            <w:vAlign w:val="center"/>
          </w:tcPr>
          <w:p w14:paraId="2F8D1665">
            <w:pPr>
              <w:pStyle w:val="1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630" w:type="dxa"/>
            <w:tcBorders>
              <w:top w:val="single" w:color="auto" w:sz="4" w:space="0"/>
              <w:left w:val="single" w:color="auto" w:sz="4" w:space="0"/>
              <w:right w:val="single" w:color="auto" w:sz="4" w:space="0"/>
            </w:tcBorders>
            <w:shd w:val="clear" w:color="auto" w:fill="auto"/>
            <w:vAlign w:val="center"/>
          </w:tcPr>
          <w:p w14:paraId="15345105">
            <w:pPr>
              <w:rPr>
                <w:rFonts w:asciiTheme="minorEastAsia" w:hAnsiTheme="minorEastAsia" w:eastAsiaTheme="minorEastAsia" w:cstheme="minorEastAsia"/>
              </w:rPr>
            </w:pPr>
          </w:p>
        </w:tc>
      </w:tr>
      <w:tr w14:paraId="47D13493">
        <w:tblPrEx>
          <w:tblCellMar>
            <w:top w:w="0" w:type="dxa"/>
            <w:left w:w="10" w:type="dxa"/>
            <w:bottom w:w="0" w:type="dxa"/>
            <w:right w:w="10" w:type="dxa"/>
          </w:tblCellMar>
        </w:tblPrEx>
        <w:trPr>
          <w:trHeight w:val="728" w:hRule="exact"/>
          <w:jc w:val="center"/>
        </w:trPr>
        <w:tc>
          <w:tcPr>
            <w:tcW w:w="1912" w:type="dxa"/>
            <w:tcBorders>
              <w:top w:val="single" w:color="auto" w:sz="4" w:space="0"/>
              <w:left w:val="single" w:color="auto" w:sz="4" w:space="0"/>
            </w:tcBorders>
            <w:shd w:val="clear" w:color="auto" w:fill="auto"/>
            <w:vAlign w:val="center"/>
          </w:tcPr>
          <w:p w14:paraId="7001DFE5">
            <w:pPr>
              <w:pStyle w:val="167"/>
              <w:spacing w:line="41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企业设计资质证书</w:t>
            </w:r>
          </w:p>
        </w:tc>
        <w:tc>
          <w:tcPr>
            <w:tcW w:w="8547" w:type="dxa"/>
            <w:gridSpan w:val="7"/>
            <w:tcBorders>
              <w:top w:val="single" w:color="auto" w:sz="4" w:space="0"/>
              <w:left w:val="single" w:color="auto" w:sz="4" w:space="0"/>
              <w:right w:val="single" w:color="auto" w:sz="4" w:space="0"/>
            </w:tcBorders>
            <w:shd w:val="clear" w:color="auto" w:fill="auto"/>
            <w:vAlign w:val="center"/>
          </w:tcPr>
          <w:p w14:paraId="0414B383">
            <w:pPr>
              <w:pStyle w:val="167"/>
              <w:tabs>
                <w:tab w:val="left" w:pos="1972"/>
                <w:tab w:val="left" w:pos="3943"/>
              </w:tabs>
              <w:spacing w:before="8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r>
              <w:rPr>
                <w:rFonts w:hint="eastAsia" w:asciiTheme="minorEastAsia" w:hAnsiTheme="minorEastAsia" w:eastAsiaTheme="minorEastAsia" w:cstheme="minorEastAsia"/>
                <w:sz w:val="24"/>
                <w:szCs w:val="24"/>
                <w:lang w:val="en-US" w:bidi="en-US"/>
              </w:rPr>
              <w:tab/>
            </w:r>
            <w:r>
              <w:rPr>
                <w:rFonts w:hint="eastAsia" w:asciiTheme="minorEastAsia" w:hAnsiTheme="minorEastAsia" w:eastAsiaTheme="minorEastAsia" w:cstheme="minorEastAsia"/>
                <w:sz w:val="24"/>
                <w:szCs w:val="24"/>
              </w:rPr>
              <w:t>等级: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证书号：</w:t>
            </w:r>
          </w:p>
        </w:tc>
      </w:tr>
      <w:tr w14:paraId="111B1D73">
        <w:tblPrEx>
          <w:tblCellMar>
            <w:top w:w="0" w:type="dxa"/>
            <w:left w:w="10" w:type="dxa"/>
            <w:bottom w:w="0" w:type="dxa"/>
            <w:right w:w="10" w:type="dxa"/>
          </w:tblCellMar>
        </w:tblPrEx>
        <w:trPr>
          <w:trHeight w:val="848" w:hRule="exact"/>
          <w:jc w:val="center"/>
        </w:trPr>
        <w:tc>
          <w:tcPr>
            <w:tcW w:w="1912" w:type="dxa"/>
            <w:tcBorders>
              <w:top w:val="single" w:color="auto" w:sz="4" w:space="0"/>
              <w:left w:val="single" w:color="auto" w:sz="4" w:space="0"/>
            </w:tcBorders>
            <w:shd w:val="clear" w:color="auto" w:fill="auto"/>
            <w:vAlign w:val="center"/>
          </w:tcPr>
          <w:p w14:paraId="3B0B0173">
            <w:pPr>
              <w:pStyle w:val="167"/>
              <w:spacing w:line="399"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质量管理体系证书（如有）</w:t>
            </w:r>
          </w:p>
        </w:tc>
        <w:tc>
          <w:tcPr>
            <w:tcW w:w="8547" w:type="dxa"/>
            <w:gridSpan w:val="7"/>
            <w:tcBorders>
              <w:top w:val="single" w:color="auto" w:sz="4" w:space="0"/>
              <w:left w:val="single" w:color="auto" w:sz="4" w:space="0"/>
              <w:right w:val="single" w:color="auto" w:sz="4" w:space="0"/>
            </w:tcBorders>
            <w:shd w:val="clear" w:color="auto" w:fill="auto"/>
            <w:vAlign w:val="center"/>
          </w:tcPr>
          <w:p w14:paraId="00694E0E">
            <w:pPr>
              <w:pStyle w:val="167"/>
              <w:tabs>
                <w:tab w:val="left" w:pos="1983"/>
                <w:tab w:val="left" w:pos="3954"/>
              </w:tabs>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r>
              <w:rPr>
                <w:rFonts w:hint="eastAsia" w:asciiTheme="minorEastAsia" w:hAnsiTheme="minorEastAsia" w:eastAsiaTheme="minorEastAsia" w:cstheme="minorEastAsia"/>
                <w:sz w:val="24"/>
                <w:szCs w:val="24"/>
                <w:lang w:val="en-US" w:bidi="en-US"/>
              </w:rPr>
              <w:tab/>
            </w:r>
            <w:r>
              <w:rPr>
                <w:rFonts w:hint="eastAsia" w:asciiTheme="minorEastAsia" w:hAnsiTheme="minorEastAsia" w:eastAsiaTheme="minorEastAsia" w:cstheme="minorEastAsia"/>
                <w:sz w:val="24"/>
                <w:szCs w:val="24"/>
              </w:rPr>
              <w:t>等级: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证书号：</w:t>
            </w:r>
          </w:p>
        </w:tc>
      </w:tr>
      <w:tr w14:paraId="29C24029">
        <w:tblPrEx>
          <w:tblCellMar>
            <w:top w:w="0" w:type="dxa"/>
            <w:left w:w="10" w:type="dxa"/>
            <w:bottom w:w="0" w:type="dxa"/>
            <w:right w:w="10" w:type="dxa"/>
          </w:tblCellMar>
        </w:tblPrEx>
        <w:trPr>
          <w:trHeight w:val="579" w:hRule="exact"/>
          <w:jc w:val="center"/>
        </w:trPr>
        <w:tc>
          <w:tcPr>
            <w:tcW w:w="1912" w:type="dxa"/>
            <w:tcBorders>
              <w:top w:val="single" w:color="auto" w:sz="4" w:space="0"/>
              <w:left w:val="single" w:color="auto" w:sz="4" w:space="0"/>
            </w:tcBorders>
            <w:shd w:val="clear" w:color="auto" w:fill="auto"/>
            <w:vAlign w:val="center"/>
          </w:tcPr>
          <w:p w14:paraId="4A68F277">
            <w:pPr>
              <w:pStyle w:val="167"/>
              <w:ind w:firstLine="3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w:t>
            </w:r>
          </w:p>
        </w:tc>
        <w:tc>
          <w:tcPr>
            <w:tcW w:w="4130" w:type="dxa"/>
            <w:gridSpan w:val="3"/>
            <w:tcBorders>
              <w:top w:val="single" w:color="auto" w:sz="4" w:space="0"/>
              <w:left w:val="single" w:color="auto" w:sz="4" w:space="0"/>
            </w:tcBorders>
            <w:shd w:val="clear" w:color="auto" w:fill="auto"/>
            <w:vAlign w:val="center"/>
          </w:tcPr>
          <w:p w14:paraId="6696D579">
            <w:pPr>
              <w:rPr>
                <w:rFonts w:asciiTheme="minorEastAsia" w:hAnsiTheme="minorEastAsia" w:eastAsiaTheme="minorEastAsia" w:cstheme="minorEastAsia"/>
              </w:rPr>
            </w:pPr>
          </w:p>
        </w:tc>
        <w:tc>
          <w:tcPr>
            <w:tcW w:w="4417" w:type="dxa"/>
            <w:gridSpan w:val="4"/>
            <w:tcBorders>
              <w:top w:val="single" w:color="auto" w:sz="4" w:space="0"/>
              <w:left w:val="single" w:color="auto" w:sz="4" w:space="0"/>
              <w:right w:val="single" w:color="auto" w:sz="4" w:space="0"/>
            </w:tcBorders>
            <w:shd w:val="clear" w:color="auto" w:fill="auto"/>
            <w:vAlign w:val="center"/>
          </w:tcPr>
          <w:p w14:paraId="59109FBE">
            <w:pPr>
              <w:pStyle w:val="1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员工总人数：</w:t>
            </w:r>
          </w:p>
        </w:tc>
      </w:tr>
      <w:tr w14:paraId="6B1150FC">
        <w:tblPrEx>
          <w:tblCellMar>
            <w:top w:w="0" w:type="dxa"/>
            <w:left w:w="10" w:type="dxa"/>
            <w:bottom w:w="0" w:type="dxa"/>
            <w:right w:w="10" w:type="dxa"/>
          </w:tblCellMar>
        </w:tblPrEx>
        <w:trPr>
          <w:trHeight w:val="579" w:hRule="exact"/>
          <w:jc w:val="center"/>
        </w:trPr>
        <w:tc>
          <w:tcPr>
            <w:tcW w:w="1912" w:type="dxa"/>
            <w:tcBorders>
              <w:top w:val="single" w:color="auto" w:sz="4" w:space="0"/>
              <w:left w:val="single" w:color="auto" w:sz="4" w:space="0"/>
            </w:tcBorders>
            <w:shd w:val="clear" w:color="auto" w:fill="auto"/>
            <w:vAlign w:val="center"/>
          </w:tcPr>
          <w:p w14:paraId="6605A6DD">
            <w:pPr>
              <w:pStyle w:val="167"/>
              <w:ind w:firstLine="4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注册资本</w:t>
            </w:r>
          </w:p>
        </w:tc>
        <w:tc>
          <w:tcPr>
            <w:tcW w:w="4130" w:type="dxa"/>
            <w:gridSpan w:val="3"/>
            <w:tcBorders>
              <w:top w:val="single" w:color="auto" w:sz="4" w:space="0"/>
              <w:left w:val="single" w:color="auto" w:sz="4" w:space="0"/>
            </w:tcBorders>
            <w:shd w:val="clear" w:color="auto" w:fill="auto"/>
            <w:vAlign w:val="center"/>
          </w:tcPr>
          <w:p w14:paraId="2522F5EC">
            <w:pPr>
              <w:rPr>
                <w:rFonts w:asciiTheme="minorEastAsia" w:hAnsiTheme="minorEastAsia" w:eastAsiaTheme="minorEastAsia" w:cstheme="minorEastAsia"/>
              </w:rPr>
            </w:pPr>
          </w:p>
        </w:tc>
        <w:tc>
          <w:tcPr>
            <w:tcW w:w="527" w:type="dxa"/>
            <w:vMerge w:val="restart"/>
            <w:tcBorders>
              <w:top w:val="single" w:color="auto" w:sz="4" w:space="0"/>
              <w:left w:val="single" w:color="auto" w:sz="4" w:space="0"/>
            </w:tcBorders>
            <w:shd w:val="clear" w:color="auto" w:fill="auto"/>
            <w:vAlign w:val="center"/>
          </w:tcPr>
          <w:p w14:paraId="78D12034">
            <w:pPr>
              <w:pStyle w:val="167"/>
              <w:spacing w:line="399"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 中</w:t>
            </w:r>
          </w:p>
        </w:tc>
        <w:tc>
          <w:tcPr>
            <w:tcW w:w="2260" w:type="dxa"/>
            <w:gridSpan w:val="2"/>
            <w:tcBorders>
              <w:top w:val="single" w:color="auto" w:sz="4" w:space="0"/>
              <w:left w:val="single" w:color="auto" w:sz="4" w:space="0"/>
            </w:tcBorders>
            <w:shd w:val="clear" w:color="auto" w:fill="auto"/>
            <w:vAlign w:val="center"/>
          </w:tcPr>
          <w:p w14:paraId="260EFD39">
            <w:pPr>
              <w:pStyle w:val="167"/>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高级职称人员</w:t>
            </w:r>
          </w:p>
        </w:tc>
        <w:tc>
          <w:tcPr>
            <w:tcW w:w="1630" w:type="dxa"/>
            <w:tcBorders>
              <w:top w:val="single" w:color="auto" w:sz="4" w:space="0"/>
              <w:left w:val="single" w:color="auto" w:sz="4" w:space="0"/>
              <w:right w:val="single" w:color="auto" w:sz="4" w:space="0"/>
            </w:tcBorders>
            <w:shd w:val="clear" w:color="auto" w:fill="auto"/>
            <w:vAlign w:val="center"/>
          </w:tcPr>
          <w:p w14:paraId="32DD6E33">
            <w:pPr>
              <w:rPr>
                <w:rFonts w:asciiTheme="minorEastAsia" w:hAnsiTheme="minorEastAsia" w:eastAsiaTheme="minorEastAsia" w:cstheme="minorEastAsia"/>
              </w:rPr>
            </w:pPr>
          </w:p>
        </w:tc>
      </w:tr>
      <w:tr w14:paraId="5817F63F">
        <w:tblPrEx>
          <w:tblCellMar>
            <w:top w:w="0" w:type="dxa"/>
            <w:left w:w="10" w:type="dxa"/>
            <w:bottom w:w="0" w:type="dxa"/>
            <w:right w:w="10" w:type="dxa"/>
          </w:tblCellMar>
        </w:tblPrEx>
        <w:trPr>
          <w:trHeight w:val="579" w:hRule="exact"/>
          <w:jc w:val="center"/>
        </w:trPr>
        <w:tc>
          <w:tcPr>
            <w:tcW w:w="1912" w:type="dxa"/>
            <w:tcBorders>
              <w:top w:val="single" w:color="auto" w:sz="4" w:space="0"/>
              <w:left w:val="single" w:color="auto" w:sz="4" w:space="0"/>
            </w:tcBorders>
            <w:shd w:val="clear" w:color="auto" w:fill="auto"/>
            <w:vAlign w:val="center"/>
          </w:tcPr>
          <w:p w14:paraId="7B5192B7">
            <w:pPr>
              <w:pStyle w:val="167"/>
              <w:ind w:firstLine="4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成立日期</w:t>
            </w:r>
          </w:p>
        </w:tc>
        <w:tc>
          <w:tcPr>
            <w:tcW w:w="4130" w:type="dxa"/>
            <w:gridSpan w:val="3"/>
            <w:tcBorders>
              <w:top w:val="single" w:color="auto" w:sz="4" w:space="0"/>
              <w:left w:val="single" w:color="auto" w:sz="4" w:space="0"/>
            </w:tcBorders>
            <w:shd w:val="clear" w:color="auto" w:fill="auto"/>
            <w:vAlign w:val="center"/>
          </w:tcPr>
          <w:p w14:paraId="27F1EF94">
            <w:pPr>
              <w:rPr>
                <w:rFonts w:asciiTheme="minorEastAsia" w:hAnsiTheme="minorEastAsia" w:eastAsiaTheme="minorEastAsia" w:cstheme="minorEastAsia"/>
              </w:rPr>
            </w:pPr>
          </w:p>
        </w:tc>
        <w:tc>
          <w:tcPr>
            <w:tcW w:w="527" w:type="dxa"/>
            <w:vMerge w:val="continue"/>
            <w:tcBorders>
              <w:left w:val="single" w:color="auto" w:sz="4" w:space="0"/>
            </w:tcBorders>
            <w:shd w:val="clear" w:color="auto" w:fill="auto"/>
            <w:vAlign w:val="center"/>
          </w:tcPr>
          <w:p w14:paraId="1D0A557D">
            <w:pPr>
              <w:rPr>
                <w:rFonts w:asciiTheme="minorEastAsia" w:hAnsiTheme="minorEastAsia" w:eastAsiaTheme="minorEastAsia" w:cstheme="minorEastAsia"/>
              </w:rPr>
            </w:pPr>
          </w:p>
        </w:tc>
        <w:tc>
          <w:tcPr>
            <w:tcW w:w="2260" w:type="dxa"/>
            <w:gridSpan w:val="2"/>
            <w:tcBorders>
              <w:top w:val="single" w:color="auto" w:sz="4" w:space="0"/>
              <w:left w:val="single" w:color="auto" w:sz="4" w:space="0"/>
            </w:tcBorders>
            <w:shd w:val="clear" w:color="auto" w:fill="auto"/>
            <w:vAlign w:val="center"/>
          </w:tcPr>
          <w:p w14:paraId="22985F21">
            <w:pPr>
              <w:pStyle w:val="167"/>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中级职称人员</w:t>
            </w:r>
          </w:p>
        </w:tc>
        <w:tc>
          <w:tcPr>
            <w:tcW w:w="1630" w:type="dxa"/>
            <w:tcBorders>
              <w:top w:val="single" w:color="auto" w:sz="4" w:space="0"/>
              <w:left w:val="single" w:color="auto" w:sz="4" w:space="0"/>
              <w:right w:val="single" w:color="auto" w:sz="4" w:space="0"/>
            </w:tcBorders>
            <w:shd w:val="clear" w:color="auto" w:fill="auto"/>
            <w:vAlign w:val="center"/>
          </w:tcPr>
          <w:p w14:paraId="42FC17EF">
            <w:pPr>
              <w:rPr>
                <w:rFonts w:asciiTheme="minorEastAsia" w:hAnsiTheme="minorEastAsia" w:eastAsiaTheme="minorEastAsia" w:cstheme="minorEastAsia"/>
              </w:rPr>
            </w:pPr>
          </w:p>
        </w:tc>
      </w:tr>
      <w:tr w14:paraId="3999A1D9">
        <w:tblPrEx>
          <w:tblCellMar>
            <w:top w:w="0" w:type="dxa"/>
            <w:left w:w="10" w:type="dxa"/>
            <w:bottom w:w="0" w:type="dxa"/>
            <w:right w:w="10" w:type="dxa"/>
          </w:tblCellMar>
        </w:tblPrEx>
        <w:trPr>
          <w:trHeight w:val="738" w:hRule="exact"/>
          <w:jc w:val="center"/>
        </w:trPr>
        <w:tc>
          <w:tcPr>
            <w:tcW w:w="1912" w:type="dxa"/>
            <w:tcBorders>
              <w:top w:val="single" w:color="auto" w:sz="4" w:space="0"/>
              <w:left w:val="single" w:color="auto" w:sz="4" w:space="0"/>
            </w:tcBorders>
            <w:shd w:val="clear" w:color="auto" w:fill="auto"/>
            <w:vAlign w:val="center"/>
          </w:tcPr>
          <w:p w14:paraId="6D13A440">
            <w:pPr>
              <w:pStyle w:val="167"/>
              <w:spacing w:line="41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基本账户开户银行</w:t>
            </w:r>
          </w:p>
        </w:tc>
        <w:tc>
          <w:tcPr>
            <w:tcW w:w="4130" w:type="dxa"/>
            <w:gridSpan w:val="3"/>
            <w:tcBorders>
              <w:top w:val="single" w:color="auto" w:sz="4" w:space="0"/>
              <w:left w:val="single" w:color="auto" w:sz="4" w:space="0"/>
            </w:tcBorders>
            <w:shd w:val="clear" w:color="auto" w:fill="auto"/>
            <w:vAlign w:val="center"/>
          </w:tcPr>
          <w:p w14:paraId="4029C100">
            <w:pPr>
              <w:rPr>
                <w:rFonts w:asciiTheme="minorEastAsia" w:hAnsiTheme="minorEastAsia" w:eastAsiaTheme="minorEastAsia" w:cstheme="minorEastAsia"/>
              </w:rPr>
            </w:pPr>
          </w:p>
        </w:tc>
        <w:tc>
          <w:tcPr>
            <w:tcW w:w="527" w:type="dxa"/>
            <w:vMerge w:val="continue"/>
            <w:tcBorders>
              <w:left w:val="single" w:color="auto" w:sz="4" w:space="0"/>
            </w:tcBorders>
            <w:shd w:val="clear" w:color="auto" w:fill="auto"/>
            <w:vAlign w:val="center"/>
          </w:tcPr>
          <w:p w14:paraId="5CC0FD35">
            <w:pPr>
              <w:rPr>
                <w:rFonts w:asciiTheme="minorEastAsia" w:hAnsiTheme="minorEastAsia" w:eastAsiaTheme="minorEastAsia" w:cstheme="minorEastAsia"/>
              </w:rPr>
            </w:pPr>
          </w:p>
        </w:tc>
        <w:tc>
          <w:tcPr>
            <w:tcW w:w="2260" w:type="dxa"/>
            <w:gridSpan w:val="2"/>
            <w:tcBorders>
              <w:top w:val="single" w:color="auto" w:sz="4" w:space="0"/>
              <w:left w:val="single" w:color="auto" w:sz="4" w:space="0"/>
            </w:tcBorders>
            <w:shd w:val="clear" w:color="auto" w:fill="auto"/>
            <w:vAlign w:val="center"/>
          </w:tcPr>
          <w:p w14:paraId="5E51DA76">
            <w:pPr>
              <w:pStyle w:val="167"/>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技术人员数量</w:t>
            </w:r>
          </w:p>
        </w:tc>
        <w:tc>
          <w:tcPr>
            <w:tcW w:w="1630" w:type="dxa"/>
            <w:tcBorders>
              <w:top w:val="single" w:color="auto" w:sz="4" w:space="0"/>
              <w:left w:val="single" w:color="auto" w:sz="4" w:space="0"/>
              <w:right w:val="single" w:color="auto" w:sz="4" w:space="0"/>
            </w:tcBorders>
            <w:shd w:val="clear" w:color="auto" w:fill="auto"/>
            <w:vAlign w:val="center"/>
          </w:tcPr>
          <w:p w14:paraId="15B2217A">
            <w:pPr>
              <w:rPr>
                <w:rFonts w:asciiTheme="minorEastAsia" w:hAnsiTheme="minorEastAsia" w:eastAsiaTheme="minorEastAsia" w:cstheme="minorEastAsia"/>
              </w:rPr>
            </w:pPr>
          </w:p>
        </w:tc>
      </w:tr>
      <w:tr w14:paraId="1E5BE5F3">
        <w:tblPrEx>
          <w:tblCellMar>
            <w:top w:w="0" w:type="dxa"/>
            <w:left w:w="10" w:type="dxa"/>
            <w:bottom w:w="0" w:type="dxa"/>
            <w:right w:w="10" w:type="dxa"/>
          </w:tblCellMar>
        </w:tblPrEx>
        <w:trPr>
          <w:trHeight w:val="728" w:hRule="exact"/>
          <w:jc w:val="center"/>
        </w:trPr>
        <w:tc>
          <w:tcPr>
            <w:tcW w:w="1912" w:type="dxa"/>
            <w:tcBorders>
              <w:top w:val="single" w:color="auto" w:sz="4" w:space="0"/>
              <w:left w:val="single" w:color="auto" w:sz="4" w:space="0"/>
            </w:tcBorders>
            <w:shd w:val="clear" w:color="auto" w:fill="auto"/>
            <w:vAlign w:val="center"/>
          </w:tcPr>
          <w:p w14:paraId="325649D0">
            <w:pPr>
              <w:pStyle w:val="167"/>
              <w:spacing w:line="399"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基本账户银行账号</w:t>
            </w:r>
          </w:p>
        </w:tc>
        <w:tc>
          <w:tcPr>
            <w:tcW w:w="4130" w:type="dxa"/>
            <w:gridSpan w:val="3"/>
            <w:tcBorders>
              <w:top w:val="single" w:color="auto" w:sz="4" w:space="0"/>
              <w:left w:val="single" w:color="auto" w:sz="4" w:space="0"/>
            </w:tcBorders>
            <w:shd w:val="clear" w:color="auto" w:fill="auto"/>
            <w:vAlign w:val="center"/>
          </w:tcPr>
          <w:p w14:paraId="7F0FE0FE">
            <w:pPr>
              <w:rPr>
                <w:rFonts w:asciiTheme="minorEastAsia" w:hAnsiTheme="minorEastAsia" w:eastAsiaTheme="minorEastAsia" w:cstheme="minorEastAsia"/>
              </w:rPr>
            </w:pPr>
          </w:p>
        </w:tc>
        <w:tc>
          <w:tcPr>
            <w:tcW w:w="527" w:type="dxa"/>
            <w:vMerge w:val="continue"/>
            <w:tcBorders>
              <w:left w:val="single" w:color="auto" w:sz="4" w:space="0"/>
            </w:tcBorders>
            <w:shd w:val="clear" w:color="auto" w:fill="auto"/>
            <w:vAlign w:val="center"/>
          </w:tcPr>
          <w:p w14:paraId="5796F6CD">
            <w:pPr>
              <w:rPr>
                <w:rFonts w:asciiTheme="minorEastAsia" w:hAnsiTheme="minorEastAsia" w:eastAsiaTheme="minorEastAsia" w:cstheme="minorEastAsia"/>
              </w:rPr>
            </w:pPr>
          </w:p>
        </w:tc>
        <w:tc>
          <w:tcPr>
            <w:tcW w:w="2260" w:type="dxa"/>
            <w:gridSpan w:val="2"/>
            <w:tcBorders>
              <w:top w:val="single" w:color="auto" w:sz="4" w:space="0"/>
              <w:left w:val="single" w:color="auto" w:sz="4" w:space="0"/>
            </w:tcBorders>
            <w:shd w:val="clear" w:color="auto" w:fill="auto"/>
            <w:vAlign w:val="center"/>
          </w:tcPr>
          <w:p w14:paraId="14B23A32">
            <w:pPr>
              <w:pStyle w:val="167"/>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各类注册人员</w:t>
            </w:r>
          </w:p>
        </w:tc>
        <w:tc>
          <w:tcPr>
            <w:tcW w:w="1630" w:type="dxa"/>
            <w:tcBorders>
              <w:top w:val="single" w:color="auto" w:sz="4" w:space="0"/>
              <w:left w:val="single" w:color="auto" w:sz="4" w:space="0"/>
              <w:right w:val="single" w:color="auto" w:sz="4" w:space="0"/>
            </w:tcBorders>
            <w:shd w:val="clear" w:color="auto" w:fill="auto"/>
            <w:vAlign w:val="center"/>
          </w:tcPr>
          <w:p w14:paraId="6AE1E833">
            <w:pPr>
              <w:rPr>
                <w:rFonts w:asciiTheme="minorEastAsia" w:hAnsiTheme="minorEastAsia" w:eastAsiaTheme="minorEastAsia" w:cstheme="minorEastAsia"/>
              </w:rPr>
            </w:pPr>
          </w:p>
        </w:tc>
      </w:tr>
      <w:tr w14:paraId="74E19C13">
        <w:tblPrEx>
          <w:tblCellMar>
            <w:top w:w="0" w:type="dxa"/>
            <w:left w:w="10" w:type="dxa"/>
            <w:bottom w:w="0" w:type="dxa"/>
            <w:right w:w="10" w:type="dxa"/>
          </w:tblCellMar>
        </w:tblPrEx>
        <w:trPr>
          <w:trHeight w:val="589" w:hRule="exact"/>
          <w:jc w:val="center"/>
        </w:trPr>
        <w:tc>
          <w:tcPr>
            <w:tcW w:w="1912" w:type="dxa"/>
            <w:tcBorders>
              <w:top w:val="single" w:color="auto" w:sz="4" w:space="0"/>
              <w:left w:val="single" w:color="auto" w:sz="4" w:space="0"/>
            </w:tcBorders>
            <w:shd w:val="clear" w:color="auto" w:fill="auto"/>
            <w:vAlign w:val="center"/>
          </w:tcPr>
          <w:p w14:paraId="10FBEC88">
            <w:pPr>
              <w:pStyle w:val="167"/>
              <w:ind w:firstLine="4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w:t>
            </w:r>
          </w:p>
        </w:tc>
        <w:tc>
          <w:tcPr>
            <w:tcW w:w="8547" w:type="dxa"/>
            <w:gridSpan w:val="7"/>
            <w:tcBorders>
              <w:top w:val="single" w:color="auto" w:sz="4" w:space="0"/>
              <w:left w:val="single" w:color="auto" w:sz="4" w:space="0"/>
              <w:right w:val="single" w:color="auto" w:sz="4" w:space="0"/>
            </w:tcBorders>
            <w:shd w:val="clear" w:color="auto" w:fill="auto"/>
            <w:vAlign w:val="center"/>
          </w:tcPr>
          <w:p w14:paraId="48660511">
            <w:pPr>
              <w:rPr>
                <w:rFonts w:asciiTheme="minorEastAsia" w:hAnsiTheme="minorEastAsia" w:eastAsiaTheme="minorEastAsia" w:cstheme="minorEastAsia"/>
              </w:rPr>
            </w:pPr>
          </w:p>
        </w:tc>
      </w:tr>
      <w:tr w14:paraId="3294E98A">
        <w:tblPrEx>
          <w:tblCellMar>
            <w:top w:w="0" w:type="dxa"/>
            <w:left w:w="10" w:type="dxa"/>
            <w:bottom w:w="0" w:type="dxa"/>
            <w:right w:w="10" w:type="dxa"/>
          </w:tblCellMar>
        </w:tblPrEx>
        <w:trPr>
          <w:trHeight w:val="2861" w:hRule="exact"/>
          <w:jc w:val="center"/>
        </w:trPr>
        <w:tc>
          <w:tcPr>
            <w:tcW w:w="1912" w:type="dxa"/>
            <w:tcBorders>
              <w:top w:val="single" w:color="auto" w:sz="4" w:space="0"/>
              <w:left w:val="single" w:color="auto" w:sz="4" w:space="0"/>
            </w:tcBorders>
            <w:shd w:val="clear" w:color="auto" w:fill="auto"/>
            <w:vAlign w:val="center"/>
          </w:tcPr>
          <w:p w14:paraId="24F23F98">
            <w:pPr>
              <w:pStyle w:val="167"/>
              <w:spacing w:line="393" w:lineRule="exact"/>
              <w:ind w:left="18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投标人关联企业情况（包括但不限于与投标人法定代表人为同一人或者存在控股、管理关系的不同单位）</w:t>
            </w:r>
          </w:p>
        </w:tc>
        <w:tc>
          <w:tcPr>
            <w:tcW w:w="8547" w:type="dxa"/>
            <w:gridSpan w:val="7"/>
            <w:tcBorders>
              <w:top w:val="single" w:color="auto" w:sz="4" w:space="0"/>
              <w:left w:val="single" w:color="auto" w:sz="4" w:space="0"/>
              <w:right w:val="single" w:color="auto" w:sz="4" w:space="0"/>
            </w:tcBorders>
            <w:shd w:val="clear" w:color="auto" w:fill="auto"/>
            <w:vAlign w:val="center"/>
          </w:tcPr>
          <w:p w14:paraId="04644875">
            <w:pPr>
              <w:rPr>
                <w:rFonts w:asciiTheme="minorEastAsia" w:hAnsiTheme="minorEastAsia" w:eastAsiaTheme="minorEastAsia" w:cstheme="minorEastAsia"/>
              </w:rPr>
            </w:pPr>
          </w:p>
        </w:tc>
      </w:tr>
      <w:tr w14:paraId="2EC0933F">
        <w:tblPrEx>
          <w:tblCellMar>
            <w:top w:w="0" w:type="dxa"/>
            <w:left w:w="10" w:type="dxa"/>
            <w:bottom w:w="0" w:type="dxa"/>
            <w:right w:w="10" w:type="dxa"/>
          </w:tblCellMar>
        </w:tblPrEx>
        <w:trPr>
          <w:trHeight w:val="618" w:hRule="exact"/>
          <w:jc w:val="center"/>
        </w:trPr>
        <w:tc>
          <w:tcPr>
            <w:tcW w:w="1912" w:type="dxa"/>
            <w:tcBorders>
              <w:top w:val="single" w:color="auto" w:sz="4" w:space="0"/>
              <w:left w:val="single" w:color="auto" w:sz="4" w:space="0"/>
              <w:bottom w:val="single" w:color="auto" w:sz="4" w:space="0"/>
            </w:tcBorders>
            <w:shd w:val="clear" w:color="auto" w:fill="auto"/>
            <w:vAlign w:val="center"/>
          </w:tcPr>
          <w:p w14:paraId="603464AB">
            <w:pPr>
              <w:pStyle w:val="167"/>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854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46526E5">
            <w:pPr>
              <w:rPr>
                <w:rFonts w:asciiTheme="minorEastAsia" w:hAnsiTheme="minorEastAsia" w:eastAsiaTheme="minorEastAsia" w:cstheme="minorEastAsia"/>
              </w:rPr>
            </w:pPr>
          </w:p>
        </w:tc>
      </w:tr>
    </w:tbl>
    <w:p w14:paraId="7B8BB342">
      <w:pPr>
        <w:adjustRightInd w:val="0"/>
        <w:snapToGrid w:val="0"/>
        <w:spacing w:line="440" w:lineRule="exact"/>
        <w:ind w:firstLine="643" w:firstLineChars="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sz w:val="30"/>
          <w:szCs w:val="30"/>
        </w:rPr>
        <w:t xml:space="preserve">附件3-5  </w:t>
      </w:r>
      <w:r>
        <w:rPr>
          <w:rFonts w:hint="eastAsia" w:asciiTheme="minorEastAsia" w:hAnsiTheme="minorEastAsia" w:eastAsiaTheme="minorEastAsia" w:cstheme="minorEastAsia"/>
          <w:b/>
          <w:sz w:val="32"/>
          <w:szCs w:val="32"/>
        </w:rPr>
        <w:t>项目负责人简历表及拟投入本项目主要成员表</w:t>
      </w:r>
    </w:p>
    <w:p w14:paraId="64C56619">
      <w:pPr>
        <w:numPr>
          <w:ilvl w:val="0"/>
          <w:numId w:val="17"/>
        </w:numPr>
        <w:spacing w:line="44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项目负责人简历表</w:t>
      </w:r>
    </w:p>
    <w:tbl>
      <w:tblPr>
        <w:tblStyle w:val="40"/>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0866D06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42BDFB16">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2422" w:type="dxa"/>
            <w:tcBorders>
              <w:top w:val="single" w:color="auto" w:sz="6" w:space="0"/>
              <w:left w:val="single" w:color="auto" w:sz="6" w:space="0"/>
              <w:bottom w:val="single" w:color="auto" w:sz="6" w:space="0"/>
              <w:right w:val="single" w:color="auto" w:sz="6" w:space="0"/>
            </w:tcBorders>
            <w:vAlign w:val="center"/>
          </w:tcPr>
          <w:p w14:paraId="2467749C">
            <w:pPr>
              <w:spacing w:line="440" w:lineRule="exact"/>
              <w:jc w:val="center"/>
              <w:rPr>
                <w:rFonts w:asciiTheme="minorEastAsia" w:hAnsiTheme="minorEastAsia" w:eastAsiaTheme="minorEastAsia" w:cstheme="minorEastAsia"/>
              </w:rPr>
            </w:pPr>
          </w:p>
        </w:tc>
        <w:tc>
          <w:tcPr>
            <w:tcW w:w="1005" w:type="dxa"/>
            <w:tcBorders>
              <w:top w:val="single" w:color="auto" w:sz="6" w:space="0"/>
              <w:left w:val="single" w:color="auto" w:sz="6" w:space="0"/>
              <w:bottom w:val="single" w:color="auto" w:sz="6" w:space="0"/>
              <w:right w:val="single" w:color="auto" w:sz="6" w:space="0"/>
            </w:tcBorders>
            <w:vAlign w:val="center"/>
          </w:tcPr>
          <w:p w14:paraId="7FB11295">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年龄</w:t>
            </w:r>
          </w:p>
        </w:tc>
        <w:tc>
          <w:tcPr>
            <w:tcW w:w="1072" w:type="dxa"/>
            <w:tcBorders>
              <w:top w:val="single" w:color="auto" w:sz="6" w:space="0"/>
              <w:left w:val="single" w:color="auto" w:sz="6" w:space="0"/>
              <w:bottom w:val="single" w:color="auto" w:sz="6" w:space="0"/>
              <w:right w:val="single" w:color="auto" w:sz="6" w:space="0"/>
            </w:tcBorders>
            <w:vAlign w:val="center"/>
          </w:tcPr>
          <w:p w14:paraId="53A0AFA1">
            <w:pPr>
              <w:spacing w:line="440" w:lineRule="exact"/>
              <w:jc w:val="center"/>
              <w:rPr>
                <w:rFonts w:asciiTheme="minorEastAsia" w:hAnsiTheme="minorEastAsia" w:eastAsiaTheme="minorEastAsia" w:cstheme="minorEastAsia"/>
              </w:rPr>
            </w:pPr>
          </w:p>
        </w:tc>
        <w:tc>
          <w:tcPr>
            <w:tcW w:w="1715" w:type="dxa"/>
            <w:tcBorders>
              <w:top w:val="single" w:color="auto" w:sz="6" w:space="0"/>
              <w:left w:val="single" w:color="auto" w:sz="6" w:space="0"/>
              <w:bottom w:val="single" w:color="auto" w:sz="6" w:space="0"/>
              <w:right w:val="single" w:color="auto" w:sz="6" w:space="0"/>
            </w:tcBorders>
            <w:vAlign w:val="center"/>
          </w:tcPr>
          <w:p w14:paraId="7B1EB500">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身份证号码</w:t>
            </w:r>
          </w:p>
        </w:tc>
        <w:tc>
          <w:tcPr>
            <w:tcW w:w="2355" w:type="dxa"/>
            <w:tcBorders>
              <w:top w:val="single" w:color="auto" w:sz="6" w:space="0"/>
              <w:left w:val="single" w:color="auto" w:sz="6" w:space="0"/>
              <w:bottom w:val="single" w:color="auto" w:sz="6" w:space="0"/>
              <w:right w:val="single" w:color="auto" w:sz="6" w:space="0"/>
            </w:tcBorders>
            <w:vAlign w:val="center"/>
          </w:tcPr>
          <w:p w14:paraId="684FF83B">
            <w:pPr>
              <w:spacing w:line="440" w:lineRule="exact"/>
              <w:jc w:val="center"/>
              <w:rPr>
                <w:rFonts w:asciiTheme="minorEastAsia" w:hAnsiTheme="minorEastAsia" w:eastAsiaTheme="minorEastAsia" w:cstheme="minorEastAsia"/>
              </w:rPr>
            </w:pPr>
          </w:p>
        </w:tc>
      </w:tr>
      <w:tr w14:paraId="46E906A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725AFA40">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毕业学校</w:t>
            </w:r>
          </w:p>
        </w:tc>
        <w:tc>
          <w:tcPr>
            <w:tcW w:w="4499" w:type="dxa"/>
            <w:gridSpan w:val="3"/>
            <w:tcBorders>
              <w:top w:val="single" w:color="auto" w:sz="6" w:space="0"/>
              <w:left w:val="single" w:color="auto" w:sz="6" w:space="0"/>
              <w:bottom w:val="single" w:color="auto" w:sz="6" w:space="0"/>
              <w:right w:val="single" w:color="auto" w:sz="6" w:space="0"/>
            </w:tcBorders>
            <w:vAlign w:val="center"/>
          </w:tcPr>
          <w:p w14:paraId="10845FA7">
            <w:pPr>
              <w:spacing w:line="440" w:lineRule="exact"/>
              <w:jc w:val="center"/>
              <w:rPr>
                <w:rFonts w:asciiTheme="minorEastAsia" w:hAnsiTheme="minorEastAsia" w:eastAsiaTheme="minorEastAsia" w:cstheme="minorEastAsia"/>
              </w:rPr>
            </w:pPr>
          </w:p>
        </w:tc>
        <w:tc>
          <w:tcPr>
            <w:tcW w:w="1715" w:type="dxa"/>
            <w:tcBorders>
              <w:top w:val="single" w:color="auto" w:sz="6" w:space="0"/>
              <w:left w:val="single" w:color="auto" w:sz="6" w:space="0"/>
              <w:bottom w:val="single" w:color="auto" w:sz="6" w:space="0"/>
              <w:right w:val="single" w:color="auto" w:sz="6" w:space="0"/>
            </w:tcBorders>
            <w:vAlign w:val="center"/>
          </w:tcPr>
          <w:p w14:paraId="487BBEAD">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专业</w:t>
            </w:r>
          </w:p>
        </w:tc>
        <w:tc>
          <w:tcPr>
            <w:tcW w:w="2355" w:type="dxa"/>
            <w:tcBorders>
              <w:top w:val="single" w:color="auto" w:sz="6" w:space="0"/>
              <w:left w:val="single" w:color="auto" w:sz="6" w:space="0"/>
              <w:bottom w:val="single" w:color="auto" w:sz="6" w:space="0"/>
              <w:right w:val="single" w:color="auto" w:sz="6" w:space="0"/>
            </w:tcBorders>
            <w:vAlign w:val="center"/>
          </w:tcPr>
          <w:p w14:paraId="5146B1D2">
            <w:pPr>
              <w:spacing w:line="440" w:lineRule="exact"/>
              <w:jc w:val="center"/>
              <w:rPr>
                <w:rFonts w:asciiTheme="minorEastAsia" w:hAnsiTheme="minorEastAsia" w:eastAsiaTheme="minorEastAsia" w:cstheme="minorEastAsia"/>
              </w:rPr>
            </w:pPr>
          </w:p>
        </w:tc>
      </w:tr>
      <w:tr w14:paraId="367F905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240DFD51">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学位</w:t>
            </w:r>
          </w:p>
        </w:tc>
        <w:tc>
          <w:tcPr>
            <w:tcW w:w="2422" w:type="dxa"/>
            <w:tcBorders>
              <w:top w:val="single" w:color="auto" w:sz="6" w:space="0"/>
              <w:left w:val="single" w:color="auto" w:sz="6" w:space="0"/>
              <w:bottom w:val="single" w:color="auto" w:sz="6" w:space="0"/>
              <w:right w:val="single" w:color="auto" w:sz="6" w:space="0"/>
            </w:tcBorders>
            <w:vAlign w:val="center"/>
          </w:tcPr>
          <w:p w14:paraId="05126765">
            <w:pPr>
              <w:spacing w:line="440" w:lineRule="exact"/>
              <w:jc w:val="center"/>
              <w:rPr>
                <w:rFonts w:asciiTheme="minorEastAsia" w:hAnsiTheme="minorEastAsia" w:eastAsiaTheme="minorEastAsia" w:cstheme="minorEastAsia"/>
              </w:rPr>
            </w:pPr>
          </w:p>
        </w:tc>
        <w:tc>
          <w:tcPr>
            <w:tcW w:w="1005" w:type="dxa"/>
            <w:tcBorders>
              <w:top w:val="single" w:color="auto" w:sz="6" w:space="0"/>
              <w:left w:val="single" w:color="auto" w:sz="6" w:space="0"/>
              <w:bottom w:val="single" w:color="auto" w:sz="6" w:space="0"/>
              <w:right w:val="single" w:color="auto" w:sz="6" w:space="0"/>
            </w:tcBorders>
            <w:vAlign w:val="center"/>
          </w:tcPr>
          <w:p w14:paraId="2F297B95">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职称</w:t>
            </w:r>
          </w:p>
        </w:tc>
        <w:tc>
          <w:tcPr>
            <w:tcW w:w="1072" w:type="dxa"/>
            <w:tcBorders>
              <w:top w:val="single" w:color="auto" w:sz="6" w:space="0"/>
              <w:left w:val="single" w:color="auto" w:sz="6" w:space="0"/>
              <w:bottom w:val="single" w:color="auto" w:sz="6" w:space="0"/>
              <w:right w:val="single" w:color="auto" w:sz="6" w:space="0"/>
            </w:tcBorders>
            <w:vAlign w:val="center"/>
          </w:tcPr>
          <w:p w14:paraId="317B2F11">
            <w:pPr>
              <w:spacing w:line="440" w:lineRule="exact"/>
              <w:jc w:val="center"/>
              <w:rPr>
                <w:rFonts w:asciiTheme="minorEastAsia" w:hAnsiTheme="minorEastAsia" w:eastAsiaTheme="minorEastAsia" w:cstheme="minorEastAsia"/>
              </w:rPr>
            </w:pPr>
          </w:p>
        </w:tc>
        <w:tc>
          <w:tcPr>
            <w:tcW w:w="1715" w:type="dxa"/>
            <w:tcBorders>
              <w:top w:val="single" w:color="auto" w:sz="6" w:space="0"/>
              <w:left w:val="single" w:color="auto" w:sz="6" w:space="0"/>
              <w:bottom w:val="single" w:color="auto" w:sz="6" w:space="0"/>
              <w:right w:val="single" w:color="auto" w:sz="6" w:space="0"/>
            </w:tcBorders>
            <w:vAlign w:val="center"/>
          </w:tcPr>
          <w:p w14:paraId="01B40E30">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职务</w:t>
            </w:r>
          </w:p>
        </w:tc>
        <w:tc>
          <w:tcPr>
            <w:tcW w:w="2355" w:type="dxa"/>
            <w:tcBorders>
              <w:top w:val="single" w:color="auto" w:sz="6" w:space="0"/>
              <w:left w:val="single" w:color="auto" w:sz="6" w:space="0"/>
              <w:bottom w:val="single" w:color="auto" w:sz="6" w:space="0"/>
              <w:right w:val="single" w:color="auto" w:sz="6" w:space="0"/>
            </w:tcBorders>
            <w:vAlign w:val="center"/>
          </w:tcPr>
          <w:p w14:paraId="20C37C70">
            <w:pPr>
              <w:spacing w:line="440" w:lineRule="exact"/>
              <w:jc w:val="center"/>
              <w:rPr>
                <w:rFonts w:asciiTheme="minorEastAsia" w:hAnsiTheme="minorEastAsia" w:eastAsiaTheme="minorEastAsia" w:cstheme="minorEastAsia"/>
              </w:rPr>
            </w:pPr>
          </w:p>
        </w:tc>
      </w:tr>
      <w:tr w14:paraId="731A8FE0">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2C035FFD">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工作年限</w:t>
            </w:r>
          </w:p>
        </w:tc>
        <w:tc>
          <w:tcPr>
            <w:tcW w:w="4499" w:type="dxa"/>
            <w:gridSpan w:val="3"/>
            <w:tcBorders>
              <w:top w:val="single" w:color="auto" w:sz="6" w:space="0"/>
              <w:left w:val="single" w:color="auto" w:sz="6" w:space="0"/>
              <w:bottom w:val="single" w:color="auto" w:sz="6" w:space="0"/>
              <w:right w:val="single" w:color="auto" w:sz="6" w:space="0"/>
            </w:tcBorders>
            <w:vAlign w:val="center"/>
          </w:tcPr>
          <w:p w14:paraId="2FD0E3B7">
            <w:pPr>
              <w:spacing w:line="440" w:lineRule="exact"/>
              <w:jc w:val="center"/>
              <w:rPr>
                <w:rFonts w:asciiTheme="minorEastAsia" w:hAnsiTheme="minorEastAsia" w:eastAsiaTheme="minorEastAsia" w:cstheme="minorEastAsia"/>
              </w:rPr>
            </w:pPr>
          </w:p>
        </w:tc>
        <w:tc>
          <w:tcPr>
            <w:tcW w:w="1715" w:type="dxa"/>
            <w:tcBorders>
              <w:top w:val="single" w:color="auto" w:sz="6" w:space="0"/>
              <w:left w:val="single" w:color="auto" w:sz="6" w:space="0"/>
              <w:bottom w:val="single" w:color="auto" w:sz="6" w:space="0"/>
              <w:right w:val="single" w:color="auto" w:sz="6" w:space="0"/>
            </w:tcBorders>
            <w:vAlign w:val="center"/>
          </w:tcPr>
          <w:p w14:paraId="24099440">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从事设计工作年限</w:t>
            </w:r>
          </w:p>
        </w:tc>
        <w:tc>
          <w:tcPr>
            <w:tcW w:w="2355" w:type="dxa"/>
            <w:tcBorders>
              <w:top w:val="single" w:color="auto" w:sz="6" w:space="0"/>
              <w:left w:val="single" w:color="auto" w:sz="6" w:space="0"/>
              <w:bottom w:val="single" w:color="auto" w:sz="6" w:space="0"/>
              <w:right w:val="single" w:color="auto" w:sz="6" w:space="0"/>
            </w:tcBorders>
            <w:vAlign w:val="center"/>
          </w:tcPr>
          <w:p w14:paraId="60E865DE">
            <w:pPr>
              <w:spacing w:line="440" w:lineRule="exact"/>
              <w:jc w:val="center"/>
              <w:rPr>
                <w:rFonts w:asciiTheme="minorEastAsia" w:hAnsiTheme="minorEastAsia" w:eastAsiaTheme="minorEastAsia" w:cstheme="minorEastAsia"/>
              </w:rPr>
            </w:pPr>
          </w:p>
        </w:tc>
      </w:tr>
      <w:tr w14:paraId="7B80FDAD">
        <w:tblPrEx>
          <w:tblCellMar>
            <w:top w:w="0" w:type="dxa"/>
            <w:left w:w="108" w:type="dxa"/>
            <w:bottom w:w="0" w:type="dxa"/>
            <w:right w:w="108" w:type="dxa"/>
          </w:tblCellMar>
        </w:tblPrEx>
        <w:trPr>
          <w:trHeight w:val="793"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17AF28FC">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毕业院校</w:t>
            </w:r>
          </w:p>
        </w:tc>
        <w:tc>
          <w:tcPr>
            <w:tcW w:w="8569" w:type="dxa"/>
            <w:gridSpan w:val="5"/>
            <w:tcBorders>
              <w:top w:val="single" w:color="auto" w:sz="6" w:space="0"/>
              <w:left w:val="single" w:color="auto" w:sz="6" w:space="0"/>
              <w:bottom w:val="single" w:color="auto" w:sz="6" w:space="0"/>
              <w:right w:val="single" w:color="auto" w:sz="6" w:space="0"/>
            </w:tcBorders>
            <w:vAlign w:val="center"/>
          </w:tcPr>
          <w:p w14:paraId="3B8BB9FC">
            <w:pPr>
              <w:spacing w:line="440" w:lineRule="exact"/>
              <w:jc w:val="both"/>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年毕业于             学校           专业   </w:t>
            </w:r>
          </w:p>
        </w:tc>
      </w:tr>
      <w:tr w14:paraId="78C55D6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0026A68D">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日期</w:t>
            </w:r>
          </w:p>
        </w:tc>
        <w:tc>
          <w:tcPr>
            <w:tcW w:w="3427" w:type="dxa"/>
            <w:gridSpan w:val="2"/>
            <w:tcBorders>
              <w:top w:val="single" w:color="auto" w:sz="6" w:space="0"/>
              <w:left w:val="single" w:color="auto" w:sz="6" w:space="0"/>
              <w:bottom w:val="single" w:color="auto" w:sz="6" w:space="0"/>
              <w:right w:val="single" w:color="auto" w:sz="6" w:space="0"/>
            </w:tcBorders>
            <w:vAlign w:val="center"/>
          </w:tcPr>
          <w:p w14:paraId="1E607922">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7A3316D1">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担任何职务</w:t>
            </w:r>
          </w:p>
        </w:tc>
        <w:tc>
          <w:tcPr>
            <w:tcW w:w="2355" w:type="dxa"/>
            <w:tcBorders>
              <w:top w:val="single" w:color="auto" w:sz="6" w:space="0"/>
              <w:left w:val="single" w:color="auto" w:sz="6" w:space="0"/>
              <w:bottom w:val="single" w:color="auto" w:sz="6" w:space="0"/>
              <w:right w:val="single" w:color="auto" w:sz="6" w:space="0"/>
            </w:tcBorders>
            <w:vAlign w:val="center"/>
          </w:tcPr>
          <w:p w14:paraId="52C0BDD4">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14:paraId="198D3BF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746F8DF4">
            <w:pPr>
              <w:spacing w:line="440" w:lineRule="exact"/>
              <w:jc w:val="center"/>
              <w:rPr>
                <w:rFonts w:asciiTheme="minorEastAsia" w:hAnsiTheme="minorEastAsia" w:eastAsiaTheme="minorEastAsia" w:cstheme="minorEastAsia"/>
              </w:rPr>
            </w:pPr>
          </w:p>
        </w:tc>
        <w:tc>
          <w:tcPr>
            <w:tcW w:w="3427" w:type="dxa"/>
            <w:gridSpan w:val="2"/>
            <w:tcBorders>
              <w:top w:val="single" w:color="auto" w:sz="6" w:space="0"/>
              <w:left w:val="single" w:color="auto" w:sz="6" w:space="0"/>
              <w:bottom w:val="single" w:color="auto" w:sz="6" w:space="0"/>
              <w:right w:val="single" w:color="auto" w:sz="6" w:space="0"/>
            </w:tcBorders>
            <w:vAlign w:val="center"/>
          </w:tcPr>
          <w:p w14:paraId="2F6FC9C6">
            <w:pPr>
              <w:spacing w:line="440" w:lineRule="exact"/>
              <w:jc w:val="center"/>
              <w:rPr>
                <w:rFonts w:asciiTheme="minorEastAsia" w:hAnsiTheme="minorEastAsia" w:eastAsiaTheme="minorEastAsia" w:cstheme="minorEastAsia"/>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1778B589">
            <w:pPr>
              <w:spacing w:line="440" w:lineRule="exact"/>
              <w:jc w:val="center"/>
              <w:rPr>
                <w:rFonts w:asciiTheme="minorEastAsia" w:hAnsiTheme="minorEastAsia" w:eastAsiaTheme="minorEastAsia" w:cstheme="minorEastAsia"/>
              </w:rPr>
            </w:pPr>
          </w:p>
        </w:tc>
        <w:tc>
          <w:tcPr>
            <w:tcW w:w="2355" w:type="dxa"/>
            <w:tcBorders>
              <w:top w:val="single" w:color="auto" w:sz="6" w:space="0"/>
              <w:left w:val="single" w:color="auto" w:sz="6" w:space="0"/>
              <w:bottom w:val="single" w:color="auto" w:sz="6" w:space="0"/>
              <w:right w:val="single" w:color="auto" w:sz="6" w:space="0"/>
            </w:tcBorders>
            <w:vAlign w:val="center"/>
          </w:tcPr>
          <w:p w14:paraId="2757EB48">
            <w:pPr>
              <w:spacing w:line="440" w:lineRule="exact"/>
              <w:jc w:val="center"/>
              <w:rPr>
                <w:rFonts w:asciiTheme="minorEastAsia" w:hAnsiTheme="minorEastAsia" w:eastAsiaTheme="minorEastAsia" w:cstheme="minorEastAsia"/>
              </w:rPr>
            </w:pPr>
          </w:p>
        </w:tc>
      </w:tr>
      <w:tr w14:paraId="2C4D0B8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70205F17">
            <w:pPr>
              <w:spacing w:line="440" w:lineRule="exact"/>
              <w:jc w:val="center"/>
              <w:rPr>
                <w:rFonts w:asciiTheme="minorEastAsia" w:hAnsiTheme="minorEastAsia" w:eastAsiaTheme="minorEastAsia" w:cstheme="minorEastAsia"/>
              </w:rPr>
            </w:pPr>
          </w:p>
        </w:tc>
        <w:tc>
          <w:tcPr>
            <w:tcW w:w="3427" w:type="dxa"/>
            <w:gridSpan w:val="2"/>
            <w:tcBorders>
              <w:top w:val="single" w:color="auto" w:sz="6" w:space="0"/>
              <w:left w:val="single" w:color="auto" w:sz="6" w:space="0"/>
              <w:bottom w:val="single" w:color="auto" w:sz="6" w:space="0"/>
              <w:right w:val="single" w:color="auto" w:sz="6" w:space="0"/>
            </w:tcBorders>
            <w:vAlign w:val="center"/>
          </w:tcPr>
          <w:p w14:paraId="09BF77C5">
            <w:pPr>
              <w:spacing w:line="440" w:lineRule="exact"/>
              <w:jc w:val="center"/>
              <w:rPr>
                <w:rFonts w:asciiTheme="minorEastAsia" w:hAnsiTheme="minorEastAsia" w:eastAsiaTheme="minorEastAsia" w:cstheme="minorEastAsia"/>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36B1225F">
            <w:pPr>
              <w:spacing w:line="440" w:lineRule="exact"/>
              <w:jc w:val="center"/>
              <w:rPr>
                <w:rFonts w:asciiTheme="minorEastAsia" w:hAnsiTheme="minorEastAsia" w:eastAsiaTheme="minorEastAsia" w:cstheme="minorEastAsia"/>
              </w:rPr>
            </w:pPr>
          </w:p>
        </w:tc>
        <w:tc>
          <w:tcPr>
            <w:tcW w:w="2355" w:type="dxa"/>
            <w:tcBorders>
              <w:top w:val="single" w:color="auto" w:sz="6" w:space="0"/>
              <w:left w:val="single" w:color="auto" w:sz="6" w:space="0"/>
              <w:bottom w:val="single" w:color="auto" w:sz="6" w:space="0"/>
              <w:right w:val="single" w:color="auto" w:sz="6" w:space="0"/>
            </w:tcBorders>
            <w:vAlign w:val="center"/>
          </w:tcPr>
          <w:p w14:paraId="7312E4CB">
            <w:pPr>
              <w:spacing w:line="440" w:lineRule="exact"/>
              <w:jc w:val="center"/>
              <w:rPr>
                <w:rFonts w:asciiTheme="minorEastAsia" w:hAnsiTheme="minorEastAsia" w:eastAsiaTheme="minorEastAsia" w:cstheme="minorEastAsia"/>
              </w:rPr>
            </w:pPr>
          </w:p>
        </w:tc>
      </w:tr>
      <w:tr w14:paraId="2E22B1D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39A4C497">
            <w:pPr>
              <w:spacing w:line="440" w:lineRule="exact"/>
              <w:jc w:val="center"/>
              <w:rPr>
                <w:rFonts w:asciiTheme="minorEastAsia" w:hAnsiTheme="minorEastAsia" w:eastAsiaTheme="minorEastAsia" w:cstheme="minorEastAsia"/>
              </w:rPr>
            </w:pPr>
          </w:p>
        </w:tc>
        <w:tc>
          <w:tcPr>
            <w:tcW w:w="3427" w:type="dxa"/>
            <w:gridSpan w:val="2"/>
            <w:tcBorders>
              <w:top w:val="single" w:color="auto" w:sz="6" w:space="0"/>
              <w:left w:val="single" w:color="auto" w:sz="6" w:space="0"/>
              <w:bottom w:val="single" w:color="auto" w:sz="6" w:space="0"/>
              <w:right w:val="single" w:color="auto" w:sz="6" w:space="0"/>
            </w:tcBorders>
            <w:vAlign w:val="center"/>
          </w:tcPr>
          <w:p w14:paraId="7A452BBD">
            <w:pPr>
              <w:spacing w:line="440" w:lineRule="exact"/>
              <w:jc w:val="center"/>
              <w:rPr>
                <w:rFonts w:asciiTheme="minorEastAsia" w:hAnsiTheme="minorEastAsia" w:eastAsiaTheme="minorEastAsia" w:cstheme="minorEastAsia"/>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01E71A55">
            <w:pPr>
              <w:spacing w:line="440" w:lineRule="exact"/>
              <w:jc w:val="center"/>
              <w:rPr>
                <w:rFonts w:asciiTheme="minorEastAsia" w:hAnsiTheme="minorEastAsia" w:eastAsiaTheme="minorEastAsia" w:cstheme="minorEastAsia"/>
              </w:rPr>
            </w:pPr>
          </w:p>
        </w:tc>
        <w:tc>
          <w:tcPr>
            <w:tcW w:w="2355" w:type="dxa"/>
            <w:tcBorders>
              <w:top w:val="single" w:color="auto" w:sz="6" w:space="0"/>
              <w:left w:val="single" w:color="auto" w:sz="6" w:space="0"/>
              <w:bottom w:val="single" w:color="auto" w:sz="6" w:space="0"/>
              <w:right w:val="single" w:color="auto" w:sz="6" w:space="0"/>
            </w:tcBorders>
            <w:vAlign w:val="center"/>
          </w:tcPr>
          <w:p w14:paraId="36CEB688">
            <w:pPr>
              <w:spacing w:line="440" w:lineRule="exact"/>
              <w:jc w:val="center"/>
              <w:rPr>
                <w:rFonts w:asciiTheme="minorEastAsia" w:hAnsiTheme="minorEastAsia" w:eastAsiaTheme="minorEastAsia" w:cstheme="minorEastAsia"/>
              </w:rPr>
            </w:pPr>
          </w:p>
        </w:tc>
      </w:tr>
    </w:tbl>
    <w:p w14:paraId="51B8DFFC">
      <w:pPr>
        <w:autoSpaceDE w:val="0"/>
        <w:autoSpaceDN w:val="0"/>
        <w:adjustRightInd w:val="0"/>
        <w:spacing w:line="44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2、拟投入本项目的主要成员表</w:t>
      </w:r>
    </w:p>
    <w:tbl>
      <w:tblPr>
        <w:tblStyle w:val="40"/>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39"/>
        <w:gridCol w:w="1240"/>
        <w:gridCol w:w="1240"/>
        <w:gridCol w:w="1791"/>
        <w:gridCol w:w="1377"/>
        <w:gridCol w:w="1653"/>
        <w:gridCol w:w="827"/>
      </w:tblGrid>
      <w:tr w14:paraId="0408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19" w:type="dxa"/>
            <w:vMerge w:val="restart"/>
            <w:vAlign w:val="center"/>
          </w:tcPr>
          <w:p w14:paraId="2FB4583F">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039" w:type="dxa"/>
            <w:vMerge w:val="restart"/>
            <w:vAlign w:val="center"/>
          </w:tcPr>
          <w:p w14:paraId="41CC1D8A">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1240" w:type="dxa"/>
            <w:vMerge w:val="restart"/>
            <w:vAlign w:val="center"/>
          </w:tcPr>
          <w:p w14:paraId="6A829A33">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职称</w:t>
            </w:r>
          </w:p>
        </w:tc>
        <w:tc>
          <w:tcPr>
            <w:tcW w:w="1240" w:type="dxa"/>
            <w:vMerge w:val="restart"/>
            <w:vAlign w:val="center"/>
          </w:tcPr>
          <w:p w14:paraId="36D67AF4">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专业</w:t>
            </w:r>
          </w:p>
        </w:tc>
        <w:tc>
          <w:tcPr>
            <w:tcW w:w="4821" w:type="dxa"/>
            <w:gridSpan w:val="3"/>
            <w:vAlign w:val="center"/>
          </w:tcPr>
          <w:p w14:paraId="24390390">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执业或职业资格证明</w:t>
            </w:r>
          </w:p>
        </w:tc>
        <w:tc>
          <w:tcPr>
            <w:tcW w:w="827" w:type="dxa"/>
            <w:vMerge w:val="restart"/>
            <w:vAlign w:val="center"/>
          </w:tcPr>
          <w:p w14:paraId="49E73CA7">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14:paraId="08E3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19" w:type="dxa"/>
            <w:vMerge w:val="continue"/>
            <w:vAlign w:val="center"/>
          </w:tcPr>
          <w:p w14:paraId="5D051210">
            <w:pPr>
              <w:spacing w:line="440" w:lineRule="exact"/>
              <w:jc w:val="center"/>
              <w:rPr>
                <w:rFonts w:asciiTheme="minorEastAsia" w:hAnsiTheme="minorEastAsia" w:eastAsiaTheme="minorEastAsia" w:cstheme="minorEastAsia"/>
              </w:rPr>
            </w:pPr>
          </w:p>
        </w:tc>
        <w:tc>
          <w:tcPr>
            <w:tcW w:w="1039" w:type="dxa"/>
            <w:vMerge w:val="continue"/>
            <w:vAlign w:val="center"/>
          </w:tcPr>
          <w:p w14:paraId="0D423131">
            <w:pPr>
              <w:spacing w:line="440" w:lineRule="exact"/>
              <w:jc w:val="center"/>
              <w:rPr>
                <w:rFonts w:asciiTheme="minorEastAsia" w:hAnsiTheme="minorEastAsia" w:eastAsiaTheme="minorEastAsia" w:cstheme="minorEastAsia"/>
              </w:rPr>
            </w:pPr>
          </w:p>
        </w:tc>
        <w:tc>
          <w:tcPr>
            <w:tcW w:w="1240" w:type="dxa"/>
            <w:vMerge w:val="continue"/>
            <w:vAlign w:val="center"/>
          </w:tcPr>
          <w:p w14:paraId="73A2349C">
            <w:pPr>
              <w:spacing w:line="440" w:lineRule="exact"/>
              <w:jc w:val="center"/>
              <w:rPr>
                <w:rFonts w:asciiTheme="minorEastAsia" w:hAnsiTheme="minorEastAsia" w:eastAsiaTheme="minorEastAsia" w:cstheme="minorEastAsia"/>
              </w:rPr>
            </w:pPr>
          </w:p>
        </w:tc>
        <w:tc>
          <w:tcPr>
            <w:tcW w:w="1240" w:type="dxa"/>
            <w:vMerge w:val="continue"/>
            <w:vAlign w:val="center"/>
          </w:tcPr>
          <w:p w14:paraId="7BD05173">
            <w:pPr>
              <w:spacing w:line="440" w:lineRule="exact"/>
              <w:jc w:val="center"/>
              <w:rPr>
                <w:rFonts w:asciiTheme="minorEastAsia" w:hAnsiTheme="minorEastAsia" w:eastAsiaTheme="minorEastAsia" w:cstheme="minorEastAsia"/>
              </w:rPr>
            </w:pPr>
          </w:p>
        </w:tc>
        <w:tc>
          <w:tcPr>
            <w:tcW w:w="1791" w:type="dxa"/>
          </w:tcPr>
          <w:p w14:paraId="5158B4DD">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证书名称</w:t>
            </w:r>
          </w:p>
        </w:tc>
        <w:tc>
          <w:tcPr>
            <w:tcW w:w="1377" w:type="dxa"/>
          </w:tcPr>
          <w:p w14:paraId="667FECDE">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级别</w:t>
            </w:r>
          </w:p>
        </w:tc>
        <w:tc>
          <w:tcPr>
            <w:tcW w:w="1653" w:type="dxa"/>
          </w:tcPr>
          <w:p w14:paraId="022DCC16">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证号</w:t>
            </w:r>
          </w:p>
        </w:tc>
        <w:tc>
          <w:tcPr>
            <w:tcW w:w="827" w:type="dxa"/>
            <w:vMerge w:val="continue"/>
            <w:vAlign w:val="center"/>
          </w:tcPr>
          <w:p w14:paraId="0B852AF1">
            <w:pPr>
              <w:spacing w:line="440" w:lineRule="exact"/>
              <w:jc w:val="center"/>
              <w:rPr>
                <w:rFonts w:asciiTheme="minorEastAsia" w:hAnsiTheme="minorEastAsia" w:eastAsiaTheme="minorEastAsia" w:cstheme="minorEastAsia"/>
              </w:rPr>
            </w:pPr>
          </w:p>
        </w:tc>
      </w:tr>
      <w:tr w14:paraId="47D9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19" w:type="dxa"/>
            <w:vAlign w:val="center"/>
          </w:tcPr>
          <w:p w14:paraId="05BCC504">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039" w:type="dxa"/>
            <w:vAlign w:val="center"/>
          </w:tcPr>
          <w:p w14:paraId="15C8EF52">
            <w:pPr>
              <w:spacing w:line="440" w:lineRule="exact"/>
              <w:jc w:val="center"/>
              <w:rPr>
                <w:rFonts w:asciiTheme="minorEastAsia" w:hAnsiTheme="minorEastAsia" w:eastAsiaTheme="minorEastAsia" w:cstheme="minorEastAsia"/>
              </w:rPr>
            </w:pPr>
          </w:p>
        </w:tc>
        <w:tc>
          <w:tcPr>
            <w:tcW w:w="1240" w:type="dxa"/>
            <w:vAlign w:val="center"/>
          </w:tcPr>
          <w:p w14:paraId="3970F605">
            <w:pPr>
              <w:spacing w:line="440" w:lineRule="exact"/>
              <w:jc w:val="center"/>
              <w:rPr>
                <w:rFonts w:asciiTheme="minorEastAsia" w:hAnsiTheme="minorEastAsia" w:eastAsiaTheme="minorEastAsia" w:cstheme="minorEastAsia"/>
              </w:rPr>
            </w:pPr>
          </w:p>
        </w:tc>
        <w:tc>
          <w:tcPr>
            <w:tcW w:w="1240" w:type="dxa"/>
            <w:vAlign w:val="center"/>
          </w:tcPr>
          <w:p w14:paraId="02A42CA2">
            <w:pPr>
              <w:spacing w:line="440" w:lineRule="exact"/>
              <w:jc w:val="center"/>
              <w:rPr>
                <w:rFonts w:asciiTheme="minorEastAsia" w:hAnsiTheme="minorEastAsia" w:eastAsiaTheme="minorEastAsia" w:cstheme="minorEastAsia"/>
              </w:rPr>
            </w:pPr>
          </w:p>
        </w:tc>
        <w:tc>
          <w:tcPr>
            <w:tcW w:w="1791" w:type="dxa"/>
            <w:vAlign w:val="center"/>
          </w:tcPr>
          <w:p w14:paraId="0DD009E6">
            <w:pPr>
              <w:spacing w:line="440" w:lineRule="exact"/>
              <w:jc w:val="center"/>
              <w:rPr>
                <w:rFonts w:asciiTheme="minorEastAsia" w:hAnsiTheme="minorEastAsia" w:eastAsiaTheme="minorEastAsia" w:cstheme="minorEastAsia"/>
              </w:rPr>
            </w:pPr>
          </w:p>
        </w:tc>
        <w:tc>
          <w:tcPr>
            <w:tcW w:w="1377" w:type="dxa"/>
            <w:vAlign w:val="center"/>
          </w:tcPr>
          <w:p w14:paraId="63359FAA">
            <w:pPr>
              <w:spacing w:line="440" w:lineRule="exact"/>
              <w:jc w:val="center"/>
              <w:rPr>
                <w:rFonts w:asciiTheme="minorEastAsia" w:hAnsiTheme="minorEastAsia" w:eastAsiaTheme="minorEastAsia" w:cstheme="minorEastAsia"/>
              </w:rPr>
            </w:pPr>
          </w:p>
        </w:tc>
        <w:tc>
          <w:tcPr>
            <w:tcW w:w="1653" w:type="dxa"/>
            <w:vAlign w:val="center"/>
          </w:tcPr>
          <w:p w14:paraId="6D725726">
            <w:pPr>
              <w:spacing w:line="440" w:lineRule="exact"/>
              <w:jc w:val="center"/>
              <w:rPr>
                <w:rFonts w:asciiTheme="minorEastAsia" w:hAnsiTheme="minorEastAsia" w:eastAsiaTheme="minorEastAsia" w:cstheme="minorEastAsia"/>
              </w:rPr>
            </w:pPr>
          </w:p>
        </w:tc>
        <w:tc>
          <w:tcPr>
            <w:tcW w:w="827" w:type="dxa"/>
            <w:vAlign w:val="center"/>
          </w:tcPr>
          <w:p w14:paraId="5002A695">
            <w:pPr>
              <w:spacing w:line="440" w:lineRule="exact"/>
              <w:jc w:val="center"/>
              <w:rPr>
                <w:rFonts w:asciiTheme="minorEastAsia" w:hAnsiTheme="minorEastAsia" w:eastAsiaTheme="minorEastAsia" w:cstheme="minorEastAsia"/>
              </w:rPr>
            </w:pPr>
          </w:p>
        </w:tc>
      </w:tr>
      <w:tr w14:paraId="6788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19" w:type="dxa"/>
            <w:vAlign w:val="center"/>
          </w:tcPr>
          <w:p w14:paraId="430C7DDD">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039" w:type="dxa"/>
            <w:vAlign w:val="center"/>
          </w:tcPr>
          <w:p w14:paraId="7AA8A5E5">
            <w:pPr>
              <w:spacing w:line="440" w:lineRule="exact"/>
              <w:jc w:val="center"/>
              <w:rPr>
                <w:rFonts w:asciiTheme="minorEastAsia" w:hAnsiTheme="minorEastAsia" w:eastAsiaTheme="minorEastAsia" w:cstheme="minorEastAsia"/>
              </w:rPr>
            </w:pPr>
          </w:p>
        </w:tc>
        <w:tc>
          <w:tcPr>
            <w:tcW w:w="1240" w:type="dxa"/>
            <w:vAlign w:val="center"/>
          </w:tcPr>
          <w:p w14:paraId="3C815B13">
            <w:pPr>
              <w:spacing w:line="440" w:lineRule="exact"/>
              <w:jc w:val="center"/>
              <w:rPr>
                <w:rFonts w:asciiTheme="minorEastAsia" w:hAnsiTheme="minorEastAsia" w:eastAsiaTheme="minorEastAsia" w:cstheme="minorEastAsia"/>
              </w:rPr>
            </w:pPr>
          </w:p>
        </w:tc>
        <w:tc>
          <w:tcPr>
            <w:tcW w:w="1240" w:type="dxa"/>
            <w:vAlign w:val="center"/>
          </w:tcPr>
          <w:p w14:paraId="59912782">
            <w:pPr>
              <w:spacing w:line="440" w:lineRule="exact"/>
              <w:jc w:val="center"/>
              <w:rPr>
                <w:rFonts w:asciiTheme="minorEastAsia" w:hAnsiTheme="minorEastAsia" w:eastAsiaTheme="minorEastAsia" w:cstheme="minorEastAsia"/>
              </w:rPr>
            </w:pPr>
          </w:p>
        </w:tc>
        <w:tc>
          <w:tcPr>
            <w:tcW w:w="1791" w:type="dxa"/>
            <w:vAlign w:val="center"/>
          </w:tcPr>
          <w:p w14:paraId="0AE2A091">
            <w:pPr>
              <w:spacing w:line="440" w:lineRule="exact"/>
              <w:jc w:val="center"/>
              <w:rPr>
                <w:rFonts w:asciiTheme="minorEastAsia" w:hAnsiTheme="minorEastAsia" w:eastAsiaTheme="minorEastAsia" w:cstheme="minorEastAsia"/>
              </w:rPr>
            </w:pPr>
          </w:p>
        </w:tc>
        <w:tc>
          <w:tcPr>
            <w:tcW w:w="1377" w:type="dxa"/>
            <w:vAlign w:val="center"/>
          </w:tcPr>
          <w:p w14:paraId="334ADE64">
            <w:pPr>
              <w:spacing w:line="440" w:lineRule="exact"/>
              <w:jc w:val="center"/>
              <w:rPr>
                <w:rFonts w:asciiTheme="minorEastAsia" w:hAnsiTheme="minorEastAsia" w:eastAsiaTheme="minorEastAsia" w:cstheme="minorEastAsia"/>
              </w:rPr>
            </w:pPr>
          </w:p>
        </w:tc>
        <w:tc>
          <w:tcPr>
            <w:tcW w:w="1653" w:type="dxa"/>
            <w:vAlign w:val="center"/>
          </w:tcPr>
          <w:p w14:paraId="4C5C964C">
            <w:pPr>
              <w:spacing w:line="440" w:lineRule="exact"/>
              <w:jc w:val="center"/>
              <w:rPr>
                <w:rFonts w:asciiTheme="minorEastAsia" w:hAnsiTheme="minorEastAsia" w:eastAsiaTheme="minorEastAsia" w:cstheme="minorEastAsia"/>
              </w:rPr>
            </w:pPr>
          </w:p>
        </w:tc>
        <w:tc>
          <w:tcPr>
            <w:tcW w:w="827" w:type="dxa"/>
            <w:vAlign w:val="center"/>
          </w:tcPr>
          <w:p w14:paraId="2069BB4E">
            <w:pPr>
              <w:spacing w:line="440" w:lineRule="exact"/>
              <w:jc w:val="center"/>
              <w:rPr>
                <w:rFonts w:asciiTheme="minorEastAsia" w:hAnsiTheme="minorEastAsia" w:eastAsiaTheme="minorEastAsia" w:cstheme="minorEastAsia"/>
              </w:rPr>
            </w:pPr>
          </w:p>
        </w:tc>
      </w:tr>
      <w:tr w14:paraId="7121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19" w:type="dxa"/>
            <w:vAlign w:val="center"/>
          </w:tcPr>
          <w:p w14:paraId="73771E27">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039" w:type="dxa"/>
            <w:vAlign w:val="center"/>
          </w:tcPr>
          <w:p w14:paraId="7056D3F3">
            <w:pPr>
              <w:spacing w:line="440" w:lineRule="exact"/>
              <w:jc w:val="center"/>
              <w:rPr>
                <w:rFonts w:asciiTheme="minorEastAsia" w:hAnsiTheme="minorEastAsia" w:eastAsiaTheme="minorEastAsia" w:cstheme="minorEastAsia"/>
              </w:rPr>
            </w:pPr>
          </w:p>
        </w:tc>
        <w:tc>
          <w:tcPr>
            <w:tcW w:w="1240" w:type="dxa"/>
            <w:vAlign w:val="center"/>
          </w:tcPr>
          <w:p w14:paraId="7B9B81F9">
            <w:pPr>
              <w:spacing w:line="440" w:lineRule="exact"/>
              <w:jc w:val="center"/>
              <w:rPr>
                <w:rFonts w:asciiTheme="minorEastAsia" w:hAnsiTheme="minorEastAsia" w:eastAsiaTheme="minorEastAsia" w:cstheme="minorEastAsia"/>
              </w:rPr>
            </w:pPr>
          </w:p>
        </w:tc>
        <w:tc>
          <w:tcPr>
            <w:tcW w:w="1240" w:type="dxa"/>
            <w:vAlign w:val="center"/>
          </w:tcPr>
          <w:p w14:paraId="23B8917B">
            <w:pPr>
              <w:spacing w:line="440" w:lineRule="exact"/>
              <w:jc w:val="center"/>
              <w:rPr>
                <w:rFonts w:asciiTheme="minorEastAsia" w:hAnsiTheme="minorEastAsia" w:eastAsiaTheme="minorEastAsia" w:cstheme="minorEastAsia"/>
              </w:rPr>
            </w:pPr>
          </w:p>
        </w:tc>
        <w:tc>
          <w:tcPr>
            <w:tcW w:w="1791" w:type="dxa"/>
            <w:vAlign w:val="center"/>
          </w:tcPr>
          <w:p w14:paraId="73947285">
            <w:pPr>
              <w:spacing w:line="440" w:lineRule="exact"/>
              <w:jc w:val="center"/>
              <w:rPr>
                <w:rFonts w:asciiTheme="minorEastAsia" w:hAnsiTheme="minorEastAsia" w:eastAsiaTheme="minorEastAsia" w:cstheme="minorEastAsia"/>
              </w:rPr>
            </w:pPr>
          </w:p>
        </w:tc>
        <w:tc>
          <w:tcPr>
            <w:tcW w:w="1377" w:type="dxa"/>
            <w:vAlign w:val="center"/>
          </w:tcPr>
          <w:p w14:paraId="48BE3F9B">
            <w:pPr>
              <w:spacing w:line="440" w:lineRule="exact"/>
              <w:jc w:val="center"/>
              <w:rPr>
                <w:rFonts w:asciiTheme="minorEastAsia" w:hAnsiTheme="minorEastAsia" w:eastAsiaTheme="minorEastAsia" w:cstheme="minorEastAsia"/>
              </w:rPr>
            </w:pPr>
          </w:p>
        </w:tc>
        <w:tc>
          <w:tcPr>
            <w:tcW w:w="1653" w:type="dxa"/>
            <w:vAlign w:val="center"/>
          </w:tcPr>
          <w:p w14:paraId="502B445A">
            <w:pPr>
              <w:spacing w:line="440" w:lineRule="exact"/>
              <w:jc w:val="center"/>
              <w:rPr>
                <w:rFonts w:asciiTheme="minorEastAsia" w:hAnsiTheme="minorEastAsia" w:eastAsiaTheme="minorEastAsia" w:cstheme="minorEastAsia"/>
              </w:rPr>
            </w:pPr>
          </w:p>
        </w:tc>
        <w:tc>
          <w:tcPr>
            <w:tcW w:w="827" w:type="dxa"/>
            <w:vAlign w:val="center"/>
          </w:tcPr>
          <w:p w14:paraId="5A6813D0">
            <w:pPr>
              <w:spacing w:line="440" w:lineRule="exact"/>
              <w:jc w:val="center"/>
              <w:rPr>
                <w:rFonts w:asciiTheme="minorEastAsia" w:hAnsiTheme="minorEastAsia" w:eastAsiaTheme="minorEastAsia" w:cstheme="minorEastAsia"/>
              </w:rPr>
            </w:pPr>
          </w:p>
        </w:tc>
      </w:tr>
      <w:tr w14:paraId="0381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19" w:type="dxa"/>
            <w:vAlign w:val="center"/>
          </w:tcPr>
          <w:p w14:paraId="0A979EFE">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039" w:type="dxa"/>
            <w:vAlign w:val="center"/>
          </w:tcPr>
          <w:p w14:paraId="6C0C989F">
            <w:pPr>
              <w:spacing w:line="440" w:lineRule="exact"/>
              <w:jc w:val="center"/>
              <w:rPr>
                <w:rFonts w:asciiTheme="minorEastAsia" w:hAnsiTheme="minorEastAsia" w:eastAsiaTheme="minorEastAsia" w:cstheme="minorEastAsia"/>
              </w:rPr>
            </w:pPr>
          </w:p>
        </w:tc>
        <w:tc>
          <w:tcPr>
            <w:tcW w:w="1240" w:type="dxa"/>
            <w:vAlign w:val="center"/>
          </w:tcPr>
          <w:p w14:paraId="01DC7C03">
            <w:pPr>
              <w:spacing w:line="440" w:lineRule="exact"/>
              <w:jc w:val="center"/>
              <w:rPr>
                <w:rFonts w:asciiTheme="minorEastAsia" w:hAnsiTheme="minorEastAsia" w:eastAsiaTheme="minorEastAsia" w:cstheme="minorEastAsia"/>
              </w:rPr>
            </w:pPr>
          </w:p>
        </w:tc>
        <w:tc>
          <w:tcPr>
            <w:tcW w:w="1240" w:type="dxa"/>
            <w:vAlign w:val="center"/>
          </w:tcPr>
          <w:p w14:paraId="7A2FDE13">
            <w:pPr>
              <w:spacing w:line="440" w:lineRule="exact"/>
              <w:jc w:val="center"/>
              <w:rPr>
                <w:rFonts w:asciiTheme="minorEastAsia" w:hAnsiTheme="minorEastAsia" w:eastAsiaTheme="minorEastAsia" w:cstheme="minorEastAsia"/>
              </w:rPr>
            </w:pPr>
          </w:p>
        </w:tc>
        <w:tc>
          <w:tcPr>
            <w:tcW w:w="1791" w:type="dxa"/>
            <w:vAlign w:val="center"/>
          </w:tcPr>
          <w:p w14:paraId="2A9E0925">
            <w:pPr>
              <w:spacing w:line="440" w:lineRule="exact"/>
              <w:jc w:val="center"/>
              <w:rPr>
                <w:rFonts w:asciiTheme="minorEastAsia" w:hAnsiTheme="minorEastAsia" w:eastAsiaTheme="minorEastAsia" w:cstheme="minorEastAsia"/>
              </w:rPr>
            </w:pPr>
          </w:p>
        </w:tc>
        <w:tc>
          <w:tcPr>
            <w:tcW w:w="1377" w:type="dxa"/>
            <w:vAlign w:val="center"/>
          </w:tcPr>
          <w:p w14:paraId="2E3A5938">
            <w:pPr>
              <w:spacing w:line="440" w:lineRule="exact"/>
              <w:jc w:val="center"/>
              <w:rPr>
                <w:rFonts w:asciiTheme="minorEastAsia" w:hAnsiTheme="minorEastAsia" w:eastAsiaTheme="minorEastAsia" w:cstheme="minorEastAsia"/>
              </w:rPr>
            </w:pPr>
          </w:p>
        </w:tc>
        <w:tc>
          <w:tcPr>
            <w:tcW w:w="1653" w:type="dxa"/>
            <w:vAlign w:val="center"/>
          </w:tcPr>
          <w:p w14:paraId="205C97AA">
            <w:pPr>
              <w:spacing w:line="440" w:lineRule="exact"/>
              <w:jc w:val="center"/>
              <w:rPr>
                <w:rFonts w:asciiTheme="minorEastAsia" w:hAnsiTheme="minorEastAsia" w:eastAsiaTheme="minorEastAsia" w:cstheme="minorEastAsia"/>
              </w:rPr>
            </w:pPr>
          </w:p>
        </w:tc>
        <w:tc>
          <w:tcPr>
            <w:tcW w:w="827" w:type="dxa"/>
            <w:vAlign w:val="center"/>
          </w:tcPr>
          <w:p w14:paraId="627C9560">
            <w:pPr>
              <w:spacing w:line="440" w:lineRule="exact"/>
              <w:jc w:val="center"/>
              <w:rPr>
                <w:rFonts w:asciiTheme="minorEastAsia" w:hAnsiTheme="minorEastAsia" w:eastAsiaTheme="minorEastAsia" w:cstheme="minorEastAsia"/>
              </w:rPr>
            </w:pPr>
          </w:p>
        </w:tc>
      </w:tr>
    </w:tbl>
    <w:p w14:paraId="1139ABA6">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（公章）</w:t>
      </w:r>
    </w:p>
    <w:p w14:paraId="09341DF5">
      <w:pPr>
        <w:spacing w:line="520" w:lineRule="exact"/>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法定代表人或委托代理人：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（签字或盖章）</w:t>
      </w:r>
    </w:p>
    <w:p w14:paraId="607B60E8">
      <w:pPr>
        <w:spacing w:line="520" w:lineRule="exact"/>
        <w:ind w:firstLine="480" w:firstLineChars="200"/>
        <w:jc w:val="right"/>
        <w:rPr>
          <w:rFonts w:asciiTheme="minorEastAsia" w:hAnsiTheme="minorEastAsia" w:eastAsiaTheme="minorEastAsia" w:cstheme="minorEastAsia"/>
        </w:rPr>
      </w:pPr>
      <w:r>
        <w:rPr>
          <w:rFonts w:hint="eastAsia" w:asciiTheme="minorEastAsia" w:hAnsiTheme="minorEastAsia" w:eastAsiaTheme="minorEastAsia" w:cstheme="minorEastAsia"/>
        </w:rPr>
        <w:t>日期：     年  月  日</w:t>
      </w:r>
    </w:p>
    <w:p w14:paraId="4D13C7CD">
      <w:pPr>
        <w:adjustRightInd w:val="0"/>
        <w:snapToGrid w:val="0"/>
        <w:spacing w:line="44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注：后附人员相关资格证书复印件。</w:t>
      </w:r>
    </w:p>
    <w:p w14:paraId="778B3085">
      <w:pPr>
        <w:spacing w:line="44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sz w:val="30"/>
          <w:szCs w:val="30"/>
        </w:rPr>
        <w:t xml:space="preserve">附件3-6  </w:t>
      </w:r>
      <w:r>
        <w:rPr>
          <w:rFonts w:hint="eastAsia" w:asciiTheme="minorEastAsia" w:hAnsiTheme="minorEastAsia" w:eastAsiaTheme="minorEastAsia" w:cstheme="minorEastAsia"/>
          <w:b/>
          <w:sz w:val="32"/>
          <w:szCs w:val="32"/>
        </w:rPr>
        <w:t>近三年经营业绩表</w:t>
      </w:r>
    </w:p>
    <w:p w14:paraId="4A30E98F">
      <w:pPr>
        <w:spacing w:line="44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投标人名称（公章）：</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招标编号：</w:t>
      </w:r>
      <w:r>
        <w:rPr>
          <w:rFonts w:hint="eastAsia" w:asciiTheme="minorEastAsia" w:hAnsiTheme="minorEastAsia" w:eastAsiaTheme="minorEastAsia" w:cstheme="minorEastAsia"/>
          <w:u w:val="single"/>
        </w:rPr>
        <w:t xml:space="preserve">　　　　           </w:t>
      </w:r>
    </w:p>
    <w:p w14:paraId="44B2B0D5">
      <w:pPr>
        <w:spacing w:line="44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标项序号、名称：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w:t>
      </w:r>
    </w:p>
    <w:tbl>
      <w:tblPr>
        <w:tblStyle w:val="41"/>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2"/>
        <w:gridCol w:w="1642"/>
      </w:tblGrid>
      <w:tr w14:paraId="1C37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34F7B85A">
            <w:pPr>
              <w:widowControl w:val="0"/>
              <w:spacing w:line="44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序号</w:t>
            </w:r>
          </w:p>
        </w:tc>
        <w:tc>
          <w:tcPr>
            <w:tcW w:w="1642" w:type="dxa"/>
          </w:tcPr>
          <w:p w14:paraId="35ACF923">
            <w:pPr>
              <w:widowControl w:val="0"/>
              <w:spacing w:line="44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采购单位</w:t>
            </w:r>
          </w:p>
        </w:tc>
        <w:tc>
          <w:tcPr>
            <w:tcW w:w="1642" w:type="dxa"/>
          </w:tcPr>
          <w:p w14:paraId="5F75CC9F">
            <w:pPr>
              <w:widowControl w:val="0"/>
              <w:spacing w:line="44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项目名称</w:t>
            </w:r>
          </w:p>
        </w:tc>
        <w:tc>
          <w:tcPr>
            <w:tcW w:w="1642" w:type="dxa"/>
          </w:tcPr>
          <w:p w14:paraId="3227D0C7">
            <w:pPr>
              <w:widowControl w:val="0"/>
              <w:spacing w:line="44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项目负责人</w:t>
            </w:r>
          </w:p>
        </w:tc>
        <w:tc>
          <w:tcPr>
            <w:tcW w:w="1642" w:type="dxa"/>
          </w:tcPr>
          <w:p w14:paraId="7A8A52E3">
            <w:pPr>
              <w:widowControl w:val="0"/>
              <w:spacing w:line="44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服务期</w:t>
            </w:r>
          </w:p>
        </w:tc>
        <w:tc>
          <w:tcPr>
            <w:tcW w:w="1642" w:type="dxa"/>
          </w:tcPr>
          <w:p w14:paraId="0F570FBA">
            <w:pPr>
              <w:widowControl w:val="0"/>
              <w:spacing w:line="440" w:lineRule="exact"/>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备注</w:t>
            </w:r>
          </w:p>
        </w:tc>
      </w:tr>
      <w:tr w14:paraId="5FEE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5DACEE00">
            <w:pPr>
              <w:widowControl w:val="0"/>
              <w:spacing w:line="440" w:lineRule="exact"/>
              <w:jc w:val="both"/>
              <w:rPr>
                <w:rFonts w:asciiTheme="minorEastAsia" w:hAnsiTheme="minorEastAsia" w:eastAsiaTheme="minorEastAsia" w:cstheme="minorEastAsia"/>
                <w:b/>
              </w:rPr>
            </w:pPr>
          </w:p>
        </w:tc>
        <w:tc>
          <w:tcPr>
            <w:tcW w:w="1642" w:type="dxa"/>
          </w:tcPr>
          <w:p w14:paraId="4C8FA8D4">
            <w:pPr>
              <w:widowControl w:val="0"/>
              <w:spacing w:line="440" w:lineRule="exact"/>
              <w:jc w:val="both"/>
              <w:rPr>
                <w:rFonts w:asciiTheme="minorEastAsia" w:hAnsiTheme="minorEastAsia" w:eastAsiaTheme="minorEastAsia" w:cstheme="minorEastAsia"/>
                <w:b/>
              </w:rPr>
            </w:pPr>
          </w:p>
        </w:tc>
        <w:tc>
          <w:tcPr>
            <w:tcW w:w="1642" w:type="dxa"/>
          </w:tcPr>
          <w:p w14:paraId="6443A1CA">
            <w:pPr>
              <w:widowControl w:val="0"/>
              <w:spacing w:line="440" w:lineRule="exact"/>
              <w:jc w:val="both"/>
              <w:rPr>
                <w:rFonts w:asciiTheme="minorEastAsia" w:hAnsiTheme="minorEastAsia" w:eastAsiaTheme="minorEastAsia" w:cstheme="minorEastAsia"/>
                <w:b/>
              </w:rPr>
            </w:pPr>
          </w:p>
        </w:tc>
        <w:tc>
          <w:tcPr>
            <w:tcW w:w="1642" w:type="dxa"/>
          </w:tcPr>
          <w:p w14:paraId="3C6F662E">
            <w:pPr>
              <w:widowControl w:val="0"/>
              <w:spacing w:line="440" w:lineRule="exact"/>
              <w:jc w:val="both"/>
              <w:rPr>
                <w:rFonts w:asciiTheme="minorEastAsia" w:hAnsiTheme="minorEastAsia" w:eastAsiaTheme="minorEastAsia" w:cstheme="minorEastAsia"/>
                <w:b/>
              </w:rPr>
            </w:pPr>
          </w:p>
        </w:tc>
        <w:tc>
          <w:tcPr>
            <w:tcW w:w="1642" w:type="dxa"/>
          </w:tcPr>
          <w:p w14:paraId="795BEBCB">
            <w:pPr>
              <w:widowControl w:val="0"/>
              <w:spacing w:line="440" w:lineRule="exact"/>
              <w:jc w:val="both"/>
              <w:rPr>
                <w:rFonts w:asciiTheme="minorEastAsia" w:hAnsiTheme="minorEastAsia" w:eastAsiaTheme="minorEastAsia" w:cstheme="minorEastAsia"/>
                <w:b/>
              </w:rPr>
            </w:pPr>
          </w:p>
        </w:tc>
        <w:tc>
          <w:tcPr>
            <w:tcW w:w="1642" w:type="dxa"/>
          </w:tcPr>
          <w:p w14:paraId="443BEA5E">
            <w:pPr>
              <w:widowControl w:val="0"/>
              <w:spacing w:line="440" w:lineRule="exact"/>
              <w:jc w:val="both"/>
              <w:rPr>
                <w:rFonts w:asciiTheme="minorEastAsia" w:hAnsiTheme="minorEastAsia" w:eastAsiaTheme="minorEastAsia" w:cstheme="minorEastAsia"/>
                <w:b/>
              </w:rPr>
            </w:pPr>
          </w:p>
        </w:tc>
      </w:tr>
      <w:tr w14:paraId="2148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72E5DD58">
            <w:pPr>
              <w:widowControl w:val="0"/>
              <w:spacing w:line="440" w:lineRule="exact"/>
              <w:jc w:val="both"/>
              <w:rPr>
                <w:rFonts w:asciiTheme="minorEastAsia" w:hAnsiTheme="minorEastAsia" w:eastAsiaTheme="minorEastAsia" w:cstheme="minorEastAsia"/>
                <w:b/>
              </w:rPr>
            </w:pPr>
          </w:p>
        </w:tc>
        <w:tc>
          <w:tcPr>
            <w:tcW w:w="1642" w:type="dxa"/>
          </w:tcPr>
          <w:p w14:paraId="60484F3D">
            <w:pPr>
              <w:widowControl w:val="0"/>
              <w:spacing w:line="440" w:lineRule="exact"/>
              <w:jc w:val="both"/>
              <w:rPr>
                <w:rFonts w:asciiTheme="minorEastAsia" w:hAnsiTheme="minorEastAsia" w:eastAsiaTheme="minorEastAsia" w:cstheme="minorEastAsia"/>
                <w:b/>
              </w:rPr>
            </w:pPr>
          </w:p>
        </w:tc>
        <w:tc>
          <w:tcPr>
            <w:tcW w:w="1642" w:type="dxa"/>
          </w:tcPr>
          <w:p w14:paraId="1FC2C4B9">
            <w:pPr>
              <w:widowControl w:val="0"/>
              <w:spacing w:line="440" w:lineRule="exact"/>
              <w:jc w:val="both"/>
              <w:rPr>
                <w:rFonts w:asciiTheme="minorEastAsia" w:hAnsiTheme="minorEastAsia" w:eastAsiaTheme="minorEastAsia" w:cstheme="minorEastAsia"/>
                <w:b/>
              </w:rPr>
            </w:pPr>
          </w:p>
        </w:tc>
        <w:tc>
          <w:tcPr>
            <w:tcW w:w="1642" w:type="dxa"/>
          </w:tcPr>
          <w:p w14:paraId="1029A36D">
            <w:pPr>
              <w:widowControl w:val="0"/>
              <w:spacing w:line="440" w:lineRule="exact"/>
              <w:jc w:val="both"/>
              <w:rPr>
                <w:rFonts w:asciiTheme="minorEastAsia" w:hAnsiTheme="minorEastAsia" w:eastAsiaTheme="minorEastAsia" w:cstheme="minorEastAsia"/>
                <w:b/>
              </w:rPr>
            </w:pPr>
          </w:p>
        </w:tc>
        <w:tc>
          <w:tcPr>
            <w:tcW w:w="1642" w:type="dxa"/>
          </w:tcPr>
          <w:p w14:paraId="30C485A4">
            <w:pPr>
              <w:widowControl w:val="0"/>
              <w:spacing w:line="440" w:lineRule="exact"/>
              <w:jc w:val="both"/>
              <w:rPr>
                <w:rFonts w:asciiTheme="minorEastAsia" w:hAnsiTheme="minorEastAsia" w:eastAsiaTheme="minorEastAsia" w:cstheme="minorEastAsia"/>
                <w:b/>
              </w:rPr>
            </w:pPr>
          </w:p>
        </w:tc>
        <w:tc>
          <w:tcPr>
            <w:tcW w:w="1642" w:type="dxa"/>
          </w:tcPr>
          <w:p w14:paraId="351357EF">
            <w:pPr>
              <w:widowControl w:val="0"/>
              <w:spacing w:line="440" w:lineRule="exact"/>
              <w:jc w:val="both"/>
              <w:rPr>
                <w:rFonts w:asciiTheme="minorEastAsia" w:hAnsiTheme="minorEastAsia" w:eastAsiaTheme="minorEastAsia" w:cstheme="minorEastAsia"/>
                <w:b/>
              </w:rPr>
            </w:pPr>
          </w:p>
        </w:tc>
      </w:tr>
      <w:tr w14:paraId="0762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45F7283C">
            <w:pPr>
              <w:widowControl w:val="0"/>
              <w:spacing w:line="440" w:lineRule="exact"/>
              <w:jc w:val="both"/>
              <w:rPr>
                <w:rFonts w:asciiTheme="minorEastAsia" w:hAnsiTheme="minorEastAsia" w:eastAsiaTheme="minorEastAsia" w:cstheme="minorEastAsia"/>
                <w:b/>
              </w:rPr>
            </w:pPr>
          </w:p>
        </w:tc>
        <w:tc>
          <w:tcPr>
            <w:tcW w:w="1642" w:type="dxa"/>
          </w:tcPr>
          <w:p w14:paraId="7AC6BFDF">
            <w:pPr>
              <w:widowControl w:val="0"/>
              <w:spacing w:line="440" w:lineRule="exact"/>
              <w:jc w:val="both"/>
              <w:rPr>
                <w:rFonts w:asciiTheme="minorEastAsia" w:hAnsiTheme="minorEastAsia" w:eastAsiaTheme="minorEastAsia" w:cstheme="minorEastAsia"/>
                <w:b/>
              </w:rPr>
            </w:pPr>
          </w:p>
        </w:tc>
        <w:tc>
          <w:tcPr>
            <w:tcW w:w="1642" w:type="dxa"/>
          </w:tcPr>
          <w:p w14:paraId="5C8C2742">
            <w:pPr>
              <w:widowControl w:val="0"/>
              <w:spacing w:line="440" w:lineRule="exact"/>
              <w:jc w:val="both"/>
              <w:rPr>
                <w:rFonts w:asciiTheme="minorEastAsia" w:hAnsiTheme="minorEastAsia" w:eastAsiaTheme="minorEastAsia" w:cstheme="minorEastAsia"/>
                <w:b/>
              </w:rPr>
            </w:pPr>
          </w:p>
        </w:tc>
        <w:tc>
          <w:tcPr>
            <w:tcW w:w="1642" w:type="dxa"/>
          </w:tcPr>
          <w:p w14:paraId="1132A710">
            <w:pPr>
              <w:widowControl w:val="0"/>
              <w:spacing w:line="440" w:lineRule="exact"/>
              <w:jc w:val="both"/>
              <w:rPr>
                <w:rFonts w:asciiTheme="minorEastAsia" w:hAnsiTheme="minorEastAsia" w:eastAsiaTheme="minorEastAsia" w:cstheme="minorEastAsia"/>
                <w:b/>
              </w:rPr>
            </w:pPr>
          </w:p>
        </w:tc>
        <w:tc>
          <w:tcPr>
            <w:tcW w:w="1642" w:type="dxa"/>
          </w:tcPr>
          <w:p w14:paraId="4DC6EE42">
            <w:pPr>
              <w:widowControl w:val="0"/>
              <w:spacing w:line="440" w:lineRule="exact"/>
              <w:jc w:val="both"/>
              <w:rPr>
                <w:rFonts w:asciiTheme="minorEastAsia" w:hAnsiTheme="minorEastAsia" w:eastAsiaTheme="minorEastAsia" w:cstheme="minorEastAsia"/>
                <w:b/>
              </w:rPr>
            </w:pPr>
          </w:p>
        </w:tc>
        <w:tc>
          <w:tcPr>
            <w:tcW w:w="1642" w:type="dxa"/>
          </w:tcPr>
          <w:p w14:paraId="348EE547">
            <w:pPr>
              <w:widowControl w:val="0"/>
              <w:spacing w:line="440" w:lineRule="exact"/>
              <w:jc w:val="both"/>
              <w:rPr>
                <w:rFonts w:asciiTheme="minorEastAsia" w:hAnsiTheme="minorEastAsia" w:eastAsiaTheme="minorEastAsia" w:cstheme="minorEastAsia"/>
                <w:b/>
              </w:rPr>
            </w:pPr>
          </w:p>
        </w:tc>
      </w:tr>
      <w:tr w14:paraId="2BA0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284102E3">
            <w:pPr>
              <w:widowControl w:val="0"/>
              <w:spacing w:line="440" w:lineRule="exact"/>
              <w:jc w:val="both"/>
              <w:rPr>
                <w:rFonts w:asciiTheme="minorEastAsia" w:hAnsiTheme="minorEastAsia" w:eastAsiaTheme="minorEastAsia" w:cstheme="minorEastAsia"/>
                <w:b/>
              </w:rPr>
            </w:pPr>
          </w:p>
        </w:tc>
        <w:tc>
          <w:tcPr>
            <w:tcW w:w="1642" w:type="dxa"/>
          </w:tcPr>
          <w:p w14:paraId="6D056B12">
            <w:pPr>
              <w:widowControl w:val="0"/>
              <w:spacing w:line="440" w:lineRule="exact"/>
              <w:jc w:val="both"/>
              <w:rPr>
                <w:rFonts w:asciiTheme="minorEastAsia" w:hAnsiTheme="minorEastAsia" w:eastAsiaTheme="minorEastAsia" w:cstheme="minorEastAsia"/>
                <w:b/>
              </w:rPr>
            </w:pPr>
          </w:p>
        </w:tc>
        <w:tc>
          <w:tcPr>
            <w:tcW w:w="1642" w:type="dxa"/>
          </w:tcPr>
          <w:p w14:paraId="67FE7679">
            <w:pPr>
              <w:widowControl w:val="0"/>
              <w:spacing w:line="440" w:lineRule="exact"/>
              <w:jc w:val="both"/>
              <w:rPr>
                <w:rFonts w:asciiTheme="minorEastAsia" w:hAnsiTheme="minorEastAsia" w:eastAsiaTheme="minorEastAsia" w:cstheme="minorEastAsia"/>
                <w:b/>
              </w:rPr>
            </w:pPr>
          </w:p>
        </w:tc>
        <w:tc>
          <w:tcPr>
            <w:tcW w:w="1642" w:type="dxa"/>
          </w:tcPr>
          <w:p w14:paraId="61C9F5DB">
            <w:pPr>
              <w:widowControl w:val="0"/>
              <w:spacing w:line="440" w:lineRule="exact"/>
              <w:jc w:val="both"/>
              <w:rPr>
                <w:rFonts w:asciiTheme="minorEastAsia" w:hAnsiTheme="minorEastAsia" w:eastAsiaTheme="minorEastAsia" w:cstheme="minorEastAsia"/>
                <w:b/>
              </w:rPr>
            </w:pPr>
          </w:p>
        </w:tc>
        <w:tc>
          <w:tcPr>
            <w:tcW w:w="1642" w:type="dxa"/>
          </w:tcPr>
          <w:p w14:paraId="06D4C5EA">
            <w:pPr>
              <w:widowControl w:val="0"/>
              <w:spacing w:line="440" w:lineRule="exact"/>
              <w:jc w:val="both"/>
              <w:rPr>
                <w:rFonts w:asciiTheme="minorEastAsia" w:hAnsiTheme="minorEastAsia" w:eastAsiaTheme="minorEastAsia" w:cstheme="minorEastAsia"/>
                <w:b/>
              </w:rPr>
            </w:pPr>
          </w:p>
        </w:tc>
        <w:tc>
          <w:tcPr>
            <w:tcW w:w="1642" w:type="dxa"/>
          </w:tcPr>
          <w:p w14:paraId="1111C47B">
            <w:pPr>
              <w:widowControl w:val="0"/>
              <w:spacing w:line="440" w:lineRule="exact"/>
              <w:jc w:val="both"/>
              <w:rPr>
                <w:rFonts w:asciiTheme="minorEastAsia" w:hAnsiTheme="minorEastAsia" w:eastAsiaTheme="minorEastAsia" w:cstheme="minorEastAsia"/>
                <w:b/>
              </w:rPr>
            </w:pPr>
          </w:p>
        </w:tc>
      </w:tr>
      <w:tr w14:paraId="1BCD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259B9A83">
            <w:pPr>
              <w:widowControl w:val="0"/>
              <w:spacing w:line="440" w:lineRule="exact"/>
              <w:jc w:val="both"/>
              <w:rPr>
                <w:rFonts w:asciiTheme="minorEastAsia" w:hAnsiTheme="minorEastAsia" w:eastAsiaTheme="minorEastAsia" w:cstheme="minorEastAsia"/>
                <w:b/>
              </w:rPr>
            </w:pPr>
          </w:p>
        </w:tc>
        <w:tc>
          <w:tcPr>
            <w:tcW w:w="1642" w:type="dxa"/>
          </w:tcPr>
          <w:p w14:paraId="4E3E657D">
            <w:pPr>
              <w:widowControl w:val="0"/>
              <w:spacing w:line="440" w:lineRule="exact"/>
              <w:jc w:val="both"/>
              <w:rPr>
                <w:rFonts w:asciiTheme="minorEastAsia" w:hAnsiTheme="minorEastAsia" w:eastAsiaTheme="minorEastAsia" w:cstheme="minorEastAsia"/>
                <w:b/>
              </w:rPr>
            </w:pPr>
          </w:p>
        </w:tc>
        <w:tc>
          <w:tcPr>
            <w:tcW w:w="1642" w:type="dxa"/>
          </w:tcPr>
          <w:p w14:paraId="2A113108">
            <w:pPr>
              <w:widowControl w:val="0"/>
              <w:spacing w:line="440" w:lineRule="exact"/>
              <w:jc w:val="both"/>
              <w:rPr>
                <w:rFonts w:asciiTheme="minorEastAsia" w:hAnsiTheme="minorEastAsia" w:eastAsiaTheme="minorEastAsia" w:cstheme="minorEastAsia"/>
                <w:b/>
              </w:rPr>
            </w:pPr>
          </w:p>
        </w:tc>
        <w:tc>
          <w:tcPr>
            <w:tcW w:w="1642" w:type="dxa"/>
          </w:tcPr>
          <w:p w14:paraId="1E8F0238">
            <w:pPr>
              <w:widowControl w:val="0"/>
              <w:spacing w:line="440" w:lineRule="exact"/>
              <w:jc w:val="both"/>
              <w:rPr>
                <w:rFonts w:asciiTheme="minorEastAsia" w:hAnsiTheme="minorEastAsia" w:eastAsiaTheme="minorEastAsia" w:cstheme="minorEastAsia"/>
                <w:b/>
              </w:rPr>
            </w:pPr>
          </w:p>
        </w:tc>
        <w:tc>
          <w:tcPr>
            <w:tcW w:w="1642" w:type="dxa"/>
          </w:tcPr>
          <w:p w14:paraId="114A2844">
            <w:pPr>
              <w:widowControl w:val="0"/>
              <w:spacing w:line="440" w:lineRule="exact"/>
              <w:jc w:val="both"/>
              <w:rPr>
                <w:rFonts w:asciiTheme="minorEastAsia" w:hAnsiTheme="minorEastAsia" w:eastAsiaTheme="minorEastAsia" w:cstheme="minorEastAsia"/>
                <w:b/>
              </w:rPr>
            </w:pPr>
          </w:p>
        </w:tc>
        <w:tc>
          <w:tcPr>
            <w:tcW w:w="1642" w:type="dxa"/>
          </w:tcPr>
          <w:p w14:paraId="72DCC861">
            <w:pPr>
              <w:widowControl w:val="0"/>
              <w:spacing w:line="440" w:lineRule="exact"/>
              <w:jc w:val="both"/>
              <w:rPr>
                <w:rFonts w:asciiTheme="minorEastAsia" w:hAnsiTheme="minorEastAsia" w:eastAsiaTheme="minorEastAsia" w:cstheme="minorEastAsia"/>
                <w:b/>
              </w:rPr>
            </w:pPr>
          </w:p>
        </w:tc>
      </w:tr>
      <w:tr w14:paraId="0E1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67B0A78F">
            <w:pPr>
              <w:widowControl w:val="0"/>
              <w:spacing w:line="440" w:lineRule="exact"/>
              <w:jc w:val="both"/>
              <w:rPr>
                <w:rFonts w:asciiTheme="minorEastAsia" w:hAnsiTheme="minorEastAsia" w:eastAsiaTheme="minorEastAsia" w:cstheme="minorEastAsia"/>
                <w:b/>
              </w:rPr>
            </w:pPr>
          </w:p>
        </w:tc>
        <w:tc>
          <w:tcPr>
            <w:tcW w:w="1642" w:type="dxa"/>
          </w:tcPr>
          <w:p w14:paraId="4A590E42">
            <w:pPr>
              <w:widowControl w:val="0"/>
              <w:spacing w:line="440" w:lineRule="exact"/>
              <w:jc w:val="both"/>
              <w:rPr>
                <w:rFonts w:asciiTheme="minorEastAsia" w:hAnsiTheme="minorEastAsia" w:eastAsiaTheme="minorEastAsia" w:cstheme="minorEastAsia"/>
                <w:b/>
              </w:rPr>
            </w:pPr>
          </w:p>
        </w:tc>
        <w:tc>
          <w:tcPr>
            <w:tcW w:w="1642" w:type="dxa"/>
          </w:tcPr>
          <w:p w14:paraId="1BE97393">
            <w:pPr>
              <w:widowControl w:val="0"/>
              <w:spacing w:line="440" w:lineRule="exact"/>
              <w:jc w:val="both"/>
              <w:rPr>
                <w:rFonts w:asciiTheme="minorEastAsia" w:hAnsiTheme="minorEastAsia" w:eastAsiaTheme="minorEastAsia" w:cstheme="minorEastAsia"/>
                <w:b/>
              </w:rPr>
            </w:pPr>
          </w:p>
        </w:tc>
        <w:tc>
          <w:tcPr>
            <w:tcW w:w="1642" w:type="dxa"/>
          </w:tcPr>
          <w:p w14:paraId="0DB1975B">
            <w:pPr>
              <w:widowControl w:val="0"/>
              <w:spacing w:line="440" w:lineRule="exact"/>
              <w:jc w:val="both"/>
              <w:rPr>
                <w:rFonts w:asciiTheme="minorEastAsia" w:hAnsiTheme="minorEastAsia" w:eastAsiaTheme="minorEastAsia" w:cstheme="minorEastAsia"/>
                <w:b/>
              </w:rPr>
            </w:pPr>
          </w:p>
        </w:tc>
        <w:tc>
          <w:tcPr>
            <w:tcW w:w="1642" w:type="dxa"/>
          </w:tcPr>
          <w:p w14:paraId="5D91ED85">
            <w:pPr>
              <w:widowControl w:val="0"/>
              <w:spacing w:line="440" w:lineRule="exact"/>
              <w:jc w:val="both"/>
              <w:rPr>
                <w:rFonts w:asciiTheme="minorEastAsia" w:hAnsiTheme="minorEastAsia" w:eastAsiaTheme="minorEastAsia" w:cstheme="minorEastAsia"/>
                <w:b/>
              </w:rPr>
            </w:pPr>
          </w:p>
        </w:tc>
        <w:tc>
          <w:tcPr>
            <w:tcW w:w="1642" w:type="dxa"/>
          </w:tcPr>
          <w:p w14:paraId="7011CD08">
            <w:pPr>
              <w:widowControl w:val="0"/>
              <w:spacing w:line="440" w:lineRule="exact"/>
              <w:jc w:val="both"/>
              <w:rPr>
                <w:rFonts w:asciiTheme="minorEastAsia" w:hAnsiTheme="minorEastAsia" w:eastAsiaTheme="minorEastAsia" w:cstheme="minorEastAsia"/>
                <w:b/>
              </w:rPr>
            </w:pPr>
          </w:p>
        </w:tc>
      </w:tr>
      <w:tr w14:paraId="050B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37113D93">
            <w:pPr>
              <w:widowControl w:val="0"/>
              <w:spacing w:line="440" w:lineRule="exact"/>
              <w:jc w:val="both"/>
              <w:rPr>
                <w:rFonts w:asciiTheme="minorEastAsia" w:hAnsiTheme="minorEastAsia" w:eastAsiaTheme="minorEastAsia" w:cstheme="minorEastAsia"/>
                <w:b/>
              </w:rPr>
            </w:pPr>
          </w:p>
        </w:tc>
        <w:tc>
          <w:tcPr>
            <w:tcW w:w="1642" w:type="dxa"/>
          </w:tcPr>
          <w:p w14:paraId="52060A06">
            <w:pPr>
              <w:widowControl w:val="0"/>
              <w:spacing w:line="440" w:lineRule="exact"/>
              <w:jc w:val="both"/>
              <w:rPr>
                <w:rFonts w:asciiTheme="minorEastAsia" w:hAnsiTheme="minorEastAsia" w:eastAsiaTheme="minorEastAsia" w:cstheme="minorEastAsia"/>
                <w:b/>
              </w:rPr>
            </w:pPr>
          </w:p>
        </w:tc>
        <w:tc>
          <w:tcPr>
            <w:tcW w:w="1642" w:type="dxa"/>
          </w:tcPr>
          <w:p w14:paraId="4862A2F1">
            <w:pPr>
              <w:widowControl w:val="0"/>
              <w:spacing w:line="440" w:lineRule="exact"/>
              <w:jc w:val="both"/>
              <w:rPr>
                <w:rFonts w:asciiTheme="minorEastAsia" w:hAnsiTheme="minorEastAsia" w:eastAsiaTheme="minorEastAsia" w:cstheme="minorEastAsia"/>
                <w:b/>
              </w:rPr>
            </w:pPr>
          </w:p>
        </w:tc>
        <w:tc>
          <w:tcPr>
            <w:tcW w:w="1642" w:type="dxa"/>
          </w:tcPr>
          <w:p w14:paraId="0767B63C">
            <w:pPr>
              <w:widowControl w:val="0"/>
              <w:spacing w:line="440" w:lineRule="exact"/>
              <w:jc w:val="both"/>
              <w:rPr>
                <w:rFonts w:asciiTheme="minorEastAsia" w:hAnsiTheme="minorEastAsia" w:eastAsiaTheme="minorEastAsia" w:cstheme="minorEastAsia"/>
                <w:b/>
              </w:rPr>
            </w:pPr>
          </w:p>
        </w:tc>
        <w:tc>
          <w:tcPr>
            <w:tcW w:w="1642" w:type="dxa"/>
          </w:tcPr>
          <w:p w14:paraId="76E0D311">
            <w:pPr>
              <w:widowControl w:val="0"/>
              <w:spacing w:line="440" w:lineRule="exact"/>
              <w:jc w:val="both"/>
              <w:rPr>
                <w:rFonts w:asciiTheme="minorEastAsia" w:hAnsiTheme="minorEastAsia" w:eastAsiaTheme="minorEastAsia" w:cstheme="minorEastAsia"/>
                <w:b/>
              </w:rPr>
            </w:pPr>
          </w:p>
        </w:tc>
        <w:tc>
          <w:tcPr>
            <w:tcW w:w="1642" w:type="dxa"/>
          </w:tcPr>
          <w:p w14:paraId="4754CAF7">
            <w:pPr>
              <w:widowControl w:val="0"/>
              <w:spacing w:line="440" w:lineRule="exact"/>
              <w:jc w:val="both"/>
              <w:rPr>
                <w:rFonts w:asciiTheme="minorEastAsia" w:hAnsiTheme="minorEastAsia" w:eastAsiaTheme="minorEastAsia" w:cstheme="minorEastAsia"/>
                <w:b/>
              </w:rPr>
            </w:pPr>
          </w:p>
        </w:tc>
      </w:tr>
      <w:tr w14:paraId="02F0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130495C7">
            <w:pPr>
              <w:widowControl w:val="0"/>
              <w:spacing w:line="440" w:lineRule="exact"/>
              <w:jc w:val="both"/>
              <w:rPr>
                <w:rFonts w:asciiTheme="minorEastAsia" w:hAnsiTheme="minorEastAsia" w:eastAsiaTheme="minorEastAsia" w:cstheme="minorEastAsia"/>
                <w:b/>
              </w:rPr>
            </w:pPr>
          </w:p>
        </w:tc>
        <w:tc>
          <w:tcPr>
            <w:tcW w:w="1642" w:type="dxa"/>
          </w:tcPr>
          <w:p w14:paraId="131B4DC4">
            <w:pPr>
              <w:widowControl w:val="0"/>
              <w:spacing w:line="440" w:lineRule="exact"/>
              <w:jc w:val="both"/>
              <w:rPr>
                <w:rFonts w:asciiTheme="minorEastAsia" w:hAnsiTheme="minorEastAsia" w:eastAsiaTheme="minorEastAsia" w:cstheme="minorEastAsia"/>
                <w:b/>
              </w:rPr>
            </w:pPr>
          </w:p>
        </w:tc>
        <w:tc>
          <w:tcPr>
            <w:tcW w:w="1642" w:type="dxa"/>
          </w:tcPr>
          <w:p w14:paraId="67583A5B">
            <w:pPr>
              <w:widowControl w:val="0"/>
              <w:spacing w:line="440" w:lineRule="exact"/>
              <w:jc w:val="both"/>
              <w:rPr>
                <w:rFonts w:asciiTheme="minorEastAsia" w:hAnsiTheme="minorEastAsia" w:eastAsiaTheme="minorEastAsia" w:cstheme="minorEastAsia"/>
                <w:b/>
              </w:rPr>
            </w:pPr>
          </w:p>
        </w:tc>
        <w:tc>
          <w:tcPr>
            <w:tcW w:w="1642" w:type="dxa"/>
          </w:tcPr>
          <w:p w14:paraId="4B7A6D8D">
            <w:pPr>
              <w:widowControl w:val="0"/>
              <w:spacing w:line="440" w:lineRule="exact"/>
              <w:jc w:val="both"/>
              <w:rPr>
                <w:rFonts w:asciiTheme="minorEastAsia" w:hAnsiTheme="minorEastAsia" w:eastAsiaTheme="minorEastAsia" w:cstheme="minorEastAsia"/>
                <w:b/>
              </w:rPr>
            </w:pPr>
          </w:p>
        </w:tc>
        <w:tc>
          <w:tcPr>
            <w:tcW w:w="1642" w:type="dxa"/>
          </w:tcPr>
          <w:p w14:paraId="020A843A">
            <w:pPr>
              <w:widowControl w:val="0"/>
              <w:spacing w:line="440" w:lineRule="exact"/>
              <w:jc w:val="both"/>
              <w:rPr>
                <w:rFonts w:asciiTheme="minorEastAsia" w:hAnsiTheme="minorEastAsia" w:eastAsiaTheme="minorEastAsia" w:cstheme="minorEastAsia"/>
                <w:b/>
              </w:rPr>
            </w:pPr>
          </w:p>
        </w:tc>
        <w:tc>
          <w:tcPr>
            <w:tcW w:w="1642" w:type="dxa"/>
          </w:tcPr>
          <w:p w14:paraId="6E165F1A">
            <w:pPr>
              <w:widowControl w:val="0"/>
              <w:spacing w:line="440" w:lineRule="exact"/>
              <w:jc w:val="both"/>
              <w:rPr>
                <w:rFonts w:asciiTheme="minorEastAsia" w:hAnsiTheme="minorEastAsia" w:eastAsiaTheme="minorEastAsia" w:cstheme="minorEastAsia"/>
                <w:b/>
              </w:rPr>
            </w:pPr>
          </w:p>
        </w:tc>
      </w:tr>
      <w:tr w14:paraId="423D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4C1529D0">
            <w:pPr>
              <w:widowControl w:val="0"/>
              <w:spacing w:line="440" w:lineRule="exact"/>
              <w:jc w:val="both"/>
              <w:rPr>
                <w:rFonts w:asciiTheme="minorEastAsia" w:hAnsiTheme="minorEastAsia" w:eastAsiaTheme="minorEastAsia" w:cstheme="minorEastAsia"/>
                <w:b/>
              </w:rPr>
            </w:pPr>
          </w:p>
        </w:tc>
        <w:tc>
          <w:tcPr>
            <w:tcW w:w="1642" w:type="dxa"/>
          </w:tcPr>
          <w:p w14:paraId="7B6D43D2">
            <w:pPr>
              <w:widowControl w:val="0"/>
              <w:spacing w:line="440" w:lineRule="exact"/>
              <w:jc w:val="both"/>
              <w:rPr>
                <w:rFonts w:asciiTheme="minorEastAsia" w:hAnsiTheme="minorEastAsia" w:eastAsiaTheme="minorEastAsia" w:cstheme="minorEastAsia"/>
                <w:b/>
              </w:rPr>
            </w:pPr>
          </w:p>
        </w:tc>
        <w:tc>
          <w:tcPr>
            <w:tcW w:w="1642" w:type="dxa"/>
          </w:tcPr>
          <w:p w14:paraId="5F678024">
            <w:pPr>
              <w:widowControl w:val="0"/>
              <w:spacing w:line="440" w:lineRule="exact"/>
              <w:jc w:val="both"/>
              <w:rPr>
                <w:rFonts w:asciiTheme="minorEastAsia" w:hAnsiTheme="minorEastAsia" w:eastAsiaTheme="minorEastAsia" w:cstheme="minorEastAsia"/>
                <w:b/>
              </w:rPr>
            </w:pPr>
          </w:p>
        </w:tc>
        <w:tc>
          <w:tcPr>
            <w:tcW w:w="1642" w:type="dxa"/>
          </w:tcPr>
          <w:p w14:paraId="36031F12">
            <w:pPr>
              <w:widowControl w:val="0"/>
              <w:spacing w:line="440" w:lineRule="exact"/>
              <w:jc w:val="both"/>
              <w:rPr>
                <w:rFonts w:asciiTheme="minorEastAsia" w:hAnsiTheme="minorEastAsia" w:eastAsiaTheme="minorEastAsia" w:cstheme="minorEastAsia"/>
                <w:b/>
              </w:rPr>
            </w:pPr>
          </w:p>
        </w:tc>
        <w:tc>
          <w:tcPr>
            <w:tcW w:w="1642" w:type="dxa"/>
          </w:tcPr>
          <w:p w14:paraId="2DE9D07B">
            <w:pPr>
              <w:widowControl w:val="0"/>
              <w:spacing w:line="440" w:lineRule="exact"/>
              <w:jc w:val="both"/>
              <w:rPr>
                <w:rFonts w:asciiTheme="minorEastAsia" w:hAnsiTheme="minorEastAsia" w:eastAsiaTheme="minorEastAsia" w:cstheme="minorEastAsia"/>
                <w:b/>
              </w:rPr>
            </w:pPr>
          </w:p>
        </w:tc>
        <w:tc>
          <w:tcPr>
            <w:tcW w:w="1642" w:type="dxa"/>
          </w:tcPr>
          <w:p w14:paraId="7E12F8E7">
            <w:pPr>
              <w:widowControl w:val="0"/>
              <w:spacing w:line="440" w:lineRule="exact"/>
              <w:jc w:val="both"/>
              <w:rPr>
                <w:rFonts w:asciiTheme="minorEastAsia" w:hAnsiTheme="minorEastAsia" w:eastAsiaTheme="minorEastAsia" w:cstheme="minorEastAsia"/>
                <w:b/>
              </w:rPr>
            </w:pPr>
          </w:p>
        </w:tc>
      </w:tr>
      <w:tr w14:paraId="0DF5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42" w:type="dxa"/>
          </w:tcPr>
          <w:p w14:paraId="7720C59C">
            <w:pPr>
              <w:widowControl w:val="0"/>
              <w:spacing w:line="440" w:lineRule="exact"/>
              <w:jc w:val="both"/>
              <w:rPr>
                <w:rFonts w:asciiTheme="minorEastAsia" w:hAnsiTheme="minorEastAsia" w:eastAsiaTheme="minorEastAsia" w:cstheme="minorEastAsia"/>
                <w:b/>
              </w:rPr>
            </w:pPr>
          </w:p>
        </w:tc>
        <w:tc>
          <w:tcPr>
            <w:tcW w:w="1642" w:type="dxa"/>
          </w:tcPr>
          <w:p w14:paraId="372EACBD">
            <w:pPr>
              <w:widowControl w:val="0"/>
              <w:spacing w:line="440" w:lineRule="exact"/>
              <w:jc w:val="both"/>
              <w:rPr>
                <w:rFonts w:asciiTheme="minorEastAsia" w:hAnsiTheme="minorEastAsia" w:eastAsiaTheme="minorEastAsia" w:cstheme="minorEastAsia"/>
                <w:b/>
              </w:rPr>
            </w:pPr>
          </w:p>
        </w:tc>
        <w:tc>
          <w:tcPr>
            <w:tcW w:w="1642" w:type="dxa"/>
          </w:tcPr>
          <w:p w14:paraId="4F0EC6AE">
            <w:pPr>
              <w:widowControl w:val="0"/>
              <w:spacing w:line="440" w:lineRule="exact"/>
              <w:jc w:val="both"/>
              <w:rPr>
                <w:rFonts w:asciiTheme="minorEastAsia" w:hAnsiTheme="minorEastAsia" w:eastAsiaTheme="minorEastAsia" w:cstheme="minorEastAsia"/>
                <w:b/>
              </w:rPr>
            </w:pPr>
          </w:p>
        </w:tc>
        <w:tc>
          <w:tcPr>
            <w:tcW w:w="1642" w:type="dxa"/>
          </w:tcPr>
          <w:p w14:paraId="6318784E">
            <w:pPr>
              <w:widowControl w:val="0"/>
              <w:spacing w:line="440" w:lineRule="exact"/>
              <w:jc w:val="both"/>
              <w:rPr>
                <w:rFonts w:asciiTheme="minorEastAsia" w:hAnsiTheme="minorEastAsia" w:eastAsiaTheme="minorEastAsia" w:cstheme="minorEastAsia"/>
                <w:b/>
              </w:rPr>
            </w:pPr>
          </w:p>
        </w:tc>
        <w:tc>
          <w:tcPr>
            <w:tcW w:w="1642" w:type="dxa"/>
          </w:tcPr>
          <w:p w14:paraId="2FB0D816">
            <w:pPr>
              <w:widowControl w:val="0"/>
              <w:spacing w:line="440" w:lineRule="exact"/>
              <w:jc w:val="both"/>
              <w:rPr>
                <w:rFonts w:asciiTheme="minorEastAsia" w:hAnsiTheme="minorEastAsia" w:eastAsiaTheme="minorEastAsia" w:cstheme="minorEastAsia"/>
                <w:b/>
              </w:rPr>
            </w:pPr>
          </w:p>
        </w:tc>
        <w:tc>
          <w:tcPr>
            <w:tcW w:w="1642" w:type="dxa"/>
          </w:tcPr>
          <w:p w14:paraId="3B1F2235">
            <w:pPr>
              <w:widowControl w:val="0"/>
              <w:spacing w:line="440" w:lineRule="exact"/>
              <w:jc w:val="both"/>
              <w:rPr>
                <w:rFonts w:asciiTheme="minorEastAsia" w:hAnsiTheme="minorEastAsia" w:eastAsiaTheme="minorEastAsia" w:cstheme="minorEastAsia"/>
                <w:b/>
              </w:rPr>
            </w:pPr>
          </w:p>
        </w:tc>
      </w:tr>
    </w:tbl>
    <w:p w14:paraId="4C2B791D">
      <w:pPr>
        <w:spacing w:line="520" w:lineRule="exact"/>
        <w:ind w:firstLine="480" w:firstLineChars="200"/>
        <w:rPr>
          <w:rFonts w:asciiTheme="minorEastAsia" w:hAnsiTheme="minorEastAsia" w:eastAsiaTheme="minorEastAsia" w:cstheme="minorEastAsia"/>
        </w:rPr>
      </w:pPr>
    </w:p>
    <w:p w14:paraId="4786C8DE">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（公章）</w:t>
      </w:r>
    </w:p>
    <w:p w14:paraId="6BDC5222">
      <w:pPr>
        <w:spacing w:line="520" w:lineRule="exact"/>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法定代表人或委托代理人：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（签字或盖章）</w:t>
      </w:r>
    </w:p>
    <w:p w14:paraId="46A13856">
      <w:pPr>
        <w:spacing w:line="520" w:lineRule="exact"/>
        <w:ind w:firstLine="480" w:firstLineChars="200"/>
        <w:jc w:val="right"/>
        <w:rPr>
          <w:rFonts w:asciiTheme="minorEastAsia" w:hAnsiTheme="minorEastAsia" w:eastAsiaTheme="minorEastAsia" w:cstheme="minorEastAsia"/>
        </w:rPr>
      </w:pPr>
      <w:r>
        <w:rPr>
          <w:rFonts w:hint="eastAsia" w:asciiTheme="minorEastAsia" w:hAnsiTheme="minorEastAsia" w:eastAsiaTheme="minorEastAsia" w:cstheme="minorEastAsia"/>
        </w:rPr>
        <w:t>日期：     年  月  日</w:t>
      </w:r>
    </w:p>
    <w:p w14:paraId="2DCC357B">
      <w:pPr>
        <w:spacing w:line="440" w:lineRule="exact"/>
        <w:rPr>
          <w:rFonts w:asciiTheme="minorEastAsia" w:hAnsiTheme="minorEastAsia" w:eastAsiaTheme="minorEastAsia" w:cstheme="minorEastAsia"/>
          <w:b/>
        </w:rPr>
      </w:pPr>
    </w:p>
    <w:p w14:paraId="51830BA8">
      <w:pPr>
        <w:spacing w:line="44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须附中标（成交）通知书或合同复印件关键页并加盖投标人公章。</w:t>
      </w:r>
    </w:p>
    <w:p w14:paraId="1756E222">
      <w:pPr>
        <w:spacing w:before="166" w:beforeLines="50" w:after="166" w:afterLines="50" w:line="440" w:lineRule="exact"/>
        <w:jc w:val="center"/>
        <w:rPr>
          <w:rFonts w:asciiTheme="minorEastAsia" w:hAnsiTheme="minorEastAsia" w:eastAsiaTheme="minorEastAsia" w:cstheme="minorEastAsia"/>
          <w:b/>
          <w:sz w:val="30"/>
          <w:szCs w:val="30"/>
        </w:rPr>
      </w:pPr>
    </w:p>
    <w:p w14:paraId="61F87214">
      <w:pPr>
        <w:tabs>
          <w:tab w:val="left" w:pos="2880"/>
        </w:tabs>
        <w:spacing w:line="460" w:lineRule="atLeast"/>
        <w:rPr>
          <w:rFonts w:asciiTheme="minorEastAsia" w:hAnsiTheme="minorEastAsia" w:eastAsiaTheme="minorEastAsia" w:cstheme="minorEastAsia"/>
        </w:rPr>
      </w:pPr>
    </w:p>
    <w:p w14:paraId="15EA3E3A">
      <w:pPr>
        <w:tabs>
          <w:tab w:val="left" w:pos="3600"/>
        </w:tabs>
        <w:adjustRightInd w:val="0"/>
        <w:snapToGrid w:val="0"/>
        <w:spacing w:line="44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Cs/>
        </w:rPr>
        <w:t xml:space="preserve"> </w:t>
      </w:r>
    </w:p>
    <w:p w14:paraId="75E6AF75">
      <w:pPr>
        <w:spacing w:line="440" w:lineRule="exact"/>
        <w:ind w:left="2880" w:hanging="288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0"/>
          <w:szCs w:val="30"/>
        </w:rPr>
        <w:t xml:space="preserve">附件3-7  </w:t>
      </w:r>
      <w:r>
        <w:rPr>
          <w:rFonts w:hint="eastAsia" w:asciiTheme="minorEastAsia" w:hAnsiTheme="minorEastAsia" w:eastAsiaTheme="minorEastAsia" w:cstheme="minorEastAsia"/>
          <w:b/>
          <w:sz w:val="32"/>
          <w:szCs w:val="32"/>
        </w:rPr>
        <w:t>规格、技术参数偏离表</w:t>
      </w:r>
    </w:p>
    <w:p w14:paraId="56FA094A">
      <w:pPr>
        <w:spacing w:line="440" w:lineRule="exact"/>
        <w:rPr>
          <w:rFonts w:asciiTheme="minorEastAsia" w:hAnsiTheme="minorEastAsia" w:eastAsiaTheme="minorEastAsia" w:cstheme="minorEastAsia"/>
        </w:rPr>
      </w:pPr>
    </w:p>
    <w:p w14:paraId="6171B446">
      <w:pPr>
        <w:spacing w:line="44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投标人名称（公章）：</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招标编号：</w:t>
      </w:r>
      <w:r>
        <w:rPr>
          <w:rFonts w:hint="eastAsia" w:asciiTheme="minorEastAsia" w:hAnsiTheme="minorEastAsia" w:eastAsiaTheme="minorEastAsia" w:cstheme="minorEastAsia"/>
          <w:u w:val="single"/>
        </w:rPr>
        <w:t xml:space="preserve">　　　　           </w:t>
      </w:r>
    </w:p>
    <w:p w14:paraId="6BC5E6A7">
      <w:pPr>
        <w:spacing w:line="44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标项序号、名称：</w:t>
      </w:r>
      <w:r>
        <w:rPr>
          <w:rFonts w:hint="eastAsia" w:asciiTheme="minorEastAsia" w:hAnsiTheme="minorEastAsia" w:eastAsiaTheme="minorEastAsia" w:cstheme="minorEastAsia"/>
          <w:u w:val="single"/>
        </w:rPr>
        <w:t xml:space="preserve">　　　　           </w:t>
      </w: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721"/>
        <w:gridCol w:w="1218"/>
      </w:tblGrid>
      <w:tr w14:paraId="3F24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6" w:type="dxa"/>
            <w:vAlign w:val="center"/>
          </w:tcPr>
          <w:p w14:paraId="40474CF0">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740" w:type="dxa"/>
            <w:vAlign w:val="center"/>
          </w:tcPr>
          <w:p w14:paraId="27FA6FC2">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招标文件规格条目号</w:t>
            </w:r>
          </w:p>
        </w:tc>
        <w:tc>
          <w:tcPr>
            <w:tcW w:w="2056" w:type="dxa"/>
            <w:vAlign w:val="center"/>
          </w:tcPr>
          <w:p w14:paraId="1443A0D3">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招标规格</w:t>
            </w:r>
          </w:p>
        </w:tc>
        <w:tc>
          <w:tcPr>
            <w:tcW w:w="2393" w:type="dxa"/>
            <w:vAlign w:val="center"/>
          </w:tcPr>
          <w:p w14:paraId="16FC7190">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投标规格</w:t>
            </w:r>
          </w:p>
        </w:tc>
        <w:tc>
          <w:tcPr>
            <w:tcW w:w="1721" w:type="dxa"/>
            <w:vAlign w:val="center"/>
          </w:tcPr>
          <w:p w14:paraId="46FE998A">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偏离</w:t>
            </w:r>
          </w:p>
        </w:tc>
        <w:tc>
          <w:tcPr>
            <w:tcW w:w="1218" w:type="dxa"/>
            <w:vAlign w:val="center"/>
          </w:tcPr>
          <w:p w14:paraId="17DAF642">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说明</w:t>
            </w:r>
          </w:p>
        </w:tc>
      </w:tr>
      <w:tr w14:paraId="157E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tcPr>
          <w:p w14:paraId="2832A8DB">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740" w:type="dxa"/>
          </w:tcPr>
          <w:p w14:paraId="6989A863">
            <w:pPr>
              <w:spacing w:line="440" w:lineRule="exact"/>
              <w:rPr>
                <w:rFonts w:asciiTheme="minorEastAsia" w:hAnsiTheme="minorEastAsia" w:eastAsiaTheme="minorEastAsia" w:cstheme="minorEastAsia"/>
              </w:rPr>
            </w:pPr>
          </w:p>
        </w:tc>
        <w:tc>
          <w:tcPr>
            <w:tcW w:w="2056" w:type="dxa"/>
          </w:tcPr>
          <w:p w14:paraId="629FB4AC">
            <w:pPr>
              <w:spacing w:line="440" w:lineRule="exact"/>
              <w:rPr>
                <w:rFonts w:asciiTheme="minorEastAsia" w:hAnsiTheme="minorEastAsia" w:eastAsiaTheme="minorEastAsia" w:cstheme="minorEastAsia"/>
              </w:rPr>
            </w:pPr>
          </w:p>
        </w:tc>
        <w:tc>
          <w:tcPr>
            <w:tcW w:w="2393" w:type="dxa"/>
          </w:tcPr>
          <w:p w14:paraId="3C849EDD">
            <w:pPr>
              <w:spacing w:line="440" w:lineRule="exact"/>
              <w:rPr>
                <w:rFonts w:asciiTheme="minorEastAsia" w:hAnsiTheme="minorEastAsia" w:eastAsiaTheme="minorEastAsia" w:cstheme="minorEastAsia"/>
              </w:rPr>
            </w:pPr>
          </w:p>
        </w:tc>
        <w:tc>
          <w:tcPr>
            <w:tcW w:w="1721" w:type="dxa"/>
          </w:tcPr>
          <w:p w14:paraId="0AE3D968">
            <w:pPr>
              <w:spacing w:line="440" w:lineRule="exact"/>
              <w:rPr>
                <w:rFonts w:asciiTheme="minorEastAsia" w:hAnsiTheme="minorEastAsia" w:eastAsiaTheme="minorEastAsia" w:cstheme="minorEastAsia"/>
              </w:rPr>
            </w:pPr>
          </w:p>
        </w:tc>
        <w:tc>
          <w:tcPr>
            <w:tcW w:w="1218" w:type="dxa"/>
          </w:tcPr>
          <w:p w14:paraId="7474A684">
            <w:pPr>
              <w:spacing w:line="440" w:lineRule="exact"/>
              <w:rPr>
                <w:rFonts w:asciiTheme="minorEastAsia" w:hAnsiTheme="minorEastAsia" w:eastAsiaTheme="minorEastAsia" w:cstheme="minorEastAsia"/>
              </w:rPr>
            </w:pPr>
          </w:p>
        </w:tc>
      </w:tr>
      <w:tr w14:paraId="7F17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tcPr>
          <w:p w14:paraId="58439BA0">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740" w:type="dxa"/>
          </w:tcPr>
          <w:p w14:paraId="06E2F414">
            <w:pPr>
              <w:spacing w:line="440" w:lineRule="exact"/>
              <w:rPr>
                <w:rFonts w:asciiTheme="minorEastAsia" w:hAnsiTheme="minorEastAsia" w:eastAsiaTheme="minorEastAsia" w:cstheme="minorEastAsia"/>
              </w:rPr>
            </w:pPr>
          </w:p>
        </w:tc>
        <w:tc>
          <w:tcPr>
            <w:tcW w:w="2056" w:type="dxa"/>
          </w:tcPr>
          <w:p w14:paraId="1DE4DCC7">
            <w:pPr>
              <w:spacing w:line="440" w:lineRule="exact"/>
              <w:rPr>
                <w:rFonts w:asciiTheme="minorEastAsia" w:hAnsiTheme="minorEastAsia" w:eastAsiaTheme="minorEastAsia" w:cstheme="minorEastAsia"/>
              </w:rPr>
            </w:pPr>
          </w:p>
        </w:tc>
        <w:tc>
          <w:tcPr>
            <w:tcW w:w="2393" w:type="dxa"/>
          </w:tcPr>
          <w:p w14:paraId="34C83877">
            <w:pPr>
              <w:spacing w:line="440" w:lineRule="exact"/>
              <w:rPr>
                <w:rFonts w:asciiTheme="minorEastAsia" w:hAnsiTheme="minorEastAsia" w:eastAsiaTheme="minorEastAsia" w:cstheme="minorEastAsia"/>
              </w:rPr>
            </w:pPr>
          </w:p>
        </w:tc>
        <w:tc>
          <w:tcPr>
            <w:tcW w:w="1721" w:type="dxa"/>
          </w:tcPr>
          <w:p w14:paraId="48126416">
            <w:pPr>
              <w:spacing w:line="440" w:lineRule="exact"/>
              <w:rPr>
                <w:rFonts w:asciiTheme="minorEastAsia" w:hAnsiTheme="minorEastAsia" w:eastAsiaTheme="minorEastAsia" w:cstheme="minorEastAsia"/>
              </w:rPr>
            </w:pPr>
          </w:p>
        </w:tc>
        <w:tc>
          <w:tcPr>
            <w:tcW w:w="1218" w:type="dxa"/>
          </w:tcPr>
          <w:p w14:paraId="6677EE20">
            <w:pPr>
              <w:spacing w:line="440" w:lineRule="exact"/>
              <w:rPr>
                <w:rFonts w:asciiTheme="minorEastAsia" w:hAnsiTheme="minorEastAsia" w:eastAsiaTheme="minorEastAsia" w:cstheme="minorEastAsia"/>
              </w:rPr>
            </w:pPr>
          </w:p>
        </w:tc>
      </w:tr>
      <w:tr w14:paraId="5764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tcPr>
          <w:p w14:paraId="3F844E2F">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740" w:type="dxa"/>
          </w:tcPr>
          <w:p w14:paraId="6DF59223">
            <w:pPr>
              <w:spacing w:line="440" w:lineRule="exact"/>
              <w:rPr>
                <w:rFonts w:asciiTheme="minorEastAsia" w:hAnsiTheme="minorEastAsia" w:eastAsiaTheme="minorEastAsia" w:cstheme="minorEastAsia"/>
              </w:rPr>
            </w:pPr>
          </w:p>
        </w:tc>
        <w:tc>
          <w:tcPr>
            <w:tcW w:w="2056" w:type="dxa"/>
          </w:tcPr>
          <w:p w14:paraId="6E9E69EA">
            <w:pPr>
              <w:spacing w:line="440" w:lineRule="exact"/>
              <w:rPr>
                <w:rFonts w:asciiTheme="minorEastAsia" w:hAnsiTheme="minorEastAsia" w:eastAsiaTheme="minorEastAsia" w:cstheme="minorEastAsia"/>
              </w:rPr>
            </w:pPr>
          </w:p>
        </w:tc>
        <w:tc>
          <w:tcPr>
            <w:tcW w:w="2393" w:type="dxa"/>
          </w:tcPr>
          <w:p w14:paraId="263FBB10">
            <w:pPr>
              <w:spacing w:line="440" w:lineRule="exact"/>
              <w:rPr>
                <w:rFonts w:asciiTheme="minorEastAsia" w:hAnsiTheme="minorEastAsia" w:eastAsiaTheme="minorEastAsia" w:cstheme="minorEastAsia"/>
              </w:rPr>
            </w:pPr>
          </w:p>
        </w:tc>
        <w:tc>
          <w:tcPr>
            <w:tcW w:w="1721" w:type="dxa"/>
          </w:tcPr>
          <w:p w14:paraId="0866513E">
            <w:pPr>
              <w:spacing w:line="440" w:lineRule="exact"/>
              <w:rPr>
                <w:rFonts w:asciiTheme="minorEastAsia" w:hAnsiTheme="minorEastAsia" w:eastAsiaTheme="minorEastAsia" w:cstheme="minorEastAsia"/>
              </w:rPr>
            </w:pPr>
          </w:p>
        </w:tc>
        <w:tc>
          <w:tcPr>
            <w:tcW w:w="1218" w:type="dxa"/>
          </w:tcPr>
          <w:p w14:paraId="2C527E61">
            <w:pPr>
              <w:spacing w:line="440" w:lineRule="exact"/>
              <w:rPr>
                <w:rFonts w:asciiTheme="minorEastAsia" w:hAnsiTheme="minorEastAsia" w:eastAsiaTheme="minorEastAsia" w:cstheme="minorEastAsia"/>
              </w:rPr>
            </w:pPr>
          </w:p>
        </w:tc>
      </w:tr>
      <w:tr w14:paraId="1C15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tcPr>
          <w:p w14:paraId="692DF428">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740" w:type="dxa"/>
          </w:tcPr>
          <w:p w14:paraId="506DBE95">
            <w:pPr>
              <w:spacing w:line="440" w:lineRule="exact"/>
              <w:rPr>
                <w:rFonts w:asciiTheme="minorEastAsia" w:hAnsiTheme="minorEastAsia" w:eastAsiaTheme="minorEastAsia" w:cstheme="minorEastAsia"/>
              </w:rPr>
            </w:pPr>
          </w:p>
        </w:tc>
        <w:tc>
          <w:tcPr>
            <w:tcW w:w="2056" w:type="dxa"/>
          </w:tcPr>
          <w:p w14:paraId="3EEEB025">
            <w:pPr>
              <w:spacing w:line="440" w:lineRule="exact"/>
              <w:rPr>
                <w:rFonts w:asciiTheme="minorEastAsia" w:hAnsiTheme="minorEastAsia" w:eastAsiaTheme="minorEastAsia" w:cstheme="minorEastAsia"/>
              </w:rPr>
            </w:pPr>
          </w:p>
        </w:tc>
        <w:tc>
          <w:tcPr>
            <w:tcW w:w="2393" w:type="dxa"/>
          </w:tcPr>
          <w:p w14:paraId="0D5A33A2">
            <w:pPr>
              <w:spacing w:line="440" w:lineRule="exact"/>
              <w:rPr>
                <w:rFonts w:asciiTheme="minorEastAsia" w:hAnsiTheme="minorEastAsia" w:eastAsiaTheme="minorEastAsia" w:cstheme="minorEastAsia"/>
              </w:rPr>
            </w:pPr>
          </w:p>
        </w:tc>
        <w:tc>
          <w:tcPr>
            <w:tcW w:w="1721" w:type="dxa"/>
          </w:tcPr>
          <w:p w14:paraId="5E0254D1">
            <w:pPr>
              <w:spacing w:line="440" w:lineRule="exact"/>
              <w:rPr>
                <w:rFonts w:asciiTheme="minorEastAsia" w:hAnsiTheme="minorEastAsia" w:eastAsiaTheme="minorEastAsia" w:cstheme="minorEastAsia"/>
              </w:rPr>
            </w:pPr>
          </w:p>
        </w:tc>
        <w:tc>
          <w:tcPr>
            <w:tcW w:w="1218" w:type="dxa"/>
          </w:tcPr>
          <w:p w14:paraId="48B9AE87">
            <w:pPr>
              <w:spacing w:line="440" w:lineRule="exact"/>
              <w:rPr>
                <w:rFonts w:asciiTheme="minorEastAsia" w:hAnsiTheme="minorEastAsia" w:eastAsiaTheme="minorEastAsia" w:cstheme="minorEastAsia"/>
              </w:rPr>
            </w:pPr>
          </w:p>
        </w:tc>
      </w:tr>
    </w:tbl>
    <w:p w14:paraId="5109983C">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注：与招标文件要求逐条对应填写。</w:t>
      </w:r>
    </w:p>
    <w:p w14:paraId="46582650">
      <w:pPr>
        <w:spacing w:line="5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（公章）</w:t>
      </w:r>
    </w:p>
    <w:p w14:paraId="32AD34E8">
      <w:pPr>
        <w:spacing w:line="520" w:lineRule="exact"/>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法定代表人或委托代理人：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（签字或盖章）</w:t>
      </w:r>
    </w:p>
    <w:p w14:paraId="72645698">
      <w:pPr>
        <w:spacing w:line="520" w:lineRule="exact"/>
        <w:ind w:firstLine="480" w:firstLineChars="200"/>
        <w:jc w:val="right"/>
        <w:rPr>
          <w:rFonts w:asciiTheme="minorEastAsia" w:hAnsiTheme="minorEastAsia" w:eastAsiaTheme="minorEastAsia" w:cstheme="minorEastAsia"/>
        </w:rPr>
      </w:pPr>
      <w:r>
        <w:rPr>
          <w:rFonts w:hint="eastAsia" w:asciiTheme="minorEastAsia" w:hAnsiTheme="minorEastAsia" w:eastAsiaTheme="minorEastAsia" w:cstheme="minorEastAsia"/>
        </w:rPr>
        <w:t>日期：     年  月  日</w:t>
      </w:r>
    </w:p>
    <w:p w14:paraId="64A1754F">
      <w:pPr>
        <w:spacing w:line="440" w:lineRule="exact"/>
        <w:rPr>
          <w:rFonts w:asciiTheme="minorEastAsia" w:hAnsiTheme="minorEastAsia" w:eastAsiaTheme="minorEastAsia" w:cstheme="minorEastAsia"/>
          <w:b/>
          <w:sz w:val="32"/>
          <w:szCs w:val="32"/>
        </w:rPr>
      </w:pPr>
    </w:p>
    <w:p w14:paraId="460F2712">
      <w:pPr>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bookmarkStart w:id="36" w:name="_Hlk180402553"/>
      <w:r>
        <w:rPr>
          <w:rFonts w:hint="eastAsia" w:asciiTheme="minorEastAsia" w:hAnsiTheme="minorEastAsia" w:eastAsiaTheme="minorEastAsia" w:cstheme="minorEastAsia"/>
          <w:b/>
          <w:sz w:val="30"/>
          <w:szCs w:val="30"/>
        </w:rPr>
        <w:t xml:space="preserve">附件3-8  </w:t>
      </w:r>
      <w:bookmarkEnd w:id="36"/>
      <w:r>
        <w:rPr>
          <w:rFonts w:hint="eastAsia" w:asciiTheme="minorEastAsia" w:hAnsiTheme="minorEastAsia" w:eastAsiaTheme="minorEastAsia" w:cstheme="minorEastAsia"/>
          <w:b/>
          <w:sz w:val="30"/>
          <w:szCs w:val="30"/>
        </w:rPr>
        <w:t>技术方案</w:t>
      </w:r>
    </w:p>
    <w:p w14:paraId="3A497ABD">
      <w:pPr>
        <w:pStyle w:val="35"/>
        <w:jc w:val="center"/>
      </w:pPr>
      <w:r>
        <w:rPr>
          <w:rFonts w:hint="eastAsia" w:asciiTheme="minorEastAsia" w:hAnsiTheme="minorEastAsia" w:eastAsiaTheme="minorEastAsia" w:cstheme="minorEastAsia"/>
          <w:b/>
          <w:sz w:val="30"/>
          <w:szCs w:val="30"/>
        </w:rPr>
        <w:t>（格式自拟）</w:t>
      </w:r>
    </w:p>
    <w:p w14:paraId="20335B4E">
      <w:pPr>
        <w:pStyle w:val="2"/>
        <w:jc w:val="center"/>
        <w:rPr>
          <w:rFonts w:asciiTheme="minorEastAsia" w:hAnsiTheme="minorEastAsia" w:eastAsiaTheme="minorEastAsia" w:cstheme="minorEastAsia"/>
          <w:b/>
          <w:sz w:val="30"/>
          <w:szCs w:val="30"/>
        </w:rPr>
      </w:pPr>
    </w:p>
    <w:p w14:paraId="528CF67D">
      <w:pPr>
        <w:pStyle w:val="2"/>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附件3-9  整体服务方案</w:t>
      </w:r>
    </w:p>
    <w:p w14:paraId="5C95AF1B">
      <w:pPr>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投标人根据招标文件编制。</w:t>
      </w:r>
    </w:p>
    <w:p w14:paraId="4311B966">
      <w:pPr>
        <w:topLinePunct/>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标项一：</w:t>
      </w:r>
    </w:p>
    <w:p w14:paraId="4C0415EF">
      <w:pPr>
        <w:topLinePunct/>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包括但不限于：</w:t>
      </w:r>
    </w:p>
    <w:p w14:paraId="67D10E91">
      <w:pPr>
        <w:topLinePunct/>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①一体化管理</w:t>
      </w:r>
    </w:p>
    <w:p w14:paraId="1F0D1275">
      <w:pPr>
        <w:topLinePunct/>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②网络课程资源</w:t>
      </w:r>
    </w:p>
    <w:p w14:paraId="14B6F34D">
      <w:pPr>
        <w:topLinePunct/>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③平台服务部分</w:t>
      </w:r>
    </w:p>
    <w:p w14:paraId="627C73D2">
      <w:pPr>
        <w:topLinePunct/>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备注：根据招标文件要求进行完善。</w:t>
      </w:r>
    </w:p>
    <w:p w14:paraId="1152FFFA">
      <w:pPr>
        <w:rPr>
          <w:rFonts w:asciiTheme="minorEastAsia" w:hAnsiTheme="minorEastAsia" w:eastAsiaTheme="minorEastAsia" w:cstheme="minorEastAsia"/>
        </w:rPr>
      </w:pPr>
    </w:p>
    <w:p w14:paraId="6B1488B6">
      <w:pPr>
        <w:topLinePunct/>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标项二:</w:t>
      </w:r>
    </w:p>
    <w:p w14:paraId="61399E00">
      <w:pPr>
        <w:topLinePunct/>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包括但不限于：</w:t>
      </w:r>
    </w:p>
    <w:p w14:paraId="5B38739D">
      <w:pPr>
        <w:pStyle w:val="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①平台设计方案</w:t>
      </w:r>
    </w:p>
    <w:p w14:paraId="7BB3F1CC">
      <w:pPr>
        <w:topLinePunct/>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②售后服务保障方案</w:t>
      </w:r>
    </w:p>
    <w:p w14:paraId="7EDFCF49">
      <w:pPr>
        <w:topLinePunct/>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备注：根据招标文件要求进行完善。</w:t>
      </w:r>
    </w:p>
    <w:p w14:paraId="750B95DC">
      <w:pPr>
        <w:pStyle w:val="35"/>
        <w:rPr>
          <w:rFonts w:asciiTheme="minorEastAsia" w:hAnsiTheme="minorEastAsia" w:eastAsiaTheme="minorEastAsia" w:cstheme="minorEastAsia"/>
          <w:sz w:val="24"/>
          <w:szCs w:val="24"/>
        </w:rPr>
      </w:pPr>
    </w:p>
    <w:p w14:paraId="5E39A402">
      <w:pPr>
        <w:pStyle w:val="2"/>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附件3-10 其他相关资料</w:t>
      </w:r>
    </w:p>
    <w:p w14:paraId="7D50393B">
      <w:pPr>
        <w:rPr>
          <w:rFonts w:asciiTheme="minorEastAsia" w:hAnsiTheme="minorEastAsia" w:eastAsiaTheme="minorEastAsia" w:cstheme="minorEastAsia"/>
        </w:rPr>
      </w:pPr>
    </w:p>
    <w:p w14:paraId="04323961">
      <w:pPr>
        <w:rPr>
          <w:rFonts w:asciiTheme="minorEastAsia" w:hAnsiTheme="minorEastAsia" w:eastAsiaTheme="minorEastAsia" w:cstheme="minorEastAsia"/>
        </w:rPr>
      </w:pPr>
    </w:p>
    <w:p w14:paraId="433D6F95">
      <w:pPr>
        <w:pStyle w:val="2"/>
        <w:rPr>
          <w:rFonts w:asciiTheme="minorEastAsia" w:hAnsiTheme="minorEastAsia" w:eastAsiaTheme="minorEastAsia" w:cstheme="minorEastAsia"/>
        </w:rPr>
      </w:pPr>
    </w:p>
    <w:sectPr>
      <w:pgSz w:w="11906" w:h="16838"/>
      <w:pgMar w:top="1134" w:right="1134" w:bottom="1134" w:left="1134" w:header="851" w:footer="992" w:gutter="0"/>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05836A-4E07-4EE8-9170-14FF853B31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2" w:fontKey="{58536D1A-F918-4F0A-98C2-15448BEE9E03}"/>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embedRegular r:id="rId3" w:fontKey="{B698AC3E-C95D-402F-AF90-F03956917B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8949">
    <w:pPr>
      <w:pStyle w:val="25"/>
      <w:framePr w:wrap="around" w:vAnchor="text" w:hAnchor="margin" w:xAlign="center" w:y="1"/>
      <w:rPr>
        <w:rStyle w:val="44"/>
      </w:rPr>
    </w:pPr>
    <w:r>
      <w:rPr>
        <w:rStyle w:val="44"/>
        <w:rFonts w:hint="eastAsia"/>
      </w:rPr>
      <w:t>第</w:t>
    </w:r>
    <w:r>
      <w:fldChar w:fldCharType="begin"/>
    </w:r>
    <w:r>
      <w:rPr>
        <w:rStyle w:val="44"/>
      </w:rPr>
      <w:instrText xml:space="preserve">PAGE  </w:instrText>
    </w:r>
    <w:r>
      <w:fldChar w:fldCharType="separate"/>
    </w:r>
    <w:r>
      <w:rPr>
        <w:rStyle w:val="44"/>
      </w:rPr>
      <w:t>22</w:t>
    </w:r>
    <w:r>
      <w:fldChar w:fldCharType="end"/>
    </w:r>
    <w:r>
      <w:rPr>
        <w:rStyle w:val="44"/>
        <w:rFonts w:hint="eastAsia"/>
      </w:rPr>
      <w:t>页</w:t>
    </w:r>
  </w:p>
  <w:p w14:paraId="7C702061">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499E2">
    <w:pPr>
      <w:pStyle w:val="25"/>
      <w:framePr w:wrap="around" w:vAnchor="text" w:hAnchor="margin" w:xAlign="center" w:y="1"/>
      <w:rPr>
        <w:rStyle w:val="44"/>
      </w:rPr>
    </w:pPr>
    <w:r>
      <w:fldChar w:fldCharType="begin"/>
    </w:r>
    <w:r>
      <w:rPr>
        <w:rStyle w:val="44"/>
      </w:rPr>
      <w:instrText xml:space="preserve">PAGE  </w:instrText>
    </w:r>
    <w:r>
      <w:fldChar w:fldCharType="end"/>
    </w:r>
  </w:p>
  <w:p w14:paraId="1B1FCD86">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E419B"/>
    <w:multiLevelType w:val="singleLevel"/>
    <w:tmpl w:val="976E419B"/>
    <w:lvl w:ilvl="0" w:tentative="0">
      <w:start w:val="3"/>
      <w:numFmt w:val="chineseCounting"/>
      <w:suff w:val="space"/>
      <w:lvlText w:val="第%1条"/>
      <w:lvlJc w:val="left"/>
      <w:rPr>
        <w:rFonts w:hint="eastAsia"/>
      </w:rPr>
    </w:lvl>
  </w:abstractNum>
  <w:abstractNum w:abstractNumId="1">
    <w:nsid w:val="98F64485"/>
    <w:multiLevelType w:val="singleLevel"/>
    <w:tmpl w:val="98F64485"/>
    <w:lvl w:ilvl="0" w:tentative="0">
      <w:start w:val="13"/>
      <w:numFmt w:val="chineseCounting"/>
      <w:lvlText w:val="(%1)"/>
      <w:lvlJc w:val="left"/>
      <w:pPr>
        <w:tabs>
          <w:tab w:val="left" w:pos="312"/>
        </w:tabs>
      </w:pPr>
      <w:rPr>
        <w:rFonts w:hint="eastAsia"/>
      </w:rPr>
    </w:lvl>
  </w:abstractNum>
  <w:abstractNum w:abstractNumId="2">
    <w:nsid w:val="99AAC9E3"/>
    <w:multiLevelType w:val="singleLevel"/>
    <w:tmpl w:val="99AAC9E3"/>
    <w:lvl w:ilvl="0" w:tentative="0">
      <w:start w:val="1"/>
      <w:numFmt w:val="decimal"/>
      <w:lvlText w:val="%1."/>
      <w:lvlJc w:val="left"/>
      <w:pPr>
        <w:tabs>
          <w:tab w:val="left" w:pos="312"/>
        </w:tabs>
      </w:pPr>
    </w:lvl>
  </w:abstractNum>
  <w:abstractNum w:abstractNumId="3">
    <w:nsid w:val="A6F826D9"/>
    <w:multiLevelType w:val="singleLevel"/>
    <w:tmpl w:val="A6F826D9"/>
    <w:lvl w:ilvl="0" w:tentative="0">
      <w:start w:val="14"/>
      <w:numFmt w:val="decimal"/>
      <w:lvlText w:val="%1."/>
      <w:lvlJc w:val="left"/>
      <w:pPr>
        <w:tabs>
          <w:tab w:val="left" w:pos="312"/>
        </w:tabs>
      </w:pPr>
    </w:lvl>
  </w:abstractNum>
  <w:abstractNum w:abstractNumId="4">
    <w:nsid w:val="B464A256"/>
    <w:multiLevelType w:val="singleLevel"/>
    <w:tmpl w:val="B464A256"/>
    <w:lvl w:ilvl="0" w:tentative="0">
      <w:start w:val="1"/>
      <w:numFmt w:val="chineseCounting"/>
      <w:lvlText w:val="(%1)"/>
      <w:lvlJc w:val="left"/>
      <w:pPr>
        <w:tabs>
          <w:tab w:val="left" w:pos="312"/>
        </w:tabs>
      </w:pPr>
      <w:rPr>
        <w:rFonts w:hint="eastAsia"/>
      </w:rPr>
    </w:lvl>
  </w:abstractNum>
  <w:abstractNum w:abstractNumId="5">
    <w:nsid w:val="CC484BF0"/>
    <w:multiLevelType w:val="singleLevel"/>
    <w:tmpl w:val="CC484BF0"/>
    <w:lvl w:ilvl="0" w:tentative="0">
      <w:start w:val="10"/>
      <w:numFmt w:val="decimal"/>
      <w:lvlText w:val="%1."/>
      <w:lvlJc w:val="left"/>
      <w:pPr>
        <w:tabs>
          <w:tab w:val="left" w:pos="312"/>
        </w:tabs>
      </w:pPr>
    </w:lvl>
  </w:abstractNum>
  <w:abstractNum w:abstractNumId="6">
    <w:nsid w:val="E7778EBC"/>
    <w:multiLevelType w:val="multilevel"/>
    <w:tmpl w:val="E7778EBC"/>
    <w:lvl w:ilvl="0" w:tentative="0">
      <w:start w:val="1"/>
      <w:numFmt w:val="chineseCounting"/>
      <w:suff w:val="nothing"/>
      <w:lvlText w:val="%1、"/>
      <w:lvlJc w:val="left"/>
      <w:pPr>
        <w:tabs>
          <w:tab w:val="left" w:pos="0"/>
        </w:tabs>
        <w:ind w:left="0" w:firstLine="0"/>
      </w:pPr>
      <w:rPr>
        <w:rFonts w:hint="eastAsia" w:eastAsia="黑体"/>
        <w:b/>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15812A10"/>
    <w:multiLevelType w:val="multilevel"/>
    <w:tmpl w:val="15812A10"/>
    <w:lvl w:ilvl="0" w:tentative="0">
      <w:start w:val="1"/>
      <w:numFmt w:val="upperLetter"/>
      <w:pStyle w:val="4"/>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35A53FA"/>
    <w:multiLevelType w:val="singleLevel"/>
    <w:tmpl w:val="335A53FA"/>
    <w:lvl w:ilvl="0" w:tentative="0">
      <w:start w:val="2"/>
      <w:numFmt w:val="decimal"/>
      <w:suff w:val="nothing"/>
      <w:lvlText w:val="（%1）"/>
      <w:lvlJc w:val="left"/>
    </w:lvl>
  </w:abstractNum>
  <w:abstractNum w:abstractNumId="9">
    <w:nsid w:val="393DB7FE"/>
    <w:multiLevelType w:val="singleLevel"/>
    <w:tmpl w:val="393DB7FE"/>
    <w:lvl w:ilvl="0" w:tentative="0">
      <w:start w:val="1"/>
      <w:numFmt w:val="decimal"/>
      <w:lvlText w:val="%1."/>
      <w:lvlJc w:val="left"/>
      <w:pPr>
        <w:ind w:left="425" w:hanging="425"/>
      </w:pPr>
      <w:rPr>
        <w:rFonts w:hint="default"/>
      </w:rPr>
    </w:lvl>
  </w:abstractNum>
  <w:abstractNum w:abstractNumId="10">
    <w:nsid w:val="4EE97EC9"/>
    <w:multiLevelType w:val="singleLevel"/>
    <w:tmpl w:val="4EE97EC9"/>
    <w:lvl w:ilvl="0" w:tentative="0">
      <w:start w:val="2"/>
      <w:numFmt w:val="decimal"/>
      <w:lvlText w:val="%1."/>
      <w:lvlJc w:val="left"/>
      <w:pPr>
        <w:tabs>
          <w:tab w:val="left" w:pos="312"/>
        </w:tabs>
      </w:pPr>
    </w:lvl>
  </w:abstractNum>
  <w:abstractNum w:abstractNumId="11">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109"/>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12">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757ED0B0"/>
    <w:multiLevelType w:val="singleLevel"/>
    <w:tmpl w:val="757ED0B0"/>
    <w:lvl w:ilvl="0" w:tentative="0">
      <w:start w:val="2"/>
      <w:numFmt w:val="chineseCounting"/>
      <w:suff w:val="nothing"/>
      <w:lvlText w:val="%1、"/>
      <w:lvlJc w:val="left"/>
      <w:rPr>
        <w:rFonts w:hint="eastAsia"/>
      </w:rPr>
    </w:lvl>
  </w:abstractNum>
  <w:abstractNum w:abstractNumId="15">
    <w:nsid w:val="760439EE"/>
    <w:multiLevelType w:val="multilevel"/>
    <w:tmpl w:val="760439EE"/>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7B7F58C3"/>
    <w:multiLevelType w:val="singleLevel"/>
    <w:tmpl w:val="7B7F58C3"/>
    <w:lvl w:ilvl="0" w:tentative="0">
      <w:start w:val="2"/>
      <w:numFmt w:val="decimal"/>
      <w:suff w:val="nothing"/>
      <w:lvlText w:val="（%1）"/>
      <w:lvlJc w:val="left"/>
    </w:lvl>
  </w:abstractNum>
  <w:num w:numId="1">
    <w:abstractNumId w:val="7"/>
  </w:num>
  <w:num w:numId="2">
    <w:abstractNumId w:val="12"/>
  </w:num>
  <w:num w:numId="3">
    <w:abstractNumId w:val="11"/>
  </w:num>
  <w:num w:numId="4">
    <w:abstractNumId w:val="15"/>
  </w:num>
  <w:num w:numId="5">
    <w:abstractNumId w:val="14"/>
  </w:num>
  <w:num w:numId="6">
    <w:abstractNumId w:val="10"/>
  </w:num>
  <w:num w:numId="7">
    <w:abstractNumId w:val="2"/>
  </w:num>
  <w:num w:numId="8">
    <w:abstractNumId w:val="9"/>
  </w:num>
  <w:num w:numId="9">
    <w:abstractNumId w:val="6"/>
  </w:num>
  <w:num w:numId="10">
    <w:abstractNumId w:val="16"/>
  </w:num>
  <w:num w:numId="11">
    <w:abstractNumId w:val="8"/>
  </w:num>
  <w:num w:numId="12">
    <w:abstractNumId w:val="5"/>
  </w:num>
  <w:num w:numId="13">
    <w:abstractNumId w:val="3"/>
  </w:num>
  <w:num w:numId="14">
    <w:abstractNumId w:val="0"/>
  </w:num>
  <w:num w:numId="15">
    <w:abstractNumId w:val="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20"/>
  <w:drawingGridVerticalSpacing w:val="333"/>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OTdlMDEyOTBlZmY5NmEzZGFmNDY3MTJhYzE1NmY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045F"/>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7272"/>
    <w:rsid w:val="000200EF"/>
    <w:rsid w:val="00020F99"/>
    <w:rsid w:val="000214E5"/>
    <w:rsid w:val="00021580"/>
    <w:rsid w:val="00021826"/>
    <w:rsid w:val="00021D4C"/>
    <w:rsid w:val="00021DD1"/>
    <w:rsid w:val="00022402"/>
    <w:rsid w:val="0002253E"/>
    <w:rsid w:val="00022556"/>
    <w:rsid w:val="00022C5E"/>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F5"/>
    <w:rsid w:val="00030427"/>
    <w:rsid w:val="000311D6"/>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254"/>
    <w:rsid w:val="00050527"/>
    <w:rsid w:val="000505FF"/>
    <w:rsid w:val="0005094D"/>
    <w:rsid w:val="00050BA5"/>
    <w:rsid w:val="00051638"/>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1327"/>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0E18"/>
    <w:rsid w:val="0007136C"/>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B0A"/>
    <w:rsid w:val="00077DCF"/>
    <w:rsid w:val="00077FD2"/>
    <w:rsid w:val="0008015F"/>
    <w:rsid w:val="0008069C"/>
    <w:rsid w:val="0008073B"/>
    <w:rsid w:val="000808F2"/>
    <w:rsid w:val="00080C86"/>
    <w:rsid w:val="00081762"/>
    <w:rsid w:val="0008196D"/>
    <w:rsid w:val="00082761"/>
    <w:rsid w:val="000829D6"/>
    <w:rsid w:val="0008303D"/>
    <w:rsid w:val="000832A7"/>
    <w:rsid w:val="0008377B"/>
    <w:rsid w:val="00083E84"/>
    <w:rsid w:val="000843CC"/>
    <w:rsid w:val="00084610"/>
    <w:rsid w:val="000852C4"/>
    <w:rsid w:val="00086248"/>
    <w:rsid w:val="00086608"/>
    <w:rsid w:val="000876E0"/>
    <w:rsid w:val="00087AC0"/>
    <w:rsid w:val="00090C90"/>
    <w:rsid w:val="00090C9C"/>
    <w:rsid w:val="00090FCA"/>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EBD"/>
    <w:rsid w:val="000A0EE4"/>
    <w:rsid w:val="000A1943"/>
    <w:rsid w:val="000A1DC7"/>
    <w:rsid w:val="000A1E2E"/>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BA"/>
    <w:rsid w:val="000A6A56"/>
    <w:rsid w:val="000A6B6A"/>
    <w:rsid w:val="000A726E"/>
    <w:rsid w:val="000A7520"/>
    <w:rsid w:val="000A779D"/>
    <w:rsid w:val="000A7DBF"/>
    <w:rsid w:val="000A7E5F"/>
    <w:rsid w:val="000B090D"/>
    <w:rsid w:val="000B0AB7"/>
    <w:rsid w:val="000B10DE"/>
    <w:rsid w:val="000B134C"/>
    <w:rsid w:val="000B158E"/>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6E0B"/>
    <w:rsid w:val="000B7503"/>
    <w:rsid w:val="000B78B2"/>
    <w:rsid w:val="000B7D7D"/>
    <w:rsid w:val="000C02AC"/>
    <w:rsid w:val="000C0522"/>
    <w:rsid w:val="000C0ABB"/>
    <w:rsid w:val="000C11D6"/>
    <w:rsid w:val="000C133D"/>
    <w:rsid w:val="000C1669"/>
    <w:rsid w:val="000C1835"/>
    <w:rsid w:val="000C1B36"/>
    <w:rsid w:val="000C1E06"/>
    <w:rsid w:val="000C1EE8"/>
    <w:rsid w:val="000C1F07"/>
    <w:rsid w:val="000C22CB"/>
    <w:rsid w:val="000C2563"/>
    <w:rsid w:val="000C2B67"/>
    <w:rsid w:val="000C4086"/>
    <w:rsid w:val="000C4C0D"/>
    <w:rsid w:val="000C541F"/>
    <w:rsid w:val="000C5660"/>
    <w:rsid w:val="000C5EC1"/>
    <w:rsid w:val="000C6503"/>
    <w:rsid w:val="000C670A"/>
    <w:rsid w:val="000C6C14"/>
    <w:rsid w:val="000C6D25"/>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947"/>
    <w:rsid w:val="000E0AD9"/>
    <w:rsid w:val="000E10F1"/>
    <w:rsid w:val="000E1D4A"/>
    <w:rsid w:val="000E1F3C"/>
    <w:rsid w:val="000E2ADB"/>
    <w:rsid w:val="000E2DE4"/>
    <w:rsid w:val="000E2E3D"/>
    <w:rsid w:val="000E2EEF"/>
    <w:rsid w:val="000E3E6E"/>
    <w:rsid w:val="000E4136"/>
    <w:rsid w:val="000E4D45"/>
    <w:rsid w:val="000E4F82"/>
    <w:rsid w:val="000E535C"/>
    <w:rsid w:val="000E5B36"/>
    <w:rsid w:val="000E5EAC"/>
    <w:rsid w:val="000E6A61"/>
    <w:rsid w:val="000E73A7"/>
    <w:rsid w:val="000E76E8"/>
    <w:rsid w:val="000E76F1"/>
    <w:rsid w:val="000E787A"/>
    <w:rsid w:val="000E7A62"/>
    <w:rsid w:val="000E7B86"/>
    <w:rsid w:val="000E7C05"/>
    <w:rsid w:val="000E7D31"/>
    <w:rsid w:val="000F01A0"/>
    <w:rsid w:val="000F0506"/>
    <w:rsid w:val="000F0592"/>
    <w:rsid w:val="000F1C0D"/>
    <w:rsid w:val="000F23E7"/>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1007F"/>
    <w:rsid w:val="001107DE"/>
    <w:rsid w:val="00110CF1"/>
    <w:rsid w:val="00110D2A"/>
    <w:rsid w:val="00111195"/>
    <w:rsid w:val="00111CD9"/>
    <w:rsid w:val="001123F1"/>
    <w:rsid w:val="00112654"/>
    <w:rsid w:val="00112AD8"/>
    <w:rsid w:val="00114050"/>
    <w:rsid w:val="001148A2"/>
    <w:rsid w:val="0011524E"/>
    <w:rsid w:val="0011590D"/>
    <w:rsid w:val="0011685D"/>
    <w:rsid w:val="00116C35"/>
    <w:rsid w:val="00117389"/>
    <w:rsid w:val="0011747D"/>
    <w:rsid w:val="001176B2"/>
    <w:rsid w:val="00117D41"/>
    <w:rsid w:val="0012046A"/>
    <w:rsid w:val="00120597"/>
    <w:rsid w:val="00122086"/>
    <w:rsid w:val="00122145"/>
    <w:rsid w:val="001223E8"/>
    <w:rsid w:val="001229C4"/>
    <w:rsid w:val="00122B88"/>
    <w:rsid w:val="00122D59"/>
    <w:rsid w:val="00122EF4"/>
    <w:rsid w:val="0012391A"/>
    <w:rsid w:val="00123DFF"/>
    <w:rsid w:val="00123E14"/>
    <w:rsid w:val="00123E6D"/>
    <w:rsid w:val="00124409"/>
    <w:rsid w:val="00124669"/>
    <w:rsid w:val="0012646F"/>
    <w:rsid w:val="0012649E"/>
    <w:rsid w:val="00126E7B"/>
    <w:rsid w:val="00126F36"/>
    <w:rsid w:val="00126FFB"/>
    <w:rsid w:val="001274EF"/>
    <w:rsid w:val="0013017D"/>
    <w:rsid w:val="001304E9"/>
    <w:rsid w:val="00130AAE"/>
    <w:rsid w:val="00130B1D"/>
    <w:rsid w:val="00130DAF"/>
    <w:rsid w:val="00130F08"/>
    <w:rsid w:val="001310BA"/>
    <w:rsid w:val="00131A58"/>
    <w:rsid w:val="00131A67"/>
    <w:rsid w:val="00131B4B"/>
    <w:rsid w:val="00131BAF"/>
    <w:rsid w:val="00131E9F"/>
    <w:rsid w:val="00132146"/>
    <w:rsid w:val="00132CBE"/>
    <w:rsid w:val="0013333E"/>
    <w:rsid w:val="0013422C"/>
    <w:rsid w:val="001343FB"/>
    <w:rsid w:val="0013492C"/>
    <w:rsid w:val="00134991"/>
    <w:rsid w:val="00135110"/>
    <w:rsid w:val="00135533"/>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297"/>
    <w:rsid w:val="00161D22"/>
    <w:rsid w:val="0016224C"/>
    <w:rsid w:val="0016363D"/>
    <w:rsid w:val="00163DF0"/>
    <w:rsid w:val="0016532E"/>
    <w:rsid w:val="00165603"/>
    <w:rsid w:val="001662A9"/>
    <w:rsid w:val="001662FB"/>
    <w:rsid w:val="001665E6"/>
    <w:rsid w:val="00166749"/>
    <w:rsid w:val="00166FD1"/>
    <w:rsid w:val="00167245"/>
    <w:rsid w:val="001679F1"/>
    <w:rsid w:val="00167B25"/>
    <w:rsid w:val="0017038C"/>
    <w:rsid w:val="001708BB"/>
    <w:rsid w:val="001715DF"/>
    <w:rsid w:val="00171E05"/>
    <w:rsid w:val="001720F2"/>
    <w:rsid w:val="00172588"/>
    <w:rsid w:val="00173415"/>
    <w:rsid w:val="00173791"/>
    <w:rsid w:val="001739E7"/>
    <w:rsid w:val="00173AFC"/>
    <w:rsid w:val="00174151"/>
    <w:rsid w:val="00174167"/>
    <w:rsid w:val="001745C5"/>
    <w:rsid w:val="00174631"/>
    <w:rsid w:val="001758E4"/>
    <w:rsid w:val="001762F3"/>
    <w:rsid w:val="00176C93"/>
    <w:rsid w:val="00176F1D"/>
    <w:rsid w:val="0017756B"/>
    <w:rsid w:val="00177A39"/>
    <w:rsid w:val="00177CD6"/>
    <w:rsid w:val="0018029D"/>
    <w:rsid w:val="00180FEE"/>
    <w:rsid w:val="00181B8D"/>
    <w:rsid w:val="00182926"/>
    <w:rsid w:val="00182DB5"/>
    <w:rsid w:val="00182FC2"/>
    <w:rsid w:val="001831E9"/>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6F3"/>
    <w:rsid w:val="00190897"/>
    <w:rsid w:val="00190BAC"/>
    <w:rsid w:val="001917CC"/>
    <w:rsid w:val="00191FD1"/>
    <w:rsid w:val="001920A3"/>
    <w:rsid w:val="00192634"/>
    <w:rsid w:val="00192760"/>
    <w:rsid w:val="001928EC"/>
    <w:rsid w:val="0019302D"/>
    <w:rsid w:val="001938CC"/>
    <w:rsid w:val="00193F6C"/>
    <w:rsid w:val="00193F77"/>
    <w:rsid w:val="00194297"/>
    <w:rsid w:val="001944AA"/>
    <w:rsid w:val="001949A8"/>
    <w:rsid w:val="001949FF"/>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B7C"/>
    <w:rsid w:val="001A3BBD"/>
    <w:rsid w:val="001A3DE4"/>
    <w:rsid w:val="001A4115"/>
    <w:rsid w:val="001A4AF9"/>
    <w:rsid w:val="001A4D75"/>
    <w:rsid w:val="001A4DB6"/>
    <w:rsid w:val="001A4DBF"/>
    <w:rsid w:val="001A5074"/>
    <w:rsid w:val="001A57AC"/>
    <w:rsid w:val="001A5C4C"/>
    <w:rsid w:val="001A5C6F"/>
    <w:rsid w:val="001A7CAD"/>
    <w:rsid w:val="001B04CF"/>
    <w:rsid w:val="001B0BF3"/>
    <w:rsid w:val="001B1176"/>
    <w:rsid w:val="001B15B2"/>
    <w:rsid w:val="001B1D9D"/>
    <w:rsid w:val="001B424D"/>
    <w:rsid w:val="001B4ACF"/>
    <w:rsid w:val="001B4E01"/>
    <w:rsid w:val="001B55E0"/>
    <w:rsid w:val="001B67EA"/>
    <w:rsid w:val="001B693E"/>
    <w:rsid w:val="001B6FAA"/>
    <w:rsid w:val="001B702F"/>
    <w:rsid w:val="001C0130"/>
    <w:rsid w:val="001C0150"/>
    <w:rsid w:val="001C0480"/>
    <w:rsid w:val="001C159B"/>
    <w:rsid w:val="001C1EC2"/>
    <w:rsid w:val="001C2747"/>
    <w:rsid w:val="001C3D41"/>
    <w:rsid w:val="001C443D"/>
    <w:rsid w:val="001C447A"/>
    <w:rsid w:val="001C4BA1"/>
    <w:rsid w:val="001C4DD6"/>
    <w:rsid w:val="001C4E2C"/>
    <w:rsid w:val="001C579F"/>
    <w:rsid w:val="001C595E"/>
    <w:rsid w:val="001C5AB4"/>
    <w:rsid w:val="001C6190"/>
    <w:rsid w:val="001C7073"/>
    <w:rsid w:val="001C748E"/>
    <w:rsid w:val="001C7728"/>
    <w:rsid w:val="001C7BAF"/>
    <w:rsid w:val="001D02A0"/>
    <w:rsid w:val="001D04A5"/>
    <w:rsid w:val="001D0EF8"/>
    <w:rsid w:val="001D1667"/>
    <w:rsid w:val="001D1698"/>
    <w:rsid w:val="001D17C5"/>
    <w:rsid w:val="001D1909"/>
    <w:rsid w:val="001D1CA7"/>
    <w:rsid w:val="001D2283"/>
    <w:rsid w:val="001D23E2"/>
    <w:rsid w:val="001D240B"/>
    <w:rsid w:val="001D2525"/>
    <w:rsid w:val="001D314A"/>
    <w:rsid w:val="001D3441"/>
    <w:rsid w:val="001D35F6"/>
    <w:rsid w:val="001D3B33"/>
    <w:rsid w:val="001D3BC0"/>
    <w:rsid w:val="001D4AF9"/>
    <w:rsid w:val="001D4CD1"/>
    <w:rsid w:val="001D5EFF"/>
    <w:rsid w:val="001D6290"/>
    <w:rsid w:val="001D62BC"/>
    <w:rsid w:val="001D65FC"/>
    <w:rsid w:val="001D6E1B"/>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5D2"/>
    <w:rsid w:val="001E5753"/>
    <w:rsid w:val="001E5CCE"/>
    <w:rsid w:val="001E61D7"/>
    <w:rsid w:val="001E68C5"/>
    <w:rsid w:val="001E6989"/>
    <w:rsid w:val="001E6FAE"/>
    <w:rsid w:val="001E72FF"/>
    <w:rsid w:val="001E75AE"/>
    <w:rsid w:val="001E78DE"/>
    <w:rsid w:val="001E7B08"/>
    <w:rsid w:val="001E7BC6"/>
    <w:rsid w:val="001E7C2F"/>
    <w:rsid w:val="001F00ED"/>
    <w:rsid w:val="001F02B7"/>
    <w:rsid w:val="001F074E"/>
    <w:rsid w:val="001F1186"/>
    <w:rsid w:val="001F1694"/>
    <w:rsid w:val="001F1990"/>
    <w:rsid w:val="001F19DB"/>
    <w:rsid w:val="001F1E7B"/>
    <w:rsid w:val="001F217A"/>
    <w:rsid w:val="001F2955"/>
    <w:rsid w:val="001F30D5"/>
    <w:rsid w:val="001F3491"/>
    <w:rsid w:val="001F36EA"/>
    <w:rsid w:val="001F3959"/>
    <w:rsid w:val="001F3D15"/>
    <w:rsid w:val="001F42B9"/>
    <w:rsid w:val="001F4492"/>
    <w:rsid w:val="001F4807"/>
    <w:rsid w:val="001F4843"/>
    <w:rsid w:val="001F4B51"/>
    <w:rsid w:val="001F4CBF"/>
    <w:rsid w:val="001F5C7C"/>
    <w:rsid w:val="001F5FC9"/>
    <w:rsid w:val="001F6229"/>
    <w:rsid w:val="001F631E"/>
    <w:rsid w:val="001F65B8"/>
    <w:rsid w:val="001F69A3"/>
    <w:rsid w:val="001F70EF"/>
    <w:rsid w:val="001F7347"/>
    <w:rsid w:val="001F761C"/>
    <w:rsid w:val="001F7A61"/>
    <w:rsid w:val="0020014C"/>
    <w:rsid w:val="00200D9D"/>
    <w:rsid w:val="0020183D"/>
    <w:rsid w:val="0020190B"/>
    <w:rsid w:val="002021D9"/>
    <w:rsid w:val="00202602"/>
    <w:rsid w:val="002028CF"/>
    <w:rsid w:val="002030AC"/>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79A"/>
    <w:rsid w:val="00213BA4"/>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45F9"/>
    <w:rsid w:val="002253B8"/>
    <w:rsid w:val="0022558A"/>
    <w:rsid w:val="002259CD"/>
    <w:rsid w:val="00225E89"/>
    <w:rsid w:val="00226930"/>
    <w:rsid w:val="00226E55"/>
    <w:rsid w:val="00230167"/>
    <w:rsid w:val="00230ED0"/>
    <w:rsid w:val="00232335"/>
    <w:rsid w:val="00232613"/>
    <w:rsid w:val="0023278C"/>
    <w:rsid w:val="002328DC"/>
    <w:rsid w:val="00232C82"/>
    <w:rsid w:val="00233E3E"/>
    <w:rsid w:val="002349B4"/>
    <w:rsid w:val="00234C6C"/>
    <w:rsid w:val="00235D45"/>
    <w:rsid w:val="00235E2A"/>
    <w:rsid w:val="002365C4"/>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4410"/>
    <w:rsid w:val="00254458"/>
    <w:rsid w:val="00254888"/>
    <w:rsid w:val="00254B5B"/>
    <w:rsid w:val="00254E35"/>
    <w:rsid w:val="0025508B"/>
    <w:rsid w:val="0025525D"/>
    <w:rsid w:val="00255396"/>
    <w:rsid w:val="002557D3"/>
    <w:rsid w:val="00255F08"/>
    <w:rsid w:val="002567FC"/>
    <w:rsid w:val="00256E7C"/>
    <w:rsid w:val="00257A86"/>
    <w:rsid w:val="00257F5C"/>
    <w:rsid w:val="002605A6"/>
    <w:rsid w:val="002606C6"/>
    <w:rsid w:val="00260D0A"/>
    <w:rsid w:val="00261DD9"/>
    <w:rsid w:val="00261F26"/>
    <w:rsid w:val="0026251C"/>
    <w:rsid w:val="00263BBB"/>
    <w:rsid w:val="00263CC0"/>
    <w:rsid w:val="00263DA9"/>
    <w:rsid w:val="002641A0"/>
    <w:rsid w:val="00264773"/>
    <w:rsid w:val="0026482B"/>
    <w:rsid w:val="00264C25"/>
    <w:rsid w:val="0026652F"/>
    <w:rsid w:val="002674A6"/>
    <w:rsid w:val="002675EC"/>
    <w:rsid w:val="00267CB9"/>
    <w:rsid w:val="0027030D"/>
    <w:rsid w:val="00270420"/>
    <w:rsid w:val="00271F77"/>
    <w:rsid w:val="002724C4"/>
    <w:rsid w:val="00272842"/>
    <w:rsid w:val="00273017"/>
    <w:rsid w:val="002731FA"/>
    <w:rsid w:val="002734D3"/>
    <w:rsid w:val="00273AAB"/>
    <w:rsid w:val="00273AFB"/>
    <w:rsid w:val="002740D3"/>
    <w:rsid w:val="00275020"/>
    <w:rsid w:val="00275291"/>
    <w:rsid w:val="00275811"/>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CFB"/>
    <w:rsid w:val="00281D60"/>
    <w:rsid w:val="0028276C"/>
    <w:rsid w:val="002837E3"/>
    <w:rsid w:val="002838AD"/>
    <w:rsid w:val="002847FD"/>
    <w:rsid w:val="002848B9"/>
    <w:rsid w:val="00284A74"/>
    <w:rsid w:val="00284BF8"/>
    <w:rsid w:val="00284D05"/>
    <w:rsid w:val="00285B86"/>
    <w:rsid w:val="002860A7"/>
    <w:rsid w:val="0028649C"/>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61D5"/>
    <w:rsid w:val="00297148"/>
    <w:rsid w:val="002971EE"/>
    <w:rsid w:val="00297651"/>
    <w:rsid w:val="00297C40"/>
    <w:rsid w:val="00297C77"/>
    <w:rsid w:val="002A0BDA"/>
    <w:rsid w:val="002A0C47"/>
    <w:rsid w:val="002A0D2B"/>
    <w:rsid w:val="002A129C"/>
    <w:rsid w:val="002A1AB2"/>
    <w:rsid w:val="002A3036"/>
    <w:rsid w:val="002A332A"/>
    <w:rsid w:val="002A3C4B"/>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B1A"/>
    <w:rsid w:val="002B50F0"/>
    <w:rsid w:val="002B5173"/>
    <w:rsid w:val="002B52AB"/>
    <w:rsid w:val="002B5341"/>
    <w:rsid w:val="002B5540"/>
    <w:rsid w:val="002B5909"/>
    <w:rsid w:val="002B5DF5"/>
    <w:rsid w:val="002B5E35"/>
    <w:rsid w:val="002B5E84"/>
    <w:rsid w:val="002B60DF"/>
    <w:rsid w:val="002B637B"/>
    <w:rsid w:val="002B683B"/>
    <w:rsid w:val="002B7153"/>
    <w:rsid w:val="002B745D"/>
    <w:rsid w:val="002B7718"/>
    <w:rsid w:val="002C06AC"/>
    <w:rsid w:val="002C0728"/>
    <w:rsid w:val="002C127A"/>
    <w:rsid w:val="002C14F1"/>
    <w:rsid w:val="002C1952"/>
    <w:rsid w:val="002C2195"/>
    <w:rsid w:val="002C2316"/>
    <w:rsid w:val="002C2BC7"/>
    <w:rsid w:val="002C4962"/>
    <w:rsid w:val="002C4B63"/>
    <w:rsid w:val="002C4FC5"/>
    <w:rsid w:val="002C5167"/>
    <w:rsid w:val="002C51AF"/>
    <w:rsid w:val="002C51E3"/>
    <w:rsid w:val="002C524E"/>
    <w:rsid w:val="002C5720"/>
    <w:rsid w:val="002C6E69"/>
    <w:rsid w:val="002C733C"/>
    <w:rsid w:val="002C747C"/>
    <w:rsid w:val="002C7728"/>
    <w:rsid w:val="002D1091"/>
    <w:rsid w:val="002D11AF"/>
    <w:rsid w:val="002D2732"/>
    <w:rsid w:val="002D2738"/>
    <w:rsid w:val="002D2939"/>
    <w:rsid w:val="002D2A2D"/>
    <w:rsid w:val="002D2A92"/>
    <w:rsid w:val="002D2D30"/>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672"/>
    <w:rsid w:val="002E1EF0"/>
    <w:rsid w:val="002E22CE"/>
    <w:rsid w:val="002E2922"/>
    <w:rsid w:val="002E3506"/>
    <w:rsid w:val="002E3A28"/>
    <w:rsid w:val="002E3A72"/>
    <w:rsid w:val="002E4674"/>
    <w:rsid w:val="002E4CFA"/>
    <w:rsid w:val="002E4E06"/>
    <w:rsid w:val="002E5613"/>
    <w:rsid w:val="002E5624"/>
    <w:rsid w:val="002E5A10"/>
    <w:rsid w:val="002E5BF0"/>
    <w:rsid w:val="002E5E85"/>
    <w:rsid w:val="002E5EC2"/>
    <w:rsid w:val="002E5F11"/>
    <w:rsid w:val="002E626C"/>
    <w:rsid w:val="002E65A5"/>
    <w:rsid w:val="002E6D75"/>
    <w:rsid w:val="002E6E5B"/>
    <w:rsid w:val="002E7A29"/>
    <w:rsid w:val="002E7F6F"/>
    <w:rsid w:val="002F1514"/>
    <w:rsid w:val="002F1B9C"/>
    <w:rsid w:val="002F21B2"/>
    <w:rsid w:val="002F25A8"/>
    <w:rsid w:val="002F26F5"/>
    <w:rsid w:val="002F26FC"/>
    <w:rsid w:val="002F27D2"/>
    <w:rsid w:val="002F3018"/>
    <w:rsid w:val="002F32B2"/>
    <w:rsid w:val="002F34D8"/>
    <w:rsid w:val="002F3650"/>
    <w:rsid w:val="002F382D"/>
    <w:rsid w:val="002F394A"/>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0F6E"/>
    <w:rsid w:val="0030136D"/>
    <w:rsid w:val="00301416"/>
    <w:rsid w:val="00302A6F"/>
    <w:rsid w:val="00302ED5"/>
    <w:rsid w:val="003031F4"/>
    <w:rsid w:val="0030369D"/>
    <w:rsid w:val="00303794"/>
    <w:rsid w:val="003047B3"/>
    <w:rsid w:val="00304E20"/>
    <w:rsid w:val="00304E41"/>
    <w:rsid w:val="00305547"/>
    <w:rsid w:val="003061CF"/>
    <w:rsid w:val="00306A8E"/>
    <w:rsid w:val="00306DF1"/>
    <w:rsid w:val="00306F6F"/>
    <w:rsid w:val="003072C3"/>
    <w:rsid w:val="0030732F"/>
    <w:rsid w:val="0030744E"/>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21E"/>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4FD"/>
    <w:rsid w:val="00321586"/>
    <w:rsid w:val="00321954"/>
    <w:rsid w:val="00321AC4"/>
    <w:rsid w:val="00321DE8"/>
    <w:rsid w:val="00321E00"/>
    <w:rsid w:val="00322083"/>
    <w:rsid w:val="003223C9"/>
    <w:rsid w:val="0032248B"/>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771"/>
    <w:rsid w:val="00333AEA"/>
    <w:rsid w:val="00333FF5"/>
    <w:rsid w:val="00334555"/>
    <w:rsid w:val="00334589"/>
    <w:rsid w:val="003349CF"/>
    <w:rsid w:val="00334BE4"/>
    <w:rsid w:val="00335357"/>
    <w:rsid w:val="0033546C"/>
    <w:rsid w:val="00335F5B"/>
    <w:rsid w:val="00336635"/>
    <w:rsid w:val="003366F0"/>
    <w:rsid w:val="003368ED"/>
    <w:rsid w:val="00336E80"/>
    <w:rsid w:val="00337338"/>
    <w:rsid w:val="00337779"/>
    <w:rsid w:val="00337A3D"/>
    <w:rsid w:val="00337D02"/>
    <w:rsid w:val="00337DD8"/>
    <w:rsid w:val="0034038A"/>
    <w:rsid w:val="003405BA"/>
    <w:rsid w:val="003405C4"/>
    <w:rsid w:val="00341516"/>
    <w:rsid w:val="00341685"/>
    <w:rsid w:val="00341824"/>
    <w:rsid w:val="00341B6B"/>
    <w:rsid w:val="0034271A"/>
    <w:rsid w:val="00342984"/>
    <w:rsid w:val="00342A29"/>
    <w:rsid w:val="00342D26"/>
    <w:rsid w:val="00342F4C"/>
    <w:rsid w:val="003438EA"/>
    <w:rsid w:val="00343C0B"/>
    <w:rsid w:val="0034406E"/>
    <w:rsid w:val="003442C9"/>
    <w:rsid w:val="0034452D"/>
    <w:rsid w:val="003445E4"/>
    <w:rsid w:val="00344635"/>
    <w:rsid w:val="00344726"/>
    <w:rsid w:val="00344CCF"/>
    <w:rsid w:val="0034528A"/>
    <w:rsid w:val="0034550A"/>
    <w:rsid w:val="00345633"/>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81"/>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3C76"/>
    <w:rsid w:val="003841D8"/>
    <w:rsid w:val="003846C9"/>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0E90"/>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C1"/>
    <w:rsid w:val="003B3D77"/>
    <w:rsid w:val="003B3F62"/>
    <w:rsid w:val="003B420E"/>
    <w:rsid w:val="003B487A"/>
    <w:rsid w:val="003B4C24"/>
    <w:rsid w:val="003B4CDF"/>
    <w:rsid w:val="003B4D8D"/>
    <w:rsid w:val="003B4FE5"/>
    <w:rsid w:val="003B5B55"/>
    <w:rsid w:val="003B662E"/>
    <w:rsid w:val="003B778E"/>
    <w:rsid w:val="003B7923"/>
    <w:rsid w:val="003B7933"/>
    <w:rsid w:val="003B7C23"/>
    <w:rsid w:val="003C00D0"/>
    <w:rsid w:val="003C04F1"/>
    <w:rsid w:val="003C09B5"/>
    <w:rsid w:val="003C0CC7"/>
    <w:rsid w:val="003C0D11"/>
    <w:rsid w:val="003C180D"/>
    <w:rsid w:val="003C18E7"/>
    <w:rsid w:val="003C19BA"/>
    <w:rsid w:val="003C1F5F"/>
    <w:rsid w:val="003C20EA"/>
    <w:rsid w:val="003C2301"/>
    <w:rsid w:val="003C2584"/>
    <w:rsid w:val="003C2CC4"/>
    <w:rsid w:val="003C306B"/>
    <w:rsid w:val="003C3DCA"/>
    <w:rsid w:val="003C450E"/>
    <w:rsid w:val="003C45F2"/>
    <w:rsid w:val="003C4818"/>
    <w:rsid w:val="003C5392"/>
    <w:rsid w:val="003C541E"/>
    <w:rsid w:val="003C57BC"/>
    <w:rsid w:val="003C5A2F"/>
    <w:rsid w:val="003C5D43"/>
    <w:rsid w:val="003C657C"/>
    <w:rsid w:val="003C6D0B"/>
    <w:rsid w:val="003C6DCE"/>
    <w:rsid w:val="003C7D16"/>
    <w:rsid w:val="003C7F5D"/>
    <w:rsid w:val="003D0129"/>
    <w:rsid w:val="003D1128"/>
    <w:rsid w:val="003D1495"/>
    <w:rsid w:val="003D14EB"/>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260F"/>
    <w:rsid w:val="003F2B8D"/>
    <w:rsid w:val="003F2FD3"/>
    <w:rsid w:val="003F37EE"/>
    <w:rsid w:val="003F3AC4"/>
    <w:rsid w:val="003F4685"/>
    <w:rsid w:val="003F4A37"/>
    <w:rsid w:val="003F4E8E"/>
    <w:rsid w:val="003F5704"/>
    <w:rsid w:val="003F6E06"/>
    <w:rsid w:val="003F7397"/>
    <w:rsid w:val="003F74CD"/>
    <w:rsid w:val="003F7840"/>
    <w:rsid w:val="003F7E7B"/>
    <w:rsid w:val="003F7ED0"/>
    <w:rsid w:val="003F7FB3"/>
    <w:rsid w:val="004000AE"/>
    <w:rsid w:val="00400DF1"/>
    <w:rsid w:val="00400F56"/>
    <w:rsid w:val="004015C3"/>
    <w:rsid w:val="00401AB6"/>
    <w:rsid w:val="00401EA0"/>
    <w:rsid w:val="00402817"/>
    <w:rsid w:val="00402BCF"/>
    <w:rsid w:val="00402FAA"/>
    <w:rsid w:val="00403527"/>
    <w:rsid w:val="004040DD"/>
    <w:rsid w:val="004042DE"/>
    <w:rsid w:val="00404646"/>
    <w:rsid w:val="00404DC8"/>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BC0"/>
    <w:rsid w:val="00416F24"/>
    <w:rsid w:val="00416FE6"/>
    <w:rsid w:val="00417094"/>
    <w:rsid w:val="004178D5"/>
    <w:rsid w:val="00420793"/>
    <w:rsid w:val="00420D95"/>
    <w:rsid w:val="004211BA"/>
    <w:rsid w:val="0042125E"/>
    <w:rsid w:val="0042149C"/>
    <w:rsid w:val="00421570"/>
    <w:rsid w:val="00421AA7"/>
    <w:rsid w:val="00421DFA"/>
    <w:rsid w:val="00422373"/>
    <w:rsid w:val="0042256A"/>
    <w:rsid w:val="00422BFD"/>
    <w:rsid w:val="00422F36"/>
    <w:rsid w:val="004236FF"/>
    <w:rsid w:val="0042385A"/>
    <w:rsid w:val="00423D6A"/>
    <w:rsid w:val="00423DCF"/>
    <w:rsid w:val="004250CC"/>
    <w:rsid w:val="004253D1"/>
    <w:rsid w:val="0042570F"/>
    <w:rsid w:val="004258D4"/>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4721"/>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56"/>
    <w:rsid w:val="004622BA"/>
    <w:rsid w:val="004623B2"/>
    <w:rsid w:val="00462BEE"/>
    <w:rsid w:val="00463542"/>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958"/>
    <w:rsid w:val="004710EE"/>
    <w:rsid w:val="00471373"/>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6F56"/>
    <w:rsid w:val="00487750"/>
    <w:rsid w:val="00487B68"/>
    <w:rsid w:val="00487B71"/>
    <w:rsid w:val="00487E66"/>
    <w:rsid w:val="004900B7"/>
    <w:rsid w:val="00490A0B"/>
    <w:rsid w:val="004913C4"/>
    <w:rsid w:val="00491D1C"/>
    <w:rsid w:val="004926D3"/>
    <w:rsid w:val="00492706"/>
    <w:rsid w:val="00492A3F"/>
    <w:rsid w:val="0049319C"/>
    <w:rsid w:val="00493A85"/>
    <w:rsid w:val="00494237"/>
    <w:rsid w:val="00494983"/>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50F4"/>
    <w:rsid w:val="004A5237"/>
    <w:rsid w:val="004A5330"/>
    <w:rsid w:val="004A5C6F"/>
    <w:rsid w:val="004A5CED"/>
    <w:rsid w:val="004A5CF7"/>
    <w:rsid w:val="004A6782"/>
    <w:rsid w:val="004A6EE7"/>
    <w:rsid w:val="004A76A2"/>
    <w:rsid w:val="004A7E49"/>
    <w:rsid w:val="004B07A5"/>
    <w:rsid w:val="004B0A75"/>
    <w:rsid w:val="004B1898"/>
    <w:rsid w:val="004B1AF3"/>
    <w:rsid w:val="004B1D5A"/>
    <w:rsid w:val="004B2417"/>
    <w:rsid w:val="004B269D"/>
    <w:rsid w:val="004B2983"/>
    <w:rsid w:val="004B2CB2"/>
    <w:rsid w:val="004B317A"/>
    <w:rsid w:val="004B3DBA"/>
    <w:rsid w:val="004B48BA"/>
    <w:rsid w:val="004B4B4C"/>
    <w:rsid w:val="004B5162"/>
    <w:rsid w:val="004B542C"/>
    <w:rsid w:val="004B5695"/>
    <w:rsid w:val="004B58B6"/>
    <w:rsid w:val="004B6B88"/>
    <w:rsid w:val="004B75F7"/>
    <w:rsid w:val="004B7980"/>
    <w:rsid w:val="004B7C14"/>
    <w:rsid w:val="004B7CCC"/>
    <w:rsid w:val="004C020B"/>
    <w:rsid w:val="004C0437"/>
    <w:rsid w:val="004C05F3"/>
    <w:rsid w:val="004C0B8D"/>
    <w:rsid w:val="004C2302"/>
    <w:rsid w:val="004C2A9B"/>
    <w:rsid w:val="004C2FB4"/>
    <w:rsid w:val="004C3713"/>
    <w:rsid w:val="004C37CE"/>
    <w:rsid w:val="004C3F22"/>
    <w:rsid w:val="004C4125"/>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A1D"/>
    <w:rsid w:val="004D4099"/>
    <w:rsid w:val="004D412C"/>
    <w:rsid w:val="004D4467"/>
    <w:rsid w:val="004D48CA"/>
    <w:rsid w:val="004D4B66"/>
    <w:rsid w:val="004D4BFE"/>
    <w:rsid w:val="004D5099"/>
    <w:rsid w:val="004D5340"/>
    <w:rsid w:val="004D5C44"/>
    <w:rsid w:val="004D5CEB"/>
    <w:rsid w:val="004D630A"/>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3"/>
    <w:rsid w:val="004E64AE"/>
    <w:rsid w:val="004E6E66"/>
    <w:rsid w:val="004E6F8C"/>
    <w:rsid w:val="004E71EF"/>
    <w:rsid w:val="004F0026"/>
    <w:rsid w:val="004F042C"/>
    <w:rsid w:val="004F0609"/>
    <w:rsid w:val="004F0719"/>
    <w:rsid w:val="004F09A4"/>
    <w:rsid w:val="004F0C9C"/>
    <w:rsid w:val="004F177D"/>
    <w:rsid w:val="004F179B"/>
    <w:rsid w:val="004F1D43"/>
    <w:rsid w:val="004F2654"/>
    <w:rsid w:val="004F2713"/>
    <w:rsid w:val="004F2842"/>
    <w:rsid w:val="004F2A33"/>
    <w:rsid w:val="004F3D81"/>
    <w:rsid w:val="004F420E"/>
    <w:rsid w:val="004F4236"/>
    <w:rsid w:val="004F427C"/>
    <w:rsid w:val="004F528B"/>
    <w:rsid w:val="004F5929"/>
    <w:rsid w:val="004F6AB4"/>
    <w:rsid w:val="004F71AE"/>
    <w:rsid w:val="004F722F"/>
    <w:rsid w:val="004F7DDF"/>
    <w:rsid w:val="0050003D"/>
    <w:rsid w:val="00500322"/>
    <w:rsid w:val="00500C52"/>
    <w:rsid w:val="005010B8"/>
    <w:rsid w:val="005010ED"/>
    <w:rsid w:val="00501143"/>
    <w:rsid w:val="00501BFA"/>
    <w:rsid w:val="0050208A"/>
    <w:rsid w:val="005030D9"/>
    <w:rsid w:val="00503AD6"/>
    <w:rsid w:val="00504615"/>
    <w:rsid w:val="0050473E"/>
    <w:rsid w:val="00505411"/>
    <w:rsid w:val="00505458"/>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F08"/>
    <w:rsid w:val="005301D8"/>
    <w:rsid w:val="005305A7"/>
    <w:rsid w:val="005310E2"/>
    <w:rsid w:val="00531439"/>
    <w:rsid w:val="0053181C"/>
    <w:rsid w:val="00531B42"/>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26E8"/>
    <w:rsid w:val="00542F18"/>
    <w:rsid w:val="0054304E"/>
    <w:rsid w:val="00543308"/>
    <w:rsid w:val="0054341E"/>
    <w:rsid w:val="00543427"/>
    <w:rsid w:val="00543726"/>
    <w:rsid w:val="00543822"/>
    <w:rsid w:val="005440BA"/>
    <w:rsid w:val="00544366"/>
    <w:rsid w:val="005445F7"/>
    <w:rsid w:val="00545257"/>
    <w:rsid w:val="00545ACC"/>
    <w:rsid w:val="00545B5F"/>
    <w:rsid w:val="00545D06"/>
    <w:rsid w:val="005469BE"/>
    <w:rsid w:val="00546AB3"/>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D9D"/>
    <w:rsid w:val="005575F9"/>
    <w:rsid w:val="00560866"/>
    <w:rsid w:val="005609F1"/>
    <w:rsid w:val="0056136D"/>
    <w:rsid w:val="0056158D"/>
    <w:rsid w:val="00561AB7"/>
    <w:rsid w:val="00561CDA"/>
    <w:rsid w:val="00562050"/>
    <w:rsid w:val="005620FC"/>
    <w:rsid w:val="00562867"/>
    <w:rsid w:val="00562E84"/>
    <w:rsid w:val="00562EE9"/>
    <w:rsid w:val="00563157"/>
    <w:rsid w:val="00563283"/>
    <w:rsid w:val="0056354C"/>
    <w:rsid w:val="005636DC"/>
    <w:rsid w:val="00563B01"/>
    <w:rsid w:val="00563F57"/>
    <w:rsid w:val="00564150"/>
    <w:rsid w:val="005643DE"/>
    <w:rsid w:val="005644B6"/>
    <w:rsid w:val="00564D10"/>
    <w:rsid w:val="00564F32"/>
    <w:rsid w:val="00565860"/>
    <w:rsid w:val="00565C0E"/>
    <w:rsid w:val="0056726C"/>
    <w:rsid w:val="00567530"/>
    <w:rsid w:val="00567A18"/>
    <w:rsid w:val="005701EE"/>
    <w:rsid w:val="00570454"/>
    <w:rsid w:val="00570CE1"/>
    <w:rsid w:val="00570E2F"/>
    <w:rsid w:val="005717F1"/>
    <w:rsid w:val="005728CD"/>
    <w:rsid w:val="00572E1F"/>
    <w:rsid w:val="005730AD"/>
    <w:rsid w:val="00573237"/>
    <w:rsid w:val="00573BE0"/>
    <w:rsid w:val="00573CC8"/>
    <w:rsid w:val="00573EC8"/>
    <w:rsid w:val="00574229"/>
    <w:rsid w:val="0057450E"/>
    <w:rsid w:val="005745EF"/>
    <w:rsid w:val="00574C03"/>
    <w:rsid w:val="00574CA0"/>
    <w:rsid w:val="00575306"/>
    <w:rsid w:val="0057593B"/>
    <w:rsid w:val="00575BB1"/>
    <w:rsid w:val="00575DC2"/>
    <w:rsid w:val="00576087"/>
    <w:rsid w:val="005761C8"/>
    <w:rsid w:val="00576224"/>
    <w:rsid w:val="0057670D"/>
    <w:rsid w:val="00576DC8"/>
    <w:rsid w:val="0057795C"/>
    <w:rsid w:val="00577D1D"/>
    <w:rsid w:val="00580191"/>
    <w:rsid w:val="00580580"/>
    <w:rsid w:val="00580F9D"/>
    <w:rsid w:val="00580FE1"/>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55F"/>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1CA"/>
    <w:rsid w:val="005B557A"/>
    <w:rsid w:val="005B59A7"/>
    <w:rsid w:val="005B5C03"/>
    <w:rsid w:val="005B5E67"/>
    <w:rsid w:val="005B6731"/>
    <w:rsid w:val="005B72F0"/>
    <w:rsid w:val="005B7341"/>
    <w:rsid w:val="005B7973"/>
    <w:rsid w:val="005C01FD"/>
    <w:rsid w:val="005C11B7"/>
    <w:rsid w:val="005C1F3E"/>
    <w:rsid w:val="005C260A"/>
    <w:rsid w:val="005C350E"/>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91E"/>
    <w:rsid w:val="005E3AAC"/>
    <w:rsid w:val="005E3ED4"/>
    <w:rsid w:val="005E3F54"/>
    <w:rsid w:val="005E4889"/>
    <w:rsid w:val="005E4C8A"/>
    <w:rsid w:val="005E4FF6"/>
    <w:rsid w:val="005E5745"/>
    <w:rsid w:val="005E583B"/>
    <w:rsid w:val="005E624E"/>
    <w:rsid w:val="005E6FAD"/>
    <w:rsid w:val="005E7B89"/>
    <w:rsid w:val="005F0106"/>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A4A"/>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CD9"/>
    <w:rsid w:val="00614127"/>
    <w:rsid w:val="00614442"/>
    <w:rsid w:val="00614A4E"/>
    <w:rsid w:val="00615178"/>
    <w:rsid w:val="006159F3"/>
    <w:rsid w:val="00615BDA"/>
    <w:rsid w:val="00615CB4"/>
    <w:rsid w:val="00616127"/>
    <w:rsid w:val="00616465"/>
    <w:rsid w:val="00616EE7"/>
    <w:rsid w:val="0061727E"/>
    <w:rsid w:val="00617308"/>
    <w:rsid w:val="006173F4"/>
    <w:rsid w:val="00617776"/>
    <w:rsid w:val="0061795C"/>
    <w:rsid w:val="0062009C"/>
    <w:rsid w:val="006202E5"/>
    <w:rsid w:val="006207C8"/>
    <w:rsid w:val="006208C7"/>
    <w:rsid w:val="006213F6"/>
    <w:rsid w:val="00623DC5"/>
    <w:rsid w:val="006250B7"/>
    <w:rsid w:val="006257CD"/>
    <w:rsid w:val="006259A9"/>
    <w:rsid w:val="006259E7"/>
    <w:rsid w:val="00626500"/>
    <w:rsid w:val="00626859"/>
    <w:rsid w:val="00626A58"/>
    <w:rsid w:val="00626F2B"/>
    <w:rsid w:val="00630AE7"/>
    <w:rsid w:val="00630D9B"/>
    <w:rsid w:val="00631E52"/>
    <w:rsid w:val="0063254F"/>
    <w:rsid w:val="00632B69"/>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4A"/>
    <w:rsid w:val="00642351"/>
    <w:rsid w:val="00642574"/>
    <w:rsid w:val="00642662"/>
    <w:rsid w:val="00643120"/>
    <w:rsid w:val="006436FD"/>
    <w:rsid w:val="00643F0C"/>
    <w:rsid w:val="0064430F"/>
    <w:rsid w:val="006444EF"/>
    <w:rsid w:val="00644744"/>
    <w:rsid w:val="00644FC7"/>
    <w:rsid w:val="006453F7"/>
    <w:rsid w:val="0064562E"/>
    <w:rsid w:val="0064569F"/>
    <w:rsid w:val="00645CB6"/>
    <w:rsid w:val="00646123"/>
    <w:rsid w:val="00646214"/>
    <w:rsid w:val="00646269"/>
    <w:rsid w:val="00646678"/>
    <w:rsid w:val="00646732"/>
    <w:rsid w:val="006468F2"/>
    <w:rsid w:val="00646BE6"/>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BDC"/>
    <w:rsid w:val="00673C6F"/>
    <w:rsid w:val="0067410F"/>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E40"/>
    <w:rsid w:val="0068345F"/>
    <w:rsid w:val="00684282"/>
    <w:rsid w:val="006847D2"/>
    <w:rsid w:val="00685091"/>
    <w:rsid w:val="0068512F"/>
    <w:rsid w:val="00685382"/>
    <w:rsid w:val="006857FE"/>
    <w:rsid w:val="00685C6C"/>
    <w:rsid w:val="00685ED9"/>
    <w:rsid w:val="006864BB"/>
    <w:rsid w:val="006865E6"/>
    <w:rsid w:val="006865F0"/>
    <w:rsid w:val="0068705B"/>
    <w:rsid w:val="00687061"/>
    <w:rsid w:val="006878F1"/>
    <w:rsid w:val="00687C00"/>
    <w:rsid w:val="00690015"/>
    <w:rsid w:val="00690298"/>
    <w:rsid w:val="00690FDF"/>
    <w:rsid w:val="006919B6"/>
    <w:rsid w:val="00691AEF"/>
    <w:rsid w:val="00691C2C"/>
    <w:rsid w:val="00691E72"/>
    <w:rsid w:val="00692EA9"/>
    <w:rsid w:val="006937FE"/>
    <w:rsid w:val="006939E3"/>
    <w:rsid w:val="00693F4C"/>
    <w:rsid w:val="006944F9"/>
    <w:rsid w:val="006948E2"/>
    <w:rsid w:val="00694CD5"/>
    <w:rsid w:val="00694DA2"/>
    <w:rsid w:val="00694E7B"/>
    <w:rsid w:val="00695054"/>
    <w:rsid w:val="006953E2"/>
    <w:rsid w:val="006955C2"/>
    <w:rsid w:val="0069578B"/>
    <w:rsid w:val="00695915"/>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E7"/>
    <w:rsid w:val="006A2401"/>
    <w:rsid w:val="006A282A"/>
    <w:rsid w:val="006A2CED"/>
    <w:rsid w:val="006A3A04"/>
    <w:rsid w:val="006A3AC4"/>
    <w:rsid w:val="006A400A"/>
    <w:rsid w:val="006A412F"/>
    <w:rsid w:val="006A46CB"/>
    <w:rsid w:val="006A4860"/>
    <w:rsid w:val="006A4D1D"/>
    <w:rsid w:val="006A539F"/>
    <w:rsid w:val="006A5A39"/>
    <w:rsid w:val="006A5A81"/>
    <w:rsid w:val="006A6BE2"/>
    <w:rsid w:val="006A7856"/>
    <w:rsid w:val="006A794E"/>
    <w:rsid w:val="006A79A1"/>
    <w:rsid w:val="006A7F49"/>
    <w:rsid w:val="006B014C"/>
    <w:rsid w:val="006B0559"/>
    <w:rsid w:val="006B06B5"/>
    <w:rsid w:val="006B11C2"/>
    <w:rsid w:val="006B11FD"/>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908"/>
    <w:rsid w:val="006C2CE2"/>
    <w:rsid w:val="006C3598"/>
    <w:rsid w:val="006C375C"/>
    <w:rsid w:val="006C375E"/>
    <w:rsid w:val="006C3D70"/>
    <w:rsid w:val="006C3DE2"/>
    <w:rsid w:val="006C3F98"/>
    <w:rsid w:val="006C496E"/>
    <w:rsid w:val="006C60B0"/>
    <w:rsid w:val="006C6580"/>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FF"/>
    <w:rsid w:val="006D4F4D"/>
    <w:rsid w:val="006D5FA3"/>
    <w:rsid w:val="006D64A0"/>
    <w:rsid w:val="006D6625"/>
    <w:rsid w:val="006D68AB"/>
    <w:rsid w:val="006D69DD"/>
    <w:rsid w:val="006D6D94"/>
    <w:rsid w:val="006D6F71"/>
    <w:rsid w:val="006D6FD8"/>
    <w:rsid w:val="006D7458"/>
    <w:rsid w:val="006D76ED"/>
    <w:rsid w:val="006E02B3"/>
    <w:rsid w:val="006E0B43"/>
    <w:rsid w:val="006E0FD9"/>
    <w:rsid w:val="006E10FC"/>
    <w:rsid w:val="006E1872"/>
    <w:rsid w:val="006E279A"/>
    <w:rsid w:val="006E324D"/>
    <w:rsid w:val="006E33EF"/>
    <w:rsid w:val="006E3CED"/>
    <w:rsid w:val="006E3E0F"/>
    <w:rsid w:val="006E43BB"/>
    <w:rsid w:val="006E4700"/>
    <w:rsid w:val="006E4AD6"/>
    <w:rsid w:val="006E601B"/>
    <w:rsid w:val="006E642D"/>
    <w:rsid w:val="006E65BD"/>
    <w:rsid w:val="006E67BF"/>
    <w:rsid w:val="006E6DD7"/>
    <w:rsid w:val="006E76F0"/>
    <w:rsid w:val="006E7991"/>
    <w:rsid w:val="006F008F"/>
    <w:rsid w:val="006F02C5"/>
    <w:rsid w:val="006F0B89"/>
    <w:rsid w:val="006F1123"/>
    <w:rsid w:val="006F113B"/>
    <w:rsid w:val="006F1C4A"/>
    <w:rsid w:val="006F243B"/>
    <w:rsid w:val="006F24E0"/>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60"/>
    <w:rsid w:val="006F76AA"/>
    <w:rsid w:val="006F7766"/>
    <w:rsid w:val="006F7773"/>
    <w:rsid w:val="006F7CCE"/>
    <w:rsid w:val="00700630"/>
    <w:rsid w:val="0070098F"/>
    <w:rsid w:val="00700BF6"/>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DA5"/>
    <w:rsid w:val="0071294D"/>
    <w:rsid w:val="00712B28"/>
    <w:rsid w:val="00713381"/>
    <w:rsid w:val="0071366F"/>
    <w:rsid w:val="00713C05"/>
    <w:rsid w:val="00713FC9"/>
    <w:rsid w:val="00714449"/>
    <w:rsid w:val="00715773"/>
    <w:rsid w:val="00715D93"/>
    <w:rsid w:val="00715E2A"/>
    <w:rsid w:val="0071611B"/>
    <w:rsid w:val="00716154"/>
    <w:rsid w:val="00716830"/>
    <w:rsid w:val="00716969"/>
    <w:rsid w:val="00717315"/>
    <w:rsid w:val="0071749C"/>
    <w:rsid w:val="00717895"/>
    <w:rsid w:val="00717A77"/>
    <w:rsid w:val="00717A94"/>
    <w:rsid w:val="00717CA5"/>
    <w:rsid w:val="00717FFC"/>
    <w:rsid w:val="0072031B"/>
    <w:rsid w:val="007203ED"/>
    <w:rsid w:val="007203FC"/>
    <w:rsid w:val="00721059"/>
    <w:rsid w:val="00721CDC"/>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4C"/>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D3F"/>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6B3"/>
    <w:rsid w:val="00742701"/>
    <w:rsid w:val="00742BCA"/>
    <w:rsid w:val="00742C07"/>
    <w:rsid w:val="00743829"/>
    <w:rsid w:val="00743A49"/>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2917"/>
    <w:rsid w:val="0075307F"/>
    <w:rsid w:val="00753518"/>
    <w:rsid w:val="00753799"/>
    <w:rsid w:val="007538AE"/>
    <w:rsid w:val="007538C1"/>
    <w:rsid w:val="00753912"/>
    <w:rsid w:val="0075434C"/>
    <w:rsid w:val="007550BF"/>
    <w:rsid w:val="00755245"/>
    <w:rsid w:val="007557A0"/>
    <w:rsid w:val="0075657B"/>
    <w:rsid w:val="0075687F"/>
    <w:rsid w:val="00756941"/>
    <w:rsid w:val="00756DC7"/>
    <w:rsid w:val="0075716A"/>
    <w:rsid w:val="007600DE"/>
    <w:rsid w:val="0076087C"/>
    <w:rsid w:val="00761151"/>
    <w:rsid w:val="007612EC"/>
    <w:rsid w:val="00761862"/>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894"/>
    <w:rsid w:val="007800EE"/>
    <w:rsid w:val="00780A30"/>
    <w:rsid w:val="00780C33"/>
    <w:rsid w:val="007813FC"/>
    <w:rsid w:val="00781ED7"/>
    <w:rsid w:val="007820D4"/>
    <w:rsid w:val="007828F2"/>
    <w:rsid w:val="00782DFE"/>
    <w:rsid w:val="00782F90"/>
    <w:rsid w:val="007831C7"/>
    <w:rsid w:val="00784C44"/>
    <w:rsid w:val="00785136"/>
    <w:rsid w:val="007857C4"/>
    <w:rsid w:val="007858DE"/>
    <w:rsid w:val="00786C5C"/>
    <w:rsid w:val="007879FA"/>
    <w:rsid w:val="00787C53"/>
    <w:rsid w:val="00790824"/>
    <w:rsid w:val="00790AC8"/>
    <w:rsid w:val="00790D73"/>
    <w:rsid w:val="00791BD7"/>
    <w:rsid w:val="00791C1C"/>
    <w:rsid w:val="007921AF"/>
    <w:rsid w:val="007923A4"/>
    <w:rsid w:val="0079258F"/>
    <w:rsid w:val="00792B0B"/>
    <w:rsid w:val="00792FE1"/>
    <w:rsid w:val="00793199"/>
    <w:rsid w:val="007931B2"/>
    <w:rsid w:val="00793545"/>
    <w:rsid w:val="00793EE2"/>
    <w:rsid w:val="00794264"/>
    <w:rsid w:val="00794942"/>
    <w:rsid w:val="00794A23"/>
    <w:rsid w:val="00794FE4"/>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BA1"/>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BB0"/>
    <w:rsid w:val="007C2D3A"/>
    <w:rsid w:val="007C2EEC"/>
    <w:rsid w:val="007C38A9"/>
    <w:rsid w:val="007C41C5"/>
    <w:rsid w:val="007C6054"/>
    <w:rsid w:val="007C6196"/>
    <w:rsid w:val="007C6F32"/>
    <w:rsid w:val="007C7311"/>
    <w:rsid w:val="007C73CE"/>
    <w:rsid w:val="007C780B"/>
    <w:rsid w:val="007C7942"/>
    <w:rsid w:val="007C7B44"/>
    <w:rsid w:val="007D0B43"/>
    <w:rsid w:val="007D1058"/>
    <w:rsid w:val="007D14DA"/>
    <w:rsid w:val="007D2252"/>
    <w:rsid w:val="007D281C"/>
    <w:rsid w:val="007D2A8B"/>
    <w:rsid w:val="007D2B3D"/>
    <w:rsid w:val="007D31F8"/>
    <w:rsid w:val="007D32F7"/>
    <w:rsid w:val="007D3458"/>
    <w:rsid w:val="007D3794"/>
    <w:rsid w:val="007D380C"/>
    <w:rsid w:val="007D3852"/>
    <w:rsid w:val="007D3929"/>
    <w:rsid w:val="007D3C26"/>
    <w:rsid w:val="007D4574"/>
    <w:rsid w:val="007D463A"/>
    <w:rsid w:val="007D4C47"/>
    <w:rsid w:val="007D4E67"/>
    <w:rsid w:val="007D4F32"/>
    <w:rsid w:val="007D5264"/>
    <w:rsid w:val="007D5385"/>
    <w:rsid w:val="007D5389"/>
    <w:rsid w:val="007D5E53"/>
    <w:rsid w:val="007D61E7"/>
    <w:rsid w:val="007D61F4"/>
    <w:rsid w:val="007D6FFD"/>
    <w:rsid w:val="007D7D2F"/>
    <w:rsid w:val="007E093A"/>
    <w:rsid w:val="007E0AC3"/>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91"/>
    <w:rsid w:val="007F0DCC"/>
    <w:rsid w:val="007F16A2"/>
    <w:rsid w:val="007F2225"/>
    <w:rsid w:val="007F34FD"/>
    <w:rsid w:val="007F3E98"/>
    <w:rsid w:val="007F44F6"/>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0EA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2E51"/>
    <w:rsid w:val="0081364A"/>
    <w:rsid w:val="00813805"/>
    <w:rsid w:val="00813914"/>
    <w:rsid w:val="00813FC6"/>
    <w:rsid w:val="008140FC"/>
    <w:rsid w:val="00814C5D"/>
    <w:rsid w:val="00815420"/>
    <w:rsid w:val="0081669C"/>
    <w:rsid w:val="008203D7"/>
    <w:rsid w:val="008209F6"/>
    <w:rsid w:val="00820A60"/>
    <w:rsid w:val="00820B67"/>
    <w:rsid w:val="00820BB5"/>
    <w:rsid w:val="00820F0A"/>
    <w:rsid w:val="00821B1D"/>
    <w:rsid w:val="00821CFD"/>
    <w:rsid w:val="0082259F"/>
    <w:rsid w:val="00823DF2"/>
    <w:rsid w:val="00823E12"/>
    <w:rsid w:val="00824694"/>
    <w:rsid w:val="00824A62"/>
    <w:rsid w:val="00824E80"/>
    <w:rsid w:val="008254F2"/>
    <w:rsid w:val="008258D5"/>
    <w:rsid w:val="00825C19"/>
    <w:rsid w:val="00825DF9"/>
    <w:rsid w:val="00826319"/>
    <w:rsid w:val="00826337"/>
    <w:rsid w:val="00826917"/>
    <w:rsid w:val="00827964"/>
    <w:rsid w:val="00827ED9"/>
    <w:rsid w:val="00830130"/>
    <w:rsid w:val="00830146"/>
    <w:rsid w:val="008303EA"/>
    <w:rsid w:val="00830D44"/>
    <w:rsid w:val="00831C20"/>
    <w:rsid w:val="00832195"/>
    <w:rsid w:val="008325BC"/>
    <w:rsid w:val="00832CF7"/>
    <w:rsid w:val="00832F73"/>
    <w:rsid w:val="00832F89"/>
    <w:rsid w:val="0083300E"/>
    <w:rsid w:val="00833690"/>
    <w:rsid w:val="00833CBB"/>
    <w:rsid w:val="00833CE1"/>
    <w:rsid w:val="00833D40"/>
    <w:rsid w:val="008340DB"/>
    <w:rsid w:val="008346E0"/>
    <w:rsid w:val="00835AD7"/>
    <w:rsid w:val="00835CE6"/>
    <w:rsid w:val="00836329"/>
    <w:rsid w:val="008363CF"/>
    <w:rsid w:val="00837224"/>
    <w:rsid w:val="00837D1D"/>
    <w:rsid w:val="00840353"/>
    <w:rsid w:val="008406C8"/>
    <w:rsid w:val="008409C6"/>
    <w:rsid w:val="00840B76"/>
    <w:rsid w:val="00841221"/>
    <w:rsid w:val="00841659"/>
    <w:rsid w:val="008422AD"/>
    <w:rsid w:val="00842CFD"/>
    <w:rsid w:val="008430BB"/>
    <w:rsid w:val="0084457D"/>
    <w:rsid w:val="00844718"/>
    <w:rsid w:val="00845B6D"/>
    <w:rsid w:val="0084605E"/>
    <w:rsid w:val="008465DD"/>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C68"/>
    <w:rsid w:val="00861E8B"/>
    <w:rsid w:val="008628A2"/>
    <w:rsid w:val="00863391"/>
    <w:rsid w:val="00863904"/>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B1"/>
    <w:rsid w:val="008744B9"/>
    <w:rsid w:val="00874BB3"/>
    <w:rsid w:val="00874C97"/>
    <w:rsid w:val="008756AB"/>
    <w:rsid w:val="008756AD"/>
    <w:rsid w:val="00876029"/>
    <w:rsid w:val="0087637C"/>
    <w:rsid w:val="00876E45"/>
    <w:rsid w:val="00877953"/>
    <w:rsid w:val="008779BD"/>
    <w:rsid w:val="00880461"/>
    <w:rsid w:val="008807D4"/>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3F38"/>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0D9"/>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EF5"/>
    <w:rsid w:val="008A154D"/>
    <w:rsid w:val="008A199D"/>
    <w:rsid w:val="008A1D94"/>
    <w:rsid w:val="008A22DA"/>
    <w:rsid w:val="008A2773"/>
    <w:rsid w:val="008A2EEB"/>
    <w:rsid w:val="008A3655"/>
    <w:rsid w:val="008A37AA"/>
    <w:rsid w:val="008A3AFB"/>
    <w:rsid w:val="008A3D16"/>
    <w:rsid w:val="008A4DE7"/>
    <w:rsid w:val="008A5B1E"/>
    <w:rsid w:val="008A5BC5"/>
    <w:rsid w:val="008A5F1D"/>
    <w:rsid w:val="008A5FC0"/>
    <w:rsid w:val="008A6011"/>
    <w:rsid w:val="008A63AF"/>
    <w:rsid w:val="008A6509"/>
    <w:rsid w:val="008A6A1C"/>
    <w:rsid w:val="008A6BFB"/>
    <w:rsid w:val="008A773F"/>
    <w:rsid w:val="008A79E7"/>
    <w:rsid w:val="008B11B9"/>
    <w:rsid w:val="008B1273"/>
    <w:rsid w:val="008B1404"/>
    <w:rsid w:val="008B145A"/>
    <w:rsid w:val="008B1DA3"/>
    <w:rsid w:val="008B20A6"/>
    <w:rsid w:val="008B2271"/>
    <w:rsid w:val="008B38FC"/>
    <w:rsid w:val="008B4C53"/>
    <w:rsid w:val="008B4CB0"/>
    <w:rsid w:val="008B50A1"/>
    <w:rsid w:val="008B5114"/>
    <w:rsid w:val="008B5A06"/>
    <w:rsid w:val="008B60B4"/>
    <w:rsid w:val="008B64CB"/>
    <w:rsid w:val="008B6D48"/>
    <w:rsid w:val="008B6F53"/>
    <w:rsid w:val="008B6FCC"/>
    <w:rsid w:val="008B7170"/>
    <w:rsid w:val="008B7446"/>
    <w:rsid w:val="008C12E9"/>
    <w:rsid w:val="008C180D"/>
    <w:rsid w:val="008C1B42"/>
    <w:rsid w:val="008C1E87"/>
    <w:rsid w:val="008C22CF"/>
    <w:rsid w:val="008C26FF"/>
    <w:rsid w:val="008C3270"/>
    <w:rsid w:val="008C3412"/>
    <w:rsid w:val="008C3474"/>
    <w:rsid w:val="008C4417"/>
    <w:rsid w:val="008C55BB"/>
    <w:rsid w:val="008C5E97"/>
    <w:rsid w:val="008C6450"/>
    <w:rsid w:val="008C74D6"/>
    <w:rsid w:val="008C75CB"/>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2F5"/>
    <w:rsid w:val="008D7ACA"/>
    <w:rsid w:val="008D7B3C"/>
    <w:rsid w:val="008E02A6"/>
    <w:rsid w:val="008E0971"/>
    <w:rsid w:val="008E0A1B"/>
    <w:rsid w:val="008E1870"/>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E8D"/>
    <w:rsid w:val="008F722C"/>
    <w:rsid w:val="00900833"/>
    <w:rsid w:val="00900DDD"/>
    <w:rsid w:val="00901128"/>
    <w:rsid w:val="009017AC"/>
    <w:rsid w:val="00901B6D"/>
    <w:rsid w:val="00901CE4"/>
    <w:rsid w:val="00902034"/>
    <w:rsid w:val="00902114"/>
    <w:rsid w:val="009022D9"/>
    <w:rsid w:val="009024AC"/>
    <w:rsid w:val="00902693"/>
    <w:rsid w:val="00902863"/>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8FE"/>
    <w:rsid w:val="00910A8D"/>
    <w:rsid w:val="00910B96"/>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0E91"/>
    <w:rsid w:val="00921295"/>
    <w:rsid w:val="00921DF4"/>
    <w:rsid w:val="0092259E"/>
    <w:rsid w:val="00923060"/>
    <w:rsid w:val="00923273"/>
    <w:rsid w:val="009242F4"/>
    <w:rsid w:val="00924B58"/>
    <w:rsid w:val="00924F2C"/>
    <w:rsid w:val="0092575E"/>
    <w:rsid w:val="0092580A"/>
    <w:rsid w:val="00925DA5"/>
    <w:rsid w:val="00925FF4"/>
    <w:rsid w:val="009264FB"/>
    <w:rsid w:val="00927320"/>
    <w:rsid w:val="0092770A"/>
    <w:rsid w:val="00927AA0"/>
    <w:rsid w:val="00930303"/>
    <w:rsid w:val="00931041"/>
    <w:rsid w:val="00931D6C"/>
    <w:rsid w:val="009325E3"/>
    <w:rsid w:val="00932A19"/>
    <w:rsid w:val="0093314B"/>
    <w:rsid w:val="00933D66"/>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D61"/>
    <w:rsid w:val="00945541"/>
    <w:rsid w:val="00946A46"/>
    <w:rsid w:val="00946AAC"/>
    <w:rsid w:val="00946F46"/>
    <w:rsid w:val="00947110"/>
    <w:rsid w:val="00947726"/>
    <w:rsid w:val="00947C91"/>
    <w:rsid w:val="00950420"/>
    <w:rsid w:val="00950682"/>
    <w:rsid w:val="00950C04"/>
    <w:rsid w:val="00950E3A"/>
    <w:rsid w:val="00950FE4"/>
    <w:rsid w:val="009513A2"/>
    <w:rsid w:val="009520F6"/>
    <w:rsid w:val="00952C84"/>
    <w:rsid w:val="00952D0F"/>
    <w:rsid w:val="00953021"/>
    <w:rsid w:val="009532DD"/>
    <w:rsid w:val="009547EF"/>
    <w:rsid w:val="00954BA3"/>
    <w:rsid w:val="009555D3"/>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67E8"/>
    <w:rsid w:val="00966A63"/>
    <w:rsid w:val="009677CB"/>
    <w:rsid w:val="00970369"/>
    <w:rsid w:val="00970A67"/>
    <w:rsid w:val="00970F37"/>
    <w:rsid w:val="00971084"/>
    <w:rsid w:val="00971A16"/>
    <w:rsid w:val="00971BDA"/>
    <w:rsid w:val="00972169"/>
    <w:rsid w:val="009724CF"/>
    <w:rsid w:val="00972EDB"/>
    <w:rsid w:val="00972F08"/>
    <w:rsid w:val="00973C47"/>
    <w:rsid w:val="00973F4A"/>
    <w:rsid w:val="00974228"/>
    <w:rsid w:val="00974580"/>
    <w:rsid w:val="00974C34"/>
    <w:rsid w:val="0097503C"/>
    <w:rsid w:val="009751B8"/>
    <w:rsid w:val="00976592"/>
    <w:rsid w:val="00976712"/>
    <w:rsid w:val="00976D18"/>
    <w:rsid w:val="00976FD1"/>
    <w:rsid w:val="0097734A"/>
    <w:rsid w:val="009776B0"/>
    <w:rsid w:val="0097788E"/>
    <w:rsid w:val="00977EE2"/>
    <w:rsid w:val="009801E0"/>
    <w:rsid w:val="0098024E"/>
    <w:rsid w:val="0098041A"/>
    <w:rsid w:val="00980748"/>
    <w:rsid w:val="00980C19"/>
    <w:rsid w:val="00980CA4"/>
    <w:rsid w:val="009818BA"/>
    <w:rsid w:val="009819A6"/>
    <w:rsid w:val="00981D50"/>
    <w:rsid w:val="00981DDD"/>
    <w:rsid w:val="0098210F"/>
    <w:rsid w:val="00982783"/>
    <w:rsid w:val="00984A23"/>
    <w:rsid w:val="00984BDB"/>
    <w:rsid w:val="00984F14"/>
    <w:rsid w:val="009853DC"/>
    <w:rsid w:val="00985A8A"/>
    <w:rsid w:val="00985E05"/>
    <w:rsid w:val="00985ECE"/>
    <w:rsid w:val="0098601F"/>
    <w:rsid w:val="00986569"/>
    <w:rsid w:val="00986CB5"/>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B21"/>
    <w:rsid w:val="00994C56"/>
    <w:rsid w:val="00995382"/>
    <w:rsid w:val="00995536"/>
    <w:rsid w:val="009959ED"/>
    <w:rsid w:val="00995AD5"/>
    <w:rsid w:val="009962C7"/>
    <w:rsid w:val="009963F6"/>
    <w:rsid w:val="00996D45"/>
    <w:rsid w:val="00997120"/>
    <w:rsid w:val="00997171"/>
    <w:rsid w:val="0099746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138"/>
    <w:rsid w:val="009B6219"/>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058"/>
    <w:rsid w:val="009C66DD"/>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8EC"/>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EE1"/>
    <w:rsid w:val="00A050C9"/>
    <w:rsid w:val="00A05835"/>
    <w:rsid w:val="00A05E57"/>
    <w:rsid w:val="00A05EC6"/>
    <w:rsid w:val="00A0689A"/>
    <w:rsid w:val="00A06C12"/>
    <w:rsid w:val="00A071D6"/>
    <w:rsid w:val="00A1020D"/>
    <w:rsid w:val="00A10F8D"/>
    <w:rsid w:val="00A113A5"/>
    <w:rsid w:val="00A11F1C"/>
    <w:rsid w:val="00A12288"/>
    <w:rsid w:val="00A13071"/>
    <w:rsid w:val="00A13474"/>
    <w:rsid w:val="00A138AD"/>
    <w:rsid w:val="00A138F0"/>
    <w:rsid w:val="00A14904"/>
    <w:rsid w:val="00A14DF2"/>
    <w:rsid w:val="00A14ECC"/>
    <w:rsid w:val="00A1571F"/>
    <w:rsid w:val="00A16E5D"/>
    <w:rsid w:val="00A16FD3"/>
    <w:rsid w:val="00A17024"/>
    <w:rsid w:val="00A17567"/>
    <w:rsid w:val="00A20280"/>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A52"/>
    <w:rsid w:val="00A45E97"/>
    <w:rsid w:val="00A46385"/>
    <w:rsid w:val="00A46A76"/>
    <w:rsid w:val="00A46B49"/>
    <w:rsid w:val="00A46C84"/>
    <w:rsid w:val="00A46DCA"/>
    <w:rsid w:val="00A46EBC"/>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0ED"/>
    <w:rsid w:val="00A6044B"/>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7520"/>
    <w:rsid w:val="00A6774B"/>
    <w:rsid w:val="00A67A70"/>
    <w:rsid w:val="00A67FDE"/>
    <w:rsid w:val="00A70045"/>
    <w:rsid w:val="00A709DD"/>
    <w:rsid w:val="00A7161A"/>
    <w:rsid w:val="00A72107"/>
    <w:rsid w:val="00A72154"/>
    <w:rsid w:val="00A721EF"/>
    <w:rsid w:val="00A7310D"/>
    <w:rsid w:val="00A731E4"/>
    <w:rsid w:val="00A7369C"/>
    <w:rsid w:val="00A73A7C"/>
    <w:rsid w:val="00A73A8C"/>
    <w:rsid w:val="00A74533"/>
    <w:rsid w:val="00A745A0"/>
    <w:rsid w:val="00A749F7"/>
    <w:rsid w:val="00A75169"/>
    <w:rsid w:val="00A752F6"/>
    <w:rsid w:val="00A76099"/>
    <w:rsid w:val="00A76379"/>
    <w:rsid w:val="00A76B0A"/>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5199"/>
    <w:rsid w:val="00A951AA"/>
    <w:rsid w:val="00A95F3F"/>
    <w:rsid w:val="00A96107"/>
    <w:rsid w:val="00A968B6"/>
    <w:rsid w:val="00A96B48"/>
    <w:rsid w:val="00A97FBB"/>
    <w:rsid w:val="00AA00C8"/>
    <w:rsid w:val="00AA0A8C"/>
    <w:rsid w:val="00AA0D31"/>
    <w:rsid w:val="00AA0D91"/>
    <w:rsid w:val="00AA0EB3"/>
    <w:rsid w:val="00AA10F7"/>
    <w:rsid w:val="00AA14D0"/>
    <w:rsid w:val="00AA162B"/>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B7FAF"/>
    <w:rsid w:val="00AC00F9"/>
    <w:rsid w:val="00AC02CD"/>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A3C"/>
    <w:rsid w:val="00AC7C46"/>
    <w:rsid w:val="00AD028B"/>
    <w:rsid w:val="00AD04C3"/>
    <w:rsid w:val="00AD0549"/>
    <w:rsid w:val="00AD0BE3"/>
    <w:rsid w:val="00AD0BFB"/>
    <w:rsid w:val="00AD1040"/>
    <w:rsid w:val="00AD12B9"/>
    <w:rsid w:val="00AD1303"/>
    <w:rsid w:val="00AD14B0"/>
    <w:rsid w:val="00AD1A6F"/>
    <w:rsid w:val="00AD2686"/>
    <w:rsid w:val="00AD275A"/>
    <w:rsid w:val="00AD2A24"/>
    <w:rsid w:val="00AD36DD"/>
    <w:rsid w:val="00AD41E6"/>
    <w:rsid w:val="00AD4460"/>
    <w:rsid w:val="00AD46A9"/>
    <w:rsid w:val="00AD5349"/>
    <w:rsid w:val="00AD5431"/>
    <w:rsid w:val="00AD5901"/>
    <w:rsid w:val="00AD625B"/>
    <w:rsid w:val="00AD70F7"/>
    <w:rsid w:val="00AD75F5"/>
    <w:rsid w:val="00AD7F56"/>
    <w:rsid w:val="00AE06AF"/>
    <w:rsid w:val="00AE08E2"/>
    <w:rsid w:val="00AE096A"/>
    <w:rsid w:val="00AE103F"/>
    <w:rsid w:val="00AE166C"/>
    <w:rsid w:val="00AE189C"/>
    <w:rsid w:val="00AE2012"/>
    <w:rsid w:val="00AE271A"/>
    <w:rsid w:val="00AE2FF6"/>
    <w:rsid w:val="00AE3415"/>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169"/>
    <w:rsid w:val="00B02B55"/>
    <w:rsid w:val="00B03212"/>
    <w:rsid w:val="00B0340E"/>
    <w:rsid w:val="00B03F5F"/>
    <w:rsid w:val="00B040CA"/>
    <w:rsid w:val="00B04456"/>
    <w:rsid w:val="00B04BD8"/>
    <w:rsid w:val="00B04F10"/>
    <w:rsid w:val="00B04F9C"/>
    <w:rsid w:val="00B05A49"/>
    <w:rsid w:val="00B060E4"/>
    <w:rsid w:val="00B0704C"/>
    <w:rsid w:val="00B0781B"/>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753"/>
    <w:rsid w:val="00B2021B"/>
    <w:rsid w:val="00B20905"/>
    <w:rsid w:val="00B209A6"/>
    <w:rsid w:val="00B209C0"/>
    <w:rsid w:val="00B20AA2"/>
    <w:rsid w:val="00B20D90"/>
    <w:rsid w:val="00B20DDB"/>
    <w:rsid w:val="00B21444"/>
    <w:rsid w:val="00B21607"/>
    <w:rsid w:val="00B221C2"/>
    <w:rsid w:val="00B2244B"/>
    <w:rsid w:val="00B237F3"/>
    <w:rsid w:val="00B2382E"/>
    <w:rsid w:val="00B23B4A"/>
    <w:rsid w:val="00B23B9A"/>
    <w:rsid w:val="00B23D0B"/>
    <w:rsid w:val="00B23F8E"/>
    <w:rsid w:val="00B24454"/>
    <w:rsid w:val="00B24554"/>
    <w:rsid w:val="00B24ECC"/>
    <w:rsid w:val="00B25331"/>
    <w:rsid w:val="00B25780"/>
    <w:rsid w:val="00B2595E"/>
    <w:rsid w:val="00B25E22"/>
    <w:rsid w:val="00B26C64"/>
    <w:rsid w:val="00B26CD5"/>
    <w:rsid w:val="00B26E2F"/>
    <w:rsid w:val="00B2709B"/>
    <w:rsid w:val="00B27364"/>
    <w:rsid w:val="00B2736F"/>
    <w:rsid w:val="00B274F7"/>
    <w:rsid w:val="00B3078A"/>
    <w:rsid w:val="00B30D6B"/>
    <w:rsid w:val="00B30F0A"/>
    <w:rsid w:val="00B31E45"/>
    <w:rsid w:val="00B3333E"/>
    <w:rsid w:val="00B3421A"/>
    <w:rsid w:val="00B342DD"/>
    <w:rsid w:val="00B342FF"/>
    <w:rsid w:val="00B344D8"/>
    <w:rsid w:val="00B3537F"/>
    <w:rsid w:val="00B35659"/>
    <w:rsid w:val="00B35B55"/>
    <w:rsid w:val="00B35CE0"/>
    <w:rsid w:val="00B35D0E"/>
    <w:rsid w:val="00B35E8A"/>
    <w:rsid w:val="00B36272"/>
    <w:rsid w:val="00B363B1"/>
    <w:rsid w:val="00B365D7"/>
    <w:rsid w:val="00B365EB"/>
    <w:rsid w:val="00B3709A"/>
    <w:rsid w:val="00B3737C"/>
    <w:rsid w:val="00B37425"/>
    <w:rsid w:val="00B3763E"/>
    <w:rsid w:val="00B3784B"/>
    <w:rsid w:val="00B37850"/>
    <w:rsid w:val="00B378AC"/>
    <w:rsid w:val="00B37D62"/>
    <w:rsid w:val="00B401C2"/>
    <w:rsid w:val="00B403A5"/>
    <w:rsid w:val="00B40696"/>
    <w:rsid w:val="00B40E9B"/>
    <w:rsid w:val="00B415F0"/>
    <w:rsid w:val="00B418C4"/>
    <w:rsid w:val="00B418CB"/>
    <w:rsid w:val="00B41A06"/>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4C"/>
    <w:rsid w:val="00B52BD8"/>
    <w:rsid w:val="00B52F6D"/>
    <w:rsid w:val="00B5363D"/>
    <w:rsid w:val="00B538A6"/>
    <w:rsid w:val="00B538FD"/>
    <w:rsid w:val="00B53974"/>
    <w:rsid w:val="00B542AF"/>
    <w:rsid w:val="00B54FCF"/>
    <w:rsid w:val="00B5566A"/>
    <w:rsid w:val="00B5572D"/>
    <w:rsid w:val="00B55987"/>
    <w:rsid w:val="00B55C21"/>
    <w:rsid w:val="00B55DB6"/>
    <w:rsid w:val="00B55F29"/>
    <w:rsid w:val="00B56538"/>
    <w:rsid w:val="00B56C8B"/>
    <w:rsid w:val="00B56DCC"/>
    <w:rsid w:val="00B56F8D"/>
    <w:rsid w:val="00B571AC"/>
    <w:rsid w:val="00B576CB"/>
    <w:rsid w:val="00B57A36"/>
    <w:rsid w:val="00B60408"/>
    <w:rsid w:val="00B6062E"/>
    <w:rsid w:val="00B629D8"/>
    <w:rsid w:val="00B63899"/>
    <w:rsid w:val="00B638B8"/>
    <w:rsid w:val="00B63CD4"/>
    <w:rsid w:val="00B645E0"/>
    <w:rsid w:val="00B64BB2"/>
    <w:rsid w:val="00B64CB6"/>
    <w:rsid w:val="00B65346"/>
    <w:rsid w:val="00B66447"/>
    <w:rsid w:val="00B664DB"/>
    <w:rsid w:val="00B66AA2"/>
    <w:rsid w:val="00B67CEC"/>
    <w:rsid w:val="00B705C2"/>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5C"/>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059"/>
    <w:rsid w:val="00B84379"/>
    <w:rsid w:val="00B8473B"/>
    <w:rsid w:val="00B85D1D"/>
    <w:rsid w:val="00B86326"/>
    <w:rsid w:val="00B86377"/>
    <w:rsid w:val="00B8729A"/>
    <w:rsid w:val="00B87408"/>
    <w:rsid w:val="00B87713"/>
    <w:rsid w:val="00B87AE1"/>
    <w:rsid w:val="00B87F02"/>
    <w:rsid w:val="00B904B5"/>
    <w:rsid w:val="00B914BC"/>
    <w:rsid w:val="00B91E91"/>
    <w:rsid w:val="00B9273B"/>
    <w:rsid w:val="00B9287B"/>
    <w:rsid w:val="00B92887"/>
    <w:rsid w:val="00B92E77"/>
    <w:rsid w:val="00B93090"/>
    <w:rsid w:val="00B93FBD"/>
    <w:rsid w:val="00B94084"/>
    <w:rsid w:val="00B94946"/>
    <w:rsid w:val="00B949FA"/>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3CB4"/>
    <w:rsid w:val="00BA417E"/>
    <w:rsid w:val="00BA4C90"/>
    <w:rsid w:val="00BA5A5D"/>
    <w:rsid w:val="00BA5BAD"/>
    <w:rsid w:val="00BA6E5A"/>
    <w:rsid w:val="00BA7451"/>
    <w:rsid w:val="00BA7456"/>
    <w:rsid w:val="00BB051D"/>
    <w:rsid w:val="00BB0B6A"/>
    <w:rsid w:val="00BB0D4B"/>
    <w:rsid w:val="00BB1903"/>
    <w:rsid w:val="00BB2372"/>
    <w:rsid w:val="00BB2E37"/>
    <w:rsid w:val="00BB3600"/>
    <w:rsid w:val="00BB3B3F"/>
    <w:rsid w:val="00BB3DB6"/>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091B"/>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D0D"/>
    <w:rsid w:val="00BD5424"/>
    <w:rsid w:val="00BD59A4"/>
    <w:rsid w:val="00BD59C6"/>
    <w:rsid w:val="00BD5A15"/>
    <w:rsid w:val="00BD6321"/>
    <w:rsid w:val="00BD6772"/>
    <w:rsid w:val="00BD7598"/>
    <w:rsid w:val="00BD77F7"/>
    <w:rsid w:val="00BD781C"/>
    <w:rsid w:val="00BD7B27"/>
    <w:rsid w:val="00BD7CF3"/>
    <w:rsid w:val="00BE027B"/>
    <w:rsid w:val="00BE0714"/>
    <w:rsid w:val="00BE0B5D"/>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6107"/>
    <w:rsid w:val="00BF63C2"/>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743"/>
    <w:rsid w:val="00C05953"/>
    <w:rsid w:val="00C066DD"/>
    <w:rsid w:val="00C06D0E"/>
    <w:rsid w:val="00C071A9"/>
    <w:rsid w:val="00C073DD"/>
    <w:rsid w:val="00C07C10"/>
    <w:rsid w:val="00C07C6C"/>
    <w:rsid w:val="00C07DF1"/>
    <w:rsid w:val="00C07F7F"/>
    <w:rsid w:val="00C110A3"/>
    <w:rsid w:val="00C116A2"/>
    <w:rsid w:val="00C11A04"/>
    <w:rsid w:val="00C11A38"/>
    <w:rsid w:val="00C12ECB"/>
    <w:rsid w:val="00C1334F"/>
    <w:rsid w:val="00C1357F"/>
    <w:rsid w:val="00C13A80"/>
    <w:rsid w:val="00C1430A"/>
    <w:rsid w:val="00C14460"/>
    <w:rsid w:val="00C1492C"/>
    <w:rsid w:val="00C15307"/>
    <w:rsid w:val="00C1534E"/>
    <w:rsid w:val="00C1549A"/>
    <w:rsid w:val="00C155EF"/>
    <w:rsid w:val="00C158F4"/>
    <w:rsid w:val="00C15D17"/>
    <w:rsid w:val="00C161E6"/>
    <w:rsid w:val="00C16386"/>
    <w:rsid w:val="00C1651E"/>
    <w:rsid w:val="00C16836"/>
    <w:rsid w:val="00C16CE3"/>
    <w:rsid w:val="00C1783E"/>
    <w:rsid w:val="00C17890"/>
    <w:rsid w:val="00C17BFA"/>
    <w:rsid w:val="00C17FD8"/>
    <w:rsid w:val="00C21BC0"/>
    <w:rsid w:val="00C220C9"/>
    <w:rsid w:val="00C2293D"/>
    <w:rsid w:val="00C232DC"/>
    <w:rsid w:val="00C237D5"/>
    <w:rsid w:val="00C23968"/>
    <w:rsid w:val="00C24D7B"/>
    <w:rsid w:val="00C2576B"/>
    <w:rsid w:val="00C25833"/>
    <w:rsid w:val="00C26715"/>
    <w:rsid w:val="00C271FA"/>
    <w:rsid w:val="00C272B6"/>
    <w:rsid w:val="00C2752C"/>
    <w:rsid w:val="00C303EC"/>
    <w:rsid w:val="00C305D9"/>
    <w:rsid w:val="00C30634"/>
    <w:rsid w:val="00C30D3D"/>
    <w:rsid w:val="00C3138C"/>
    <w:rsid w:val="00C315CD"/>
    <w:rsid w:val="00C31814"/>
    <w:rsid w:val="00C31AB0"/>
    <w:rsid w:val="00C327DB"/>
    <w:rsid w:val="00C3403C"/>
    <w:rsid w:val="00C34766"/>
    <w:rsid w:val="00C34D53"/>
    <w:rsid w:val="00C3568C"/>
    <w:rsid w:val="00C35912"/>
    <w:rsid w:val="00C35C3A"/>
    <w:rsid w:val="00C35ECA"/>
    <w:rsid w:val="00C36104"/>
    <w:rsid w:val="00C3636E"/>
    <w:rsid w:val="00C36C47"/>
    <w:rsid w:val="00C36FE0"/>
    <w:rsid w:val="00C37416"/>
    <w:rsid w:val="00C37B73"/>
    <w:rsid w:val="00C40185"/>
    <w:rsid w:val="00C40F50"/>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0AE"/>
    <w:rsid w:val="00C5728A"/>
    <w:rsid w:val="00C573C2"/>
    <w:rsid w:val="00C57C06"/>
    <w:rsid w:val="00C6000C"/>
    <w:rsid w:val="00C603F8"/>
    <w:rsid w:val="00C6119C"/>
    <w:rsid w:val="00C616D3"/>
    <w:rsid w:val="00C6189B"/>
    <w:rsid w:val="00C6190B"/>
    <w:rsid w:val="00C61EE3"/>
    <w:rsid w:val="00C62ADF"/>
    <w:rsid w:val="00C62E99"/>
    <w:rsid w:val="00C632BE"/>
    <w:rsid w:val="00C635C6"/>
    <w:rsid w:val="00C635FD"/>
    <w:rsid w:val="00C63CF0"/>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C68"/>
    <w:rsid w:val="00C73D25"/>
    <w:rsid w:val="00C7483E"/>
    <w:rsid w:val="00C74990"/>
    <w:rsid w:val="00C74A5D"/>
    <w:rsid w:val="00C75565"/>
    <w:rsid w:val="00C7579F"/>
    <w:rsid w:val="00C7599B"/>
    <w:rsid w:val="00C75AD3"/>
    <w:rsid w:val="00C75D90"/>
    <w:rsid w:val="00C7659B"/>
    <w:rsid w:val="00C77839"/>
    <w:rsid w:val="00C779FF"/>
    <w:rsid w:val="00C805F0"/>
    <w:rsid w:val="00C80707"/>
    <w:rsid w:val="00C808E1"/>
    <w:rsid w:val="00C80B36"/>
    <w:rsid w:val="00C80B59"/>
    <w:rsid w:val="00C80B5E"/>
    <w:rsid w:val="00C81353"/>
    <w:rsid w:val="00C81455"/>
    <w:rsid w:val="00C8215D"/>
    <w:rsid w:val="00C82A01"/>
    <w:rsid w:val="00C82F78"/>
    <w:rsid w:val="00C83458"/>
    <w:rsid w:val="00C83A03"/>
    <w:rsid w:val="00C83F22"/>
    <w:rsid w:val="00C84C79"/>
    <w:rsid w:val="00C84DD4"/>
    <w:rsid w:val="00C84E9B"/>
    <w:rsid w:val="00C852FF"/>
    <w:rsid w:val="00C856AB"/>
    <w:rsid w:val="00C85B09"/>
    <w:rsid w:val="00C861EE"/>
    <w:rsid w:val="00C86A5F"/>
    <w:rsid w:val="00C870DC"/>
    <w:rsid w:val="00C875BB"/>
    <w:rsid w:val="00C87D14"/>
    <w:rsid w:val="00C90058"/>
    <w:rsid w:val="00C90475"/>
    <w:rsid w:val="00C9058C"/>
    <w:rsid w:val="00C92C55"/>
    <w:rsid w:val="00C92EB8"/>
    <w:rsid w:val="00C93860"/>
    <w:rsid w:val="00C939A3"/>
    <w:rsid w:val="00C93BCC"/>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A123F"/>
    <w:rsid w:val="00CA1259"/>
    <w:rsid w:val="00CA1660"/>
    <w:rsid w:val="00CA1BFB"/>
    <w:rsid w:val="00CA1DC6"/>
    <w:rsid w:val="00CA3276"/>
    <w:rsid w:val="00CA34DE"/>
    <w:rsid w:val="00CA3567"/>
    <w:rsid w:val="00CA3B91"/>
    <w:rsid w:val="00CA4606"/>
    <w:rsid w:val="00CA53EC"/>
    <w:rsid w:val="00CA5AE3"/>
    <w:rsid w:val="00CA5C2D"/>
    <w:rsid w:val="00CA6BB5"/>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4B23"/>
    <w:rsid w:val="00CB4CB5"/>
    <w:rsid w:val="00CB5180"/>
    <w:rsid w:val="00CB53CB"/>
    <w:rsid w:val="00CB5423"/>
    <w:rsid w:val="00CB550A"/>
    <w:rsid w:val="00CB5663"/>
    <w:rsid w:val="00CB62A8"/>
    <w:rsid w:val="00CB6420"/>
    <w:rsid w:val="00CB6DFF"/>
    <w:rsid w:val="00CB74E2"/>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0E48"/>
    <w:rsid w:val="00CD11B2"/>
    <w:rsid w:val="00CD123E"/>
    <w:rsid w:val="00CD12A7"/>
    <w:rsid w:val="00CD187C"/>
    <w:rsid w:val="00CD24E6"/>
    <w:rsid w:val="00CD362C"/>
    <w:rsid w:val="00CD39C8"/>
    <w:rsid w:val="00CD3E5A"/>
    <w:rsid w:val="00CD4452"/>
    <w:rsid w:val="00CD4E81"/>
    <w:rsid w:val="00CD563F"/>
    <w:rsid w:val="00CD5AB2"/>
    <w:rsid w:val="00CD69E8"/>
    <w:rsid w:val="00CD7491"/>
    <w:rsid w:val="00CD76B9"/>
    <w:rsid w:val="00CD7DFA"/>
    <w:rsid w:val="00CE002E"/>
    <w:rsid w:val="00CE0167"/>
    <w:rsid w:val="00CE020D"/>
    <w:rsid w:val="00CE039B"/>
    <w:rsid w:val="00CE05E9"/>
    <w:rsid w:val="00CE0844"/>
    <w:rsid w:val="00CE0CFD"/>
    <w:rsid w:val="00CE0F60"/>
    <w:rsid w:val="00CE1931"/>
    <w:rsid w:val="00CE1C4E"/>
    <w:rsid w:val="00CE1DF0"/>
    <w:rsid w:val="00CE1E0B"/>
    <w:rsid w:val="00CE24B9"/>
    <w:rsid w:val="00CE27B0"/>
    <w:rsid w:val="00CE2AEC"/>
    <w:rsid w:val="00CE2DE0"/>
    <w:rsid w:val="00CE2E14"/>
    <w:rsid w:val="00CE34EE"/>
    <w:rsid w:val="00CE374B"/>
    <w:rsid w:val="00CE38BB"/>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4C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267C"/>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217"/>
    <w:rsid w:val="00D264BE"/>
    <w:rsid w:val="00D267AA"/>
    <w:rsid w:val="00D268DD"/>
    <w:rsid w:val="00D2722D"/>
    <w:rsid w:val="00D2791B"/>
    <w:rsid w:val="00D27BFB"/>
    <w:rsid w:val="00D27DD5"/>
    <w:rsid w:val="00D27FCA"/>
    <w:rsid w:val="00D31453"/>
    <w:rsid w:val="00D31D7B"/>
    <w:rsid w:val="00D31F61"/>
    <w:rsid w:val="00D3227A"/>
    <w:rsid w:val="00D325B3"/>
    <w:rsid w:val="00D32ACB"/>
    <w:rsid w:val="00D33900"/>
    <w:rsid w:val="00D3391E"/>
    <w:rsid w:val="00D33B44"/>
    <w:rsid w:val="00D33FA6"/>
    <w:rsid w:val="00D33FB7"/>
    <w:rsid w:val="00D343F3"/>
    <w:rsid w:val="00D347F7"/>
    <w:rsid w:val="00D35126"/>
    <w:rsid w:val="00D354C8"/>
    <w:rsid w:val="00D35526"/>
    <w:rsid w:val="00D36E52"/>
    <w:rsid w:val="00D371F2"/>
    <w:rsid w:val="00D3723D"/>
    <w:rsid w:val="00D37282"/>
    <w:rsid w:val="00D3784D"/>
    <w:rsid w:val="00D3796B"/>
    <w:rsid w:val="00D404D8"/>
    <w:rsid w:val="00D40A93"/>
    <w:rsid w:val="00D42993"/>
    <w:rsid w:val="00D4347E"/>
    <w:rsid w:val="00D4369C"/>
    <w:rsid w:val="00D437BF"/>
    <w:rsid w:val="00D43825"/>
    <w:rsid w:val="00D4393A"/>
    <w:rsid w:val="00D43E31"/>
    <w:rsid w:val="00D44302"/>
    <w:rsid w:val="00D44572"/>
    <w:rsid w:val="00D4462C"/>
    <w:rsid w:val="00D44724"/>
    <w:rsid w:val="00D44881"/>
    <w:rsid w:val="00D45EFA"/>
    <w:rsid w:val="00D4618E"/>
    <w:rsid w:val="00D4625F"/>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1A1"/>
    <w:rsid w:val="00D5456A"/>
    <w:rsid w:val="00D54961"/>
    <w:rsid w:val="00D55080"/>
    <w:rsid w:val="00D55149"/>
    <w:rsid w:val="00D554D7"/>
    <w:rsid w:val="00D557B3"/>
    <w:rsid w:val="00D55AC2"/>
    <w:rsid w:val="00D55ADE"/>
    <w:rsid w:val="00D56830"/>
    <w:rsid w:val="00D57013"/>
    <w:rsid w:val="00D5703B"/>
    <w:rsid w:val="00D5725A"/>
    <w:rsid w:val="00D57D65"/>
    <w:rsid w:val="00D60B0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D68"/>
    <w:rsid w:val="00D64FC5"/>
    <w:rsid w:val="00D65589"/>
    <w:rsid w:val="00D65B6A"/>
    <w:rsid w:val="00D66D8B"/>
    <w:rsid w:val="00D67B63"/>
    <w:rsid w:val="00D70090"/>
    <w:rsid w:val="00D704A7"/>
    <w:rsid w:val="00D70650"/>
    <w:rsid w:val="00D70981"/>
    <w:rsid w:val="00D70ED7"/>
    <w:rsid w:val="00D71258"/>
    <w:rsid w:val="00D71651"/>
    <w:rsid w:val="00D7177C"/>
    <w:rsid w:val="00D71788"/>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77CAC"/>
    <w:rsid w:val="00D801F5"/>
    <w:rsid w:val="00D806AA"/>
    <w:rsid w:val="00D80995"/>
    <w:rsid w:val="00D80B54"/>
    <w:rsid w:val="00D80BEE"/>
    <w:rsid w:val="00D80EF0"/>
    <w:rsid w:val="00D816D1"/>
    <w:rsid w:val="00D81D06"/>
    <w:rsid w:val="00D81DBC"/>
    <w:rsid w:val="00D81E73"/>
    <w:rsid w:val="00D827A4"/>
    <w:rsid w:val="00D82C3A"/>
    <w:rsid w:val="00D84436"/>
    <w:rsid w:val="00D84694"/>
    <w:rsid w:val="00D848F2"/>
    <w:rsid w:val="00D84ADC"/>
    <w:rsid w:val="00D84D96"/>
    <w:rsid w:val="00D8522A"/>
    <w:rsid w:val="00D852EA"/>
    <w:rsid w:val="00D85D7E"/>
    <w:rsid w:val="00D86317"/>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0E08"/>
    <w:rsid w:val="00DA14ED"/>
    <w:rsid w:val="00DA26B9"/>
    <w:rsid w:val="00DA2849"/>
    <w:rsid w:val="00DA2A1D"/>
    <w:rsid w:val="00DA2B8E"/>
    <w:rsid w:val="00DA2D63"/>
    <w:rsid w:val="00DA36F4"/>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34F"/>
    <w:rsid w:val="00DB35BF"/>
    <w:rsid w:val="00DB36F3"/>
    <w:rsid w:val="00DB3B7B"/>
    <w:rsid w:val="00DB3D6C"/>
    <w:rsid w:val="00DB3FF9"/>
    <w:rsid w:val="00DB48FC"/>
    <w:rsid w:val="00DB4C7A"/>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959"/>
    <w:rsid w:val="00DC70EC"/>
    <w:rsid w:val="00DC7E0D"/>
    <w:rsid w:val="00DD0017"/>
    <w:rsid w:val="00DD0555"/>
    <w:rsid w:val="00DD0AE1"/>
    <w:rsid w:val="00DD1A49"/>
    <w:rsid w:val="00DD2A9A"/>
    <w:rsid w:val="00DD3347"/>
    <w:rsid w:val="00DD4320"/>
    <w:rsid w:val="00DD481C"/>
    <w:rsid w:val="00DD49A6"/>
    <w:rsid w:val="00DD4A7A"/>
    <w:rsid w:val="00DD4DCE"/>
    <w:rsid w:val="00DD51D4"/>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0E5"/>
    <w:rsid w:val="00DE41DE"/>
    <w:rsid w:val="00DE4FA9"/>
    <w:rsid w:val="00DE5A2F"/>
    <w:rsid w:val="00DE5CD3"/>
    <w:rsid w:val="00DE6010"/>
    <w:rsid w:val="00DE63C4"/>
    <w:rsid w:val="00DE63D2"/>
    <w:rsid w:val="00DE6CBB"/>
    <w:rsid w:val="00DE6FB7"/>
    <w:rsid w:val="00DE7C1E"/>
    <w:rsid w:val="00DE7E08"/>
    <w:rsid w:val="00DE7F61"/>
    <w:rsid w:val="00DF09BC"/>
    <w:rsid w:val="00DF0A51"/>
    <w:rsid w:val="00DF100D"/>
    <w:rsid w:val="00DF1104"/>
    <w:rsid w:val="00DF110A"/>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A26"/>
    <w:rsid w:val="00DF6BE1"/>
    <w:rsid w:val="00DF6D99"/>
    <w:rsid w:val="00DF71AB"/>
    <w:rsid w:val="00DF76AC"/>
    <w:rsid w:val="00DF7718"/>
    <w:rsid w:val="00E00E7E"/>
    <w:rsid w:val="00E027E5"/>
    <w:rsid w:val="00E03B7D"/>
    <w:rsid w:val="00E03FBB"/>
    <w:rsid w:val="00E041E7"/>
    <w:rsid w:val="00E04618"/>
    <w:rsid w:val="00E049BC"/>
    <w:rsid w:val="00E04DBD"/>
    <w:rsid w:val="00E04F07"/>
    <w:rsid w:val="00E04F2B"/>
    <w:rsid w:val="00E059B4"/>
    <w:rsid w:val="00E059F1"/>
    <w:rsid w:val="00E05C01"/>
    <w:rsid w:val="00E05EEC"/>
    <w:rsid w:val="00E062F1"/>
    <w:rsid w:val="00E0716B"/>
    <w:rsid w:val="00E07974"/>
    <w:rsid w:val="00E07B32"/>
    <w:rsid w:val="00E07D8E"/>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12BE"/>
    <w:rsid w:val="00E2189E"/>
    <w:rsid w:val="00E2254C"/>
    <w:rsid w:val="00E228FA"/>
    <w:rsid w:val="00E22A71"/>
    <w:rsid w:val="00E233DD"/>
    <w:rsid w:val="00E238C1"/>
    <w:rsid w:val="00E238C7"/>
    <w:rsid w:val="00E23917"/>
    <w:rsid w:val="00E23F9C"/>
    <w:rsid w:val="00E250E8"/>
    <w:rsid w:val="00E2542E"/>
    <w:rsid w:val="00E25E80"/>
    <w:rsid w:val="00E260EE"/>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4C4B"/>
    <w:rsid w:val="00E351F6"/>
    <w:rsid w:val="00E355EF"/>
    <w:rsid w:val="00E35614"/>
    <w:rsid w:val="00E36208"/>
    <w:rsid w:val="00E36353"/>
    <w:rsid w:val="00E36C6C"/>
    <w:rsid w:val="00E40187"/>
    <w:rsid w:val="00E402F3"/>
    <w:rsid w:val="00E40985"/>
    <w:rsid w:val="00E418EA"/>
    <w:rsid w:val="00E41A8F"/>
    <w:rsid w:val="00E41E62"/>
    <w:rsid w:val="00E41FB0"/>
    <w:rsid w:val="00E420AF"/>
    <w:rsid w:val="00E4219B"/>
    <w:rsid w:val="00E42C59"/>
    <w:rsid w:val="00E430FA"/>
    <w:rsid w:val="00E4325F"/>
    <w:rsid w:val="00E438DE"/>
    <w:rsid w:val="00E439DB"/>
    <w:rsid w:val="00E43E2C"/>
    <w:rsid w:val="00E44C6C"/>
    <w:rsid w:val="00E451E0"/>
    <w:rsid w:val="00E45FB6"/>
    <w:rsid w:val="00E46699"/>
    <w:rsid w:val="00E46839"/>
    <w:rsid w:val="00E46DEE"/>
    <w:rsid w:val="00E474FB"/>
    <w:rsid w:val="00E50251"/>
    <w:rsid w:val="00E503B1"/>
    <w:rsid w:val="00E50A41"/>
    <w:rsid w:val="00E50C1F"/>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8BB"/>
    <w:rsid w:val="00E6099E"/>
    <w:rsid w:val="00E60F8D"/>
    <w:rsid w:val="00E61281"/>
    <w:rsid w:val="00E61289"/>
    <w:rsid w:val="00E61674"/>
    <w:rsid w:val="00E6203C"/>
    <w:rsid w:val="00E62239"/>
    <w:rsid w:val="00E62A35"/>
    <w:rsid w:val="00E62A82"/>
    <w:rsid w:val="00E62BCC"/>
    <w:rsid w:val="00E6338F"/>
    <w:rsid w:val="00E63535"/>
    <w:rsid w:val="00E63826"/>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1B82"/>
    <w:rsid w:val="00E81BAA"/>
    <w:rsid w:val="00E81D65"/>
    <w:rsid w:val="00E82B27"/>
    <w:rsid w:val="00E83406"/>
    <w:rsid w:val="00E835C3"/>
    <w:rsid w:val="00E83E27"/>
    <w:rsid w:val="00E84796"/>
    <w:rsid w:val="00E847B6"/>
    <w:rsid w:val="00E84C3F"/>
    <w:rsid w:val="00E85ADF"/>
    <w:rsid w:val="00E85BC2"/>
    <w:rsid w:val="00E85BDC"/>
    <w:rsid w:val="00E85D5E"/>
    <w:rsid w:val="00E85D77"/>
    <w:rsid w:val="00E86127"/>
    <w:rsid w:val="00E86579"/>
    <w:rsid w:val="00E86B08"/>
    <w:rsid w:val="00E86D5D"/>
    <w:rsid w:val="00E87105"/>
    <w:rsid w:val="00E87727"/>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355E"/>
    <w:rsid w:val="00E93FA3"/>
    <w:rsid w:val="00E941BA"/>
    <w:rsid w:val="00E94C2B"/>
    <w:rsid w:val="00E94DB3"/>
    <w:rsid w:val="00E94F29"/>
    <w:rsid w:val="00E95671"/>
    <w:rsid w:val="00E958C7"/>
    <w:rsid w:val="00E958C8"/>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1EC1"/>
    <w:rsid w:val="00EB2036"/>
    <w:rsid w:val="00EB2B60"/>
    <w:rsid w:val="00EB2C3D"/>
    <w:rsid w:val="00EB2CD4"/>
    <w:rsid w:val="00EB3331"/>
    <w:rsid w:val="00EB51AF"/>
    <w:rsid w:val="00EB53C0"/>
    <w:rsid w:val="00EB55B2"/>
    <w:rsid w:val="00EB572E"/>
    <w:rsid w:val="00EB5C6B"/>
    <w:rsid w:val="00EB6565"/>
    <w:rsid w:val="00EB684C"/>
    <w:rsid w:val="00EB6C73"/>
    <w:rsid w:val="00EB6F3A"/>
    <w:rsid w:val="00EB75C8"/>
    <w:rsid w:val="00EB77DB"/>
    <w:rsid w:val="00EB7D3E"/>
    <w:rsid w:val="00EC0454"/>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1690"/>
    <w:rsid w:val="00ED1D30"/>
    <w:rsid w:val="00ED2744"/>
    <w:rsid w:val="00ED2B32"/>
    <w:rsid w:val="00ED3F69"/>
    <w:rsid w:val="00ED4172"/>
    <w:rsid w:val="00ED4416"/>
    <w:rsid w:val="00ED483D"/>
    <w:rsid w:val="00ED485F"/>
    <w:rsid w:val="00ED58AD"/>
    <w:rsid w:val="00ED5940"/>
    <w:rsid w:val="00ED71B4"/>
    <w:rsid w:val="00EE0A39"/>
    <w:rsid w:val="00EE1041"/>
    <w:rsid w:val="00EE213A"/>
    <w:rsid w:val="00EE2428"/>
    <w:rsid w:val="00EE2719"/>
    <w:rsid w:val="00EE28A1"/>
    <w:rsid w:val="00EE2DF4"/>
    <w:rsid w:val="00EE2FCD"/>
    <w:rsid w:val="00EE343F"/>
    <w:rsid w:val="00EE4069"/>
    <w:rsid w:val="00EE52D0"/>
    <w:rsid w:val="00EE5407"/>
    <w:rsid w:val="00EE583F"/>
    <w:rsid w:val="00EE69D2"/>
    <w:rsid w:val="00EE6DF7"/>
    <w:rsid w:val="00EE6FCD"/>
    <w:rsid w:val="00EE7143"/>
    <w:rsid w:val="00EE7250"/>
    <w:rsid w:val="00EE72D1"/>
    <w:rsid w:val="00EE737B"/>
    <w:rsid w:val="00EE7534"/>
    <w:rsid w:val="00EE762D"/>
    <w:rsid w:val="00EF00CE"/>
    <w:rsid w:val="00EF03B1"/>
    <w:rsid w:val="00EF0C17"/>
    <w:rsid w:val="00EF131D"/>
    <w:rsid w:val="00EF1785"/>
    <w:rsid w:val="00EF1B65"/>
    <w:rsid w:val="00EF1B67"/>
    <w:rsid w:val="00EF1CC1"/>
    <w:rsid w:val="00EF1D55"/>
    <w:rsid w:val="00EF1E2A"/>
    <w:rsid w:val="00EF21F2"/>
    <w:rsid w:val="00EF2541"/>
    <w:rsid w:val="00EF28C6"/>
    <w:rsid w:val="00EF2B9F"/>
    <w:rsid w:val="00EF305D"/>
    <w:rsid w:val="00EF3647"/>
    <w:rsid w:val="00EF3661"/>
    <w:rsid w:val="00EF4C6E"/>
    <w:rsid w:val="00EF50F7"/>
    <w:rsid w:val="00EF522B"/>
    <w:rsid w:val="00EF5ED0"/>
    <w:rsid w:val="00EF67BC"/>
    <w:rsid w:val="00EF6C0E"/>
    <w:rsid w:val="00EF6C18"/>
    <w:rsid w:val="00EF6ECB"/>
    <w:rsid w:val="00EF6FAD"/>
    <w:rsid w:val="00EF7094"/>
    <w:rsid w:val="00EF710C"/>
    <w:rsid w:val="00EF754B"/>
    <w:rsid w:val="00EF7CD3"/>
    <w:rsid w:val="00EF7E4E"/>
    <w:rsid w:val="00F00021"/>
    <w:rsid w:val="00F00418"/>
    <w:rsid w:val="00F005B1"/>
    <w:rsid w:val="00F00893"/>
    <w:rsid w:val="00F00A53"/>
    <w:rsid w:val="00F00AD6"/>
    <w:rsid w:val="00F00F73"/>
    <w:rsid w:val="00F02A18"/>
    <w:rsid w:val="00F02AEE"/>
    <w:rsid w:val="00F02ED9"/>
    <w:rsid w:val="00F03617"/>
    <w:rsid w:val="00F038F6"/>
    <w:rsid w:val="00F03943"/>
    <w:rsid w:val="00F03988"/>
    <w:rsid w:val="00F03C90"/>
    <w:rsid w:val="00F03CD9"/>
    <w:rsid w:val="00F04614"/>
    <w:rsid w:val="00F0466E"/>
    <w:rsid w:val="00F04753"/>
    <w:rsid w:val="00F04A3A"/>
    <w:rsid w:val="00F04CC7"/>
    <w:rsid w:val="00F0592A"/>
    <w:rsid w:val="00F05FFB"/>
    <w:rsid w:val="00F063BC"/>
    <w:rsid w:val="00F06867"/>
    <w:rsid w:val="00F06E9A"/>
    <w:rsid w:val="00F0748A"/>
    <w:rsid w:val="00F07F5B"/>
    <w:rsid w:val="00F116EC"/>
    <w:rsid w:val="00F11BCC"/>
    <w:rsid w:val="00F121CC"/>
    <w:rsid w:val="00F12C3C"/>
    <w:rsid w:val="00F134CA"/>
    <w:rsid w:val="00F1359C"/>
    <w:rsid w:val="00F1364C"/>
    <w:rsid w:val="00F13EB4"/>
    <w:rsid w:val="00F13FEA"/>
    <w:rsid w:val="00F1444B"/>
    <w:rsid w:val="00F1508E"/>
    <w:rsid w:val="00F158F5"/>
    <w:rsid w:val="00F1629E"/>
    <w:rsid w:val="00F17D5F"/>
    <w:rsid w:val="00F20291"/>
    <w:rsid w:val="00F20819"/>
    <w:rsid w:val="00F210AE"/>
    <w:rsid w:val="00F21B26"/>
    <w:rsid w:val="00F21DF4"/>
    <w:rsid w:val="00F21F3A"/>
    <w:rsid w:val="00F21FFA"/>
    <w:rsid w:val="00F22262"/>
    <w:rsid w:val="00F228A1"/>
    <w:rsid w:val="00F23404"/>
    <w:rsid w:val="00F24504"/>
    <w:rsid w:val="00F246B3"/>
    <w:rsid w:val="00F24C2F"/>
    <w:rsid w:val="00F25038"/>
    <w:rsid w:val="00F25DDD"/>
    <w:rsid w:val="00F25F4E"/>
    <w:rsid w:val="00F276FB"/>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110"/>
    <w:rsid w:val="00F36389"/>
    <w:rsid w:val="00F36675"/>
    <w:rsid w:val="00F368F0"/>
    <w:rsid w:val="00F36B8A"/>
    <w:rsid w:val="00F37090"/>
    <w:rsid w:val="00F37EF3"/>
    <w:rsid w:val="00F37F54"/>
    <w:rsid w:val="00F4037C"/>
    <w:rsid w:val="00F410DA"/>
    <w:rsid w:val="00F418A9"/>
    <w:rsid w:val="00F41ABB"/>
    <w:rsid w:val="00F424BE"/>
    <w:rsid w:val="00F42CF2"/>
    <w:rsid w:val="00F42CF7"/>
    <w:rsid w:val="00F43559"/>
    <w:rsid w:val="00F436FF"/>
    <w:rsid w:val="00F45F2A"/>
    <w:rsid w:val="00F4614F"/>
    <w:rsid w:val="00F468ED"/>
    <w:rsid w:val="00F475B2"/>
    <w:rsid w:val="00F475D8"/>
    <w:rsid w:val="00F47EBF"/>
    <w:rsid w:val="00F50F6F"/>
    <w:rsid w:val="00F52324"/>
    <w:rsid w:val="00F52BA6"/>
    <w:rsid w:val="00F52C22"/>
    <w:rsid w:val="00F53217"/>
    <w:rsid w:val="00F53249"/>
    <w:rsid w:val="00F535EA"/>
    <w:rsid w:val="00F537BF"/>
    <w:rsid w:val="00F53D1F"/>
    <w:rsid w:val="00F54921"/>
    <w:rsid w:val="00F5593D"/>
    <w:rsid w:val="00F55CDB"/>
    <w:rsid w:val="00F5613F"/>
    <w:rsid w:val="00F562FC"/>
    <w:rsid w:val="00F56427"/>
    <w:rsid w:val="00F5654C"/>
    <w:rsid w:val="00F5745C"/>
    <w:rsid w:val="00F60577"/>
    <w:rsid w:val="00F60989"/>
    <w:rsid w:val="00F60D06"/>
    <w:rsid w:val="00F60EFB"/>
    <w:rsid w:val="00F614DF"/>
    <w:rsid w:val="00F615D4"/>
    <w:rsid w:val="00F61D28"/>
    <w:rsid w:val="00F6355C"/>
    <w:rsid w:val="00F63893"/>
    <w:rsid w:val="00F63FCC"/>
    <w:rsid w:val="00F64D9D"/>
    <w:rsid w:val="00F64E27"/>
    <w:rsid w:val="00F64FFD"/>
    <w:rsid w:val="00F65285"/>
    <w:rsid w:val="00F655CF"/>
    <w:rsid w:val="00F65AC3"/>
    <w:rsid w:val="00F667AF"/>
    <w:rsid w:val="00F67310"/>
    <w:rsid w:val="00F67740"/>
    <w:rsid w:val="00F67805"/>
    <w:rsid w:val="00F67888"/>
    <w:rsid w:val="00F6798F"/>
    <w:rsid w:val="00F70096"/>
    <w:rsid w:val="00F704BF"/>
    <w:rsid w:val="00F706E7"/>
    <w:rsid w:val="00F71280"/>
    <w:rsid w:val="00F72306"/>
    <w:rsid w:val="00F72759"/>
    <w:rsid w:val="00F72CA1"/>
    <w:rsid w:val="00F72F37"/>
    <w:rsid w:val="00F73BBD"/>
    <w:rsid w:val="00F73EAB"/>
    <w:rsid w:val="00F7426D"/>
    <w:rsid w:val="00F746C2"/>
    <w:rsid w:val="00F747DD"/>
    <w:rsid w:val="00F752DE"/>
    <w:rsid w:val="00F753AA"/>
    <w:rsid w:val="00F75D34"/>
    <w:rsid w:val="00F75F02"/>
    <w:rsid w:val="00F7681E"/>
    <w:rsid w:val="00F768C9"/>
    <w:rsid w:val="00F76A22"/>
    <w:rsid w:val="00F77F66"/>
    <w:rsid w:val="00F80371"/>
    <w:rsid w:val="00F806FF"/>
    <w:rsid w:val="00F80D13"/>
    <w:rsid w:val="00F80D49"/>
    <w:rsid w:val="00F80F0D"/>
    <w:rsid w:val="00F8134E"/>
    <w:rsid w:val="00F81C79"/>
    <w:rsid w:val="00F81E1F"/>
    <w:rsid w:val="00F82D2A"/>
    <w:rsid w:val="00F82D6A"/>
    <w:rsid w:val="00F83160"/>
    <w:rsid w:val="00F8379E"/>
    <w:rsid w:val="00F84044"/>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A2E"/>
    <w:rsid w:val="00FA3CAC"/>
    <w:rsid w:val="00FA464E"/>
    <w:rsid w:val="00FA491D"/>
    <w:rsid w:val="00FA4923"/>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CC1"/>
    <w:rsid w:val="00FC38D9"/>
    <w:rsid w:val="00FC3BAC"/>
    <w:rsid w:val="00FC402D"/>
    <w:rsid w:val="00FC4116"/>
    <w:rsid w:val="00FC414A"/>
    <w:rsid w:val="00FC42E5"/>
    <w:rsid w:val="00FC4B56"/>
    <w:rsid w:val="00FC5215"/>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E00"/>
    <w:rsid w:val="00FF2288"/>
    <w:rsid w:val="00FF22D4"/>
    <w:rsid w:val="00FF22E3"/>
    <w:rsid w:val="00FF24E7"/>
    <w:rsid w:val="00FF258A"/>
    <w:rsid w:val="00FF2A39"/>
    <w:rsid w:val="00FF2BC4"/>
    <w:rsid w:val="00FF3E08"/>
    <w:rsid w:val="00FF48E5"/>
    <w:rsid w:val="00FF4D22"/>
    <w:rsid w:val="00FF664A"/>
    <w:rsid w:val="00FF67F1"/>
    <w:rsid w:val="00FF6C0B"/>
    <w:rsid w:val="00FF6D56"/>
    <w:rsid w:val="00FF7393"/>
    <w:rsid w:val="00FF78D1"/>
    <w:rsid w:val="00FF7CD8"/>
    <w:rsid w:val="012364C0"/>
    <w:rsid w:val="01261DF4"/>
    <w:rsid w:val="01282AC9"/>
    <w:rsid w:val="012C20C2"/>
    <w:rsid w:val="012F63B3"/>
    <w:rsid w:val="01307EB3"/>
    <w:rsid w:val="013C56E1"/>
    <w:rsid w:val="014C1835"/>
    <w:rsid w:val="0154579F"/>
    <w:rsid w:val="01545C7A"/>
    <w:rsid w:val="015D72CF"/>
    <w:rsid w:val="017E34AF"/>
    <w:rsid w:val="01823E2F"/>
    <w:rsid w:val="01826A17"/>
    <w:rsid w:val="018E528C"/>
    <w:rsid w:val="01B05BEC"/>
    <w:rsid w:val="01C71BCB"/>
    <w:rsid w:val="01C76DD0"/>
    <w:rsid w:val="01D3575B"/>
    <w:rsid w:val="01EC181B"/>
    <w:rsid w:val="01FD2BD3"/>
    <w:rsid w:val="020642DF"/>
    <w:rsid w:val="020A74DC"/>
    <w:rsid w:val="025B66B0"/>
    <w:rsid w:val="02694276"/>
    <w:rsid w:val="026A48A0"/>
    <w:rsid w:val="026F0EF3"/>
    <w:rsid w:val="02843866"/>
    <w:rsid w:val="02885E3F"/>
    <w:rsid w:val="02C34C32"/>
    <w:rsid w:val="02C66024"/>
    <w:rsid w:val="02DC5C6E"/>
    <w:rsid w:val="02E56273"/>
    <w:rsid w:val="02F3329B"/>
    <w:rsid w:val="030A3E8E"/>
    <w:rsid w:val="032A3E24"/>
    <w:rsid w:val="035241C7"/>
    <w:rsid w:val="036A090C"/>
    <w:rsid w:val="039B5B6E"/>
    <w:rsid w:val="03B918CD"/>
    <w:rsid w:val="03C86237"/>
    <w:rsid w:val="03D930DC"/>
    <w:rsid w:val="03EF6AFF"/>
    <w:rsid w:val="03FA61DE"/>
    <w:rsid w:val="040D16F1"/>
    <w:rsid w:val="042B68C8"/>
    <w:rsid w:val="044B7BFD"/>
    <w:rsid w:val="045252D6"/>
    <w:rsid w:val="04564960"/>
    <w:rsid w:val="04665C3A"/>
    <w:rsid w:val="047250EC"/>
    <w:rsid w:val="047D13CF"/>
    <w:rsid w:val="04934A97"/>
    <w:rsid w:val="049E4585"/>
    <w:rsid w:val="04B541C1"/>
    <w:rsid w:val="04BF3AE0"/>
    <w:rsid w:val="04C55DF6"/>
    <w:rsid w:val="04C74AFA"/>
    <w:rsid w:val="04E109C1"/>
    <w:rsid w:val="04EC7BDB"/>
    <w:rsid w:val="0519043B"/>
    <w:rsid w:val="052149F2"/>
    <w:rsid w:val="0538081D"/>
    <w:rsid w:val="054B3BAF"/>
    <w:rsid w:val="054D112F"/>
    <w:rsid w:val="05583DCD"/>
    <w:rsid w:val="05642A90"/>
    <w:rsid w:val="056B5EA8"/>
    <w:rsid w:val="056F4B14"/>
    <w:rsid w:val="05732D59"/>
    <w:rsid w:val="057C5715"/>
    <w:rsid w:val="058553A7"/>
    <w:rsid w:val="05A520C4"/>
    <w:rsid w:val="05B90DCA"/>
    <w:rsid w:val="05C50BAC"/>
    <w:rsid w:val="05C519E7"/>
    <w:rsid w:val="05E037E5"/>
    <w:rsid w:val="05E727A2"/>
    <w:rsid w:val="06027AF8"/>
    <w:rsid w:val="060D42B3"/>
    <w:rsid w:val="065F696B"/>
    <w:rsid w:val="067B3A34"/>
    <w:rsid w:val="06A32593"/>
    <w:rsid w:val="06A62830"/>
    <w:rsid w:val="06BE2160"/>
    <w:rsid w:val="06D52905"/>
    <w:rsid w:val="06D927B0"/>
    <w:rsid w:val="06E07F64"/>
    <w:rsid w:val="06FC5FDB"/>
    <w:rsid w:val="070103DE"/>
    <w:rsid w:val="07150D27"/>
    <w:rsid w:val="071A19A8"/>
    <w:rsid w:val="071C6ABF"/>
    <w:rsid w:val="07247761"/>
    <w:rsid w:val="0725177D"/>
    <w:rsid w:val="07336968"/>
    <w:rsid w:val="07345668"/>
    <w:rsid w:val="075458AE"/>
    <w:rsid w:val="075C17CC"/>
    <w:rsid w:val="077944B2"/>
    <w:rsid w:val="0785361D"/>
    <w:rsid w:val="07895ED1"/>
    <w:rsid w:val="078A46B0"/>
    <w:rsid w:val="07924C4B"/>
    <w:rsid w:val="07991CB6"/>
    <w:rsid w:val="079A7D2C"/>
    <w:rsid w:val="079F19D2"/>
    <w:rsid w:val="07A33243"/>
    <w:rsid w:val="07AF70B7"/>
    <w:rsid w:val="07B84256"/>
    <w:rsid w:val="07C04DAB"/>
    <w:rsid w:val="07C56682"/>
    <w:rsid w:val="07D93028"/>
    <w:rsid w:val="07DD321B"/>
    <w:rsid w:val="080B577B"/>
    <w:rsid w:val="082D7417"/>
    <w:rsid w:val="084747A1"/>
    <w:rsid w:val="08572CA3"/>
    <w:rsid w:val="085A5B41"/>
    <w:rsid w:val="08636FD1"/>
    <w:rsid w:val="08B601FC"/>
    <w:rsid w:val="08BC7C00"/>
    <w:rsid w:val="08D079C2"/>
    <w:rsid w:val="08D80EA8"/>
    <w:rsid w:val="08E5320F"/>
    <w:rsid w:val="08E95466"/>
    <w:rsid w:val="09024423"/>
    <w:rsid w:val="0909653C"/>
    <w:rsid w:val="090C4D29"/>
    <w:rsid w:val="09216DE3"/>
    <w:rsid w:val="092F65C5"/>
    <w:rsid w:val="09336C26"/>
    <w:rsid w:val="09361C78"/>
    <w:rsid w:val="093C1DC8"/>
    <w:rsid w:val="09873A46"/>
    <w:rsid w:val="0997570E"/>
    <w:rsid w:val="09A100F4"/>
    <w:rsid w:val="09FE10BE"/>
    <w:rsid w:val="0A1C4694"/>
    <w:rsid w:val="0A463B01"/>
    <w:rsid w:val="0A4F45AA"/>
    <w:rsid w:val="0A6C1AB8"/>
    <w:rsid w:val="0A8B1F94"/>
    <w:rsid w:val="0A9B408E"/>
    <w:rsid w:val="0AA76432"/>
    <w:rsid w:val="0AB200E2"/>
    <w:rsid w:val="0AC322D0"/>
    <w:rsid w:val="0AD50A25"/>
    <w:rsid w:val="0AF55441"/>
    <w:rsid w:val="0AFF02E3"/>
    <w:rsid w:val="0B5821EF"/>
    <w:rsid w:val="0B711092"/>
    <w:rsid w:val="0B904371"/>
    <w:rsid w:val="0BA7412C"/>
    <w:rsid w:val="0BBB552C"/>
    <w:rsid w:val="0BC01EEC"/>
    <w:rsid w:val="0BC62D73"/>
    <w:rsid w:val="0BE64483"/>
    <w:rsid w:val="0BEB1BE2"/>
    <w:rsid w:val="0BF24052"/>
    <w:rsid w:val="0C29520D"/>
    <w:rsid w:val="0C4452AF"/>
    <w:rsid w:val="0C6041D7"/>
    <w:rsid w:val="0C9646E6"/>
    <w:rsid w:val="0CB11A6E"/>
    <w:rsid w:val="0CC5444A"/>
    <w:rsid w:val="0CCD50C2"/>
    <w:rsid w:val="0CCE2357"/>
    <w:rsid w:val="0CD176A9"/>
    <w:rsid w:val="0CD2583A"/>
    <w:rsid w:val="0CE02B10"/>
    <w:rsid w:val="0CF81F94"/>
    <w:rsid w:val="0D006F28"/>
    <w:rsid w:val="0D0425E8"/>
    <w:rsid w:val="0D0B2D8B"/>
    <w:rsid w:val="0D100489"/>
    <w:rsid w:val="0D4E0435"/>
    <w:rsid w:val="0D576367"/>
    <w:rsid w:val="0D5B77B4"/>
    <w:rsid w:val="0D6425A0"/>
    <w:rsid w:val="0D760F3D"/>
    <w:rsid w:val="0DC05222"/>
    <w:rsid w:val="0DE7731A"/>
    <w:rsid w:val="0DFC290C"/>
    <w:rsid w:val="0E092BAA"/>
    <w:rsid w:val="0E227310"/>
    <w:rsid w:val="0E3C4A15"/>
    <w:rsid w:val="0E400BA7"/>
    <w:rsid w:val="0E43255A"/>
    <w:rsid w:val="0E48519E"/>
    <w:rsid w:val="0E4B72F0"/>
    <w:rsid w:val="0E681C61"/>
    <w:rsid w:val="0E6D0107"/>
    <w:rsid w:val="0E873F25"/>
    <w:rsid w:val="0EA17CF6"/>
    <w:rsid w:val="0EB93716"/>
    <w:rsid w:val="0EBF1D67"/>
    <w:rsid w:val="0EC11897"/>
    <w:rsid w:val="0ECF52BA"/>
    <w:rsid w:val="0ED11AE2"/>
    <w:rsid w:val="0EDD34DE"/>
    <w:rsid w:val="0EF31BA3"/>
    <w:rsid w:val="0F00644B"/>
    <w:rsid w:val="0F083839"/>
    <w:rsid w:val="0F0D6E3B"/>
    <w:rsid w:val="0F153488"/>
    <w:rsid w:val="0F2B0758"/>
    <w:rsid w:val="0F316BF8"/>
    <w:rsid w:val="0F3518AE"/>
    <w:rsid w:val="0F5F46C6"/>
    <w:rsid w:val="0F8C599A"/>
    <w:rsid w:val="0F9851A1"/>
    <w:rsid w:val="0FA55EF4"/>
    <w:rsid w:val="0FCC35F8"/>
    <w:rsid w:val="0FF0519C"/>
    <w:rsid w:val="100C000E"/>
    <w:rsid w:val="101271B8"/>
    <w:rsid w:val="10204914"/>
    <w:rsid w:val="102155E7"/>
    <w:rsid w:val="103477D8"/>
    <w:rsid w:val="105B5567"/>
    <w:rsid w:val="1075164B"/>
    <w:rsid w:val="1076073D"/>
    <w:rsid w:val="10892D4C"/>
    <w:rsid w:val="108F1247"/>
    <w:rsid w:val="10900FB4"/>
    <w:rsid w:val="109A38A1"/>
    <w:rsid w:val="10A95C97"/>
    <w:rsid w:val="10DE3231"/>
    <w:rsid w:val="11142556"/>
    <w:rsid w:val="112204FD"/>
    <w:rsid w:val="1123072D"/>
    <w:rsid w:val="113E5F4E"/>
    <w:rsid w:val="11566600"/>
    <w:rsid w:val="11691059"/>
    <w:rsid w:val="11703917"/>
    <w:rsid w:val="117D7500"/>
    <w:rsid w:val="117F372B"/>
    <w:rsid w:val="1191134C"/>
    <w:rsid w:val="11974CDA"/>
    <w:rsid w:val="11992931"/>
    <w:rsid w:val="11A924C3"/>
    <w:rsid w:val="11BA5AED"/>
    <w:rsid w:val="11BA660F"/>
    <w:rsid w:val="11C41A8B"/>
    <w:rsid w:val="11FD295C"/>
    <w:rsid w:val="11FF7687"/>
    <w:rsid w:val="12091A56"/>
    <w:rsid w:val="122A7647"/>
    <w:rsid w:val="12315C07"/>
    <w:rsid w:val="123861CF"/>
    <w:rsid w:val="12441522"/>
    <w:rsid w:val="12567919"/>
    <w:rsid w:val="126F67BB"/>
    <w:rsid w:val="129E11D6"/>
    <w:rsid w:val="12AB31BE"/>
    <w:rsid w:val="12AC5B5E"/>
    <w:rsid w:val="12B92BE2"/>
    <w:rsid w:val="12C83AF2"/>
    <w:rsid w:val="12EA33B0"/>
    <w:rsid w:val="12F66918"/>
    <w:rsid w:val="130B428D"/>
    <w:rsid w:val="131720F5"/>
    <w:rsid w:val="13175349"/>
    <w:rsid w:val="13186551"/>
    <w:rsid w:val="131C694E"/>
    <w:rsid w:val="13210C75"/>
    <w:rsid w:val="13302411"/>
    <w:rsid w:val="13313B1F"/>
    <w:rsid w:val="1372255A"/>
    <w:rsid w:val="138403CC"/>
    <w:rsid w:val="138C6D10"/>
    <w:rsid w:val="139B5526"/>
    <w:rsid w:val="13B36968"/>
    <w:rsid w:val="13D43164"/>
    <w:rsid w:val="13D81B1B"/>
    <w:rsid w:val="13D83FA3"/>
    <w:rsid w:val="13D86FB5"/>
    <w:rsid w:val="13E94124"/>
    <w:rsid w:val="140A7915"/>
    <w:rsid w:val="141F3619"/>
    <w:rsid w:val="144A442B"/>
    <w:rsid w:val="144C7774"/>
    <w:rsid w:val="144F60D5"/>
    <w:rsid w:val="14525264"/>
    <w:rsid w:val="145F58B7"/>
    <w:rsid w:val="14611295"/>
    <w:rsid w:val="14691370"/>
    <w:rsid w:val="14AF753B"/>
    <w:rsid w:val="14B44CE1"/>
    <w:rsid w:val="14B70FA6"/>
    <w:rsid w:val="14F902C4"/>
    <w:rsid w:val="15155E8D"/>
    <w:rsid w:val="15346BF9"/>
    <w:rsid w:val="154233AB"/>
    <w:rsid w:val="154B7996"/>
    <w:rsid w:val="154D5449"/>
    <w:rsid w:val="15530EA1"/>
    <w:rsid w:val="156A47BB"/>
    <w:rsid w:val="15734C41"/>
    <w:rsid w:val="15897F1C"/>
    <w:rsid w:val="158E1C7F"/>
    <w:rsid w:val="158F4387"/>
    <w:rsid w:val="15993CD6"/>
    <w:rsid w:val="159F5618"/>
    <w:rsid w:val="15A532F4"/>
    <w:rsid w:val="15AF0A97"/>
    <w:rsid w:val="15B50D11"/>
    <w:rsid w:val="15B61E4D"/>
    <w:rsid w:val="15B659D1"/>
    <w:rsid w:val="15CE1DD3"/>
    <w:rsid w:val="15D020F7"/>
    <w:rsid w:val="15D56B63"/>
    <w:rsid w:val="15DF6355"/>
    <w:rsid w:val="15F45A28"/>
    <w:rsid w:val="15F64F4F"/>
    <w:rsid w:val="160B3ACD"/>
    <w:rsid w:val="161A6097"/>
    <w:rsid w:val="16293958"/>
    <w:rsid w:val="16455959"/>
    <w:rsid w:val="164E01C4"/>
    <w:rsid w:val="16520905"/>
    <w:rsid w:val="16561D62"/>
    <w:rsid w:val="165F41E8"/>
    <w:rsid w:val="166A683C"/>
    <w:rsid w:val="167A7FCF"/>
    <w:rsid w:val="1682519A"/>
    <w:rsid w:val="16886596"/>
    <w:rsid w:val="16893923"/>
    <w:rsid w:val="16925F32"/>
    <w:rsid w:val="169A3D27"/>
    <w:rsid w:val="16B470F6"/>
    <w:rsid w:val="16B56AEF"/>
    <w:rsid w:val="16BC78A7"/>
    <w:rsid w:val="16F2389F"/>
    <w:rsid w:val="16F455B8"/>
    <w:rsid w:val="16F93A36"/>
    <w:rsid w:val="1711335A"/>
    <w:rsid w:val="173673FB"/>
    <w:rsid w:val="173D7210"/>
    <w:rsid w:val="174D4192"/>
    <w:rsid w:val="17593529"/>
    <w:rsid w:val="175A5714"/>
    <w:rsid w:val="176C00A9"/>
    <w:rsid w:val="177A5B4D"/>
    <w:rsid w:val="177C0E0D"/>
    <w:rsid w:val="17984F13"/>
    <w:rsid w:val="179F1F5F"/>
    <w:rsid w:val="17AE5734"/>
    <w:rsid w:val="17B21F05"/>
    <w:rsid w:val="17CE79E0"/>
    <w:rsid w:val="17CF5769"/>
    <w:rsid w:val="17E07B9B"/>
    <w:rsid w:val="17EB1734"/>
    <w:rsid w:val="17F53F70"/>
    <w:rsid w:val="17FC632A"/>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825F3"/>
    <w:rsid w:val="19471213"/>
    <w:rsid w:val="19496598"/>
    <w:rsid w:val="19575A59"/>
    <w:rsid w:val="19597C05"/>
    <w:rsid w:val="195D25EA"/>
    <w:rsid w:val="19696C70"/>
    <w:rsid w:val="198E3E8D"/>
    <w:rsid w:val="199610E2"/>
    <w:rsid w:val="19A86D33"/>
    <w:rsid w:val="19B65058"/>
    <w:rsid w:val="19BB20AC"/>
    <w:rsid w:val="19C254CC"/>
    <w:rsid w:val="19E75799"/>
    <w:rsid w:val="19EC047C"/>
    <w:rsid w:val="19FF1DD7"/>
    <w:rsid w:val="1A031A5B"/>
    <w:rsid w:val="1A092452"/>
    <w:rsid w:val="1A1A4BE8"/>
    <w:rsid w:val="1A3441CE"/>
    <w:rsid w:val="1A5D4669"/>
    <w:rsid w:val="1A7928BB"/>
    <w:rsid w:val="1A917586"/>
    <w:rsid w:val="1A9D09F7"/>
    <w:rsid w:val="1AA2252A"/>
    <w:rsid w:val="1AAB69C1"/>
    <w:rsid w:val="1AFC5B3B"/>
    <w:rsid w:val="1AFE75E7"/>
    <w:rsid w:val="1B023B85"/>
    <w:rsid w:val="1B041579"/>
    <w:rsid w:val="1B0C32F4"/>
    <w:rsid w:val="1B0D03FF"/>
    <w:rsid w:val="1B280433"/>
    <w:rsid w:val="1B497B97"/>
    <w:rsid w:val="1B6932B2"/>
    <w:rsid w:val="1B90704D"/>
    <w:rsid w:val="1BA417FD"/>
    <w:rsid w:val="1BB328A2"/>
    <w:rsid w:val="1BC80D3E"/>
    <w:rsid w:val="1BDA0D0E"/>
    <w:rsid w:val="1BDC1FDC"/>
    <w:rsid w:val="1BED0061"/>
    <w:rsid w:val="1BEE2CA0"/>
    <w:rsid w:val="1C0B157D"/>
    <w:rsid w:val="1C1330FC"/>
    <w:rsid w:val="1C1639D1"/>
    <w:rsid w:val="1C1C078A"/>
    <w:rsid w:val="1C20601B"/>
    <w:rsid w:val="1C212035"/>
    <w:rsid w:val="1C2A348E"/>
    <w:rsid w:val="1C4908BE"/>
    <w:rsid w:val="1C4E2B50"/>
    <w:rsid w:val="1C67619F"/>
    <w:rsid w:val="1C74182F"/>
    <w:rsid w:val="1C8C31EA"/>
    <w:rsid w:val="1CA176D3"/>
    <w:rsid w:val="1CB62F1E"/>
    <w:rsid w:val="1CB663FF"/>
    <w:rsid w:val="1CBB75C1"/>
    <w:rsid w:val="1CBC04BE"/>
    <w:rsid w:val="1CD42FEA"/>
    <w:rsid w:val="1CD86A66"/>
    <w:rsid w:val="1CF437FC"/>
    <w:rsid w:val="1D0B1FD1"/>
    <w:rsid w:val="1D1C619B"/>
    <w:rsid w:val="1D20453B"/>
    <w:rsid w:val="1D2C37A6"/>
    <w:rsid w:val="1D397DA4"/>
    <w:rsid w:val="1D4209B0"/>
    <w:rsid w:val="1D5F7976"/>
    <w:rsid w:val="1D7272C4"/>
    <w:rsid w:val="1D7D5933"/>
    <w:rsid w:val="1D853B81"/>
    <w:rsid w:val="1D9E1F6B"/>
    <w:rsid w:val="1DA13A44"/>
    <w:rsid w:val="1DA40988"/>
    <w:rsid w:val="1DA51B09"/>
    <w:rsid w:val="1DBE3095"/>
    <w:rsid w:val="1E2F4B2E"/>
    <w:rsid w:val="1E322924"/>
    <w:rsid w:val="1E330118"/>
    <w:rsid w:val="1E344191"/>
    <w:rsid w:val="1E3E7A89"/>
    <w:rsid w:val="1E441BE0"/>
    <w:rsid w:val="1E894975"/>
    <w:rsid w:val="1E932086"/>
    <w:rsid w:val="1E991BE3"/>
    <w:rsid w:val="1EA768CB"/>
    <w:rsid w:val="1EC24432"/>
    <w:rsid w:val="1ECA4751"/>
    <w:rsid w:val="1EF52C4F"/>
    <w:rsid w:val="1F151F89"/>
    <w:rsid w:val="1F2175F8"/>
    <w:rsid w:val="1F2454AE"/>
    <w:rsid w:val="1F2730A0"/>
    <w:rsid w:val="1F290EB1"/>
    <w:rsid w:val="1F6979E7"/>
    <w:rsid w:val="1F750A08"/>
    <w:rsid w:val="1F967D7C"/>
    <w:rsid w:val="1FA244B0"/>
    <w:rsid w:val="1FA642C4"/>
    <w:rsid w:val="1FA772D7"/>
    <w:rsid w:val="1FB17124"/>
    <w:rsid w:val="1FBC6887"/>
    <w:rsid w:val="1FC65FB2"/>
    <w:rsid w:val="1FD93C9C"/>
    <w:rsid w:val="1FDA60AB"/>
    <w:rsid w:val="1FE25FB2"/>
    <w:rsid w:val="1FE86F66"/>
    <w:rsid w:val="1FFB537F"/>
    <w:rsid w:val="200E6725"/>
    <w:rsid w:val="20101323"/>
    <w:rsid w:val="201802C8"/>
    <w:rsid w:val="20185CB3"/>
    <w:rsid w:val="203057FA"/>
    <w:rsid w:val="20572ABF"/>
    <w:rsid w:val="206F22EA"/>
    <w:rsid w:val="20785B47"/>
    <w:rsid w:val="207C5CB0"/>
    <w:rsid w:val="20847244"/>
    <w:rsid w:val="20C924EF"/>
    <w:rsid w:val="20E81797"/>
    <w:rsid w:val="20FE78BC"/>
    <w:rsid w:val="2111797A"/>
    <w:rsid w:val="21135FB9"/>
    <w:rsid w:val="21146FE2"/>
    <w:rsid w:val="21390F39"/>
    <w:rsid w:val="214473ED"/>
    <w:rsid w:val="214E0604"/>
    <w:rsid w:val="215964F0"/>
    <w:rsid w:val="21701F90"/>
    <w:rsid w:val="21773215"/>
    <w:rsid w:val="21790498"/>
    <w:rsid w:val="218912A4"/>
    <w:rsid w:val="21936CA6"/>
    <w:rsid w:val="21A50C86"/>
    <w:rsid w:val="21A76CC7"/>
    <w:rsid w:val="21CD43B4"/>
    <w:rsid w:val="21E42FCC"/>
    <w:rsid w:val="21E863F5"/>
    <w:rsid w:val="220628F4"/>
    <w:rsid w:val="223B07F0"/>
    <w:rsid w:val="22500EBE"/>
    <w:rsid w:val="22502B2A"/>
    <w:rsid w:val="225932F2"/>
    <w:rsid w:val="226700F4"/>
    <w:rsid w:val="226811A2"/>
    <w:rsid w:val="226D3609"/>
    <w:rsid w:val="227635D6"/>
    <w:rsid w:val="22914175"/>
    <w:rsid w:val="22946AD2"/>
    <w:rsid w:val="22A83BA9"/>
    <w:rsid w:val="22B429D5"/>
    <w:rsid w:val="22C14F31"/>
    <w:rsid w:val="22CC2F6D"/>
    <w:rsid w:val="22D07767"/>
    <w:rsid w:val="22DD01BB"/>
    <w:rsid w:val="22E33556"/>
    <w:rsid w:val="22E43639"/>
    <w:rsid w:val="23051183"/>
    <w:rsid w:val="231231EE"/>
    <w:rsid w:val="23272B22"/>
    <w:rsid w:val="232F021E"/>
    <w:rsid w:val="2331282E"/>
    <w:rsid w:val="234562F1"/>
    <w:rsid w:val="23486D36"/>
    <w:rsid w:val="234E5CB7"/>
    <w:rsid w:val="235A1CD8"/>
    <w:rsid w:val="23876C72"/>
    <w:rsid w:val="23891729"/>
    <w:rsid w:val="23921869"/>
    <w:rsid w:val="23C5158E"/>
    <w:rsid w:val="23C80DB0"/>
    <w:rsid w:val="23D3233D"/>
    <w:rsid w:val="23D50586"/>
    <w:rsid w:val="23DB4E2F"/>
    <w:rsid w:val="23DF7FD7"/>
    <w:rsid w:val="23E43860"/>
    <w:rsid w:val="23E71412"/>
    <w:rsid w:val="23EF304F"/>
    <w:rsid w:val="23FF0E40"/>
    <w:rsid w:val="240208DB"/>
    <w:rsid w:val="240F68C8"/>
    <w:rsid w:val="241402C2"/>
    <w:rsid w:val="241F3F92"/>
    <w:rsid w:val="243139AD"/>
    <w:rsid w:val="243B4AD7"/>
    <w:rsid w:val="244E3D1D"/>
    <w:rsid w:val="245B624B"/>
    <w:rsid w:val="245F0141"/>
    <w:rsid w:val="245F335F"/>
    <w:rsid w:val="246A78E6"/>
    <w:rsid w:val="246E2507"/>
    <w:rsid w:val="247F3D0C"/>
    <w:rsid w:val="24877D1C"/>
    <w:rsid w:val="24887B76"/>
    <w:rsid w:val="249A4DDB"/>
    <w:rsid w:val="24A36EFF"/>
    <w:rsid w:val="24A86547"/>
    <w:rsid w:val="24BB5441"/>
    <w:rsid w:val="24BF7F92"/>
    <w:rsid w:val="24D40F20"/>
    <w:rsid w:val="24E56E85"/>
    <w:rsid w:val="24EB561C"/>
    <w:rsid w:val="2504140C"/>
    <w:rsid w:val="25463823"/>
    <w:rsid w:val="254A257D"/>
    <w:rsid w:val="25612DE4"/>
    <w:rsid w:val="258256A6"/>
    <w:rsid w:val="25853F3A"/>
    <w:rsid w:val="258D6235"/>
    <w:rsid w:val="259F0776"/>
    <w:rsid w:val="25A03F9F"/>
    <w:rsid w:val="25B23C6B"/>
    <w:rsid w:val="25BD2AAB"/>
    <w:rsid w:val="25C10F8D"/>
    <w:rsid w:val="25DC42C5"/>
    <w:rsid w:val="25DD2180"/>
    <w:rsid w:val="25DF4062"/>
    <w:rsid w:val="2607160F"/>
    <w:rsid w:val="26097847"/>
    <w:rsid w:val="260A5A93"/>
    <w:rsid w:val="260D1935"/>
    <w:rsid w:val="26142CF6"/>
    <w:rsid w:val="262E23AE"/>
    <w:rsid w:val="262E7F2A"/>
    <w:rsid w:val="263A2B6C"/>
    <w:rsid w:val="263B3A3D"/>
    <w:rsid w:val="263F18AE"/>
    <w:rsid w:val="2641772D"/>
    <w:rsid w:val="269F6BAF"/>
    <w:rsid w:val="26B91CCC"/>
    <w:rsid w:val="26C47F67"/>
    <w:rsid w:val="26C731FF"/>
    <w:rsid w:val="26D201D7"/>
    <w:rsid w:val="26EF0006"/>
    <w:rsid w:val="26F03C43"/>
    <w:rsid w:val="27286FB7"/>
    <w:rsid w:val="272A2BE1"/>
    <w:rsid w:val="272E6E29"/>
    <w:rsid w:val="2742617D"/>
    <w:rsid w:val="27507456"/>
    <w:rsid w:val="276E2D59"/>
    <w:rsid w:val="278609DD"/>
    <w:rsid w:val="279803ED"/>
    <w:rsid w:val="27AA1A6E"/>
    <w:rsid w:val="27AC786C"/>
    <w:rsid w:val="27AF714A"/>
    <w:rsid w:val="27B212DD"/>
    <w:rsid w:val="28147F8F"/>
    <w:rsid w:val="281A59A3"/>
    <w:rsid w:val="28212E22"/>
    <w:rsid w:val="28217C2E"/>
    <w:rsid w:val="28712EEB"/>
    <w:rsid w:val="2874419E"/>
    <w:rsid w:val="288A498F"/>
    <w:rsid w:val="288D1E6A"/>
    <w:rsid w:val="28D03B04"/>
    <w:rsid w:val="28F14F66"/>
    <w:rsid w:val="28F434A6"/>
    <w:rsid w:val="290D291B"/>
    <w:rsid w:val="291017C1"/>
    <w:rsid w:val="29266367"/>
    <w:rsid w:val="29365433"/>
    <w:rsid w:val="294C1054"/>
    <w:rsid w:val="295A6FEB"/>
    <w:rsid w:val="295E42C2"/>
    <w:rsid w:val="29736AC1"/>
    <w:rsid w:val="29762802"/>
    <w:rsid w:val="298F31CF"/>
    <w:rsid w:val="29950374"/>
    <w:rsid w:val="29A2407B"/>
    <w:rsid w:val="29F456B3"/>
    <w:rsid w:val="2A2131CB"/>
    <w:rsid w:val="2A247E66"/>
    <w:rsid w:val="2A265B00"/>
    <w:rsid w:val="2A4A5C57"/>
    <w:rsid w:val="2A6A1E08"/>
    <w:rsid w:val="2A6A38F4"/>
    <w:rsid w:val="2A732EBC"/>
    <w:rsid w:val="2A992FD3"/>
    <w:rsid w:val="2AA76CB7"/>
    <w:rsid w:val="2AB05831"/>
    <w:rsid w:val="2AB86B60"/>
    <w:rsid w:val="2ABA2946"/>
    <w:rsid w:val="2AC444DE"/>
    <w:rsid w:val="2AC526B5"/>
    <w:rsid w:val="2AE64553"/>
    <w:rsid w:val="2AEF34B7"/>
    <w:rsid w:val="2AF31326"/>
    <w:rsid w:val="2AF668CA"/>
    <w:rsid w:val="2AF915A0"/>
    <w:rsid w:val="2B0F45C8"/>
    <w:rsid w:val="2B1E6E7A"/>
    <w:rsid w:val="2B203F1D"/>
    <w:rsid w:val="2B220DB0"/>
    <w:rsid w:val="2B2F508E"/>
    <w:rsid w:val="2B35697F"/>
    <w:rsid w:val="2B475C62"/>
    <w:rsid w:val="2B506A3E"/>
    <w:rsid w:val="2B56796D"/>
    <w:rsid w:val="2B5C50BE"/>
    <w:rsid w:val="2B5E56EA"/>
    <w:rsid w:val="2B7679D2"/>
    <w:rsid w:val="2B7A53A6"/>
    <w:rsid w:val="2B9427F4"/>
    <w:rsid w:val="2B9D6077"/>
    <w:rsid w:val="2BA218CA"/>
    <w:rsid w:val="2BC94A03"/>
    <w:rsid w:val="2BCD1D0F"/>
    <w:rsid w:val="2BEA79C9"/>
    <w:rsid w:val="2C0559CB"/>
    <w:rsid w:val="2C096623"/>
    <w:rsid w:val="2C0C3BED"/>
    <w:rsid w:val="2C144DE1"/>
    <w:rsid w:val="2C3306E6"/>
    <w:rsid w:val="2C3E1E2A"/>
    <w:rsid w:val="2C401FD2"/>
    <w:rsid w:val="2C5D7C5E"/>
    <w:rsid w:val="2C60361F"/>
    <w:rsid w:val="2C683B4E"/>
    <w:rsid w:val="2C8310B8"/>
    <w:rsid w:val="2C932114"/>
    <w:rsid w:val="2CAD4098"/>
    <w:rsid w:val="2CB35427"/>
    <w:rsid w:val="2CF83235"/>
    <w:rsid w:val="2D064E55"/>
    <w:rsid w:val="2D114F87"/>
    <w:rsid w:val="2D1F5542"/>
    <w:rsid w:val="2D293BE4"/>
    <w:rsid w:val="2D311C05"/>
    <w:rsid w:val="2D3B5B48"/>
    <w:rsid w:val="2D446F31"/>
    <w:rsid w:val="2D532463"/>
    <w:rsid w:val="2D5661B6"/>
    <w:rsid w:val="2D894935"/>
    <w:rsid w:val="2D8E6186"/>
    <w:rsid w:val="2D9D677F"/>
    <w:rsid w:val="2DA15DC0"/>
    <w:rsid w:val="2DA502A0"/>
    <w:rsid w:val="2DDD5FBB"/>
    <w:rsid w:val="2DE169D1"/>
    <w:rsid w:val="2DED6716"/>
    <w:rsid w:val="2E1027A6"/>
    <w:rsid w:val="2E2F7D36"/>
    <w:rsid w:val="2E505D63"/>
    <w:rsid w:val="2E7715BC"/>
    <w:rsid w:val="2E8807F2"/>
    <w:rsid w:val="2E8D3E69"/>
    <w:rsid w:val="2EB30774"/>
    <w:rsid w:val="2EB551DE"/>
    <w:rsid w:val="2EBC64B1"/>
    <w:rsid w:val="2ECB2DF5"/>
    <w:rsid w:val="2ED718A0"/>
    <w:rsid w:val="2EEB2EDF"/>
    <w:rsid w:val="2EEC2C79"/>
    <w:rsid w:val="2F022A12"/>
    <w:rsid w:val="2F245485"/>
    <w:rsid w:val="2F2B399A"/>
    <w:rsid w:val="2F394E77"/>
    <w:rsid w:val="2F492B7F"/>
    <w:rsid w:val="2F496FDA"/>
    <w:rsid w:val="2F4F3FB1"/>
    <w:rsid w:val="2F5E1713"/>
    <w:rsid w:val="2F6F7F88"/>
    <w:rsid w:val="2F930E45"/>
    <w:rsid w:val="2FA41E72"/>
    <w:rsid w:val="2FBC1458"/>
    <w:rsid w:val="2FD71F56"/>
    <w:rsid w:val="2FDE5A18"/>
    <w:rsid w:val="2FF62D4B"/>
    <w:rsid w:val="30017A92"/>
    <w:rsid w:val="3027114F"/>
    <w:rsid w:val="302952A0"/>
    <w:rsid w:val="30316E1F"/>
    <w:rsid w:val="30485C58"/>
    <w:rsid w:val="30953952"/>
    <w:rsid w:val="30AC30EB"/>
    <w:rsid w:val="30B4526C"/>
    <w:rsid w:val="30C45BA8"/>
    <w:rsid w:val="30CA204C"/>
    <w:rsid w:val="30CF5403"/>
    <w:rsid w:val="30D061CB"/>
    <w:rsid w:val="3104177B"/>
    <w:rsid w:val="310A72C9"/>
    <w:rsid w:val="31321010"/>
    <w:rsid w:val="31471D12"/>
    <w:rsid w:val="31504453"/>
    <w:rsid w:val="31825227"/>
    <w:rsid w:val="319C5DF0"/>
    <w:rsid w:val="31B27E74"/>
    <w:rsid w:val="31BC000C"/>
    <w:rsid w:val="320A67AD"/>
    <w:rsid w:val="322C1F03"/>
    <w:rsid w:val="322E73BC"/>
    <w:rsid w:val="323D7C6C"/>
    <w:rsid w:val="3245283E"/>
    <w:rsid w:val="32471520"/>
    <w:rsid w:val="325A75B2"/>
    <w:rsid w:val="32834F3D"/>
    <w:rsid w:val="328714F2"/>
    <w:rsid w:val="328C11F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7A80"/>
    <w:rsid w:val="334B2072"/>
    <w:rsid w:val="33664CA0"/>
    <w:rsid w:val="33807E59"/>
    <w:rsid w:val="33A82684"/>
    <w:rsid w:val="33C96253"/>
    <w:rsid w:val="33D11142"/>
    <w:rsid w:val="33D11A1E"/>
    <w:rsid w:val="33E91882"/>
    <w:rsid w:val="33F8070C"/>
    <w:rsid w:val="3404068C"/>
    <w:rsid w:val="343C24E1"/>
    <w:rsid w:val="34457564"/>
    <w:rsid w:val="34553D29"/>
    <w:rsid w:val="346C2AF7"/>
    <w:rsid w:val="34811922"/>
    <w:rsid w:val="34917CAB"/>
    <w:rsid w:val="349B0265"/>
    <w:rsid w:val="34A36B6F"/>
    <w:rsid w:val="34B13DF2"/>
    <w:rsid w:val="34B96BDC"/>
    <w:rsid w:val="34D203FA"/>
    <w:rsid w:val="34D6134E"/>
    <w:rsid w:val="34D813D8"/>
    <w:rsid w:val="34DB685E"/>
    <w:rsid w:val="34E658C5"/>
    <w:rsid w:val="34EC1397"/>
    <w:rsid w:val="34FA72AC"/>
    <w:rsid w:val="350E11D3"/>
    <w:rsid w:val="3512485D"/>
    <w:rsid w:val="35150A2C"/>
    <w:rsid w:val="35207836"/>
    <w:rsid w:val="353B53F1"/>
    <w:rsid w:val="35511EF0"/>
    <w:rsid w:val="355C6381"/>
    <w:rsid w:val="356C4852"/>
    <w:rsid w:val="36184525"/>
    <w:rsid w:val="361A0FA2"/>
    <w:rsid w:val="36655CAB"/>
    <w:rsid w:val="366E244F"/>
    <w:rsid w:val="36727CC7"/>
    <w:rsid w:val="36740F40"/>
    <w:rsid w:val="369055B0"/>
    <w:rsid w:val="369B18B9"/>
    <w:rsid w:val="36A26C14"/>
    <w:rsid w:val="36A93383"/>
    <w:rsid w:val="36AA5201"/>
    <w:rsid w:val="36AC5AB1"/>
    <w:rsid w:val="36BC5B6B"/>
    <w:rsid w:val="36D34894"/>
    <w:rsid w:val="36DD737D"/>
    <w:rsid w:val="36F4428E"/>
    <w:rsid w:val="37011180"/>
    <w:rsid w:val="37011845"/>
    <w:rsid w:val="3709016E"/>
    <w:rsid w:val="3715322A"/>
    <w:rsid w:val="37153B3A"/>
    <w:rsid w:val="37166D54"/>
    <w:rsid w:val="3727419D"/>
    <w:rsid w:val="372C13D9"/>
    <w:rsid w:val="37463FF3"/>
    <w:rsid w:val="374E715A"/>
    <w:rsid w:val="376527CB"/>
    <w:rsid w:val="376A2CC1"/>
    <w:rsid w:val="37812B9D"/>
    <w:rsid w:val="37884EA7"/>
    <w:rsid w:val="3795570B"/>
    <w:rsid w:val="37A500F2"/>
    <w:rsid w:val="37F46DA2"/>
    <w:rsid w:val="380217E9"/>
    <w:rsid w:val="3805642C"/>
    <w:rsid w:val="382656F6"/>
    <w:rsid w:val="3852030E"/>
    <w:rsid w:val="38545F3D"/>
    <w:rsid w:val="385639A3"/>
    <w:rsid w:val="38710670"/>
    <w:rsid w:val="38872AC5"/>
    <w:rsid w:val="38B03021"/>
    <w:rsid w:val="38C519CF"/>
    <w:rsid w:val="38EC5F48"/>
    <w:rsid w:val="392E366E"/>
    <w:rsid w:val="39371642"/>
    <w:rsid w:val="394C1291"/>
    <w:rsid w:val="39580E43"/>
    <w:rsid w:val="399824E9"/>
    <w:rsid w:val="399D57D2"/>
    <w:rsid w:val="39A22631"/>
    <w:rsid w:val="39A6412A"/>
    <w:rsid w:val="39DE6AFE"/>
    <w:rsid w:val="39E07271"/>
    <w:rsid w:val="39E724B2"/>
    <w:rsid w:val="39FD348B"/>
    <w:rsid w:val="3A1E6E1F"/>
    <w:rsid w:val="3A2B0C62"/>
    <w:rsid w:val="3A3A12F7"/>
    <w:rsid w:val="3A404C6B"/>
    <w:rsid w:val="3A8B6D97"/>
    <w:rsid w:val="3A8E088F"/>
    <w:rsid w:val="3A912305"/>
    <w:rsid w:val="3AC46B2F"/>
    <w:rsid w:val="3ADA0F97"/>
    <w:rsid w:val="3ADA4E5D"/>
    <w:rsid w:val="3B041523"/>
    <w:rsid w:val="3B0F0176"/>
    <w:rsid w:val="3B4712F0"/>
    <w:rsid w:val="3B4C7454"/>
    <w:rsid w:val="3B516F33"/>
    <w:rsid w:val="3B572FA7"/>
    <w:rsid w:val="3B916482"/>
    <w:rsid w:val="3B95144C"/>
    <w:rsid w:val="3BB275DB"/>
    <w:rsid w:val="3BB358D4"/>
    <w:rsid w:val="3BB74D38"/>
    <w:rsid w:val="3BB96CDC"/>
    <w:rsid w:val="3BBF0321"/>
    <w:rsid w:val="3BCD02B3"/>
    <w:rsid w:val="3BD02D4C"/>
    <w:rsid w:val="3BDF73F8"/>
    <w:rsid w:val="3BF027DE"/>
    <w:rsid w:val="3C3E2F5F"/>
    <w:rsid w:val="3C4960AA"/>
    <w:rsid w:val="3C566572"/>
    <w:rsid w:val="3C62760B"/>
    <w:rsid w:val="3C651E77"/>
    <w:rsid w:val="3C7559B6"/>
    <w:rsid w:val="3C767C8E"/>
    <w:rsid w:val="3C8574F8"/>
    <w:rsid w:val="3C8C6973"/>
    <w:rsid w:val="3CA26136"/>
    <w:rsid w:val="3CA56B3A"/>
    <w:rsid w:val="3CB21257"/>
    <w:rsid w:val="3CB74ABF"/>
    <w:rsid w:val="3CC1168F"/>
    <w:rsid w:val="3CCF7E30"/>
    <w:rsid w:val="3CD05BA2"/>
    <w:rsid w:val="3CE70BE7"/>
    <w:rsid w:val="3CE75975"/>
    <w:rsid w:val="3CFA4AC8"/>
    <w:rsid w:val="3D091EED"/>
    <w:rsid w:val="3D1C42B4"/>
    <w:rsid w:val="3D3046CF"/>
    <w:rsid w:val="3D432C51"/>
    <w:rsid w:val="3D5E0746"/>
    <w:rsid w:val="3D96772E"/>
    <w:rsid w:val="3D9F5DA2"/>
    <w:rsid w:val="3DA71D61"/>
    <w:rsid w:val="3DDF42CD"/>
    <w:rsid w:val="3DEA460C"/>
    <w:rsid w:val="3E0569D8"/>
    <w:rsid w:val="3E22580F"/>
    <w:rsid w:val="3E4608B3"/>
    <w:rsid w:val="3E646DF3"/>
    <w:rsid w:val="3E6F5651"/>
    <w:rsid w:val="3E7036C1"/>
    <w:rsid w:val="3E805F39"/>
    <w:rsid w:val="3E8D60F8"/>
    <w:rsid w:val="3E9A5CCE"/>
    <w:rsid w:val="3E9C5AA9"/>
    <w:rsid w:val="3EA044E7"/>
    <w:rsid w:val="3EAD7215"/>
    <w:rsid w:val="3EB219E2"/>
    <w:rsid w:val="3EB90FCC"/>
    <w:rsid w:val="3ECB22DC"/>
    <w:rsid w:val="3ED71A22"/>
    <w:rsid w:val="3EE11BF9"/>
    <w:rsid w:val="3EEE74A7"/>
    <w:rsid w:val="3F005F77"/>
    <w:rsid w:val="3F0A48B4"/>
    <w:rsid w:val="3F150776"/>
    <w:rsid w:val="3F475C17"/>
    <w:rsid w:val="3F484CE3"/>
    <w:rsid w:val="3F572D6A"/>
    <w:rsid w:val="3F5A7576"/>
    <w:rsid w:val="3F665E1E"/>
    <w:rsid w:val="3F6727CC"/>
    <w:rsid w:val="3F6E4AFF"/>
    <w:rsid w:val="3F744824"/>
    <w:rsid w:val="3F7C6630"/>
    <w:rsid w:val="3F8811D3"/>
    <w:rsid w:val="3F896A3F"/>
    <w:rsid w:val="3FA22F1C"/>
    <w:rsid w:val="3FB51764"/>
    <w:rsid w:val="3FCE4814"/>
    <w:rsid w:val="3FDA3396"/>
    <w:rsid w:val="3FE60119"/>
    <w:rsid w:val="400010CF"/>
    <w:rsid w:val="4007456B"/>
    <w:rsid w:val="400C6A15"/>
    <w:rsid w:val="40175FA1"/>
    <w:rsid w:val="401914D7"/>
    <w:rsid w:val="4022617C"/>
    <w:rsid w:val="40441617"/>
    <w:rsid w:val="405F34A4"/>
    <w:rsid w:val="4066762F"/>
    <w:rsid w:val="40687C0A"/>
    <w:rsid w:val="406C4F6B"/>
    <w:rsid w:val="406E215E"/>
    <w:rsid w:val="407077FC"/>
    <w:rsid w:val="40885CFC"/>
    <w:rsid w:val="408A04C2"/>
    <w:rsid w:val="409D1EF2"/>
    <w:rsid w:val="40A66866"/>
    <w:rsid w:val="40B25CC9"/>
    <w:rsid w:val="40C444AC"/>
    <w:rsid w:val="40CB7559"/>
    <w:rsid w:val="40D57144"/>
    <w:rsid w:val="40D8005F"/>
    <w:rsid w:val="40D81BCC"/>
    <w:rsid w:val="40E3605B"/>
    <w:rsid w:val="40EA2AC6"/>
    <w:rsid w:val="40F301A1"/>
    <w:rsid w:val="411C5741"/>
    <w:rsid w:val="412169AB"/>
    <w:rsid w:val="412935A8"/>
    <w:rsid w:val="413E65A9"/>
    <w:rsid w:val="414002E4"/>
    <w:rsid w:val="41601239"/>
    <w:rsid w:val="416C18D4"/>
    <w:rsid w:val="416D0FF6"/>
    <w:rsid w:val="418C2B90"/>
    <w:rsid w:val="41923943"/>
    <w:rsid w:val="41A55381"/>
    <w:rsid w:val="41A945C9"/>
    <w:rsid w:val="41C85B0C"/>
    <w:rsid w:val="41CD0A97"/>
    <w:rsid w:val="41D20116"/>
    <w:rsid w:val="41DB1250"/>
    <w:rsid w:val="41EC520B"/>
    <w:rsid w:val="420E6542"/>
    <w:rsid w:val="420F5F84"/>
    <w:rsid w:val="4212697D"/>
    <w:rsid w:val="42235F66"/>
    <w:rsid w:val="425655B2"/>
    <w:rsid w:val="42620EA3"/>
    <w:rsid w:val="427054CC"/>
    <w:rsid w:val="427767A6"/>
    <w:rsid w:val="42A130FB"/>
    <w:rsid w:val="42A62905"/>
    <w:rsid w:val="42B2542B"/>
    <w:rsid w:val="42C82D73"/>
    <w:rsid w:val="42D15918"/>
    <w:rsid w:val="42D55C9F"/>
    <w:rsid w:val="42D77676"/>
    <w:rsid w:val="42D97164"/>
    <w:rsid w:val="42DB29E8"/>
    <w:rsid w:val="42DD5DF7"/>
    <w:rsid w:val="42DE01FF"/>
    <w:rsid w:val="42E53166"/>
    <w:rsid w:val="42E629D6"/>
    <w:rsid w:val="42F00837"/>
    <w:rsid w:val="430171B0"/>
    <w:rsid w:val="4308107D"/>
    <w:rsid w:val="43137895"/>
    <w:rsid w:val="431E3132"/>
    <w:rsid w:val="432423CA"/>
    <w:rsid w:val="43306B09"/>
    <w:rsid w:val="43317C5A"/>
    <w:rsid w:val="433A234A"/>
    <w:rsid w:val="433C7294"/>
    <w:rsid w:val="43471255"/>
    <w:rsid w:val="43492730"/>
    <w:rsid w:val="43612C17"/>
    <w:rsid w:val="436335C1"/>
    <w:rsid w:val="437A03B0"/>
    <w:rsid w:val="43A309ED"/>
    <w:rsid w:val="43B52EB0"/>
    <w:rsid w:val="43BC74FF"/>
    <w:rsid w:val="43C505C7"/>
    <w:rsid w:val="43D50AAC"/>
    <w:rsid w:val="4403419F"/>
    <w:rsid w:val="440D3DE2"/>
    <w:rsid w:val="441311AD"/>
    <w:rsid w:val="44184399"/>
    <w:rsid w:val="441B033A"/>
    <w:rsid w:val="441F48E6"/>
    <w:rsid w:val="44206DF4"/>
    <w:rsid w:val="445631E2"/>
    <w:rsid w:val="44687E01"/>
    <w:rsid w:val="44800C70"/>
    <w:rsid w:val="44866B62"/>
    <w:rsid w:val="448A0CEA"/>
    <w:rsid w:val="44911E58"/>
    <w:rsid w:val="449A491B"/>
    <w:rsid w:val="44BA2889"/>
    <w:rsid w:val="44D00F78"/>
    <w:rsid w:val="44D9608F"/>
    <w:rsid w:val="44DD79AD"/>
    <w:rsid w:val="44F6411C"/>
    <w:rsid w:val="44FB7075"/>
    <w:rsid w:val="44FE579E"/>
    <w:rsid w:val="45095F8B"/>
    <w:rsid w:val="45177397"/>
    <w:rsid w:val="451C7A07"/>
    <w:rsid w:val="451D3D48"/>
    <w:rsid w:val="452F6DA5"/>
    <w:rsid w:val="45326C04"/>
    <w:rsid w:val="453D0A05"/>
    <w:rsid w:val="45470A25"/>
    <w:rsid w:val="455117BC"/>
    <w:rsid w:val="45826D5F"/>
    <w:rsid w:val="45922F2E"/>
    <w:rsid w:val="459C154F"/>
    <w:rsid w:val="45B730F5"/>
    <w:rsid w:val="45DF0041"/>
    <w:rsid w:val="45ED14D1"/>
    <w:rsid w:val="460F4C9E"/>
    <w:rsid w:val="46183AC4"/>
    <w:rsid w:val="461F626B"/>
    <w:rsid w:val="46233ABA"/>
    <w:rsid w:val="4624161A"/>
    <w:rsid w:val="46325936"/>
    <w:rsid w:val="463D6EAB"/>
    <w:rsid w:val="467A0A80"/>
    <w:rsid w:val="468C783F"/>
    <w:rsid w:val="469E0B1C"/>
    <w:rsid w:val="46C43DFD"/>
    <w:rsid w:val="46C658DD"/>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D76015"/>
    <w:rsid w:val="47EC0B8D"/>
    <w:rsid w:val="47F14A01"/>
    <w:rsid w:val="48147D66"/>
    <w:rsid w:val="481B1237"/>
    <w:rsid w:val="481F46B4"/>
    <w:rsid w:val="482D61EC"/>
    <w:rsid w:val="48692623"/>
    <w:rsid w:val="486C5637"/>
    <w:rsid w:val="487440EF"/>
    <w:rsid w:val="487D1316"/>
    <w:rsid w:val="48930CED"/>
    <w:rsid w:val="48B53457"/>
    <w:rsid w:val="48D163DC"/>
    <w:rsid w:val="48D502BA"/>
    <w:rsid w:val="48DB397A"/>
    <w:rsid w:val="490512C2"/>
    <w:rsid w:val="490F253E"/>
    <w:rsid w:val="491B39F4"/>
    <w:rsid w:val="49305983"/>
    <w:rsid w:val="49393C16"/>
    <w:rsid w:val="4960577A"/>
    <w:rsid w:val="497118A5"/>
    <w:rsid w:val="49714FD0"/>
    <w:rsid w:val="497B202F"/>
    <w:rsid w:val="497B6643"/>
    <w:rsid w:val="49983070"/>
    <w:rsid w:val="49AD60D6"/>
    <w:rsid w:val="49D96D5F"/>
    <w:rsid w:val="49E13CAB"/>
    <w:rsid w:val="49FD2216"/>
    <w:rsid w:val="4A2B69D7"/>
    <w:rsid w:val="4A3B0DB6"/>
    <w:rsid w:val="4A413409"/>
    <w:rsid w:val="4A432B78"/>
    <w:rsid w:val="4A4F3F6E"/>
    <w:rsid w:val="4A5D6850"/>
    <w:rsid w:val="4A630034"/>
    <w:rsid w:val="4A6C14BA"/>
    <w:rsid w:val="4A6F4ABD"/>
    <w:rsid w:val="4A7F6351"/>
    <w:rsid w:val="4A7F7F08"/>
    <w:rsid w:val="4A8A0B14"/>
    <w:rsid w:val="4AA06B93"/>
    <w:rsid w:val="4AA159FA"/>
    <w:rsid w:val="4AA8740F"/>
    <w:rsid w:val="4ABD0B17"/>
    <w:rsid w:val="4AC77230"/>
    <w:rsid w:val="4ACF1E78"/>
    <w:rsid w:val="4B035255"/>
    <w:rsid w:val="4B044DE2"/>
    <w:rsid w:val="4B061E6B"/>
    <w:rsid w:val="4B062BFE"/>
    <w:rsid w:val="4B421A54"/>
    <w:rsid w:val="4B431732"/>
    <w:rsid w:val="4B4E04D0"/>
    <w:rsid w:val="4B4F0BFF"/>
    <w:rsid w:val="4B571200"/>
    <w:rsid w:val="4B6D1217"/>
    <w:rsid w:val="4B7E0D23"/>
    <w:rsid w:val="4B9E6EE0"/>
    <w:rsid w:val="4BA546C2"/>
    <w:rsid w:val="4BA54A8E"/>
    <w:rsid w:val="4BBD051F"/>
    <w:rsid w:val="4BC46989"/>
    <w:rsid w:val="4BDE7972"/>
    <w:rsid w:val="4BE90A20"/>
    <w:rsid w:val="4C015B4F"/>
    <w:rsid w:val="4C0356AB"/>
    <w:rsid w:val="4C385C4C"/>
    <w:rsid w:val="4C4C72A5"/>
    <w:rsid w:val="4C61748B"/>
    <w:rsid w:val="4C763CF9"/>
    <w:rsid w:val="4C8D502F"/>
    <w:rsid w:val="4C8E0C2E"/>
    <w:rsid w:val="4CA36A56"/>
    <w:rsid w:val="4CA55CB8"/>
    <w:rsid w:val="4CAD452A"/>
    <w:rsid w:val="4CB21034"/>
    <w:rsid w:val="4CC03C95"/>
    <w:rsid w:val="4CD06E80"/>
    <w:rsid w:val="4CE639B0"/>
    <w:rsid w:val="4CEF29D1"/>
    <w:rsid w:val="4CF748BC"/>
    <w:rsid w:val="4D041A34"/>
    <w:rsid w:val="4D0E3C26"/>
    <w:rsid w:val="4D104631"/>
    <w:rsid w:val="4D1566DC"/>
    <w:rsid w:val="4D357D25"/>
    <w:rsid w:val="4D3A3E8E"/>
    <w:rsid w:val="4D5511F8"/>
    <w:rsid w:val="4D6B51CA"/>
    <w:rsid w:val="4D8551EB"/>
    <w:rsid w:val="4D8834DB"/>
    <w:rsid w:val="4D986247"/>
    <w:rsid w:val="4DA53207"/>
    <w:rsid w:val="4DB071FA"/>
    <w:rsid w:val="4DC40DEA"/>
    <w:rsid w:val="4DC64B94"/>
    <w:rsid w:val="4DF07467"/>
    <w:rsid w:val="4DF456D0"/>
    <w:rsid w:val="4E1124EE"/>
    <w:rsid w:val="4E1847E7"/>
    <w:rsid w:val="4E26294E"/>
    <w:rsid w:val="4E2A1640"/>
    <w:rsid w:val="4E865377"/>
    <w:rsid w:val="4E8866DA"/>
    <w:rsid w:val="4E9F3141"/>
    <w:rsid w:val="4EBC274F"/>
    <w:rsid w:val="4EBF1486"/>
    <w:rsid w:val="4EC062D0"/>
    <w:rsid w:val="4EC460E2"/>
    <w:rsid w:val="4EE346C3"/>
    <w:rsid w:val="4EED234D"/>
    <w:rsid w:val="4F0168BF"/>
    <w:rsid w:val="4F075432"/>
    <w:rsid w:val="4F1A3BDC"/>
    <w:rsid w:val="4F332BAD"/>
    <w:rsid w:val="4F36695D"/>
    <w:rsid w:val="4F3E5630"/>
    <w:rsid w:val="4F5B58C6"/>
    <w:rsid w:val="4F632C03"/>
    <w:rsid w:val="4F7505EE"/>
    <w:rsid w:val="4F8D40DB"/>
    <w:rsid w:val="4F977ABB"/>
    <w:rsid w:val="4FA5315B"/>
    <w:rsid w:val="4FB04568"/>
    <w:rsid w:val="4FBC72F1"/>
    <w:rsid w:val="4FC1002A"/>
    <w:rsid w:val="4FC7054C"/>
    <w:rsid w:val="4FF87792"/>
    <w:rsid w:val="504C0A3B"/>
    <w:rsid w:val="50753D27"/>
    <w:rsid w:val="507A3DB4"/>
    <w:rsid w:val="509542A0"/>
    <w:rsid w:val="50A845CE"/>
    <w:rsid w:val="50AA2519"/>
    <w:rsid w:val="50AE5BBD"/>
    <w:rsid w:val="50BD7E7B"/>
    <w:rsid w:val="50F85490"/>
    <w:rsid w:val="511621A9"/>
    <w:rsid w:val="511D7CAD"/>
    <w:rsid w:val="512A7764"/>
    <w:rsid w:val="513D6936"/>
    <w:rsid w:val="513D7062"/>
    <w:rsid w:val="51431C53"/>
    <w:rsid w:val="516C6A0D"/>
    <w:rsid w:val="517A634E"/>
    <w:rsid w:val="51AD129E"/>
    <w:rsid w:val="51C70402"/>
    <w:rsid w:val="51F467CB"/>
    <w:rsid w:val="52096BB8"/>
    <w:rsid w:val="52120A08"/>
    <w:rsid w:val="521F007E"/>
    <w:rsid w:val="523E3EED"/>
    <w:rsid w:val="523F1E03"/>
    <w:rsid w:val="5261734A"/>
    <w:rsid w:val="526A6404"/>
    <w:rsid w:val="52B20616"/>
    <w:rsid w:val="52BA5F77"/>
    <w:rsid w:val="52C726B0"/>
    <w:rsid w:val="52CF6267"/>
    <w:rsid w:val="52DF533E"/>
    <w:rsid w:val="52E066CA"/>
    <w:rsid w:val="52E62FCC"/>
    <w:rsid w:val="53023555"/>
    <w:rsid w:val="531766E5"/>
    <w:rsid w:val="5318425C"/>
    <w:rsid w:val="533508A0"/>
    <w:rsid w:val="53591993"/>
    <w:rsid w:val="535F0552"/>
    <w:rsid w:val="5370018E"/>
    <w:rsid w:val="53801621"/>
    <w:rsid w:val="53841DC1"/>
    <w:rsid w:val="538B0BC7"/>
    <w:rsid w:val="538B40CF"/>
    <w:rsid w:val="5391176E"/>
    <w:rsid w:val="53B51196"/>
    <w:rsid w:val="53D119A7"/>
    <w:rsid w:val="53E06DED"/>
    <w:rsid w:val="540C56E6"/>
    <w:rsid w:val="541212FA"/>
    <w:rsid w:val="54177F2A"/>
    <w:rsid w:val="542E67D7"/>
    <w:rsid w:val="54305749"/>
    <w:rsid w:val="54401F05"/>
    <w:rsid w:val="54B425B4"/>
    <w:rsid w:val="54BB65B7"/>
    <w:rsid w:val="54BD22F6"/>
    <w:rsid w:val="54CD2479"/>
    <w:rsid w:val="54CD2A46"/>
    <w:rsid w:val="54D45DB6"/>
    <w:rsid w:val="54E310D2"/>
    <w:rsid w:val="54ED446D"/>
    <w:rsid w:val="54EE3D97"/>
    <w:rsid w:val="54F104AF"/>
    <w:rsid w:val="54FD6CAA"/>
    <w:rsid w:val="55345D87"/>
    <w:rsid w:val="556526ED"/>
    <w:rsid w:val="559B0682"/>
    <w:rsid w:val="55A60FB5"/>
    <w:rsid w:val="55A76503"/>
    <w:rsid w:val="55A87A53"/>
    <w:rsid w:val="55B670AB"/>
    <w:rsid w:val="55D56DC0"/>
    <w:rsid w:val="55D81FF1"/>
    <w:rsid w:val="56062000"/>
    <w:rsid w:val="560C7765"/>
    <w:rsid w:val="56166407"/>
    <w:rsid w:val="56182109"/>
    <w:rsid w:val="56193E1A"/>
    <w:rsid w:val="562123F5"/>
    <w:rsid w:val="5621502B"/>
    <w:rsid w:val="562855F0"/>
    <w:rsid w:val="56361813"/>
    <w:rsid w:val="564B7885"/>
    <w:rsid w:val="56557F2A"/>
    <w:rsid w:val="5664269D"/>
    <w:rsid w:val="56652877"/>
    <w:rsid w:val="566C2061"/>
    <w:rsid w:val="566E5C93"/>
    <w:rsid w:val="5680063F"/>
    <w:rsid w:val="568216F5"/>
    <w:rsid w:val="56944FF7"/>
    <w:rsid w:val="569C78AC"/>
    <w:rsid w:val="56A40851"/>
    <w:rsid w:val="56A53E28"/>
    <w:rsid w:val="56B3209D"/>
    <w:rsid w:val="56B50B18"/>
    <w:rsid w:val="56D730D8"/>
    <w:rsid w:val="56D872FE"/>
    <w:rsid w:val="56EF559C"/>
    <w:rsid w:val="572B6068"/>
    <w:rsid w:val="572C75A3"/>
    <w:rsid w:val="575572FA"/>
    <w:rsid w:val="57585553"/>
    <w:rsid w:val="57813D4D"/>
    <w:rsid w:val="57884098"/>
    <w:rsid w:val="578B2830"/>
    <w:rsid w:val="578F038A"/>
    <w:rsid w:val="579B51E2"/>
    <w:rsid w:val="57A71098"/>
    <w:rsid w:val="57A96060"/>
    <w:rsid w:val="57AC622D"/>
    <w:rsid w:val="57E12249"/>
    <w:rsid w:val="57EE3AD2"/>
    <w:rsid w:val="57F81EB5"/>
    <w:rsid w:val="5820641F"/>
    <w:rsid w:val="58367653"/>
    <w:rsid w:val="584A0BB0"/>
    <w:rsid w:val="584F7701"/>
    <w:rsid w:val="585A1E2F"/>
    <w:rsid w:val="589950B6"/>
    <w:rsid w:val="58A1428B"/>
    <w:rsid w:val="58A36AD4"/>
    <w:rsid w:val="58C04415"/>
    <w:rsid w:val="58D42829"/>
    <w:rsid w:val="58D75E75"/>
    <w:rsid w:val="58EB1921"/>
    <w:rsid w:val="58EE5B7D"/>
    <w:rsid w:val="58F453D4"/>
    <w:rsid w:val="58FF103C"/>
    <w:rsid w:val="58FF12EC"/>
    <w:rsid w:val="59182A41"/>
    <w:rsid w:val="591A273A"/>
    <w:rsid w:val="59321999"/>
    <w:rsid w:val="596610AC"/>
    <w:rsid w:val="59670D9F"/>
    <w:rsid w:val="59676829"/>
    <w:rsid w:val="596C385F"/>
    <w:rsid w:val="597441DC"/>
    <w:rsid w:val="598F04FE"/>
    <w:rsid w:val="599C6F14"/>
    <w:rsid w:val="59BB461D"/>
    <w:rsid w:val="59DF580C"/>
    <w:rsid w:val="59E04C73"/>
    <w:rsid w:val="59E26AC7"/>
    <w:rsid w:val="59EF059B"/>
    <w:rsid w:val="59F24B99"/>
    <w:rsid w:val="59FC2067"/>
    <w:rsid w:val="59FC23B2"/>
    <w:rsid w:val="5A36511C"/>
    <w:rsid w:val="5A416DDE"/>
    <w:rsid w:val="5A4246F1"/>
    <w:rsid w:val="5A4969BC"/>
    <w:rsid w:val="5A92474A"/>
    <w:rsid w:val="5A962961"/>
    <w:rsid w:val="5A9D308F"/>
    <w:rsid w:val="5A9D30EE"/>
    <w:rsid w:val="5AA84DCF"/>
    <w:rsid w:val="5ABF7882"/>
    <w:rsid w:val="5AD3593E"/>
    <w:rsid w:val="5AE54EB9"/>
    <w:rsid w:val="5AEA5B1B"/>
    <w:rsid w:val="5AFD6FDA"/>
    <w:rsid w:val="5B0C17A4"/>
    <w:rsid w:val="5B2714AA"/>
    <w:rsid w:val="5B2F01EA"/>
    <w:rsid w:val="5B337221"/>
    <w:rsid w:val="5B4938C7"/>
    <w:rsid w:val="5B5A58B4"/>
    <w:rsid w:val="5B62245C"/>
    <w:rsid w:val="5B73308B"/>
    <w:rsid w:val="5B786E37"/>
    <w:rsid w:val="5B881FF3"/>
    <w:rsid w:val="5B9849BD"/>
    <w:rsid w:val="5BA02E96"/>
    <w:rsid w:val="5BE54CA1"/>
    <w:rsid w:val="5C0C3140"/>
    <w:rsid w:val="5C1543A0"/>
    <w:rsid w:val="5C194941"/>
    <w:rsid w:val="5C197DE1"/>
    <w:rsid w:val="5C2B4F30"/>
    <w:rsid w:val="5C5B500F"/>
    <w:rsid w:val="5C637FF5"/>
    <w:rsid w:val="5C6778DA"/>
    <w:rsid w:val="5C807DFE"/>
    <w:rsid w:val="5C822DE4"/>
    <w:rsid w:val="5C887487"/>
    <w:rsid w:val="5C9A2DCD"/>
    <w:rsid w:val="5C9C75B0"/>
    <w:rsid w:val="5CA32680"/>
    <w:rsid w:val="5CA52976"/>
    <w:rsid w:val="5CBA121E"/>
    <w:rsid w:val="5CC17175"/>
    <w:rsid w:val="5CCE5B09"/>
    <w:rsid w:val="5CD40AD7"/>
    <w:rsid w:val="5CE0071B"/>
    <w:rsid w:val="5CE2128D"/>
    <w:rsid w:val="5CF33FCE"/>
    <w:rsid w:val="5CFA704D"/>
    <w:rsid w:val="5D0D0126"/>
    <w:rsid w:val="5D186C36"/>
    <w:rsid w:val="5D1D26EC"/>
    <w:rsid w:val="5D1E00BD"/>
    <w:rsid w:val="5D1F1498"/>
    <w:rsid w:val="5D4635C9"/>
    <w:rsid w:val="5D4E75ED"/>
    <w:rsid w:val="5D55562F"/>
    <w:rsid w:val="5D573BC5"/>
    <w:rsid w:val="5D5B768C"/>
    <w:rsid w:val="5D6F0C92"/>
    <w:rsid w:val="5D723A12"/>
    <w:rsid w:val="5D881E89"/>
    <w:rsid w:val="5D8F42F6"/>
    <w:rsid w:val="5DA50A7F"/>
    <w:rsid w:val="5DBE58B9"/>
    <w:rsid w:val="5DC015CE"/>
    <w:rsid w:val="5DC2330E"/>
    <w:rsid w:val="5DC2343A"/>
    <w:rsid w:val="5DCE7DB0"/>
    <w:rsid w:val="5DDA01AF"/>
    <w:rsid w:val="5DDF3501"/>
    <w:rsid w:val="5E2B7E4B"/>
    <w:rsid w:val="5E392107"/>
    <w:rsid w:val="5E4A70E9"/>
    <w:rsid w:val="5E4D08AF"/>
    <w:rsid w:val="5E696A39"/>
    <w:rsid w:val="5E714572"/>
    <w:rsid w:val="5E800D5D"/>
    <w:rsid w:val="5E856C09"/>
    <w:rsid w:val="5E8B6D01"/>
    <w:rsid w:val="5E924460"/>
    <w:rsid w:val="5EA51C59"/>
    <w:rsid w:val="5EA902B4"/>
    <w:rsid w:val="5EAD16FA"/>
    <w:rsid w:val="5EAE3550"/>
    <w:rsid w:val="5ECA608F"/>
    <w:rsid w:val="5ED517DA"/>
    <w:rsid w:val="5EE77A68"/>
    <w:rsid w:val="5EF138BE"/>
    <w:rsid w:val="5F046678"/>
    <w:rsid w:val="5F0F04E8"/>
    <w:rsid w:val="5F2D65DF"/>
    <w:rsid w:val="5F3B175D"/>
    <w:rsid w:val="5F4366D9"/>
    <w:rsid w:val="5F494F25"/>
    <w:rsid w:val="5F4960EB"/>
    <w:rsid w:val="5F540F75"/>
    <w:rsid w:val="5F5D012D"/>
    <w:rsid w:val="5F772160"/>
    <w:rsid w:val="5F7A657A"/>
    <w:rsid w:val="5F7B6664"/>
    <w:rsid w:val="5F922B50"/>
    <w:rsid w:val="5F977F6F"/>
    <w:rsid w:val="5FA21AE6"/>
    <w:rsid w:val="5FBA69EA"/>
    <w:rsid w:val="5FDA18C8"/>
    <w:rsid w:val="5FE265EC"/>
    <w:rsid w:val="5FF75C40"/>
    <w:rsid w:val="601278F7"/>
    <w:rsid w:val="601C4D80"/>
    <w:rsid w:val="60216DC4"/>
    <w:rsid w:val="602A0293"/>
    <w:rsid w:val="60342CC3"/>
    <w:rsid w:val="60364739"/>
    <w:rsid w:val="603B5FDD"/>
    <w:rsid w:val="60415BBE"/>
    <w:rsid w:val="605E171C"/>
    <w:rsid w:val="606325BD"/>
    <w:rsid w:val="606975D5"/>
    <w:rsid w:val="606F3BD7"/>
    <w:rsid w:val="6077748F"/>
    <w:rsid w:val="60793CB6"/>
    <w:rsid w:val="6089214B"/>
    <w:rsid w:val="60A145E6"/>
    <w:rsid w:val="60AA20C1"/>
    <w:rsid w:val="60B54DEB"/>
    <w:rsid w:val="60C1235D"/>
    <w:rsid w:val="60D70F73"/>
    <w:rsid w:val="60DF7711"/>
    <w:rsid w:val="60F566C0"/>
    <w:rsid w:val="610466BA"/>
    <w:rsid w:val="611F37ED"/>
    <w:rsid w:val="61266A8A"/>
    <w:rsid w:val="613C2129"/>
    <w:rsid w:val="61466780"/>
    <w:rsid w:val="614D4202"/>
    <w:rsid w:val="61550618"/>
    <w:rsid w:val="6158338D"/>
    <w:rsid w:val="619F774C"/>
    <w:rsid w:val="61AE6F66"/>
    <w:rsid w:val="61B53C02"/>
    <w:rsid w:val="61B81119"/>
    <w:rsid w:val="61C34ED2"/>
    <w:rsid w:val="61CE33AD"/>
    <w:rsid w:val="61EF0DEA"/>
    <w:rsid w:val="620D0B5A"/>
    <w:rsid w:val="622321E7"/>
    <w:rsid w:val="62261C1B"/>
    <w:rsid w:val="622A50E5"/>
    <w:rsid w:val="625F4B1E"/>
    <w:rsid w:val="627073D3"/>
    <w:rsid w:val="62AF53E2"/>
    <w:rsid w:val="62C77975"/>
    <w:rsid w:val="62EA7212"/>
    <w:rsid w:val="62F35FA1"/>
    <w:rsid w:val="63046813"/>
    <w:rsid w:val="63070E9E"/>
    <w:rsid w:val="631204B6"/>
    <w:rsid w:val="6313722F"/>
    <w:rsid w:val="63170E8C"/>
    <w:rsid w:val="632223E3"/>
    <w:rsid w:val="6329733C"/>
    <w:rsid w:val="63360512"/>
    <w:rsid w:val="63477CB5"/>
    <w:rsid w:val="636F6295"/>
    <w:rsid w:val="63703B3A"/>
    <w:rsid w:val="638D2401"/>
    <w:rsid w:val="63CC090D"/>
    <w:rsid w:val="63E92F01"/>
    <w:rsid w:val="64004E9D"/>
    <w:rsid w:val="642204A6"/>
    <w:rsid w:val="6441217E"/>
    <w:rsid w:val="64465512"/>
    <w:rsid w:val="647F701D"/>
    <w:rsid w:val="64806903"/>
    <w:rsid w:val="64895B6A"/>
    <w:rsid w:val="64955AF1"/>
    <w:rsid w:val="649E1243"/>
    <w:rsid w:val="64A93764"/>
    <w:rsid w:val="64AE7CC1"/>
    <w:rsid w:val="64B235A1"/>
    <w:rsid w:val="64DA0078"/>
    <w:rsid w:val="64DF291C"/>
    <w:rsid w:val="65190F15"/>
    <w:rsid w:val="654B6900"/>
    <w:rsid w:val="654B7F90"/>
    <w:rsid w:val="65537BAD"/>
    <w:rsid w:val="6554040F"/>
    <w:rsid w:val="659747BC"/>
    <w:rsid w:val="659A297A"/>
    <w:rsid w:val="65A04FC1"/>
    <w:rsid w:val="65A06F70"/>
    <w:rsid w:val="65A56818"/>
    <w:rsid w:val="65BE1C41"/>
    <w:rsid w:val="65BF482E"/>
    <w:rsid w:val="65C8588F"/>
    <w:rsid w:val="65DB18AB"/>
    <w:rsid w:val="65E848A4"/>
    <w:rsid w:val="660A5D1F"/>
    <w:rsid w:val="660E6469"/>
    <w:rsid w:val="663E127E"/>
    <w:rsid w:val="665E593F"/>
    <w:rsid w:val="66706BBF"/>
    <w:rsid w:val="66794BD4"/>
    <w:rsid w:val="668D3420"/>
    <w:rsid w:val="668E14E8"/>
    <w:rsid w:val="66975A5D"/>
    <w:rsid w:val="669A771F"/>
    <w:rsid w:val="66A741D3"/>
    <w:rsid w:val="66A93337"/>
    <w:rsid w:val="66A94687"/>
    <w:rsid w:val="66CA30F0"/>
    <w:rsid w:val="66CC6C3E"/>
    <w:rsid w:val="66D159E2"/>
    <w:rsid w:val="66DC2EB5"/>
    <w:rsid w:val="66EB2A4D"/>
    <w:rsid w:val="670A18CB"/>
    <w:rsid w:val="672359CC"/>
    <w:rsid w:val="672B2964"/>
    <w:rsid w:val="6736552B"/>
    <w:rsid w:val="674C7B54"/>
    <w:rsid w:val="676254A4"/>
    <w:rsid w:val="67775419"/>
    <w:rsid w:val="67B55745"/>
    <w:rsid w:val="67C9559A"/>
    <w:rsid w:val="67F307F2"/>
    <w:rsid w:val="67F87BB6"/>
    <w:rsid w:val="680C1862"/>
    <w:rsid w:val="681F32D6"/>
    <w:rsid w:val="68314B08"/>
    <w:rsid w:val="68384926"/>
    <w:rsid w:val="683A0669"/>
    <w:rsid w:val="6845444C"/>
    <w:rsid w:val="684A4382"/>
    <w:rsid w:val="685D33B6"/>
    <w:rsid w:val="68937C8E"/>
    <w:rsid w:val="689515AF"/>
    <w:rsid w:val="68A73BCC"/>
    <w:rsid w:val="68A82714"/>
    <w:rsid w:val="68BF0F67"/>
    <w:rsid w:val="68C772AF"/>
    <w:rsid w:val="68D0468F"/>
    <w:rsid w:val="68D15539"/>
    <w:rsid w:val="68D369A9"/>
    <w:rsid w:val="690752FD"/>
    <w:rsid w:val="691C0834"/>
    <w:rsid w:val="692847E5"/>
    <w:rsid w:val="692B3234"/>
    <w:rsid w:val="69301D54"/>
    <w:rsid w:val="69390362"/>
    <w:rsid w:val="693929E7"/>
    <w:rsid w:val="69457B4F"/>
    <w:rsid w:val="694806C9"/>
    <w:rsid w:val="6959726F"/>
    <w:rsid w:val="695A1B59"/>
    <w:rsid w:val="695B242B"/>
    <w:rsid w:val="69612943"/>
    <w:rsid w:val="69692B50"/>
    <w:rsid w:val="69990F25"/>
    <w:rsid w:val="69B4572C"/>
    <w:rsid w:val="69B71BB3"/>
    <w:rsid w:val="69B90741"/>
    <w:rsid w:val="69C85E70"/>
    <w:rsid w:val="69DB4916"/>
    <w:rsid w:val="69DC4E32"/>
    <w:rsid w:val="69DF0998"/>
    <w:rsid w:val="69ED61B3"/>
    <w:rsid w:val="69FB18C4"/>
    <w:rsid w:val="6A074546"/>
    <w:rsid w:val="6A0D2AE1"/>
    <w:rsid w:val="6A101BBF"/>
    <w:rsid w:val="6A3203AA"/>
    <w:rsid w:val="6A4F638F"/>
    <w:rsid w:val="6A537BB9"/>
    <w:rsid w:val="6A7225D6"/>
    <w:rsid w:val="6A7A54D2"/>
    <w:rsid w:val="6A7E5B95"/>
    <w:rsid w:val="6A9852BA"/>
    <w:rsid w:val="6AAF488C"/>
    <w:rsid w:val="6AB61B89"/>
    <w:rsid w:val="6AD766C4"/>
    <w:rsid w:val="6AEC5F8B"/>
    <w:rsid w:val="6B00125C"/>
    <w:rsid w:val="6B1603AC"/>
    <w:rsid w:val="6B22027F"/>
    <w:rsid w:val="6B235CC5"/>
    <w:rsid w:val="6B3B477B"/>
    <w:rsid w:val="6B3D5797"/>
    <w:rsid w:val="6B402405"/>
    <w:rsid w:val="6B647B3E"/>
    <w:rsid w:val="6B75439B"/>
    <w:rsid w:val="6B790AC3"/>
    <w:rsid w:val="6BAB4F7E"/>
    <w:rsid w:val="6BB21E96"/>
    <w:rsid w:val="6BDA710A"/>
    <w:rsid w:val="6BE0669F"/>
    <w:rsid w:val="6BF22B79"/>
    <w:rsid w:val="6C006D65"/>
    <w:rsid w:val="6C1D1142"/>
    <w:rsid w:val="6C1F721A"/>
    <w:rsid w:val="6C5246E2"/>
    <w:rsid w:val="6C533A14"/>
    <w:rsid w:val="6C5E099A"/>
    <w:rsid w:val="6CA5434E"/>
    <w:rsid w:val="6CC13AB5"/>
    <w:rsid w:val="6CCC5030"/>
    <w:rsid w:val="6CD22E0C"/>
    <w:rsid w:val="6CD73659"/>
    <w:rsid w:val="6CE94789"/>
    <w:rsid w:val="6CEC2DC5"/>
    <w:rsid w:val="6CFC5EEF"/>
    <w:rsid w:val="6D0B4266"/>
    <w:rsid w:val="6D1D6CAA"/>
    <w:rsid w:val="6D2732D1"/>
    <w:rsid w:val="6D2A2539"/>
    <w:rsid w:val="6D2B1EBD"/>
    <w:rsid w:val="6D341E16"/>
    <w:rsid w:val="6D4718E5"/>
    <w:rsid w:val="6D51468F"/>
    <w:rsid w:val="6D5A0950"/>
    <w:rsid w:val="6D5B61B5"/>
    <w:rsid w:val="6D5D0B1B"/>
    <w:rsid w:val="6D602485"/>
    <w:rsid w:val="6D7666D7"/>
    <w:rsid w:val="6D804E9C"/>
    <w:rsid w:val="6D8B377D"/>
    <w:rsid w:val="6D9967C3"/>
    <w:rsid w:val="6DD31ABA"/>
    <w:rsid w:val="6DD62748"/>
    <w:rsid w:val="6DE3151D"/>
    <w:rsid w:val="6DF433CA"/>
    <w:rsid w:val="6DF50BB5"/>
    <w:rsid w:val="6E027991"/>
    <w:rsid w:val="6E05419B"/>
    <w:rsid w:val="6E084776"/>
    <w:rsid w:val="6E4D16C2"/>
    <w:rsid w:val="6E600263"/>
    <w:rsid w:val="6E945FAA"/>
    <w:rsid w:val="6E9466F2"/>
    <w:rsid w:val="6E9F2F12"/>
    <w:rsid w:val="6EB6244A"/>
    <w:rsid w:val="6EDD4165"/>
    <w:rsid w:val="6EE93066"/>
    <w:rsid w:val="6EFC7F8C"/>
    <w:rsid w:val="6F0F23A5"/>
    <w:rsid w:val="6F3323B6"/>
    <w:rsid w:val="6F71208D"/>
    <w:rsid w:val="6F8B486A"/>
    <w:rsid w:val="6F8D3411"/>
    <w:rsid w:val="6FA32AFD"/>
    <w:rsid w:val="6FB47548"/>
    <w:rsid w:val="6FCC6779"/>
    <w:rsid w:val="6FCF4500"/>
    <w:rsid w:val="6FDB0845"/>
    <w:rsid w:val="6FE609DE"/>
    <w:rsid w:val="702C2AF3"/>
    <w:rsid w:val="70633D8A"/>
    <w:rsid w:val="70692127"/>
    <w:rsid w:val="70BE10E3"/>
    <w:rsid w:val="70D74143"/>
    <w:rsid w:val="70DC48F6"/>
    <w:rsid w:val="70E518FD"/>
    <w:rsid w:val="70F1652D"/>
    <w:rsid w:val="70FF65BA"/>
    <w:rsid w:val="7119570C"/>
    <w:rsid w:val="713578E8"/>
    <w:rsid w:val="714902CF"/>
    <w:rsid w:val="71605F43"/>
    <w:rsid w:val="7165112A"/>
    <w:rsid w:val="716B0037"/>
    <w:rsid w:val="71706FA5"/>
    <w:rsid w:val="71766319"/>
    <w:rsid w:val="717F2180"/>
    <w:rsid w:val="71876F01"/>
    <w:rsid w:val="718970FD"/>
    <w:rsid w:val="7190209C"/>
    <w:rsid w:val="71AC3EEB"/>
    <w:rsid w:val="71B52622"/>
    <w:rsid w:val="71C06E4D"/>
    <w:rsid w:val="71C203D6"/>
    <w:rsid w:val="71CF1988"/>
    <w:rsid w:val="71D376CA"/>
    <w:rsid w:val="71E116BB"/>
    <w:rsid w:val="71EB194C"/>
    <w:rsid w:val="720B00EB"/>
    <w:rsid w:val="720B4242"/>
    <w:rsid w:val="720E5B23"/>
    <w:rsid w:val="721E3A1D"/>
    <w:rsid w:val="722B7DA9"/>
    <w:rsid w:val="724C453E"/>
    <w:rsid w:val="7267428F"/>
    <w:rsid w:val="726C1982"/>
    <w:rsid w:val="72891276"/>
    <w:rsid w:val="728958FF"/>
    <w:rsid w:val="72AE2CC2"/>
    <w:rsid w:val="72B33F37"/>
    <w:rsid w:val="72BC737C"/>
    <w:rsid w:val="72D57684"/>
    <w:rsid w:val="72DA273B"/>
    <w:rsid w:val="72F8158D"/>
    <w:rsid w:val="730978F7"/>
    <w:rsid w:val="730F28E3"/>
    <w:rsid w:val="731062CF"/>
    <w:rsid w:val="731B4952"/>
    <w:rsid w:val="731D363B"/>
    <w:rsid w:val="73263700"/>
    <w:rsid w:val="733910D4"/>
    <w:rsid w:val="73583909"/>
    <w:rsid w:val="735F1462"/>
    <w:rsid w:val="735F55B9"/>
    <w:rsid w:val="7365703A"/>
    <w:rsid w:val="737607CF"/>
    <w:rsid w:val="73797119"/>
    <w:rsid w:val="73946613"/>
    <w:rsid w:val="739B263D"/>
    <w:rsid w:val="739D5609"/>
    <w:rsid w:val="73CD50B4"/>
    <w:rsid w:val="73D15BEA"/>
    <w:rsid w:val="73E0625D"/>
    <w:rsid w:val="73E066D1"/>
    <w:rsid w:val="74033B6B"/>
    <w:rsid w:val="7419338E"/>
    <w:rsid w:val="7431692A"/>
    <w:rsid w:val="747319F0"/>
    <w:rsid w:val="74765304"/>
    <w:rsid w:val="747E5C62"/>
    <w:rsid w:val="748A5F46"/>
    <w:rsid w:val="748C68F6"/>
    <w:rsid w:val="74A36984"/>
    <w:rsid w:val="74B82BA7"/>
    <w:rsid w:val="74CA1ECD"/>
    <w:rsid w:val="751F65C6"/>
    <w:rsid w:val="75314199"/>
    <w:rsid w:val="757604F5"/>
    <w:rsid w:val="758953DE"/>
    <w:rsid w:val="75B9050E"/>
    <w:rsid w:val="75EB43D9"/>
    <w:rsid w:val="75ED2F6B"/>
    <w:rsid w:val="75F34139"/>
    <w:rsid w:val="76046FA0"/>
    <w:rsid w:val="760D5704"/>
    <w:rsid w:val="760E16C9"/>
    <w:rsid w:val="762F11A7"/>
    <w:rsid w:val="7632699E"/>
    <w:rsid w:val="765663C5"/>
    <w:rsid w:val="765D14BF"/>
    <w:rsid w:val="765F132E"/>
    <w:rsid w:val="76741C80"/>
    <w:rsid w:val="767F76FC"/>
    <w:rsid w:val="768426B8"/>
    <w:rsid w:val="76AB29FA"/>
    <w:rsid w:val="76AD50E0"/>
    <w:rsid w:val="76B55226"/>
    <w:rsid w:val="76B73B3C"/>
    <w:rsid w:val="76BA06C1"/>
    <w:rsid w:val="76CC515E"/>
    <w:rsid w:val="76EC2476"/>
    <w:rsid w:val="772C6881"/>
    <w:rsid w:val="775D78F8"/>
    <w:rsid w:val="776542B9"/>
    <w:rsid w:val="776C5C24"/>
    <w:rsid w:val="777347E3"/>
    <w:rsid w:val="77842EE5"/>
    <w:rsid w:val="77A143A8"/>
    <w:rsid w:val="77AB7B50"/>
    <w:rsid w:val="77B55006"/>
    <w:rsid w:val="77B57B7F"/>
    <w:rsid w:val="77BC475C"/>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91176D"/>
    <w:rsid w:val="789574FE"/>
    <w:rsid w:val="789B1F8F"/>
    <w:rsid w:val="78A93894"/>
    <w:rsid w:val="78BB045C"/>
    <w:rsid w:val="78BC336B"/>
    <w:rsid w:val="78DE5352"/>
    <w:rsid w:val="78DE7370"/>
    <w:rsid w:val="7907622C"/>
    <w:rsid w:val="790C3192"/>
    <w:rsid w:val="792B7DEB"/>
    <w:rsid w:val="795137A9"/>
    <w:rsid w:val="7972072A"/>
    <w:rsid w:val="797A1559"/>
    <w:rsid w:val="797E4D4C"/>
    <w:rsid w:val="798C63B0"/>
    <w:rsid w:val="79D264B9"/>
    <w:rsid w:val="79F32939"/>
    <w:rsid w:val="7A0954CF"/>
    <w:rsid w:val="7A184A3A"/>
    <w:rsid w:val="7A24483B"/>
    <w:rsid w:val="7A293C54"/>
    <w:rsid w:val="7A2E48EE"/>
    <w:rsid w:val="7A323FBD"/>
    <w:rsid w:val="7A3507F6"/>
    <w:rsid w:val="7A357810"/>
    <w:rsid w:val="7A3909ED"/>
    <w:rsid w:val="7A3D10D0"/>
    <w:rsid w:val="7A546ECE"/>
    <w:rsid w:val="7A627DA8"/>
    <w:rsid w:val="7A682EC6"/>
    <w:rsid w:val="7A6D5E2E"/>
    <w:rsid w:val="7A8A3819"/>
    <w:rsid w:val="7A8B30C7"/>
    <w:rsid w:val="7AA17661"/>
    <w:rsid w:val="7B044E14"/>
    <w:rsid w:val="7B10410F"/>
    <w:rsid w:val="7B3676A2"/>
    <w:rsid w:val="7B497194"/>
    <w:rsid w:val="7B52292A"/>
    <w:rsid w:val="7B555510"/>
    <w:rsid w:val="7B6D5D26"/>
    <w:rsid w:val="7B724867"/>
    <w:rsid w:val="7B804440"/>
    <w:rsid w:val="7BAD23D9"/>
    <w:rsid w:val="7BB2430D"/>
    <w:rsid w:val="7BCA7B8D"/>
    <w:rsid w:val="7BD77DB7"/>
    <w:rsid w:val="7BDC53CD"/>
    <w:rsid w:val="7BE002A5"/>
    <w:rsid w:val="7BE54C28"/>
    <w:rsid w:val="7BE979FE"/>
    <w:rsid w:val="7BEA38CA"/>
    <w:rsid w:val="7BFE5868"/>
    <w:rsid w:val="7C04043D"/>
    <w:rsid w:val="7C1B2C50"/>
    <w:rsid w:val="7C203F33"/>
    <w:rsid w:val="7C53562A"/>
    <w:rsid w:val="7C5C153A"/>
    <w:rsid w:val="7C660C1B"/>
    <w:rsid w:val="7C776D68"/>
    <w:rsid w:val="7C80688E"/>
    <w:rsid w:val="7C9B47B2"/>
    <w:rsid w:val="7CA50AAA"/>
    <w:rsid w:val="7CAE0A0F"/>
    <w:rsid w:val="7CBB3364"/>
    <w:rsid w:val="7CFC2730"/>
    <w:rsid w:val="7D1924C1"/>
    <w:rsid w:val="7D1E01AA"/>
    <w:rsid w:val="7D2F3E0A"/>
    <w:rsid w:val="7D3035F3"/>
    <w:rsid w:val="7D360E0D"/>
    <w:rsid w:val="7D5D667C"/>
    <w:rsid w:val="7D902D92"/>
    <w:rsid w:val="7D9926E7"/>
    <w:rsid w:val="7D9C5444"/>
    <w:rsid w:val="7DAF1F0E"/>
    <w:rsid w:val="7DBA210A"/>
    <w:rsid w:val="7DBD2FDC"/>
    <w:rsid w:val="7DFA3120"/>
    <w:rsid w:val="7DFD433F"/>
    <w:rsid w:val="7E007EB0"/>
    <w:rsid w:val="7E162D9E"/>
    <w:rsid w:val="7E18353D"/>
    <w:rsid w:val="7E1E1F19"/>
    <w:rsid w:val="7E2D328F"/>
    <w:rsid w:val="7E3234F7"/>
    <w:rsid w:val="7E334B6A"/>
    <w:rsid w:val="7E7A3A8F"/>
    <w:rsid w:val="7E876220"/>
    <w:rsid w:val="7E941F8F"/>
    <w:rsid w:val="7E9A05A6"/>
    <w:rsid w:val="7E9A27AF"/>
    <w:rsid w:val="7E9A45D3"/>
    <w:rsid w:val="7EA75B1D"/>
    <w:rsid w:val="7EA8311F"/>
    <w:rsid w:val="7EB57675"/>
    <w:rsid w:val="7EBF74C0"/>
    <w:rsid w:val="7EC13AEA"/>
    <w:rsid w:val="7ED531B1"/>
    <w:rsid w:val="7ED62E26"/>
    <w:rsid w:val="7ED63080"/>
    <w:rsid w:val="7EE66563"/>
    <w:rsid w:val="7EF42A2E"/>
    <w:rsid w:val="7F143802"/>
    <w:rsid w:val="7F182BC0"/>
    <w:rsid w:val="7F2D0230"/>
    <w:rsid w:val="7F357714"/>
    <w:rsid w:val="7F822F3C"/>
    <w:rsid w:val="7F937FB5"/>
    <w:rsid w:val="7FA5005E"/>
    <w:rsid w:val="7FB37AB4"/>
    <w:rsid w:val="7FE71E8D"/>
    <w:rsid w:val="7FFE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qFormat="1"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qFormat="1"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ocked="1"/>
    <w:lsdException w:qFormat="1" w:unhideWhenUsed="0" w:uiPriority="99"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99" w:semiHidden="0" w:name="Body Text 3" w:locked="1"/>
    <w:lsdException w:qFormat="1" w:unhideWhenUsed="0" w:uiPriority="0" w:semiHidden="0" w:name="Body Text Indent 2"/>
    <w:lsdException w:qFormat="1" w:unhideWhenUsed="0" w:uiPriority="99" w:semiHidden="0" w:name="Body Text Indent 3" w:locked="1"/>
    <w:lsdException w:unhideWhenUsed="0" w:uiPriority="0" w:semiHidden="0" w:name="Block Text" w:locked="1"/>
    <w:lsdException w:qFormat="1" w:unhideWhenUsed="0" w:uiPriority="0" w:semiHidden="0" w:name="Hyperlink"/>
    <w:lsdException w:qFormat="1" w:unhideWhenUsed="0" w:uiPriority="99"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0" w:semiHidden="0" w:name="Normal (Web)" w:locked="1"/>
    <w:lsdException w:qFormat="1" w:unhideWhenUsed="0" w:uiPriority="99" w:semiHidden="0" w:name="HTML Acronym" w:locked="1"/>
    <w:lsdException w:unhideWhenUsed="0" w:uiPriority="0"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0" w:semiHidden="0" w:name="HTML Preformatted" w:locked="1"/>
    <w:lsdException w:qFormat="1" w:unhideWhenUsed="0" w:uiPriority="99" w:semiHidden="0" w:name="HTML Sample" w:locked="1"/>
    <w:lsdException w:unhideWhenUsed="0" w:uiPriority="0" w:semiHidden="0" w:name="HTML Typewriter" w:locked="1"/>
    <w:lsdException w:qFormat="1" w:unhideWhenUsed="0" w:uiPriority="99" w:semiHidden="0" w:name="HTML Variable" w:locked="1"/>
    <w:lsdException w:qFormat="1" w:uiPriority="99" w:name="Normal Table"/>
    <w:lsdException w:qFormat="1" w:unhideWhenUsed="0" w:uiPriority="0"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ocked="1"/>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60"/>
    <w:qFormat/>
    <w:uiPriority w:val="0"/>
    <w:pPr>
      <w:keepNext/>
      <w:numPr>
        <w:ilvl w:val="0"/>
        <w:numId w:val="1"/>
      </w:numPr>
      <w:outlineLvl w:val="0"/>
    </w:pPr>
    <w:rPr>
      <w:rFonts w:ascii="Times New Roman" w:hAnsi="Times New Roman" w:cs="Times New Roman"/>
      <w:b/>
      <w:kern w:val="44"/>
      <w:sz w:val="44"/>
      <w:szCs w:val="20"/>
    </w:rPr>
  </w:style>
  <w:style w:type="paragraph" w:styleId="5">
    <w:name w:val="heading 2"/>
    <w:basedOn w:val="1"/>
    <w:next w:val="1"/>
    <w:link w:val="61"/>
    <w:qFormat/>
    <w:uiPriority w:val="0"/>
    <w:pPr>
      <w:keepNext/>
      <w:keepLines/>
      <w:spacing w:before="260" w:after="260" w:line="416" w:lineRule="auto"/>
      <w:outlineLvl w:val="1"/>
    </w:pPr>
    <w:rPr>
      <w:rFonts w:ascii="Cambria" w:hAnsi="Cambria" w:cs="Times New Roman"/>
      <w:b/>
      <w:sz w:val="32"/>
      <w:szCs w:val="20"/>
    </w:rPr>
  </w:style>
  <w:style w:type="paragraph" w:styleId="6">
    <w:name w:val="heading 3"/>
    <w:basedOn w:val="1"/>
    <w:next w:val="1"/>
    <w:link w:val="62"/>
    <w:qFormat/>
    <w:uiPriority w:val="0"/>
    <w:pPr>
      <w:keepNext/>
      <w:keepLines/>
      <w:spacing w:before="260" w:after="260" w:line="416" w:lineRule="auto"/>
      <w:outlineLvl w:val="2"/>
    </w:pPr>
    <w:rPr>
      <w:rFonts w:ascii="Times New Roman" w:hAnsi="Times New Roman" w:cs="Times New Roman"/>
      <w:b/>
      <w:sz w:val="32"/>
      <w:szCs w:val="20"/>
    </w:rPr>
  </w:style>
  <w:style w:type="paragraph" w:styleId="7">
    <w:name w:val="heading 4"/>
    <w:basedOn w:val="1"/>
    <w:next w:val="1"/>
    <w:link w:val="177"/>
    <w:qFormat/>
    <w:locked/>
    <w:uiPriority w:val="0"/>
    <w:pPr>
      <w:keepNext/>
      <w:keepLines/>
      <w:numPr>
        <w:ilvl w:val="3"/>
        <w:numId w:val="2"/>
      </w:numPr>
      <w:adjustRightInd w:val="0"/>
      <w:spacing w:before="280" w:after="290" w:line="376" w:lineRule="atLeast"/>
      <w:textAlignment w:val="baseline"/>
      <w:outlineLvl w:val="3"/>
    </w:pPr>
    <w:rPr>
      <w:rFonts w:ascii="Arial" w:hAnsi="Arial" w:eastAsia="黑体"/>
      <w:b/>
      <w:bCs/>
      <w:sz w:val="28"/>
      <w:szCs w:val="28"/>
    </w:rPr>
  </w:style>
  <w:style w:type="paragraph" w:styleId="8">
    <w:name w:val="heading 5"/>
    <w:basedOn w:val="1"/>
    <w:next w:val="1"/>
    <w:link w:val="178"/>
    <w:qFormat/>
    <w:locked/>
    <w:uiPriority w:val="0"/>
    <w:pPr>
      <w:keepNext/>
      <w:keepLines/>
      <w:widowControl w:val="0"/>
      <w:spacing w:before="280" w:after="290" w:line="376" w:lineRule="auto"/>
      <w:jc w:val="both"/>
      <w:outlineLvl w:val="4"/>
    </w:pPr>
    <w:rPr>
      <w:rFonts w:ascii="Times New Roman" w:hAnsi="Times New Roman" w:cs="Times New Roman"/>
      <w:b/>
      <w:bCs/>
      <w:kern w:val="2"/>
      <w:sz w:val="28"/>
      <w:szCs w:val="28"/>
    </w:rPr>
  </w:style>
  <w:style w:type="paragraph" w:styleId="9">
    <w:name w:val="heading 6"/>
    <w:basedOn w:val="1"/>
    <w:next w:val="1"/>
    <w:link w:val="63"/>
    <w:qFormat/>
    <w:locked/>
    <w:uiPriority w:val="0"/>
    <w:pPr>
      <w:keepNext/>
      <w:keepLines/>
      <w:spacing w:before="240" w:after="64" w:line="320" w:lineRule="auto"/>
      <w:outlineLvl w:val="5"/>
    </w:pPr>
    <w:rPr>
      <w:rFonts w:ascii="等线 Light" w:hAnsi="等线 Light" w:eastAsia="等线 Light" w:cs="Times New Roman"/>
      <w:b/>
      <w:bCs/>
      <w:kern w:val="2"/>
    </w:rPr>
  </w:style>
  <w:style w:type="paragraph" w:styleId="10">
    <w:name w:val="heading 7"/>
    <w:basedOn w:val="1"/>
    <w:next w:val="1"/>
    <w:link w:val="180"/>
    <w:qFormat/>
    <w:locked/>
    <w:uiPriority w:val="0"/>
    <w:pPr>
      <w:keepNext/>
      <w:keepLines/>
      <w:widowControl w:val="0"/>
      <w:spacing w:before="240" w:after="64" w:line="317" w:lineRule="auto"/>
      <w:jc w:val="both"/>
      <w:outlineLvl w:val="6"/>
    </w:pPr>
    <w:rPr>
      <w:rFonts w:ascii="Calibri" w:hAnsi="Calibri" w:cs="Calibri"/>
      <w:b/>
      <w:bCs/>
      <w:kern w:val="2"/>
    </w:rPr>
  </w:style>
  <w:style w:type="paragraph" w:styleId="11">
    <w:name w:val="heading 8"/>
    <w:basedOn w:val="1"/>
    <w:next w:val="1"/>
    <w:link w:val="181"/>
    <w:qFormat/>
    <w:locked/>
    <w:uiPriority w:val="0"/>
    <w:pPr>
      <w:keepNext/>
      <w:keepLines/>
      <w:widowControl w:val="0"/>
      <w:spacing w:before="240" w:after="64" w:line="317" w:lineRule="auto"/>
      <w:jc w:val="both"/>
      <w:outlineLvl w:val="7"/>
    </w:pPr>
    <w:rPr>
      <w:rFonts w:ascii="Cambria" w:hAnsi="Cambria" w:cs="Cambria"/>
      <w:kern w:val="2"/>
    </w:rPr>
  </w:style>
  <w:style w:type="paragraph" w:styleId="12">
    <w:name w:val="heading 9"/>
    <w:basedOn w:val="1"/>
    <w:next w:val="1"/>
    <w:link w:val="182"/>
    <w:qFormat/>
    <w:locked/>
    <w:uiPriority w:val="0"/>
    <w:pPr>
      <w:keepNext/>
      <w:keepLines/>
      <w:widowControl w:val="0"/>
      <w:spacing w:before="240" w:after="64" w:line="317" w:lineRule="auto"/>
      <w:jc w:val="both"/>
      <w:outlineLvl w:val="8"/>
    </w:pPr>
    <w:rPr>
      <w:rFonts w:ascii="Cambria" w:hAnsi="Cambria" w:cs="Cambria"/>
      <w:kern w:val="2"/>
      <w:sz w:val="21"/>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6"/>
    <w:qFormat/>
    <w:uiPriority w:val="0"/>
    <w:pPr>
      <w:spacing w:before="100" w:beforeAutospacing="1" w:after="100" w:afterAutospacing="1" w:line="600" w:lineRule="auto"/>
    </w:pPr>
    <w:rPr>
      <w:rFonts w:ascii="Times New Roman" w:hAnsi="Times New Roman" w:cs="Times New Roman"/>
      <w:sz w:val="20"/>
      <w:szCs w:val="20"/>
    </w:rPr>
  </w:style>
  <w:style w:type="paragraph" w:styleId="3">
    <w:name w:val="Body Text First Indent"/>
    <w:basedOn w:val="2"/>
    <w:next w:val="1"/>
    <w:link w:val="76"/>
    <w:unhideWhenUsed/>
    <w:qFormat/>
    <w:locked/>
    <w:uiPriority w:val="99"/>
    <w:pPr>
      <w:widowControl w:val="0"/>
      <w:autoSpaceDE w:val="0"/>
      <w:autoSpaceDN w:val="0"/>
      <w:adjustRightInd w:val="0"/>
      <w:spacing w:before="0" w:beforeAutospacing="0" w:after="120" w:afterAutospacing="0" w:line="360" w:lineRule="auto"/>
      <w:ind w:firstLine="420" w:firstLineChars="100"/>
    </w:pPr>
    <w:rPr>
      <w:rFonts w:ascii="Calibri" w:hAnsi="Calibri" w:eastAsia="仿宋"/>
      <w:color w:val="000000"/>
      <w:kern w:val="2"/>
      <w:sz w:val="28"/>
      <w:szCs w:val="32"/>
    </w:rPr>
  </w:style>
  <w:style w:type="paragraph" w:styleId="13">
    <w:name w:val="Normal Indent"/>
    <w:basedOn w:val="1"/>
    <w:link w:val="175"/>
    <w:qFormat/>
    <w:locked/>
    <w:uiPriority w:val="0"/>
    <w:pPr>
      <w:widowControl w:val="0"/>
      <w:ind w:firstLine="420" w:firstLineChars="200"/>
      <w:jc w:val="both"/>
    </w:pPr>
    <w:rPr>
      <w:rFonts w:ascii="Times New Roman" w:hAnsi="Times New Roman" w:cs="Times New Roman"/>
      <w:kern w:val="2"/>
      <w:sz w:val="21"/>
    </w:rPr>
  </w:style>
  <w:style w:type="paragraph" w:styleId="14">
    <w:name w:val="caption"/>
    <w:basedOn w:val="1"/>
    <w:next w:val="1"/>
    <w:qFormat/>
    <w:locked/>
    <w:uiPriority w:val="0"/>
    <w:pPr>
      <w:widowControl w:val="0"/>
      <w:jc w:val="both"/>
    </w:pPr>
    <w:rPr>
      <w:rFonts w:ascii="Cambria" w:hAnsi="Cambria" w:eastAsia="黑体" w:cs="Cambria"/>
      <w:kern w:val="2"/>
      <w:sz w:val="20"/>
      <w:szCs w:val="20"/>
    </w:rPr>
  </w:style>
  <w:style w:type="paragraph" w:styleId="15">
    <w:name w:val="Document Map"/>
    <w:basedOn w:val="1"/>
    <w:link w:val="64"/>
    <w:qFormat/>
    <w:uiPriority w:val="0"/>
    <w:pPr>
      <w:shd w:val="clear" w:color="auto" w:fill="000080"/>
    </w:pPr>
    <w:rPr>
      <w:rFonts w:ascii="Times New Roman" w:hAnsi="Times New Roman" w:cs="Times New Roman"/>
      <w:sz w:val="2"/>
      <w:szCs w:val="20"/>
    </w:rPr>
  </w:style>
  <w:style w:type="paragraph" w:styleId="16">
    <w:name w:val="annotation text"/>
    <w:basedOn w:val="1"/>
    <w:link w:val="65"/>
    <w:qFormat/>
    <w:uiPriority w:val="0"/>
    <w:rPr>
      <w:rFonts w:ascii="Times New Roman" w:hAnsi="Times New Roman" w:cs="Times New Roman"/>
      <w:kern w:val="2"/>
      <w:sz w:val="28"/>
      <w:szCs w:val="20"/>
    </w:rPr>
  </w:style>
  <w:style w:type="paragraph" w:styleId="17">
    <w:name w:val="Body Text 3"/>
    <w:basedOn w:val="1"/>
    <w:link w:val="187"/>
    <w:qFormat/>
    <w:locked/>
    <w:uiPriority w:val="99"/>
    <w:pPr>
      <w:widowControl w:val="0"/>
      <w:jc w:val="both"/>
    </w:pPr>
    <w:rPr>
      <w:rFonts w:hAnsi="Times New Roman" w:cs="Times New Roman"/>
      <w:kern w:val="2"/>
      <w:szCs w:val="20"/>
    </w:rPr>
  </w:style>
  <w:style w:type="paragraph" w:styleId="18">
    <w:name w:val="Body Text Indent"/>
    <w:basedOn w:val="1"/>
    <w:link w:val="66"/>
    <w:qFormat/>
    <w:uiPriority w:val="99"/>
    <w:pPr>
      <w:spacing w:after="120"/>
      <w:ind w:left="420" w:leftChars="200"/>
    </w:pPr>
    <w:rPr>
      <w:rFonts w:ascii="Times New Roman" w:hAnsi="Times New Roman" w:cs="Times New Roman"/>
      <w:sz w:val="20"/>
      <w:szCs w:val="20"/>
    </w:rPr>
  </w:style>
  <w:style w:type="paragraph" w:styleId="19">
    <w:name w:val="index 4"/>
    <w:basedOn w:val="1"/>
    <w:next w:val="1"/>
    <w:qFormat/>
    <w:locked/>
    <w:uiPriority w:val="0"/>
    <w:pPr>
      <w:widowControl w:val="0"/>
      <w:ind w:left="600" w:leftChars="600"/>
      <w:jc w:val="both"/>
    </w:pPr>
    <w:rPr>
      <w:rFonts w:ascii="Times New Roman" w:hAnsi="Times New Roman" w:cs="Times New Roman"/>
      <w:kern w:val="2"/>
      <w:sz w:val="21"/>
      <w:szCs w:val="21"/>
    </w:rPr>
  </w:style>
  <w:style w:type="paragraph" w:styleId="20">
    <w:name w:val="toc 3"/>
    <w:basedOn w:val="1"/>
    <w:next w:val="1"/>
    <w:qFormat/>
    <w:locked/>
    <w:uiPriority w:val="39"/>
    <w:pPr>
      <w:ind w:left="840" w:leftChars="400"/>
    </w:pPr>
  </w:style>
  <w:style w:type="paragraph" w:styleId="21">
    <w:name w:val="Plain Text"/>
    <w:basedOn w:val="1"/>
    <w:link w:val="67"/>
    <w:qFormat/>
    <w:uiPriority w:val="0"/>
    <w:rPr>
      <w:rFonts w:hAnsi="Courier New" w:cs="Times New Roman"/>
      <w:kern w:val="2"/>
      <w:sz w:val="21"/>
      <w:szCs w:val="20"/>
    </w:rPr>
  </w:style>
  <w:style w:type="paragraph" w:styleId="22">
    <w:name w:val="Date"/>
    <w:basedOn w:val="1"/>
    <w:next w:val="1"/>
    <w:link w:val="68"/>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23">
    <w:name w:val="Body Text Indent 2"/>
    <w:basedOn w:val="1"/>
    <w:link w:val="69"/>
    <w:qFormat/>
    <w:uiPriority w:val="0"/>
    <w:pPr>
      <w:ind w:firstLine="480"/>
    </w:pPr>
    <w:rPr>
      <w:rFonts w:ascii="Times New Roman" w:hAnsi="Times New Roman" w:cs="Times New Roman"/>
      <w:sz w:val="20"/>
      <w:szCs w:val="20"/>
    </w:rPr>
  </w:style>
  <w:style w:type="paragraph" w:styleId="24">
    <w:name w:val="Balloon Text"/>
    <w:basedOn w:val="1"/>
    <w:link w:val="70"/>
    <w:qFormat/>
    <w:locked/>
    <w:uiPriority w:val="0"/>
    <w:rPr>
      <w:sz w:val="18"/>
      <w:szCs w:val="18"/>
    </w:rPr>
  </w:style>
  <w:style w:type="paragraph" w:styleId="25">
    <w:name w:val="footer"/>
    <w:basedOn w:val="1"/>
    <w:link w:val="71"/>
    <w:qFormat/>
    <w:uiPriority w:val="0"/>
    <w:pPr>
      <w:tabs>
        <w:tab w:val="center" w:pos="4153"/>
        <w:tab w:val="right" w:pos="8306"/>
      </w:tabs>
      <w:snapToGrid w:val="0"/>
    </w:pPr>
    <w:rPr>
      <w:rFonts w:ascii="Times New Roman" w:hAnsi="Times New Roman" w:cs="Times New Roman"/>
      <w:sz w:val="18"/>
      <w:szCs w:val="20"/>
    </w:rPr>
  </w:style>
  <w:style w:type="paragraph" w:styleId="26">
    <w:name w:val="header"/>
    <w:basedOn w:val="1"/>
    <w:link w:val="7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7">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8">
    <w:name w:val="Subtitle"/>
    <w:basedOn w:val="1"/>
    <w:next w:val="1"/>
    <w:link w:val="197"/>
    <w:qFormat/>
    <w:locked/>
    <w:uiPriority w:val="0"/>
    <w:pPr>
      <w:spacing w:before="240" w:after="60" w:line="312" w:lineRule="auto"/>
      <w:jc w:val="center"/>
      <w:outlineLvl w:val="1"/>
    </w:pPr>
    <w:rPr>
      <w:rFonts w:ascii="Calibri Light" w:hAnsi="Calibri Light" w:cs="Times New Roman"/>
      <w:b/>
      <w:kern w:val="28"/>
      <w:sz w:val="32"/>
      <w:szCs w:val="20"/>
    </w:rPr>
  </w:style>
  <w:style w:type="paragraph" w:styleId="29">
    <w:name w:val="List"/>
    <w:basedOn w:val="1"/>
    <w:qFormat/>
    <w:locked/>
    <w:uiPriority w:val="0"/>
    <w:pPr>
      <w:widowControl w:val="0"/>
      <w:adjustRightInd w:val="0"/>
      <w:snapToGrid w:val="0"/>
      <w:spacing w:line="20" w:lineRule="atLeast"/>
      <w:jc w:val="center"/>
      <w:textAlignment w:val="baseline"/>
    </w:pPr>
    <w:rPr>
      <w:rFonts w:ascii="Times New Roman" w:hAnsi="Times New Roman" w:eastAsia="幼圆" w:cs="Times New Roman"/>
      <w:snapToGrid w:val="0"/>
      <w:sz w:val="18"/>
      <w:szCs w:val="20"/>
    </w:rPr>
  </w:style>
  <w:style w:type="paragraph" w:styleId="30">
    <w:name w:val="footnote text"/>
    <w:basedOn w:val="1"/>
    <w:link w:val="73"/>
    <w:qFormat/>
    <w:locked/>
    <w:uiPriority w:val="0"/>
    <w:pPr>
      <w:widowControl w:val="0"/>
      <w:snapToGrid w:val="0"/>
    </w:pPr>
    <w:rPr>
      <w:rFonts w:ascii="Times New Roman" w:hAnsi="Times New Roman" w:cs="Times New Roman"/>
      <w:kern w:val="2"/>
      <w:sz w:val="18"/>
      <w:szCs w:val="21"/>
    </w:rPr>
  </w:style>
  <w:style w:type="paragraph" w:styleId="31">
    <w:name w:val="List 5"/>
    <w:basedOn w:val="1"/>
    <w:qFormat/>
    <w:locked/>
    <w:uiPriority w:val="0"/>
    <w:pPr>
      <w:widowControl w:val="0"/>
      <w:ind w:left="2100" w:hanging="420"/>
      <w:jc w:val="both"/>
    </w:pPr>
    <w:rPr>
      <w:rFonts w:ascii="Times New Roman" w:hAnsi="Times New Roman" w:eastAsia="楷体_GB2312" w:cs="Times New Roman"/>
      <w:kern w:val="2"/>
      <w:sz w:val="32"/>
      <w:szCs w:val="20"/>
    </w:rPr>
  </w:style>
  <w:style w:type="paragraph" w:styleId="32">
    <w:name w:val="Body Text Indent 3"/>
    <w:basedOn w:val="1"/>
    <w:link w:val="199"/>
    <w:qFormat/>
    <w:locked/>
    <w:uiPriority w:val="99"/>
    <w:pPr>
      <w:widowControl w:val="0"/>
      <w:spacing w:line="440" w:lineRule="exact"/>
      <w:ind w:firstLine="412" w:firstLineChars="200"/>
      <w:jc w:val="both"/>
    </w:pPr>
    <w:rPr>
      <w:rFonts w:hAnsi="Times New Roman" w:cs="Times New Roman"/>
      <w:kern w:val="2"/>
      <w:sz w:val="21"/>
      <w:szCs w:val="20"/>
    </w:rPr>
  </w:style>
  <w:style w:type="paragraph" w:styleId="33">
    <w:name w:val="toc 2"/>
    <w:basedOn w:val="1"/>
    <w:next w:val="1"/>
    <w:qFormat/>
    <w:uiPriority w:val="39"/>
    <w:pPr>
      <w:tabs>
        <w:tab w:val="right" w:leader="dot" w:pos="9628"/>
      </w:tabs>
      <w:ind w:left="420" w:leftChars="200"/>
    </w:pPr>
  </w:style>
  <w:style w:type="paragraph" w:styleId="34">
    <w:name w:val="List Continue 2"/>
    <w:basedOn w:val="1"/>
    <w:qFormat/>
    <w:locked/>
    <w:uiPriority w:val="99"/>
    <w:pPr>
      <w:widowControl w:val="0"/>
      <w:spacing w:after="120"/>
      <w:ind w:left="840" w:leftChars="400"/>
      <w:jc w:val="both"/>
    </w:pPr>
    <w:rPr>
      <w:rFonts w:ascii="Times New Roman" w:hAnsi="Times New Roman" w:cs="Times New Roman"/>
      <w:kern w:val="2"/>
      <w:sz w:val="21"/>
      <w:szCs w:val="21"/>
    </w:rPr>
  </w:style>
  <w:style w:type="paragraph" w:styleId="35">
    <w:name w:val="HTML Preformatted"/>
    <w:basedOn w:val="1"/>
    <w:qFormat/>
    <w:locked/>
    <w:uiPriority w:val="0"/>
    <w:pPr>
      <w:spacing w:line="360" w:lineRule="auto"/>
    </w:pPr>
    <w:rPr>
      <w:rFonts w:ascii="Courier New" w:hAnsi="Courier New"/>
      <w:sz w:val="20"/>
      <w:szCs w:val="20"/>
    </w:rPr>
  </w:style>
  <w:style w:type="paragraph" w:styleId="36">
    <w:name w:val="Normal (Web)"/>
    <w:basedOn w:val="1"/>
    <w:link w:val="74"/>
    <w:qFormat/>
    <w:locked/>
    <w:uiPriority w:val="0"/>
    <w:pPr>
      <w:spacing w:before="100" w:beforeAutospacing="1" w:after="100" w:afterAutospacing="1"/>
    </w:pPr>
  </w:style>
  <w:style w:type="paragraph" w:styleId="37">
    <w:name w:val="Title"/>
    <w:basedOn w:val="1"/>
    <w:link w:val="201"/>
    <w:qFormat/>
    <w:locked/>
    <w:uiPriority w:val="0"/>
    <w:pPr>
      <w:spacing w:before="60" w:after="60"/>
      <w:jc w:val="center"/>
      <w:outlineLvl w:val="0"/>
    </w:pPr>
    <w:rPr>
      <w:rFonts w:ascii="Cambria" w:hAnsi="Cambria" w:cs="Times New Roman"/>
      <w:b/>
      <w:sz w:val="32"/>
      <w:szCs w:val="20"/>
    </w:rPr>
  </w:style>
  <w:style w:type="paragraph" w:styleId="38">
    <w:name w:val="annotation subject"/>
    <w:basedOn w:val="16"/>
    <w:next w:val="16"/>
    <w:link w:val="75"/>
    <w:qFormat/>
    <w:locked/>
    <w:uiPriority w:val="0"/>
    <w:rPr>
      <w:b/>
      <w:bCs/>
    </w:rPr>
  </w:style>
  <w:style w:type="paragraph" w:styleId="39">
    <w:name w:val="Body Text First Indent 2"/>
    <w:basedOn w:val="18"/>
    <w:link w:val="77"/>
    <w:qFormat/>
    <w:locked/>
    <w:uiPriority w:val="0"/>
    <w:pPr>
      <w:ind w:firstLine="420" w:firstLineChars="200"/>
    </w:pPr>
    <w:rPr>
      <w:rFonts w:ascii="宋体" w:hAnsi="宋体" w:cs="宋体"/>
      <w:sz w:val="24"/>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locked/>
    <w:uiPriority w:val="0"/>
    <w:rPr>
      <w:b/>
      <w:bCs/>
    </w:rPr>
  </w:style>
  <w:style w:type="character" w:styleId="44">
    <w:name w:val="page number"/>
    <w:qFormat/>
    <w:uiPriority w:val="0"/>
    <w:rPr>
      <w:rFonts w:cs="Times New Roman"/>
    </w:rPr>
  </w:style>
  <w:style w:type="character" w:styleId="45">
    <w:name w:val="FollowedHyperlink"/>
    <w:qFormat/>
    <w:locked/>
    <w:uiPriority w:val="99"/>
    <w:rPr>
      <w:color w:val="800080"/>
      <w:u w:val="single"/>
    </w:rPr>
  </w:style>
  <w:style w:type="character" w:styleId="46">
    <w:name w:val="Emphasis"/>
    <w:qFormat/>
    <w:locked/>
    <w:uiPriority w:val="0"/>
    <w:rPr>
      <w:i/>
      <w:iCs/>
    </w:rPr>
  </w:style>
  <w:style w:type="character" w:styleId="47">
    <w:name w:val="HTML Definition"/>
    <w:qFormat/>
    <w:locked/>
    <w:uiPriority w:val="99"/>
  </w:style>
  <w:style w:type="character" w:styleId="48">
    <w:name w:val="HTML Acronym"/>
    <w:qFormat/>
    <w:locked/>
    <w:uiPriority w:val="99"/>
  </w:style>
  <w:style w:type="character" w:styleId="49">
    <w:name w:val="HTML Variable"/>
    <w:qFormat/>
    <w:locked/>
    <w:uiPriority w:val="99"/>
  </w:style>
  <w:style w:type="character" w:styleId="50">
    <w:name w:val="Hyperlink"/>
    <w:qFormat/>
    <w:uiPriority w:val="0"/>
    <w:rPr>
      <w:rFonts w:cs="Times New Roman"/>
      <w:color w:val="0000FF"/>
      <w:u w:val="single"/>
    </w:rPr>
  </w:style>
  <w:style w:type="character" w:styleId="51">
    <w:name w:val="HTML Code"/>
    <w:qFormat/>
    <w:locked/>
    <w:uiPriority w:val="99"/>
    <w:rPr>
      <w:rFonts w:ascii="monospace" w:hAnsi="monospace" w:eastAsia="Times New Roman" w:cs="monospace"/>
      <w:sz w:val="24"/>
      <w:szCs w:val="24"/>
    </w:rPr>
  </w:style>
  <w:style w:type="character" w:styleId="52">
    <w:name w:val="annotation reference"/>
    <w:qFormat/>
    <w:uiPriority w:val="0"/>
    <w:rPr>
      <w:rFonts w:cs="Times New Roman"/>
      <w:sz w:val="21"/>
      <w:szCs w:val="21"/>
    </w:rPr>
  </w:style>
  <w:style w:type="character" w:styleId="53">
    <w:name w:val="HTML Cite"/>
    <w:qFormat/>
    <w:locked/>
    <w:uiPriority w:val="99"/>
  </w:style>
  <w:style w:type="character" w:styleId="54">
    <w:name w:val="HTML Keyboard"/>
    <w:qFormat/>
    <w:locked/>
    <w:uiPriority w:val="99"/>
    <w:rPr>
      <w:rFonts w:ascii="monospace" w:hAnsi="monospace" w:eastAsia="Times New Roman" w:cs="monospace"/>
      <w:sz w:val="24"/>
      <w:szCs w:val="24"/>
    </w:rPr>
  </w:style>
  <w:style w:type="character" w:styleId="55">
    <w:name w:val="HTML Sample"/>
    <w:qFormat/>
    <w:locked/>
    <w:uiPriority w:val="99"/>
    <w:rPr>
      <w:rFonts w:ascii="monospace" w:hAnsi="monospace" w:eastAsia="Times New Roman" w:cs="monospace"/>
      <w:sz w:val="24"/>
      <w:szCs w:val="24"/>
    </w:rPr>
  </w:style>
  <w:style w:type="character" w:customStyle="1" w:styleId="56">
    <w:name w:val="正文文本 字符"/>
    <w:link w:val="2"/>
    <w:semiHidden/>
    <w:qFormat/>
    <w:locked/>
    <w:uiPriority w:val="0"/>
    <w:rPr>
      <w:sz w:val="20"/>
    </w:rPr>
  </w:style>
  <w:style w:type="paragraph" w:customStyle="1" w:styleId="57">
    <w:name w:val="一级条标题"/>
    <w:basedOn w:val="58"/>
    <w:next w:val="59"/>
    <w:qFormat/>
    <w:uiPriority w:val="99"/>
    <w:pPr>
      <w:spacing w:line="240" w:lineRule="auto"/>
      <w:ind w:left="420"/>
      <w:outlineLvl w:val="2"/>
    </w:pPr>
  </w:style>
  <w:style w:type="paragraph" w:customStyle="1" w:styleId="58">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59">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60">
    <w:name w:val="标题 1 字符"/>
    <w:link w:val="4"/>
    <w:qFormat/>
    <w:locked/>
    <w:uiPriority w:val="9"/>
    <w:rPr>
      <w:b/>
      <w:kern w:val="44"/>
      <w:sz w:val="44"/>
    </w:rPr>
  </w:style>
  <w:style w:type="character" w:customStyle="1" w:styleId="61">
    <w:name w:val="标题 2 字符"/>
    <w:link w:val="5"/>
    <w:semiHidden/>
    <w:qFormat/>
    <w:locked/>
    <w:uiPriority w:val="9"/>
    <w:rPr>
      <w:rFonts w:ascii="Cambria" w:hAnsi="Cambria" w:eastAsia="宋体"/>
      <w:b/>
      <w:sz w:val="32"/>
    </w:rPr>
  </w:style>
  <w:style w:type="character" w:customStyle="1" w:styleId="62">
    <w:name w:val="标题 3 字符"/>
    <w:link w:val="6"/>
    <w:semiHidden/>
    <w:qFormat/>
    <w:locked/>
    <w:uiPriority w:val="9"/>
    <w:rPr>
      <w:b/>
      <w:sz w:val="32"/>
    </w:rPr>
  </w:style>
  <w:style w:type="character" w:customStyle="1" w:styleId="63">
    <w:name w:val="标题 6 字符"/>
    <w:link w:val="9"/>
    <w:semiHidden/>
    <w:qFormat/>
    <w:uiPriority w:val="9"/>
    <w:rPr>
      <w:rFonts w:ascii="等线 Light" w:hAnsi="等线 Light" w:eastAsia="等线 Light" w:cs="Times New Roman"/>
      <w:b/>
      <w:bCs/>
      <w:kern w:val="2"/>
      <w:sz w:val="24"/>
      <w:szCs w:val="24"/>
    </w:rPr>
  </w:style>
  <w:style w:type="character" w:customStyle="1" w:styleId="64">
    <w:name w:val="文档结构图 字符"/>
    <w:link w:val="15"/>
    <w:semiHidden/>
    <w:qFormat/>
    <w:locked/>
    <w:uiPriority w:val="99"/>
    <w:rPr>
      <w:sz w:val="2"/>
    </w:rPr>
  </w:style>
  <w:style w:type="character" w:customStyle="1" w:styleId="65">
    <w:name w:val="批注文字 字符"/>
    <w:link w:val="16"/>
    <w:qFormat/>
    <w:locked/>
    <w:uiPriority w:val="99"/>
    <w:rPr>
      <w:rFonts w:eastAsia="宋体" w:cs="Times New Roman"/>
      <w:kern w:val="2"/>
      <w:sz w:val="28"/>
      <w:lang w:val="en-US" w:eastAsia="zh-CN" w:bidi="ar-SA"/>
    </w:rPr>
  </w:style>
  <w:style w:type="character" w:customStyle="1" w:styleId="66">
    <w:name w:val="正文文本缩进 字符"/>
    <w:link w:val="18"/>
    <w:semiHidden/>
    <w:qFormat/>
    <w:locked/>
    <w:uiPriority w:val="99"/>
    <w:rPr>
      <w:sz w:val="20"/>
    </w:rPr>
  </w:style>
  <w:style w:type="character" w:customStyle="1" w:styleId="67">
    <w:name w:val="纯文本 字符"/>
    <w:link w:val="21"/>
    <w:qFormat/>
    <w:locked/>
    <w:uiPriority w:val="99"/>
    <w:rPr>
      <w:rFonts w:ascii="宋体" w:hAnsi="Courier New" w:eastAsia="宋体"/>
      <w:kern w:val="2"/>
      <w:sz w:val="21"/>
      <w:lang w:val="en-US" w:eastAsia="zh-CN"/>
    </w:rPr>
  </w:style>
  <w:style w:type="character" w:customStyle="1" w:styleId="68">
    <w:name w:val="日期 字符"/>
    <w:link w:val="22"/>
    <w:semiHidden/>
    <w:qFormat/>
    <w:locked/>
    <w:uiPriority w:val="99"/>
    <w:rPr>
      <w:sz w:val="20"/>
    </w:rPr>
  </w:style>
  <w:style w:type="character" w:customStyle="1" w:styleId="69">
    <w:name w:val="正文文本缩进 2 字符"/>
    <w:link w:val="23"/>
    <w:semiHidden/>
    <w:qFormat/>
    <w:locked/>
    <w:uiPriority w:val="99"/>
    <w:rPr>
      <w:sz w:val="20"/>
    </w:rPr>
  </w:style>
  <w:style w:type="character" w:customStyle="1" w:styleId="70">
    <w:name w:val="批注框文本 字符"/>
    <w:link w:val="24"/>
    <w:qFormat/>
    <w:uiPriority w:val="99"/>
    <w:rPr>
      <w:rFonts w:ascii="宋体" w:hAnsi="宋体" w:cs="宋体"/>
      <w:sz w:val="18"/>
      <w:szCs w:val="18"/>
    </w:rPr>
  </w:style>
  <w:style w:type="character" w:customStyle="1" w:styleId="71">
    <w:name w:val="页脚 字符"/>
    <w:link w:val="25"/>
    <w:qFormat/>
    <w:locked/>
    <w:uiPriority w:val="99"/>
    <w:rPr>
      <w:sz w:val="18"/>
    </w:rPr>
  </w:style>
  <w:style w:type="character" w:customStyle="1" w:styleId="72">
    <w:name w:val="页眉 字符"/>
    <w:link w:val="26"/>
    <w:qFormat/>
    <w:locked/>
    <w:uiPriority w:val="99"/>
    <w:rPr>
      <w:sz w:val="18"/>
    </w:rPr>
  </w:style>
  <w:style w:type="character" w:customStyle="1" w:styleId="73">
    <w:name w:val="脚注文本 字符"/>
    <w:link w:val="30"/>
    <w:qFormat/>
    <w:uiPriority w:val="0"/>
    <w:rPr>
      <w:kern w:val="2"/>
      <w:sz w:val="18"/>
      <w:szCs w:val="21"/>
    </w:rPr>
  </w:style>
  <w:style w:type="character" w:customStyle="1" w:styleId="74">
    <w:name w:val="普通(网站) 字符"/>
    <w:link w:val="36"/>
    <w:qFormat/>
    <w:uiPriority w:val="99"/>
    <w:rPr>
      <w:rFonts w:ascii="宋体" w:hAnsi="宋体"/>
      <w:kern w:val="0"/>
      <w:sz w:val="24"/>
      <w:szCs w:val="24"/>
    </w:rPr>
  </w:style>
  <w:style w:type="character" w:customStyle="1" w:styleId="75">
    <w:name w:val="批注主题 字符"/>
    <w:link w:val="38"/>
    <w:qFormat/>
    <w:uiPriority w:val="99"/>
    <w:rPr>
      <w:b/>
      <w:bCs/>
      <w:kern w:val="2"/>
      <w:sz w:val="28"/>
    </w:rPr>
  </w:style>
  <w:style w:type="character" w:customStyle="1" w:styleId="76">
    <w:name w:val="正文首行缩进 字符"/>
    <w:link w:val="3"/>
    <w:qFormat/>
    <w:uiPriority w:val="99"/>
    <w:rPr>
      <w:rFonts w:ascii="Calibri" w:hAnsi="Calibri" w:eastAsia="仿宋"/>
      <w:color w:val="000000"/>
      <w:kern w:val="2"/>
      <w:sz w:val="28"/>
      <w:szCs w:val="32"/>
    </w:rPr>
  </w:style>
  <w:style w:type="character" w:customStyle="1" w:styleId="77">
    <w:name w:val="正文首行缩进 2 字符"/>
    <w:link w:val="39"/>
    <w:qFormat/>
    <w:uiPriority w:val="0"/>
    <w:rPr>
      <w:rFonts w:ascii="宋体" w:hAnsi="宋体" w:cs="宋体"/>
      <w:sz w:val="24"/>
      <w:szCs w:val="24"/>
    </w:rPr>
  </w:style>
  <w:style w:type="character" w:customStyle="1" w:styleId="78">
    <w:name w:val="bookmark-item uuid-1536114730799 code-00016"/>
    <w:qFormat/>
    <w:uiPriority w:val="0"/>
  </w:style>
  <w:style w:type="character" w:customStyle="1" w:styleId="79">
    <w:name w:val="bookmark-item uuid-1536114230642 code-00004"/>
    <w:qFormat/>
    <w:uiPriority w:val="0"/>
  </w:style>
  <w:style w:type="character" w:customStyle="1" w:styleId="80">
    <w:name w:val="bookmark-item uuid-1536114722887 code-00015"/>
    <w:qFormat/>
    <w:uiPriority w:val="0"/>
  </w:style>
  <w:style w:type="character" w:customStyle="1" w:styleId="81">
    <w:name w:val="纯文本 字符1"/>
    <w:qFormat/>
    <w:locked/>
    <w:uiPriority w:val="99"/>
    <w:rPr>
      <w:rFonts w:ascii="宋体" w:eastAsia="宋体"/>
    </w:rPr>
  </w:style>
  <w:style w:type="character" w:customStyle="1" w:styleId="82">
    <w:name w:val="bookmark-item uuid-1536114744629 code-00018"/>
    <w:qFormat/>
    <w:uiPriority w:val="0"/>
  </w:style>
  <w:style w:type="character" w:customStyle="1" w:styleId="83">
    <w:name w:val="bookmark-item uuid-1536114237662 code-00006"/>
    <w:qFormat/>
    <w:uiPriority w:val="0"/>
  </w:style>
  <w:style w:type="character" w:customStyle="1" w:styleId="84">
    <w:name w:val="fontstyle01"/>
    <w:qFormat/>
    <w:uiPriority w:val="0"/>
    <w:rPr>
      <w:rFonts w:hint="eastAsia" w:ascii="宋体" w:hAnsi="宋体" w:eastAsia="宋体" w:cs="宋体"/>
      <w:color w:val="000000"/>
      <w:sz w:val="44"/>
      <w:szCs w:val="44"/>
    </w:rPr>
  </w:style>
  <w:style w:type="character" w:customStyle="1" w:styleId="85">
    <w:name w:val="bookmark-item uuid-1536114769643 code-00021"/>
    <w:qFormat/>
    <w:uiPriority w:val="0"/>
  </w:style>
  <w:style w:type="character" w:customStyle="1" w:styleId="86">
    <w:name w:val="bookmark-item uuid-1536114367028 code-23012"/>
    <w:qFormat/>
    <w:uiPriority w:val="0"/>
  </w:style>
  <w:style w:type="character" w:customStyle="1" w:styleId="87">
    <w:name w:val="bookmark-item uuid-1536114708792 code-00013"/>
    <w:qFormat/>
    <w:uiPriority w:val="0"/>
  </w:style>
  <w:style w:type="character" w:customStyle="1" w:styleId="88">
    <w:name w:val="bookmark-item uuid-1541657111286 code-23008"/>
    <w:qFormat/>
    <w:uiPriority w:val="0"/>
  </w:style>
  <w:style w:type="character" w:customStyle="1" w:styleId="89">
    <w:name w:val="Char Char"/>
    <w:qFormat/>
    <w:uiPriority w:val="0"/>
    <w:rPr>
      <w:rFonts w:ascii="宋体" w:hAnsi="Courier New" w:eastAsia="宋体" w:cs="Times New Roman"/>
      <w:kern w:val="2"/>
      <w:sz w:val="21"/>
      <w:lang w:val="en-US" w:eastAsia="zh-CN" w:bidi="ar-SA"/>
    </w:rPr>
  </w:style>
  <w:style w:type="character" w:customStyle="1" w:styleId="90">
    <w:name w:val="bookmark-item uuid-1536114797846 code-23002"/>
    <w:qFormat/>
    <w:uiPriority w:val="0"/>
  </w:style>
  <w:style w:type="character" w:customStyle="1" w:styleId="91">
    <w:name w:val="bookmark-item uuid-1536325460878 code-23001"/>
    <w:qFormat/>
    <w:uiPriority w:val="0"/>
  </w:style>
  <w:style w:type="character" w:customStyle="1" w:styleId="92">
    <w:name w:val="bookmark-item uuid-1536114761735 code-00020"/>
    <w:qFormat/>
    <w:uiPriority w:val="0"/>
  </w:style>
  <w:style w:type="character" w:customStyle="1" w:styleId="93">
    <w:name w:val="bookmark-item uuid-1536114308002 code-23005"/>
    <w:qFormat/>
    <w:uiPriority w:val="0"/>
  </w:style>
  <w:style w:type="character" w:customStyle="1" w:styleId="94">
    <w:name w:val="bookmark-item uuid-1536114681261 code-00009"/>
    <w:qFormat/>
    <w:uiPriority w:val="0"/>
  </w:style>
  <w:style w:type="character" w:customStyle="1" w:styleId="95">
    <w:name w:val="bookmark-item uuid-1536114326115 code-23007"/>
    <w:qFormat/>
    <w:uiPriority w:val="0"/>
  </w:style>
  <w:style w:type="character" w:customStyle="1" w:styleId="96">
    <w:name w:val="bookmark-item uuid-1536114672385 code-23021"/>
    <w:qFormat/>
    <w:uiPriority w:val="0"/>
  </w:style>
  <w:style w:type="character" w:customStyle="1" w:styleId="97">
    <w:name w:val="bookmark-item uuid-1536114351935 code-23009"/>
    <w:qFormat/>
    <w:uiPriority w:val="0"/>
  </w:style>
  <w:style w:type="character" w:customStyle="1" w:styleId="98">
    <w:name w:val="apple-converted-space"/>
    <w:qFormat/>
    <w:uiPriority w:val="99"/>
    <w:rPr>
      <w:rFonts w:cs="Times New Roman"/>
    </w:rPr>
  </w:style>
  <w:style w:type="character" w:customStyle="1" w:styleId="99">
    <w:name w:val="bookmark-item uuid-1536114715836 code-00014"/>
    <w:qFormat/>
    <w:uiPriority w:val="0"/>
  </w:style>
  <w:style w:type="character" w:customStyle="1" w:styleId="100">
    <w:name w:val="Char Char4"/>
    <w:qFormat/>
    <w:uiPriority w:val="0"/>
    <w:rPr>
      <w:rFonts w:eastAsia="宋体" w:cs="Times New Roman"/>
      <w:kern w:val="2"/>
      <w:sz w:val="18"/>
      <w:szCs w:val="18"/>
      <w:lang w:val="en-US" w:eastAsia="zh-CN" w:bidi="ar-SA"/>
    </w:rPr>
  </w:style>
  <w:style w:type="character" w:customStyle="1" w:styleId="101">
    <w:name w:val="tpc_content1"/>
    <w:qFormat/>
    <w:uiPriority w:val="0"/>
    <w:rPr>
      <w:sz w:val="20"/>
    </w:rPr>
  </w:style>
  <w:style w:type="character" w:customStyle="1" w:styleId="102">
    <w:name w:val="bookmark-item uuid-1536114752958 code-00019"/>
    <w:qFormat/>
    <w:uiPriority w:val="0"/>
  </w:style>
  <w:style w:type="character" w:customStyle="1" w:styleId="103">
    <w:name w:val="bookmark-item uuid-1536114315631 code-23006"/>
    <w:qFormat/>
    <w:uiPriority w:val="0"/>
  </w:style>
  <w:style w:type="character" w:customStyle="1" w:styleId="104">
    <w:name w:val="sub"/>
    <w:qFormat/>
    <w:uiPriority w:val="0"/>
  </w:style>
  <w:style w:type="character" w:customStyle="1" w:styleId="105">
    <w:name w:val="bookmark-item uuid-1536114381259 code-23015"/>
    <w:qFormat/>
    <w:uiPriority w:val="0"/>
  </w:style>
  <w:style w:type="character" w:customStyle="1" w:styleId="106">
    <w:name w:val="bookmark-item uuid-1536114695490 code-00011"/>
    <w:qFormat/>
    <w:uiPriority w:val="0"/>
  </w:style>
  <w:style w:type="character" w:customStyle="1" w:styleId="107">
    <w:name w:val="bookmark-item uuid-1536114688571 code-00010"/>
    <w:qFormat/>
    <w:uiPriority w:val="0"/>
  </w:style>
  <w:style w:type="character" w:customStyle="1" w:styleId="108">
    <w:name w:val="wj"/>
    <w:qFormat/>
    <w:uiPriority w:val="0"/>
  </w:style>
  <w:style w:type="paragraph" w:customStyle="1" w:styleId="109">
    <w:name w:val="三级标题"/>
    <w:basedOn w:val="1"/>
    <w:next w:val="1"/>
    <w:qFormat/>
    <w:uiPriority w:val="0"/>
    <w:pPr>
      <w:numPr>
        <w:ilvl w:val="2"/>
        <w:numId w:val="3"/>
      </w:numPr>
      <w:outlineLvl w:val="3"/>
    </w:pPr>
    <w:rPr>
      <w:b/>
    </w:rPr>
  </w:style>
  <w:style w:type="paragraph" w:customStyle="1" w:styleId="110">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样式 宋体 五号 两端对齐 行距: 单倍行距"/>
    <w:basedOn w:val="1"/>
    <w:qFormat/>
    <w:uiPriority w:val="0"/>
    <w:pPr>
      <w:adjustRightInd w:val="0"/>
      <w:textAlignment w:val="baseline"/>
    </w:pPr>
  </w:style>
  <w:style w:type="paragraph" w:customStyle="1" w:styleId="112">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3">
    <w:name w:val="Char"/>
    <w:basedOn w:val="15"/>
    <w:qFormat/>
    <w:uiPriority w:val="99"/>
    <w:rPr>
      <w:rFonts w:ascii="Tahoma" w:hAnsi="Tahoma"/>
      <w:sz w:val="24"/>
      <w:szCs w:val="24"/>
    </w:rPr>
  </w:style>
  <w:style w:type="paragraph" w:customStyle="1" w:styleId="114">
    <w:name w:val="Default Text:1"/>
    <w:basedOn w:val="1"/>
    <w:qFormat/>
    <w:uiPriority w:val="0"/>
    <w:pPr>
      <w:overflowPunct w:val="0"/>
      <w:autoSpaceDE w:val="0"/>
      <w:autoSpaceDN w:val="0"/>
      <w:adjustRightInd w:val="0"/>
      <w:textAlignment w:val="baseline"/>
    </w:pPr>
  </w:style>
  <w:style w:type="paragraph" w:customStyle="1" w:styleId="115">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Normal_9"/>
    <w:qFormat/>
    <w:uiPriority w:val="0"/>
    <w:rPr>
      <w:rFonts w:ascii="黑体" w:hAnsi="黑体" w:eastAsia="黑体" w:cs="Times New Roman"/>
      <w:b/>
      <w:sz w:val="32"/>
      <w:szCs w:val="24"/>
      <w:lang w:val="en-US" w:eastAsia="zh-CN" w:bidi="ar-SA"/>
    </w:rPr>
  </w:style>
  <w:style w:type="paragraph" w:customStyle="1" w:styleId="117">
    <w:name w:val="样式3"/>
    <w:basedOn w:val="21"/>
    <w:qFormat/>
    <w:uiPriority w:val="0"/>
    <w:pPr>
      <w:spacing w:line="240" w:lineRule="atLeast"/>
      <w:outlineLvl w:val="0"/>
    </w:pPr>
    <w:rPr>
      <w:sz w:val="28"/>
      <w:szCs w:val="24"/>
    </w:rPr>
  </w:style>
  <w:style w:type="paragraph" w:customStyle="1" w:styleId="118">
    <w:name w:val="Char1"/>
    <w:basedOn w:val="1"/>
    <w:qFormat/>
    <w:uiPriority w:val="0"/>
    <w:rPr>
      <w:rFonts w:ascii="Tahoma" w:hAnsi="Tahoma"/>
    </w:rPr>
  </w:style>
  <w:style w:type="paragraph" w:customStyle="1" w:styleId="119">
    <w:name w:val="正文_2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样式 宋体 五号 行距: 单倍行距"/>
    <w:basedOn w:val="1"/>
    <w:qFormat/>
    <w:uiPriority w:val="0"/>
    <w:pPr>
      <w:adjustRightInd w:val="0"/>
      <w:textAlignment w:val="baseline"/>
    </w:pPr>
  </w:style>
  <w:style w:type="paragraph" w:customStyle="1" w:styleId="121">
    <w:name w:val="列表段落1"/>
    <w:basedOn w:val="1"/>
    <w:qFormat/>
    <w:uiPriority w:val="0"/>
    <w:pPr>
      <w:ind w:firstLine="420" w:firstLineChars="200"/>
    </w:pPr>
    <w:rPr>
      <w:rFonts w:ascii="Calibri" w:hAnsi="Calibri"/>
      <w:szCs w:val="22"/>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Default Text"/>
    <w:link w:val="22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4">
    <w:name w:val="font6"/>
    <w:basedOn w:val="1"/>
    <w:qFormat/>
    <w:uiPriority w:val="0"/>
    <w:pPr>
      <w:spacing w:before="100" w:beforeAutospacing="1" w:after="100" w:afterAutospacing="1"/>
    </w:pPr>
    <w:rPr>
      <w:sz w:val="18"/>
      <w:szCs w:val="18"/>
    </w:rPr>
  </w:style>
  <w:style w:type="paragraph" w:customStyle="1" w:styleId="125">
    <w:name w:val="reader-word-layer"/>
    <w:basedOn w:val="1"/>
    <w:qFormat/>
    <w:uiPriority w:val="0"/>
    <w:pPr>
      <w:spacing w:before="100" w:beforeAutospacing="1" w:after="100" w:afterAutospacing="1"/>
    </w:pPr>
  </w:style>
  <w:style w:type="paragraph" w:customStyle="1" w:styleId="12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b/>
      <w:bCs/>
    </w:rPr>
  </w:style>
  <w:style w:type="paragraph" w:customStyle="1" w:styleId="127">
    <w:name w:val="Normal_10_0"/>
    <w:qFormat/>
    <w:uiPriority w:val="0"/>
    <w:rPr>
      <w:rFonts w:ascii="黑体" w:hAnsi="黑体" w:eastAsia="黑体" w:cs="Times New Roman"/>
      <w:b/>
      <w:sz w:val="32"/>
      <w:szCs w:val="24"/>
      <w:lang w:val="en-US" w:eastAsia="zh-CN" w:bidi="ar-SA"/>
    </w:rPr>
  </w:style>
  <w:style w:type="paragraph" w:customStyle="1" w:styleId="128">
    <w:name w:val="Definition Term"/>
    <w:basedOn w:val="1"/>
    <w:next w:val="1"/>
    <w:qFormat/>
    <w:uiPriority w:val="0"/>
    <w:pPr>
      <w:autoSpaceDE w:val="0"/>
      <w:autoSpaceDN w:val="0"/>
      <w:adjustRightInd w:val="0"/>
    </w:pPr>
  </w:style>
  <w:style w:type="paragraph" w:customStyle="1" w:styleId="129">
    <w:name w:val="p15"/>
    <w:basedOn w:val="1"/>
    <w:qFormat/>
    <w:uiPriority w:val="0"/>
    <w:rPr>
      <w:szCs w:val="21"/>
    </w:rPr>
  </w:style>
  <w:style w:type="paragraph" w:customStyle="1" w:styleId="130">
    <w:name w:val="样式1"/>
    <w:basedOn w:val="1"/>
    <w:qFormat/>
    <w:uiPriority w:val="0"/>
    <w:pPr>
      <w:tabs>
        <w:tab w:val="left" w:pos="480"/>
      </w:tabs>
      <w:adjustRightInd w:val="0"/>
      <w:ind w:left="480" w:hanging="480"/>
      <w:textAlignment w:val="baseline"/>
    </w:pPr>
    <w:rPr>
      <w:szCs w:val="21"/>
    </w:rPr>
  </w:style>
  <w:style w:type="paragraph" w:customStyle="1" w:styleId="131">
    <w:name w:val="样式 样式 样式 左侧:  2 字符1 + 首行缩进:  2 字符1 + 首行缩进:  2 字符"/>
    <w:basedOn w:val="1"/>
    <w:qFormat/>
    <w:uiPriority w:val="0"/>
    <w:pPr>
      <w:adjustRightInd w:val="0"/>
      <w:spacing w:before="60" w:after="120" w:line="440" w:lineRule="atLeast"/>
      <w:ind w:firstLine="480"/>
      <w:textAlignment w:val="baseline"/>
    </w:p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Char Char Char Char Char Char Char"/>
    <w:basedOn w:val="1"/>
    <w:qFormat/>
    <w:uiPriority w:val="0"/>
    <w:pPr>
      <w:tabs>
        <w:tab w:val="left" w:pos="432"/>
      </w:tabs>
      <w:ind w:left="432" w:hanging="432"/>
    </w:pPr>
    <w:rPr>
      <w:rFonts w:ascii="Tahoma" w:hAnsi="Tahoma"/>
    </w:rPr>
  </w:style>
  <w:style w:type="paragraph" w:customStyle="1" w:styleId="134">
    <w:name w:val="正文_0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正文_5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6">
    <w:name w:val="NormalCharacter"/>
    <w:qFormat/>
    <w:uiPriority w:val="0"/>
  </w:style>
  <w:style w:type="paragraph" w:styleId="137">
    <w:name w:val="List Paragraph"/>
    <w:basedOn w:val="1"/>
    <w:qFormat/>
    <w:uiPriority w:val="34"/>
    <w:pPr>
      <w:ind w:firstLine="420" w:firstLineChars="200"/>
    </w:pPr>
  </w:style>
  <w:style w:type="paragraph" w:customStyle="1" w:styleId="138">
    <w:name w:val="样式 样式4+ + 首行缩进:  2 字符"/>
    <w:basedOn w:val="1"/>
    <w:qFormat/>
    <w:uiPriority w:val="0"/>
    <w:pPr>
      <w:ind w:firstLine="200" w:firstLineChars="200"/>
    </w:pPr>
    <w:rPr>
      <w:sz w:val="28"/>
      <w:szCs w:val="28"/>
    </w:rPr>
  </w:style>
  <w:style w:type="character" w:customStyle="1" w:styleId="139">
    <w:name w:val="font01"/>
    <w:qFormat/>
    <w:uiPriority w:val="0"/>
    <w:rPr>
      <w:rFonts w:hint="eastAsia" w:ascii="仿宋_GB2312" w:eastAsia="仿宋_GB2312" w:cs="仿宋_GB2312"/>
      <w:color w:val="000000"/>
      <w:sz w:val="20"/>
      <w:szCs w:val="20"/>
      <w:u w:val="none"/>
    </w:rPr>
  </w:style>
  <w:style w:type="character" w:customStyle="1" w:styleId="140">
    <w:name w:val="font51"/>
    <w:qFormat/>
    <w:uiPriority w:val="0"/>
    <w:rPr>
      <w:rFonts w:hint="eastAsia" w:ascii="仿宋_GB2312" w:eastAsia="仿宋_GB2312" w:cs="仿宋_GB2312"/>
      <w:b/>
      <w:bCs/>
      <w:color w:val="000000"/>
      <w:sz w:val="20"/>
      <w:szCs w:val="20"/>
      <w:u w:val="none"/>
    </w:rPr>
  </w:style>
  <w:style w:type="character" w:customStyle="1" w:styleId="141">
    <w:name w:val="font21"/>
    <w:qFormat/>
    <w:uiPriority w:val="0"/>
    <w:rPr>
      <w:rFonts w:hint="eastAsia" w:ascii="宋体" w:hAnsi="宋体" w:eastAsia="宋体" w:cs="宋体"/>
      <w:color w:val="000000"/>
      <w:sz w:val="20"/>
      <w:szCs w:val="20"/>
      <w:u w:val="none"/>
    </w:rPr>
  </w:style>
  <w:style w:type="paragraph" w:customStyle="1" w:styleId="142">
    <w:name w:val="_Style 123"/>
    <w:unhideWhenUsed/>
    <w:qFormat/>
    <w:uiPriority w:val="99"/>
    <w:rPr>
      <w:rFonts w:ascii="宋体" w:hAnsi="宋体" w:eastAsia="宋体" w:cs="宋体"/>
      <w:sz w:val="24"/>
      <w:szCs w:val="24"/>
      <w:lang w:val="en-US" w:eastAsia="zh-CN" w:bidi="ar-SA"/>
    </w:rPr>
  </w:style>
  <w:style w:type="character" w:customStyle="1" w:styleId="143">
    <w:name w:val="标题 1 Char"/>
    <w:qFormat/>
    <w:locked/>
    <w:uiPriority w:val="0"/>
    <w:rPr>
      <w:b/>
      <w:kern w:val="44"/>
      <w:sz w:val="44"/>
    </w:rPr>
  </w:style>
  <w:style w:type="character" w:customStyle="1" w:styleId="144">
    <w:name w:val="纯文本 Char"/>
    <w:qFormat/>
    <w:locked/>
    <w:uiPriority w:val="99"/>
    <w:rPr>
      <w:rFonts w:ascii="宋体" w:hAnsi="Courier New" w:eastAsia="宋体"/>
      <w:kern w:val="2"/>
      <w:sz w:val="21"/>
      <w:lang w:val="en-US" w:eastAsia="zh-CN"/>
    </w:rPr>
  </w:style>
  <w:style w:type="character" w:customStyle="1" w:styleId="145">
    <w:name w:val="页脚 Char"/>
    <w:qFormat/>
    <w:locked/>
    <w:uiPriority w:val="0"/>
    <w:rPr>
      <w:sz w:val="18"/>
    </w:rPr>
  </w:style>
  <w:style w:type="paragraph" w:customStyle="1" w:styleId="146">
    <w:name w:val="_Style 117"/>
    <w:basedOn w:val="1"/>
    <w:next w:val="137"/>
    <w:qFormat/>
    <w:uiPriority w:val="34"/>
    <w:pPr>
      <w:ind w:firstLine="420" w:firstLineChars="200"/>
    </w:pPr>
  </w:style>
  <w:style w:type="character" w:customStyle="1" w:styleId="147">
    <w:name w:val="medium_text1"/>
    <w:qFormat/>
    <w:uiPriority w:val="0"/>
    <w:rPr>
      <w:sz w:val="24"/>
      <w:szCs w:val="24"/>
    </w:rPr>
  </w:style>
  <w:style w:type="paragraph" w:customStyle="1" w:styleId="14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9">
    <w:name w:val="页眉 Char"/>
    <w:qFormat/>
    <w:uiPriority w:val="0"/>
    <w:rPr>
      <w:kern w:val="2"/>
      <w:sz w:val="18"/>
      <w:szCs w:val="18"/>
    </w:rPr>
  </w:style>
  <w:style w:type="character" w:customStyle="1" w:styleId="150">
    <w:name w:val="书籍标题1"/>
    <w:qFormat/>
    <w:uiPriority w:val="99"/>
    <w:rPr>
      <w:rFonts w:cs="Times New Roman"/>
      <w:b/>
      <w:bCs/>
      <w:smallCaps/>
      <w:spacing w:val="5"/>
    </w:rPr>
  </w:style>
  <w:style w:type="character" w:customStyle="1" w:styleId="151">
    <w:name w:val="font11"/>
    <w:qFormat/>
    <w:uiPriority w:val="0"/>
    <w:rPr>
      <w:rFonts w:hint="eastAsia" w:ascii="宋体" w:hAnsi="宋体" w:eastAsia="宋体" w:cs="宋体"/>
      <w:color w:val="000000"/>
      <w:sz w:val="22"/>
      <w:szCs w:val="22"/>
      <w:u w:val="none"/>
    </w:rPr>
  </w:style>
  <w:style w:type="paragraph" w:customStyle="1" w:styleId="15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正文_1_1_0"/>
    <w:qFormat/>
    <w:uiPriority w:val="0"/>
    <w:pPr>
      <w:widowControl w:val="0"/>
      <w:jc w:val="both"/>
    </w:pPr>
    <w:rPr>
      <w:rFonts w:ascii="Times New Roman" w:hAnsi="Times New Roman" w:eastAsia="宋体" w:cs="Times New Roman"/>
      <w:lang w:val="en-US" w:eastAsia="zh-CN" w:bidi="ar-SA"/>
    </w:rPr>
  </w:style>
  <w:style w:type="paragraph" w:customStyle="1" w:styleId="154">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155">
    <w:name w:val="正文_1_0"/>
    <w:qFormat/>
    <w:uiPriority w:val="0"/>
    <w:pPr>
      <w:widowControl w:val="0"/>
      <w:jc w:val="both"/>
    </w:pPr>
    <w:rPr>
      <w:rFonts w:ascii="Times New Roman" w:hAnsi="Times New Roman" w:eastAsia="宋体" w:cs="Times New Roman"/>
      <w:lang w:val="en-US" w:eastAsia="zh-CN" w:bidi="ar-SA"/>
    </w:rPr>
  </w:style>
  <w:style w:type="paragraph" w:customStyle="1" w:styleId="156">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57">
    <w:name w:val="_Style 1"/>
    <w:basedOn w:val="1"/>
    <w:qFormat/>
    <w:uiPriority w:val="99"/>
    <w:pPr>
      <w:widowControl w:val="0"/>
      <w:ind w:firstLine="420" w:firstLineChars="200"/>
      <w:jc w:val="both"/>
    </w:pPr>
    <w:rPr>
      <w:rFonts w:ascii="Times New Roman" w:hAnsi="Times New Roman" w:cs="Times New Roman"/>
      <w:kern w:val="2"/>
      <w:sz w:val="21"/>
      <w:szCs w:val="22"/>
    </w:rPr>
  </w:style>
  <w:style w:type="character" w:customStyle="1" w:styleId="158">
    <w:name w:val="font31"/>
    <w:qFormat/>
    <w:uiPriority w:val="0"/>
    <w:rPr>
      <w:rFonts w:hint="eastAsia" w:ascii="仿宋" w:hAnsi="仿宋" w:eastAsia="仿宋" w:cs="仿宋"/>
      <w:color w:val="000000"/>
      <w:sz w:val="24"/>
      <w:szCs w:val="24"/>
      <w:u w:val="none"/>
    </w:rPr>
  </w:style>
  <w:style w:type="character" w:customStyle="1" w:styleId="159">
    <w:name w:val="font41"/>
    <w:qFormat/>
    <w:uiPriority w:val="0"/>
    <w:rPr>
      <w:rFonts w:hint="eastAsia" w:ascii="仿宋" w:hAnsi="仿宋" w:eastAsia="仿宋" w:cs="仿宋"/>
      <w:color w:val="000000"/>
      <w:sz w:val="20"/>
      <w:szCs w:val="20"/>
      <w:u w:val="none"/>
    </w:rPr>
  </w:style>
  <w:style w:type="character" w:customStyle="1" w:styleId="160">
    <w:name w:val="font81"/>
    <w:qFormat/>
    <w:uiPriority w:val="0"/>
    <w:rPr>
      <w:rFonts w:hint="eastAsia" w:ascii="方正仿宋_GBK" w:hAnsi="方正仿宋_GBK" w:eastAsia="方正仿宋_GBK" w:cs="方正仿宋_GBK"/>
      <w:color w:val="000000"/>
      <w:sz w:val="20"/>
      <w:szCs w:val="20"/>
      <w:u w:val="none"/>
    </w:rPr>
  </w:style>
  <w:style w:type="character" w:customStyle="1" w:styleId="161">
    <w:name w:val="font91"/>
    <w:qFormat/>
    <w:uiPriority w:val="0"/>
    <w:rPr>
      <w:rFonts w:hint="eastAsia" w:ascii="方正仿宋_GBK" w:hAnsi="方正仿宋_GBK" w:eastAsia="方正仿宋_GBK" w:cs="方正仿宋_GBK"/>
      <w:color w:val="000000"/>
      <w:sz w:val="20"/>
      <w:szCs w:val="20"/>
      <w:u w:val="none"/>
    </w:rPr>
  </w:style>
  <w:style w:type="character" w:customStyle="1" w:styleId="162">
    <w:name w:val="font71"/>
    <w:qFormat/>
    <w:uiPriority w:val="0"/>
    <w:rPr>
      <w:rFonts w:hint="eastAsia" w:ascii="方正仿宋_GBK" w:hAnsi="方正仿宋_GBK" w:eastAsia="方正仿宋_GBK" w:cs="方正仿宋_GBK"/>
      <w:b/>
      <w:bCs/>
      <w:color w:val="000000"/>
      <w:sz w:val="20"/>
      <w:szCs w:val="20"/>
      <w:u w:val="none"/>
    </w:rPr>
  </w:style>
  <w:style w:type="character" w:customStyle="1" w:styleId="163">
    <w:name w:val="font61"/>
    <w:qFormat/>
    <w:uiPriority w:val="0"/>
    <w:rPr>
      <w:rFonts w:ascii="方正仿宋_GBK" w:hAnsi="方正仿宋_GBK" w:eastAsia="方正仿宋_GBK" w:cs="方正仿宋_GBK"/>
      <w:b/>
      <w:bCs/>
      <w:color w:val="000000"/>
      <w:sz w:val="20"/>
      <w:szCs w:val="20"/>
      <w:u w:val="none"/>
    </w:rPr>
  </w:style>
  <w:style w:type="paragraph" w:customStyle="1" w:styleId="164">
    <w:name w:val="BodyTextIndent"/>
    <w:basedOn w:val="1"/>
    <w:qFormat/>
    <w:uiPriority w:val="0"/>
    <w:pPr>
      <w:widowControl w:val="0"/>
      <w:spacing w:line="500" w:lineRule="exact"/>
      <w:ind w:left="1588" w:leftChars="832" w:firstLine="433" w:firstLineChars="196"/>
      <w:jc w:val="both"/>
      <w:textAlignment w:val="baseline"/>
    </w:pPr>
    <w:rPr>
      <w:rFonts w:ascii="Times New Roman" w:hAnsi="Times New Roman" w:cs="Times New Roman"/>
      <w:kern w:val="2"/>
    </w:rPr>
  </w:style>
  <w:style w:type="paragraph" w:customStyle="1" w:styleId="165">
    <w:name w:val="目录 41"/>
    <w:next w:val="1"/>
    <w:qFormat/>
    <w:uiPriority w:val="99"/>
    <w:pPr>
      <w:wordWrap w:val="0"/>
      <w:ind w:left="1275"/>
      <w:jc w:val="both"/>
    </w:pPr>
    <w:rPr>
      <w:rFonts w:ascii="Times New Roman" w:hAnsi="Times New Roman" w:eastAsia="宋体" w:cs="Times New Roman"/>
      <w:sz w:val="21"/>
      <w:lang w:val="en-US" w:eastAsia="zh-CN" w:bidi="ar-SA"/>
    </w:rPr>
  </w:style>
  <w:style w:type="character" w:customStyle="1" w:styleId="166">
    <w:name w:val="其他_"/>
    <w:basedOn w:val="42"/>
    <w:link w:val="167"/>
    <w:qFormat/>
    <w:uiPriority w:val="0"/>
    <w:rPr>
      <w:rFonts w:ascii="宋体" w:hAnsi="宋体" w:cs="宋体"/>
      <w:sz w:val="26"/>
      <w:szCs w:val="26"/>
      <w:lang w:val="zh-CN" w:bidi="zh-CN"/>
    </w:rPr>
  </w:style>
  <w:style w:type="paragraph" w:customStyle="1" w:styleId="167">
    <w:name w:val="其他"/>
    <w:basedOn w:val="1"/>
    <w:link w:val="166"/>
    <w:qFormat/>
    <w:uiPriority w:val="0"/>
    <w:pPr>
      <w:widowControl w:val="0"/>
    </w:pPr>
    <w:rPr>
      <w:sz w:val="26"/>
      <w:szCs w:val="26"/>
      <w:lang w:val="zh-CN" w:bidi="zh-CN"/>
    </w:rPr>
  </w:style>
  <w:style w:type="character" w:customStyle="1" w:styleId="168">
    <w:name w:val="标题 5 字符"/>
    <w:basedOn w:val="42"/>
    <w:semiHidden/>
    <w:qFormat/>
    <w:uiPriority w:val="9"/>
    <w:rPr>
      <w:rFonts w:ascii="宋体" w:hAnsi="宋体" w:cs="宋体"/>
      <w:b/>
      <w:bCs/>
      <w:sz w:val="28"/>
      <w:szCs w:val="28"/>
    </w:rPr>
  </w:style>
  <w:style w:type="character" w:customStyle="1" w:styleId="169">
    <w:name w:val="标题 7 字符"/>
    <w:basedOn w:val="42"/>
    <w:semiHidden/>
    <w:qFormat/>
    <w:uiPriority w:val="9"/>
    <w:rPr>
      <w:rFonts w:ascii="宋体" w:hAnsi="宋体" w:cs="宋体"/>
      <w:b/>
      <w:bCs/>
      <w:sz w:val="24"/>
      <w:szCs w:val="24"/>
    </w:rPr>
  </w:style>
  <w:style w:type="character" w:customStyle="1" w:styleId="170">
    <w:name w:val="标题 8 字符"/>
    <w:basedOn w:val="42"/>
    <w:semiHidden/>
    <w:qFormat/>
    <w:uiPriority w:val="9"/>
    <w:rPr>
      <w:rFonts w:asciiTheme="majorHAnsi" w:hAnsiTheme="majorHAnsi" w:eastAsiaTheme="majorEastAsia" w:cstheme="majorBidi"/>
      <w:sz w:val="24"/>
      <w:szCs w:val="24"/>
    </w:rPr>
  </w:style>
  <w:style w:type="character" w:customStyle="1" w:styleId="171">
    <w:name w:val="标题 9 字符"/>
    <w:basedOn w:val="42"/>
    <w:semiHidden/>
    <w:qFormat/>
    <w:uiPriority w:val="9"/>
    <w:rPr>
      <w:rFonts w:asciiTheme="majorHAnsi" w:hAnsiTheme="majorHAnsi" w:eastAsiaTheme="majorEastAsia" w:cstheme="majorBidi"/>
      <w:sz w:val="21"/>
      <w:szCs w:val="21"/>
    </w:rPr>
  </w:style>
  <w:style w:type="character" w:customStyle="1" w:styleId="172">
    <w:name w:val="标题 4 字符"/>
    <w:basedOn w:val="42"/>
    <w:semiHidden/>
    <w:qFormat/>
    <w:uiPriority w:val="9"/>
    <w:rPr>
      <w:rFonts w:asciiTheme="majorHAnsi" w:hAnsiTheme="majorHAnsi" w:eastAsiaTheme="majorEastAsia" w:cstheme="majorBidi"/>
      <w:b/>
      <w:bCs/>
      <w:kern w:val="2"/>
      <w:sz w:val="28"/>
      <w:szCs w:val="28"/>
    </w:rPr>
  </w:style>
  <w:style w:type="character" w:customStyle="1" w:styleId="173">
    <w:name w:val="标题 1 Char1"/>
    <w:qFormat/>
    <w:uiPriority w:val="0"/>
    <w:rPr>
      <w:b/>
      <w:kern w:val="44"/>
      <w:sz w:val="44"/>
    </w:rPr>
  </w:style>
  <w:style w:type="character" w:customStyle="1" w:styleId="174">
    <w:name w:val="标题 2 Char1"/>
    <w:qFormat/>
    <w:uiPriority w:val="0"/>
    <w:rPr>
      <w:rFonts w:ascii="Arial" w:hAnsi="Arial" w:eastAsia="黑体"/>
      <w:kern w:val="2"/>
      <w:sz w:val="24"/>
    </w:rPr>
  </w:style>
  <w:style w:type="character" w:customStyle="1" w:styleId="175">
    <w:name w:val="正文缩进 字符"/>
    <w:link w:val="13"/>
    <w:qFormat/>
    <w:locked/>
    <w:uiPriority w:val="0"/>
    <w:rPr>
      <w:kern w:val="2"/>
      <w:sz w:val="21"/>
      <w:szCs w:val="24"/>
    </w:rPr>
  </w:style>
  <w:style w:type="character" w:customStyle="1" w:styleId="176">
    <w:name w:val="标题 3 Char1"/>
    <w:qFormat/>
    <w:uiPriority w:val="0"/>
    <w:rPr>
      <w:b/>
      <w:kern w:val="2"/>
      <w:sz w:val="32"/>
    </w:rPr>
  </w:style>
  <w:style w:type="character" w:customStyle="1" w:styleId="177">
    <w:name w:val="标题 4 字符1"/>
    <w:link w:val="7"/>
    <w:qFormat/>
    <w:locked/>
    <w:uiPriority w:val="0"/>
    <w:rPr>
      <w:rFonts w:ascii="Arial" w:hAnsi="Arial" w:eastAsia="黑体" w:cs="宋体"/>
      <w:b/>
      <w:bCs/>
      <w:sz w:val="28"/>
      <w:szCs w:val="28"/>
    </w:rPr>
  </w:style>
  <w:style w:type="character" w:customStyle="1" w:styleId="178">
    <w:name w:val="标题 5 字符1"/>
    <w:link w:val="8"/>
    <w:qFormat/>
    <w:uiPriority w:val="0"/>
    <w:rPr>
      <w:b/>
      <w:bCs/>
      <w:kern w:val="2"/>
      <w:sz w:val="28"/>
      <w:szCs w:val="28"/>
    </w:rPr>
  </w:style>
  <w:style w:type="character" w:customStyle="1" w:styleId="179">
    <w:name w:val="标题 6 Char1"/>
    <w:qFormat/>
    <w:uiPriority w:val="0"/>
    <w:rPr>
      <w:rFonts w:ascii="Cambria" w:hAnsi="Cambria" w:cs="Cambria"/>
      <w:b/>
      <w:bCs/>
      <w:kern w:val="2"/>
      <w:sz w:val="24"/>
      <w:szCs w:val="24"/>
    </w:rPr>
  </w:style>
  <w:style w:type="character" w:customStyle="1" w:styleId="180">
    <w:name w:val="标题 7 字符1"/>
    <w:link w:val="10"/>
    <w:qFormat/>
    <w:uiPriority w:val="0"/>
    <w:rPr>
      <w:rFonts w:ascii="Calibri" w:hAnsi="Calibri" w:cs="Calibri"/>
      <w:b/>
      <w:bCs/>
      <w:kern w:val="2"/>
      <w:sz w:val="24"/>
      <w:szCs w:val="24"/>
    </w:rPr>
  </w:style>
  <w:style w:type="character" w:customStyle="1" w:styleId="181">
    <w:name w:val="标题 8 字符1"/>
    <w:link w:val="11"/>
    <w:qFormat/>
    <w:uiPriority w:val="0"/>
    <w:rPr>
      <w:rFonts w:ascii="Cambria" w:hAnsi="Cambria" w:cs="Cambria"/>
      <w:kern w:val="2"/>
      <w:sz w:val="24"/>
      <w:szCs w:val="24"/>
    </w:rPr>
  </w:style>
  <w:style w:type="character" w:customStyle="1" w:styleId="182">
    <w:name w:val="标题 9 字符1"/>
    <w:link w:val="12"/>
    <w:qFormat/>
    <w:uiPriority w:val="0"/>
    <w:rPr>
      <w:rFonts w:ascii="Cambria" w:hAnsi="Cambria" w:cs="Cambria"/>
      <w:kern w:val="2"/>
      <w:sz w:val="21"/>
      <w:szCs w:val="21"/>
    </w:rPr>
  </w:style>
  <w:style w:type="paragraph" w:customStyle="1" w:styleId="183">
    <w:name w:val="_Style 165"/>
    <w:basedOn w:val="1"/>
    <w:next w:val="137"/>
    <w:qFormat/>
    <w:uiPriority w:val="0"/>
    <w:pPr>
      <w:widowControl w:val="0"/>
      <w:ind w:firstLine="420" w:firstLineChars="200"/>
      <w:jc w:val="both"/>
    </w:pPr>
    <w:rPr>
      <w:rFonts w:ascii="Times New Roman" w:hAnsi="Times New Roman" w:cs="Times New Roman"/>
      <w:kern w:val="2"/>
      <w:sz w:val="21"/>
    </w:rPr>
  </w:style>
  <w:style w:type="character" w:customStyle="1" w:styleId="184">
    <w:name w:val="文档结构图 Char3"/>
    <w:qFormat/>
    <w:uiPriority w:val="0"/>
    <w:rPr>
      <w:kern w:val="2"/>
      <w:sz w:val="24"/>
      <w:shd w:val="clear" w:color="auto" w:fill="000080"/>
    </w:rPr>
  </w:style>
  <w:style w:type="character" w:customStyle="1" w:styleId="185">
    <w:name w:val="批注文字 Char2"/>
    <w:qFormat/>
    <w:uiPriority w:val="0"/>
    <w:rPr>
      <w:kern w:val="2"/>
      <w:sz w:val="24"/>
    </w:rPr>
  </w:style>
  <w:style w:type="character" w:customStyle="1" w:styleId="186">
    <w:name w:val="正文文本 3 字符"/>
    <w:basedOn w:val="42"/>
    <w:qFormat/>
    <w:uiPriority w:val="99"/>
    <w:rPr>
      <w:rFonts w:ascii="宋体" w:hAnsi="宋体" w:cs="宋体"/>
      <w:sz w:val="16"/>
      <w:szCs w:val="16"/>
    </w:rPr>
  </w:style>
  <w:style w:type="character" w:customStyle="1" w:styleId="187">
    <w:name w:val="正文文本 3 字符1"/>
    <w:link w:val="17"/>
    <w:qFormat/>
    <w:uiPriority w:val="99"/>
    <w:rPr>
      <w:rFonts w:ascii="宋体"/>
      <w:kern w:val="2"/>
      <w:sz w:val="24"/>
    </w:rPr>
  </w:style>
  <w:style w:type="character" w:customStyle="1" w:styleId="188">
    <w:name w:val="正文文本 Char3"/>
    <w:qFormat/>
    <w:uiPriority w:val="0"/>
    <w:rPr>
      <w:kern w:val="2"/>
      <w:sz w:val="24"/>
    </w:rPr>
  </w:style>
  <w:style w:type="character" w:customStyle="1" w:styleId="189">
    <w:name w:val="正文文本缩进 Char3"/>
    <w:qFormat/>
    <w:uiPriority w:val="99"/>
    <w:rPr>
      <w:rFonts w:eastAsia="楷体_GB2312"/>
      <w:kern w:val="2"/>
      <w:sz w:val="30"/>
    </w:rPr>
  </w:style>
  <w:style w:type="character" w:customStyle="1" w:styleId="190">
    <w:name w:val="纯文本 Char3"/>
    <w:qFormat/>
    <w:uiPriority w:val="0"/>
    <w:rPr>
      <w:rFonts w:ascii="宋体" w:hAnsi="Courier New"/>
      <w:kern w:val="2"/>
      <w:sz w:val="21"/>
    </w:rPr>
  </w:style>
  <w:style w:type="character" w:customStyle="1" w:styleId="191">
    <w:name w:val="日期 Char3"/>
    <w:qFormat/>
    <w:uiPriority w:val="0"/>
    <w:rPr>
      <w:kern w:val="2"/>
      <w:sz w:val="24"/>
      <w:szCs w:val="24"/>
    </w:rPr>
  </w:style>
  <w:style w:type="character" w:customStyle="1" w:styleId="192">
    <w:name w:val="正文文本缩进 2 Char3"/>
    <w:qFormat/>
    <w:uiPriority w:val="0"/>
    <w:rPr>
      <w:kern w:val="2"/>
      <w:sz w:val="24"/>
    </w:rPr>
  </w:style>
  <w:style w:type="character" w:customStyle="1" w:styleId="193">
    <w:name w:val="批注框文本 Char2"/>
    <w:qFormat/>
    <w:uiPriority w:val="0"/>
    <w:rPr>
      <w:kern w:val="2"/>
      <w:sz w:val="18"/>
    </w:rPr>
  </w:style>
  <w:style w:type="character" w:customStyle="1" w:styleId="194">
    <w:name w:val="页脚 Char1"/>
    <w:qFormat/>
    <w:uiPriority w:val="0"/>
    <w:rPr>
      <w:kern w:val="2"/>
      <w:sz w:val="18"/>
    </w:rPr>
  </w:style>
  <w:style w:type="character" w:customStyle="1" w:styleId="195">
    <w:name w:val="页眉 Char1"/>
    <w:qFormat/>
    <w:uiPriority w:val="0"/>
    <w:rPr>
      <w:kern w:val="2"/>
      <w:sz w:val="18"/>
    </w:rPr>
  </w:style>
  <w:style w:type="character" w:customStyle="1" w:styleId="196">
    <w:name w:val="副标题 字符"/>
    <w:basedOn w:val="42"/>
    <w:qFormat/>
    <w:uiPriority w:val="99"/>
    <w:rPr>
      <w:rFonts w:asciiTheme="minorHAnsi" w:hAnsiTheme="minorHAnsi" w:eastAsiaTheme="minorEastAsia" w:cstheme="minorBidi"/>
      <w:b/>
      <w:bCs/>
      <w:kern w:val="28"/>
      <w:sz w:val="32"/>
      <w:szCs w:val="32"/>
    </w:rPr>
  </w:style>
  <w:style w:type="character" w:customStyle="1" w:styleId="197">
    <w:name w:val="副标题 字符1"/>
    <w:link w:val="28"/>
    <w:qFormat/>
    <w:uiPriority w:val="0"/>
    <w:rPr>
      <w:rFonts w:ascii="Calibri Light" w:hAnsi="Calibri Light"/>
      <w:b/>
      <w:kern w:val="28"/>
      <w:sz w:val="32"/>
    </w:rPr>
  </w:style>
  <w:style w:type="character" w:customStyle="1" w:styleId="198">
    <w:name w:val="正文文本缩进 3 字符"/>
    <w:basedOn w:val="42"/>
    <w:qFormat/>
    <w:uiPriority w:val="99"/>
    <w:rPr>
      <w:rFonts w:ascii="宋体" w:hAnsi="宋体" w:cs="宋体"/>
      <w:sz w:val="16"/>
      <w:szCs w:val="16"/>
    </w:rPr>
  </w:style>
  <w:style w:type="character" w:customStyle="1" w:styleId="199">
    <w:name w:val="正文文本缩进 3 字符1"/>
    <w:link w:val="32"/>
    <w:qFormat/>
    <w:uiPriority w:val="99"/>
    <w:rPr>
      <w:rFonts w:ascii="宋体"/>
      <w:kern w:val="2"/>
      <w:sz w:val="21"/>
    </w:rPr>
  </w:style>
  <w:style w:type="character" w:customStyle="1" w:styleId="200">
    <w:name w:val="标题 字符"/>
    <w:basedOn w:val="42"/>
    <w:qFormat/>
    <w:uiPriority w:val="10"/>
    <w:rPr>
      <w:rFonts w:asciiTheme="majorHAnsi" w:hAnsiTheme="majorHAnsi" w:eastAsiaTheme="majorEastAsia" w:cstheme="majorBidi"/>
      <w:b/>
      <w:bCs/>
      <w:sz w:val="32"/>
      <w:szCs w:val="32"/>
    </w:rPr>
  </w:style>
  <w:style w:type="character" w:customStyle="1" w:styleId="201">
    <w:name w:val="标题 字符1"/>
    <w:link w:val="37"/>
    <w:qFormat/>
    <w:uiPriority w:val="0"/>
    <w:rPr>
      <w:rFonts w:ascii="Cambria" w:hAnsi="Cambria"/>
      <w:b/>
      <w:sz w:val="32"/>
    </w:rPr>
  </w:style>
  <w:style w:type="character" w:customStyle="1" w:styleId="202">
    <w:name w:val="批注主题 Char3"/>
    <w:qFormat/>
    <w:uiPriority w:val="0"/>
    <w:rPr>
      <w:b/>
      <w:kern w:val="2"/>
      <w:sz w:val="24"/>
    </w:rPr>
  </w:style>
  <w:style w:type="character" w:customStyle="1" w:styleId="203">
    <w:name w:val="标题 Char"/>
    <w:qFormat/>
    <w:uiPriority w:val="0"/>
    <w:rPr>
      <w:rFonts w:ascii="Cambria" w:hAnsi="Cambria" w:eastAsia="宋体" w:cs="Times New Roman"/>
      <w:b/>
      <w:sz w:val="32"/>
    </w:rPr>
  </w:style>
  <w:style w:type="character" w:customStyle="1" w:styleId="204">
    <w:name w:val="Body Text 3 Char1"/>
    <w:qFormat/>
    <w:uiPriority w:val="99"/>
    <w:rPr>
      <w:rFonts w:ascii="Times New Roman" w:hAnsi="Times New Roman" w:eastAsia="宋体" w:cs="Times New Roman"/>
      <w:sz w:val="16"/>
      <w:szCs w:val="16"/>
    </w:rPr>
  </w:style>
  <w:style w:type="character" w:customStyle="1" w:styleId="205">
    <w:name w:val="纯文本 Char2"/>
    <w:semiHidden/>
    <w:qFormat/>
    <w:uiPriority w:val="99"/>
    <w:rPr>
      <w:rFonts w:ascii="宋体" w:hAnsi="Courier New" w:eastAsia="宋体" w:cs="Courier New"/>
      <w:szCs w:val="21"/>
    </w:rPr>
  </w:style>
  <w:style w:type="character" w:customStyle="1" w:styleId="206">
    <w:name w:val="批注框文本 Char1"/>
    <w:qFormat/>
    <w:uiPriority w:val="0"/>
    <w:rPr>
      <w:rFonts w:ascii="Times New Roman" w:hAnsi="Times New Roman" w:eastAsia="宋体" w:cs="Times New Roman"/>
      <w:sz w:val="18"/>
      <w:szCs w:val="18"/>
    </w:rPr>
  </w:style>
  <w:style w:type="character" w:customStyle="1" w:styleId="207">
    <w:name w:val="副标题 Char1"/>
    <w:qFormat/>
    <w:uiPriority w:val="99"/>
    <w:rPr>
      <w:rFonts w:ascii="Cambria" w:hAnsi="Cambria" w:eastAsia="宋体" w:cs="Times New Roman"/>
      <w:b/>
      <w:kern w:val="28"/>
      <w:sz w:val="32"/>
    </w:rPr>
  </w:style>
  <w:style w:type="character" w:customStyle="1" w:styleId="208">
    <w:name w:val="Body Text Indent Char1"/>
    <w:qFormat/>
    <w:uiPriority w:val="99"/>
    <w:rPr>
      <w:rFonts w:ascii="Times New Roman" w:hAnsi="Times New Roman" w:eastAsia="宋体" w:cs="Times New Roman"/>
      <w:szCs w:val="24"/>
    </w:rPr>
  </w:style>
  <w:style w:type="character" w:customStyle="1" w:styleId="209">
    <w:name w:val="apple-style-span"/>
    <w:qFormat/>
    <w:uiPriority w:val="0"/>
    <w:rPr>
      <w:rFonts w:ascii="Times New Roman" w:hAnsi="Times New Roman" w:eastAsia="宋体" w:cs="Times New Roman"/>
    </w:rPr>
  </w:style>
  <w:style w:type="character" w:customStyle="1" w:styleId="210">
    <w:name w:val="Body Text Char1"/>
    <w:qFormat/>
    <w:uiPriority w:val="99"/>
    <w:rPr>
      <w:rFonts w:ascii="Times New Roman" w:hAnsi="Times New Roman" w:eastAsia="宋体" w:cs="Times New Roman"/>
      <w:szCs w:val="24"/>
    </w:rPr>
  </w:style>
  <w:style w:type="character" w:customStyle="1" w:styleId="211">
    <w:name w:val="Subtitle Char1"/>
    <w:qFormat/>
    <w:uiPriority w:val="11"/>
    <w:rPr>
      <w:rFonts w:ascii="Cambria" w:hAnsi="Cambria" w:eastAsia="宋体" w:cs="Times New Roman"/>
      <w:b/>
      <w:bCs/>
      <w:kern w:val="28"/>
      <w:sz w:val="32"/>
      <w:szCs w:val="32"/>
    </w:rPr>
  </w:style>
  <w:style w:type="character" w:customStyle="1" w:styleId="212">
    <w:name w:val="访问过的超链接1"/>
    <w:qFormat/>
    <w:uiPriority w:val="0"/>
    <w:rPr>
      <w:rFonts w:ascii="Times New Roman" w:hAnsi="Times New Roman" w:eastAsia="宋体" w:cs="Times New Roman"/>
      <w:color w:val="800080"/>
      <w:u w:val="single"/>
    </w:rPr>
  </w:style>
  <w:style w:type="character" w:customStyle="1" w:styleId="213">
    <w:name w:val="正文文本 Char2"/>
    <w:semiHidden/>
    <w:qFormat/>
    <w:uiPriority w:val="99"/>
    <w:rPr>
      <w:rFonts w:ascii="Times New Roman" w:hAnsi="Times New Roman" w:eastAsia="宋体" w:cs="Times New Roman"/>
      <w:szCs w:val="24"/>
    </w:rPr>
  </w:style>
  <w:style w:type="character" w:customStyle="1" w:styleId="214">
    <w:name w:val="Date Char"/>
    <w:qFormat/>
    <w:uiPriority w:val="99"/>
    <w:rPr>
      <w:rFonts w:ascii="宋体" w:hAnsi="Times New Roman" w:eastAsia="宋体" w:cs="Times New Roman"/>
      <w:sz w:val="24"/>
    </w:rPr>
  </w:style>
  <w:style w:type="character" w:customStyle="1" w:styleId="215">
    <w:name w:val="正文文本 3 Char1"/>
    <w:qFormat/>
    <w:uiPriority w:val="99"/>
    <w:rPr>
      <w:rFonts w:ascii="宋体" w:hAnsi="Calibri" w:eastAsia="宋体" w:cs="Times New Roman"/>
      <w:kern w:val="2"/>
      <w:sz w:val="22"/>
      <w:szCs w:val="22"/>
    </w:rPr>
  </w:style>
  <w:style w:type="character" w:customStyle="1" w:styleId="216">
    <w:name w:val="Body Text Indent 2 Char1"/>
    <w:qFormat/>
    <w:uiPriority w:val="99"/>
    <w:rPr>
      <w:rFonts w:ascii="Times New Roman" w:hAnsi="Times New Roman" w:eastAsia="宋体" w:cs="Times New Roman"/>
      <w:szCs w:val="24"/>
    </w:rPr>
  </w:style>
  <w:style w:type="character" w:customStyle="1" w:styleId="217">
    <w:name w:val="无间隔 字符"/>
    <w:link w:val="218"/>
    <w:qFormat/>
    <w:uiPriority w:val="1"/>
    <w:rPr>
      <w:rFonts w:ascii="Calibri" w:hAnsi="Calibri"/>
      <w:sz w:val="22"/>
      <w:szCs w:val="22"/>
    </w:rPr>
  </w:style>
  <w:style w:type="paragraph" w:styleId="218">
    <w:name w:val="No Spacing"/>
    <w:link w:val="217"/>
    <w:qFormat/>
    <w:uiPriority w:val="1"/>
    <w:rPr>
      <w:rFonts w:ascii="Calibri" w:hAnsi="Calibri" w:eastAsia="宋体" w:cs="Times New Roman"/>
      <w:sz w:val="22"/>
      <w:szCs w:val="22"/>
      <w:lang w:val="en-US" w:eastAsia="zh-CN" w:bidi="ar-SA"/>
    </w:rPr>
  </w:style>
  <w:style w:type="character" w:customStyle="1" w:styleId="219">
    <w:name w:val="正文文本缩进 Char1"/>
    <w:qFormat/>
    <w:uiPriority w:val="99"/>
    <w:rPr>
      <w:rFonts w:ascii="Calibri" w:hAnsi="Calibri" w:eastAsia="楷体_GB2312" w:cs="Times New Roman"/>
      <w:kern w:val="2"/>
      <w:sz w:val="22"/>
      <w:szCs w:val="22"/>
    </w:rPr>
  </w:style>
  <w:style w:type="character" w:customStyle="1" w:styleId="220">
    <w:name w:val="Date Char1"/>
    <w:qFormat/>
    <w:uiPriority w:val="99"/>
    <w:rPr>
      <w:rFonts w:ascii="Times New Roman" w:hAnsi="Times New Roman" w:eastAsia="宋体" w:cs="Times New Roman"/>
      <w:szCs w:val="24"/>
    </w:rPr>
  </w:style>
  <w:style w:type="character" w:customStyle="1" w:styleId="221">
    <w:name w:val="Plain Text Char1"/>
    <w:qFormat/>
    <w:uiPriority w:val="99"/>
    <w:rPr>
      <w:rFonts w:ascii="宋体" w:hAnsi="Courier New" w:eastAsia="宋体" w:cs="Courier New"/>
      <w:szCs w:val="21"/>
    </w:rPr>
  </w:style>
  <w:style w:type="character" w:customStyle="1" w:styleId="222">
    <w:name w:val="批注文字 Char1"/>
    <w:qFormat/>
    <w:uiPriority w:val="99"/>
    <w:rPr>
      <w:rFonts w:ascii="Times New Roman" w:hAnsi="Times New Roman" w:eastAsia="宋体" w:cs="Times New Roman"/>
      <w:szCs w:val="24"/>
    </w:rPr>
  </w:style>
  <w:style w:type="character" w:customStyle="1" w:styleId="223">
    <w:name w:val="日期 Char1"/>
    <w:qFormat/>
    <w:uiPriority w:val="0"/>
    <w:rPr>
      <w:rFonts w:ascii="Times New Roman" w:hAnsi="Times New Roman" w:eastAsia="宋体" w:cs="Times New Roman"/>
      <w:kern w:val="2"/>
      <w:sz w:val="21"/>
      <w:szCs w:val="24"/>
    </w:rPr>
  </w:style>
  <w:style w:type="character" w:customStyle="1" w:styleId="224">
    <w:name w:val="副标题 Char2"/>
    <w:qFormat/>
    <w:uiPriority w:val="11"/>
    <w:rPr>
      <w:rFonts w:ascii="Cambria" w:hAnsi="Cambria" w:eastAsia="宋体" w:cs="Times New Roman"/>
      <w:b/>
      <w:bCs/>
      <w:kern w:val="28"/>
      <w:sz w:val="32"/>
      <w:szCs w:val="32"/>
    </w:rPr>
  </w:style>
  <w:style w:type="character" w:customStyle="1" w:styleId="225">
    <w:name w:val="Title Char1"/>
    <w:qFormat/>
    <w:uiPriority w:val="10"/>
    <w:rPr>
      <w:rFonts w:ascii="Cambria" w:hAnsi="Cambria" w:eastAsia="宋体" w:cs="Times New Roman"/>
      <w:b/>
      <w:bCs/>
      <w:sz w:val="32"/>
      <w:szCs w:val="32"/>
    </w:rPr>
  </w:style>
  <w:style w:type="character" w:customStyle="1" w:styleId="226">
    <w:name w:val="纯文本 Char1"/>
    <w:qFormat/>
    <w:uiPriority w:val="99"/>
    <w:rPr>
      <w:rFonts w:ascii="宋体" w:hAnsi="Courier New" w:eastAsia="宋体" w:cs="Times New Roman"/>
      <w:kern w:val="2"/>
      <w:sz w:val="21"/>
      <w:szCs w:val="21"/>
    </w:rPr>
  </w:style>
  <w:style w:type="character" w:customStyle="1" w:styleId="227">
    <w:name w:val="Default Text Char"/>
    <w:link w:val="123"/>
    <w:qFormat/>
    <w:uiPriority w:val="0"/>
    <w:rPr>
      <w:color w:val="000000"/>
      <w:sz w:val="24"/>
      <w:szCs w:val="24"/>
    </w:rPr>
  </w:style>
  <w:style w:type="character" w:customStyle="1" w:styleId="228">
    <w:name w:val="15"/>
    <w:qFormat/>
    <w:uiPriority w:val="0"/>
    <w:rPr>
      <w:rFonts w:ascii="Times New Roman" w:hAnsi="Times New Roman" w:eastAsia="宋体" w:cs="Times New Roman"/>
      <w:color w:val="464445"/>
      <w:u w:val="none"/>
    </w:rPr>
  </w:style>
  <w:style w:type="character" w:customStyle="1" w:styleId="229">
    <w:name w:val="标题 Char1"/>
    <w:qFormat/>
    <w:uiPriority w:val="99"/>
    <w:rPr>
      <w:rFonts w:ascii="Cambria" w:hAnsi="Cambria" w:eastAsia="宋体" w:cs="Times New Roman"/>
      <w:b/>
      <w:kern w:val="2"/>
      <w:sz w:val="32"/>
    </w:rPr>
  </w:style>
  <w:style w:type="character" w:customStyle="1" w:styleId="230">
    <w:name w:val="正文文本 Char1"/>
    <w:qFormat/>
    <w:uiPriority w:val="0"/>
    <w:rPr>
      <w:rFonts w:ascii="Calibri" w:hAnsi="Calibri" w:eastAsia="宋体" w:cs="Times New Roman"/>
      <w:kern w:val="2"/>
      <w:sz w:val="24"/>
      <w:szCs w:val="24"/>
    </w:rPr>
  </w:style>
  <w:style w:type="character" w:customStyle="1" w:styleId="231">
    <w:name w:val="正文文本缩进 2 Char1"/>
    <w:qFormat/>
    <w:uiPriority w:val="99"/>
    <w:rPr>
      <w:rFonts w:ascii="Calibri" w:hAnsi="Calibri" w:eastAsia="宋体" w:cs="Times New Roman"/>
      <w:kern w:val="2"/>
      <w:sz w:val="24"/>
      <w:szCs w:val="24"/>
    </w:rPr>
  </w:style>
  <w:style w:type="character" w:customStyle="1" w:styleId="232">
    <w:name w:val="正文文本 3 Char2"/>
    <w:semiHidden/>
    <w:qFormat/>
    <w:uiPriority w:val="99"/>
    <w:rPr>
      <w:rFonts w:ascii="Times New Roman" w:hAnsi="Times New Roman" w:eastAsia="宋体" w:cs="Times New Roman"/>
      <w:sz w:val="16"/>
      <w:szCs w:val="16"/>
    </w:rPr>
  </w:style>
  <w:style w:type="character" w:customStyle="1" w:styleId="233">
    <w:name w:val="文档结构图 Char1"/>
    <w:qFormat/>
    <w:uiPriority w:val="0"/>
    <w:rPr>
      <w:rFonts w:ascii="宋体" w:hAnsi="Times New Roman" w:eastAsia="宋体" w:cs="Times New Roman"/>
      <w:sz w:val="18"/>
      <w:szCs w:val="18"/>
    </w:rPr>
  </w:style>
  <w:style w:type="character" w:customStyle="1" w:styleId="234">
    <w:name w:val="正文文本缩进 Char2"/>
    <w:semiHidden/>
    <w:qFormat/>
    <w:uiPriority w:val="99"/>
    <w:rPr>
      <w:rFonts w:ascii="Times New Roman" w:hAnsi="Times New Roman" w:eastAsia="宋体" w:cs="Times New Roman"/>
      <w:szCs w:val="24"/>
    </w:rPr>
  </w:style>
  <w:style w:type="character" w:customStyle="1" w:styleId="235">
    <w:name w:val="批注主题 Char1"/>
    <w:qFormat/>
    <w:uiPriority w:val="0"/>
    <w:rPr>
      <w:rFonts w:ascii="Times New Roman" w:hAnsi="Times New Roman" w:eastAsia="宋体" w:cs="Times New Roman"/>
      <w:b/>
      <w:bCs/>
      <w:szCs w:val="24"/>
    </w:rPr>
  </w:style>
  <w:style w:type="character" w:customStyle="1" w:styleId="236">
    <w:name w:val="日期 Char2"/>
    <w:semiHidden/>
    <w:qFormat/>
    <w:uiPriority w:val="99"/>
    <w:rPr>
      <w:rFonts w:ascii="Times New Roman" w:hAnsi="Times New Roman" w:eastAsia="宋体" w:cs="Times New Roman"/>
      <w:szCs w:val="24"/>
    </w:rPr>
  </w:style>
  <w:style w:type="character" w:customStyle="1" w:styleId="237">
    <w:name w:val="标题 Char2"/>
    <w:qFormat/>
    <w:uiPriority w:val="10"/>
    <w:rPr>
      <w:rFonts w:ascii="Cambria" w:hAnsi="Cambria" w:eastAsia="宋体" w:cs="Times New Roman"/>
      <w:b/>
      <w:bCs/>
      <w:sz w:val="32"/>
      <w:szCs w:val="32"/>
    </w:rPr>
  </w:style>
  <w:style w:type="character" w:customStyle="1" w:styleId="238">
    <w:name w:val="正文文本缩进 3 Char1"/>
    <w:semiHidden/>
    <w:qFormat/>
    <w:uiPriority w:val="99"/>
    <w:rPr>
      <w:rFonts w:ascii="Times New Roman" w:hAnsi="Times New Roman" w:eastAsia="宋体" w:cs="Times New Roman"/>
      <w:sz w:val="16"/>
      <w:szCs w:val="16"/>
    </w:rPr>
  </w:style>
  <w:style w:type="character" w:customStyle="1" w:styleId="239">
    <w:name w:val="正文文本缩进 2 Char2"/>
    <w:semiHidden/>
    <w:qFormat/>
    <w:uiPriority w:val="99"/>
    <w:rPr>
      <w:rFonts w:ascii="Times New Roman" w:hAnsi="Times New Roman" w:eastAsia="宋体" w:cs="Times New Roman"/>
      <w:szCs w:val="24"/>
    </w:rPr>
  </w:style>
  <w:style w:type="paragraph" w:customStyle="1" w:styleId="240">
    <w:name w:val="tiaonoa"/>
    <w:basedOn w:val="1"/>
    <w:qFormat/>
    <w:uiPriority w:val="0"/>
    <w:pPr>
      <w:spacing w:before="100" w:beforeAutospacing="1" w:after="100" w:afterAutospacing="1"/>
    </w:pPr>
    <w:rPr>
      <w:b/>
      <w:bCs/>
      <w:smallCaps/>
      <w:color w:val="000000"/>
      <w:sz w:val="18"/>
      <w:szCs w:val="18"/>
    </w:rPr>
  </w:style>
  <w:style w:type="paragraph" w:customStyle="1" w:styleId="241">
    <w:name w:val="p17"/>
    <w:basedOn w:val="1"/>
    <w:qFormat/>
    <w:uiPriority w:val="0"/>
    <w:pPr>
      <w:jc w:val="both"/>
    </w:pPr>
    <w:rPr>
      <w:rFonts w:ascii="Times New Roman" w:hAnsi="Times New Roman" w:cs="Times New Roman"/>
      <w:sz w:val="21"/>
      <w:szCs w:val="21"/>
    </w:rPr>
  </w:style>
  <w:style w:type="paragraph" w:customStyle="1" w:styleId="242">
    <w:name w:val="content"/>
    <w:basedOn w:val="1"/>
    <w:qFormat/>
    <w:uiPriority w:val="0"/>
    <w:pPr>
      <w:spacing w:before="100" w:beforeAutospacing="1" w:after="100" w:afterAutospacing="1" w:line="384" w:lineRule="auto"/>
    </w:pPr>
    <w:rPr>
      <w:sz w:val="18"/>
      <w:szCs w:val="18"/>
    </w:rPr>
  </w:style>
  <w:style w:type="paragraph" w:customStyle="1" w:styleId="243">
    <w:name w:val="正文一级"/>
    <w:basedOn w:val="1"/>
    <w:qFormat/>
    <w:uiPriority w:val="99"/>
    <w:pPr>
      <w:widowControl w:val="0"/>
      <w:spacing w:line="360" w:lineRule="auto"/>
      <w:ind w:left="425"/>
      <w:jc w:val="both"/>
    </w:pPr>
    <w:rPr>
      <w:rFonts w:ascii="Times New Roman" w:hAnsi="Times New Roman" w:cs="Times New Roman"/>
      <w:kern w:val="2"/>
      <w:szCs w:val="20"/>
    </w:rPr>
  </w:style>
  <w:style w:type="paragraph" w:customStyle="1" w:styleId="244">
    <w:name w:val="TOC 标题1"/>
    <w:basedOn w:val="4"/>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45">
    <w:name w:val="xl25"/>
    <w:basedOn w:val="1"/>
    <w:qFormat/>
    <w:uiPriority w:val="99"/>
    <w:pPr>
      <w:spacing w:before="100" w:beforeAutospacing="1" w:after="100" w:afterAutospacing="1"/>
      <w:jc w:val="both"/>
      <w:textAlignment w:val="center"/>
    </w:pPr>
    <w:rPr>
      <w:rFonts w:cs="Times New Roman"/>
      <w:sz w:val="18"/>
      <w:szCs w:val="18"/>
    </w:rPr>
  </w:style>
  <w:style w:type="paragraph" w:customStyle="1" w:styleId="246">
    <w:name w:val="zhang"/>
    <w:basedOn w:val="1"/>
    <w:qFormat/>
    <w:uiPriority w:val="0"/>
    <w:pPr>
      <w:spacing w:before="100" w:beforeAutospacing="1" w:after="100" w:afterAutospacing="1"/>
    </w:pPr>
    <w:rPr>
      <w:b/>
      <w:bCs/>
      <w:smallCaps/>
      <w:color w:val="000000"/>
      <w:sz w:val="20"/>
      <w:szCs w:val="20"/>
    </w:rPr>
  </w:style>
  <w:style w:type="paragraph" w:customStyle="1" w:styleId="247">
    <w:name w:val="stitle"/>
    <w:basedOn w:val="1"/>
    <w:qFormat/>
    <w:uiPriority w:val="0"/>
    <w:pPr>
      <w:spacing w:before="100" w:beforeAutospacing="1" w:after="100" w:afterAutospacing="1"/>
    </w:pPr>
    <w:rPr>
      <w:smallCaps/>
      <w:color w:val="000000"/>
      <w:sz w:val="20"/>
      <w:szCs w:val="20"/>
    </w:rPr>
  </w:style>
  <w:style w:type="paragraph" w:customStyle="1" w:styleId="248">
    <w:name w:val="TOC 标题11"/>
    <w:basedOn w:val="4"/>
    <w:next w:val="1"/>
    <w:qFormat/>
    <w:uiPriority w:val="99"/>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49">
    <w:name w:val="样式 标题 3 + (中文) 黑体 小四 非加粗 段前: 7.8 磅 段后: 0 磅 行距: 固定值 20 磅"/>
    <w:basedOn w:val="6"/>
    <w:next w:val="1"/>
    <w:qFormat/>
    <w:uiPriority w:val="0"/>
    <w:pPr>
      <w:widowControl w:val="0"/>
      <w:spacing w:before="0" w:after="0" w:line="400" w:lineRule="exact"/>
      <w:jc w:val="both"/>
    </w:pPr>
    <w:rPr>
      <w:rFonts w:eastAsia="黑体" w:cs="宋体"/>
      <w:b w:val="0"/>
      <w:bCs/>
      <w:kern w:val="2"/>
      <w:sz w:val="24"/>
    </w:rPr>
  </w:style>
  <w:style w:type="paragraph" w:customStyle="1" w:styleId="250">
    <w:name w:val="xl37"/>
    <w:basedOn w:val="1"/>
    <w:qFormat/>
    <w:uiPriority w:val="99"/>
    <w:pPr>
      <w:pBdr>
        <w:left w:val="single" w:color="auto" w:sz="8"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51">
    <w:name w:val="Char2"/>
    <w:basedOn w:val="1"/>
    <w:qFormat/>
    <w:uiPriority w:val="0"/>
    <w:pPr>
      <w:widowControl w:val="0"/>
      <w:spacing w:line="360" w:lineRule="auto"/>
      <w:ind w:firstLine="200" w:firstLineChars="200"/>
      <w:jc w:val="both"/>
    </w:pPr>
    <w:rPr>
      <w:kern w:val="2"/>
    </w:rPr>
  </w:style>
  <w:style w:type="paragraph" w:customStyle="1" w:styleId="252">
    <w:name w:val="p0"/>
    <w:basedOn w:val="1"/>
    <w:qFormat/>
    <w:uiPriority w:val="99"/>
    <w:pPr>
      <w:jc w:val="both"/>
    </w:pPr>
    <w:rPr>
      <w:rFonts w:ascii="Times New Roman" w:hAnsi="Times New Roman" w:cs="Times New Roman"/>
      <w:sz w:val="21"/>
      <w:szCs w:val="21"/>
    </w:rPr>
  </w:style>
  <w:style w:type="paragraph" w:customStyle="1" w:styleId="253">
    <w:name w:val="mnotes"/>
    <w:basedOn w:val="1"/>
    <w:qFormat/>
    <w:uiPriority w:val="0"/>
    <w:pPr>
      <w:shd w:val="clear" w:color="auto" w:fill="AFEEEE"/>
      <w:spacing w:before="100" w:beforeAutospacing="1" w:after="100" w:afterAutospacing="1" w:line="336" w:lineRule="auto"/>
    </w:pPr>
    <w:rPr>
      <w:smallCaps/>
      <w:color w:val="008080"/>
      <w:sz w:val="20"/>
      <w:szCs w:val="20"/>
    </w:rPr>
  </w:style>
  <w:style w:type="paragraph" w:customStyle="1" w:styleId="254">
    <w:name w:val="tiaoyin"/>
    <w:basedOn w:val="1"/>
    <w:qFormat/>
    <w:uiPriority w:val="0"/>
    <w:pPr>
      <w:spacing w:before="100" w:beforeAutospacing="1" w:after="100" w:afterAutospacing="1"/>
    </w:pPr>
    <w:rPr>
      <w:smallCaps/>
      <w:color w:val="FF0000"/>
      <w:sz w:val="20"/>
      <w:szCs w:val="20"/>
    </w:rPr>
  </w:style>
  <w:style w:type="paragraph" w:customStyle="1" w:styleId="255">
    <w:name w:val="tiao"/>
    <w:basedOn w:val="1"/>
    <w:qFormat/>
    <w:uiPriority w:val="0"/>
    <w:pPr>
      <w:shd w:val="clear" w:color="auto" w:fill="AFEEEE"/>
      <w:spacing w:before="100" w:beforeAutospacing="1" w:after="100" w:afterAutospacing="1"/>
    </w:pPr>
    <w:rPr>
      <w:i/>
      <w:iCs/>
      <w:smallCaps/>
      <w:color w:val="6600CC"/>
      <w:sz w:val="20"/>
      <w:szCs w:val="20"/>
    </w:rPr>
  </w:style>
  <w:style w:type="paragraph" w:customStyle="1" w:styleId="256">
    <w:name w:val="mtitle"/>
    <w:basedOn w:val="1"/>
    <w:qFormat/>
    <w:uiPriority w:val="0"/>
    <w:pPr>
      <w:spacing w:before="100" w:beforeAutospacing="1" w:after="100" w:afterAutospacing="1" w:line="336" w:lineRule="auto"/>
    </w:pPr>
    <w:rPr>
      <w:b/>
      <w:bCs/>
      <w:smallCaps/>
      <w:color w:val="000000"/>
      <w:sz w:val="20"/>
      <w:szCs w:val="20"/>
    </w:rPr>
  </w:style>
  <w:style w:type="paragraph" w:customStyle="1" w:styleId="257">
    <w:name w:val="样式 标题 2 + Times New Roman 四号 非加粗 段前: 5 磅 段后: 0 磅 行距: 固定值 20..."/>
    <w:basedOn w:val="5"/>
    <w:qFormat/>
    <w:uiPriority w:val="0"/>
    <w:pPr>
      <w:widowControl w:val="0"/>
      <w:spacing w:before="100" w:after="0" w:line="400" w:lineRule="exact"/>
      <w:jc w:val="both"/>
    </w:pPr>
    <w:rPr>
      <w:rFonts w:ascii="Times New Roman" w:hAnsi="Times New Roman" w:cs="宋体"/>
      <w:b w:val="0"/>
      <w:kern w:val="2"/>
      <w:sz w:val="28"/>
    </w:rPr>
  </w:style>
  <w:style w:type="paragraph" w:customStyle="1" w:styleId="258">
    <w:name w:val="Table Paragraph"/>
    <w:basedOn w:val="1"/>
    <w:qFormat/>
    <w:uiPriority w:val="99"/>
    <w:pPr>
      <w:widowControl w:val="0"/>
      <w:autoSpaceDE w:val="0"/>
      <w:autoSpaceDN w:val="0"/>
    </w:pPr>
    <w:rPr>
      <w:sz w:val="22"/>
      <w:szCs w:val="22"/>
      <w:lang w:eastAsia="en-US"/>
    </w:rPr>
  </w:style>
  <w:style w:type="paragraph" w:customStyle="1" w:styleId="259">
    <w:name w:val="_Style 4"/>
    <w:basedOn w:val="4"/>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60">
    <w:name w:val="正文 A"/>
    <w:qFormat/>
    <w:uiPriority w:val="0"/>
    <w:rPr>
      <w:rFonts w:ascii="宋体" w:hAnsi="宋体" w:eastAsia="Arial Unicode MS" w:cs="Arial Unicode MS"/>
      <w:color w:val="000000"/>
      <w:sz w:val="24"/>
      <w:szCs w:val="24"/>
      <w:u w:color="000000"/>
      <w:lang w:val="en-US" w:eastAsia="zh-CN" w:bidi="ar-SA"/>
    </w:rPr>
  </w:style>
  <w:style w:type="paragraph" w:customStyle="1" w:styleId="261">
    <w:name w:val="_Style 7"/>
    <w:basedOn w:val="4"/>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62">
    <w:name w:val="标题一 黑体2号加粗"/>
    <w:basedOn w:val="4"/>
    <w:qFormat/>
    <w:uiPriority w:val="0"/>
    <w:pPr>
      <w:keepLines/>
      <w:widowControl w:val="0"/>
      <w:numPr>
        <w:numId w:val="0"/>
      </w:numPr>
      <w:tabs>
        <w:tab w:val="clear" w:pos="360"/>
      </w:tabs>
      <w:spacing w:before="340" w:after="330" w:line="578" w:lineRule="auto"/>
      <w:jc w:val="center"/>
    </w:pPr>
    <w:rPr>
      <w:sz w:val="36"/>
    </w:rPr>
  </w:style>
  <w:style w:type="paragraph" w:customStyle="1" w:styleId="263">
    <w:name w:val="BodyText"/>
    <w:basedOn w:val="1"/>
    <w:qFormat/>
    <w:uiPriority w:val="0"/>
    <w:pPr>
      <w:widowControl w:val="0"/>
      <w:spacing w:after="120"/>
      <w:jc w:val="both"/>
    </w:pPr>
    <w:rPr>
      <w:rFonts w:ascii="Times New Roman" w:hAnsi="Times New Roman" w:cs="Times New Roman"/>
      <w:kern w:val="2"/>
      <w:sz w:val="21"/>
    </w:rPr>
  </w:style>
  <w:style w:type="paragraph" w:customStyle="1" w:styleId="264">
    <w:name w:val="WPSOffice手动目录 1"/>
    <w:qFormat/>
    <w:uiPriority w:val="0"/>
    <w:rPr>
      <w:rFonts w:ascii="Times New Roman" w:hAnsi="Times New Roman" w:eastAsia="宋体" w:cs="Times New Roman"/>
      <w:lang w:val="en-US" w:eastAsia="zh-CN" w:bidi="ar-SA"/>
    </w:rPr>
  </w:style>
  <w:style w:type="table" w:customStyle="1" w:styleId="265">
    <w:name w:val="Table Normal1"/>
    <w:semiHidden/>
    <w:qFormat/>
    <w:uiPriority w:val="99"/>
    <w:pPr>
      <w:widowControl w:val="0"/>
      <w:autoSpaceDE w:val="0"/>
      <w:autoSpaceDN w:val="0"/>
    </w:pPr>
    <w:rPr>
      <w:rFonts w:cs="Calibri"/>
      <w:sz w:val="22"/>
      <w:szCs w:val="22"/>
      <w:lang w:eastAsia="en-US"/>
    </w:rPr>
    <w:tblPr>
      <w:tblCellMar>
        <w:top w:w="0" w:type="dxa"/>
        <w:left w:w="0" w:type="dxa"/>
        <w:bottom w:w="0" w:type="dxa"/>
        <w:right w:w="0" w:type="dxa"/>
      </w:tblCellMar>
    </w:tblPr>
  </w:style>
  <w:style w:type="paragraph" w:customStyle="1" w:styleId="266">
    <w:name w:val="目录 11"/>
    <w:basedOn w:val="1"/>
    <w:qFormat/>
    <w:uiPriority w:val="99"/>
    <w:pPr>
      <w:widowControl w:val="0"/>
      <w:autoSpaceDE w:val="0"/>
      <w:autoSpaceDN w:val="0"/>
      <w:spacing w:line="272" w:lineRule="exact"/>
      <w:ind w:left="100"/>
    </w:pPr>
    <w:rPr>
      <w:sz w:val="21"/>
      <w:szCs w:val="21"/>
      <w:lang w:eastAsia="en-US"/>
    </w:rPr>
  </w:style>
  <w:style w:type="paragraph" w:customStyle="1" w:styleId="267">
    <w:name w:val="目录 21"/>
    <w:basedOn w:val="1"/>
    <w:qFormat/>
    <w:uiPriority w:val="99"/>
    <w:pPr>
      <w:widowControl w:val="0"/>
      <w:autoSpaceDE w:val="0"/>
      <w:autoSpaceDN w:val="0"/>
      <w:spacing w:line="272" w:lineRule="exact"/>
      <w:ind w:left="784" w:hanging="264"/>
    </w:pPr>
    <w:rPr>
      <w:sz w:val="21"/>
      <w:szCs w:val="21"/>
      <w:lang w:eastAsia="en-US"/>
    </w:rPr>
  </w:style>
  <w:style w:type="paragraph" w:customStyle="1" w:styleId="268">
    <w:name w:val="目录 31"/>
    <w:basedOn w:val="1"/>
    <w:qFormat/>
    <w:uiPriority w:val="99"/>
    <w:pPr>
      <w:widowControl w:val="0"/>
      <w:autoSpaceDE w:val="0"/>
      <w:autoSpaceDN w:val="0"/>
      <w:spacing w:line="272" w:lineRule="exact"/>
      <w:ind w:left="1362" w:hanging="422"/>
    </w:pPr>
    <w:rPr>
      <w:sz w:val="21"/>
      <w:szCs w:val="21"/>
      <w:lang w:eastAsia="en-US"/>
    </w:rPr>
  </w:style>
  <w:style w:type="paragraph" w:customStyle="1" w:styleId="269">
    <w:name w:val="标题 11"/>
    <w:basedOn w:val="1"/>
    <w:qFormat/>
    <w:uiPriority w:val="99"/>
    <w:pPr>
      <w:widowControl w:val="0"/>
      <w:autoSpaceDE w:val="0"/>
      <w:autoSpaceDN w:val="0"/>
      <w:spacing w:line="590" w:lineRule="exact"/>
      <w:ind w:left="3"/>
      <w:jc w:val="center"/>
      <w:outlineLvl w:val="1"/>
    </w:pPr>
    <w:rPr>
      <w:rFonts w:ascii="Microsoft JhengHei" w:hAnsi="Microsoft JhengHei" w:eastAsia="Microsoft JhengHei" w:cs="Microsoft JhengHei"/>
      <w:b/>
      <w:bCs/>
      <w:sz w:val="44"/>
      <w:szCs w:val="44"/>
      <w:lang w:eastAsia="en-US"/>
    </w:rPr>
  </w:style>
  <w:style w:type="paragraph" w:customStyle="1" w:styleId="270">
    <w:name w:val="标题 21"/>
    <w:basedOn w:val="1"/>
    <w:qFormat/>
    <w:uiPriority w:val="99"/>
    <w:pPr>
      <w:widowControl w:val="0"/>
      <w:autoSpaceDE w:val="0"/>
      <w:autoSpaceDN w:val="0"/>
      <w:ind w:left="3"/>
      <w:outlineLvl w:val="2"/>
    </w:pPr>
    <w:rPr>
      <w:sz w:val="44"/>
      <w:szCs w:val="44"/>
      <w:lang w:eastAsia="en-US"/>
    </w:rPr>
  </w:style>
  <w:style w:type="paragraph" w:customStyle="1" w:styleId="271">
    <w:name w:val="标题 31"/>
    <w:basedOn w:val="1"/>
    <w:qFormat/>
    <w:uiPriority w:val="99"/>
    <w:pPr>
      <w:widowControl w:val="0"/>
      <w:autoSpaceDE w:val="0"/>
      <w:autoSpaceDN w:val="0"/>
      <w:ind w:left="501" w:hanging="401"/>
      <w:outlineLvl w:val="3"/>
    </w:pPr>
    <w:rPr>
      <w:rFonts w:ascii="Microsoft JhengHei" w:hAnsi="Microsoft JhengHei" w:eastAsia="Microsoft JhengHei" w:cs="Microsoft JhengHei"/>
      <w:b/>
      <w:bCs/>
      <w:sz w:val="32"/>
      <w:szCs w:val="32"/>
      <w:lang w:eastAsia="en-US"/>
    </w:rPr>
  </w:style>
  <w:style w:type="paragraph" w:customStyle="1" w:styleId="272">
    <w:name w:val="标题 41"/>
    <w:basedOn w:val="1"/>
    <w:qFormat/>
    <w:uiPriority w:val="1"/>
    <w:pPr>
      <w:widowControl w:val="0"/>
      <w:autoSpaceDE w:val="0"/>
      <w:autoSpaceDN w:val="0"/>
      <w:ind w:left="726" w:hanging="489"/>
      <w:outlineLvl w:val="4"/>
    </w:pPr>
    <w:rPr>
      <w:sz w:val="28"/>
      <w:szCs w:val="28"/>
      <w:lang w:eastAsia="en-US"/>
    </w:rPr>
  </w:style>
  <w:style w:type="paragraph" w:customStyle="1" w:styleId="273">
    <w:name w:val="标题 51"/>
    <w:basedOn w:val="1"/>
    <w:qFormat/>
    <w:uiPriority w:val="99"/>
    <w:pPr>
      <w:widowControl w:val="0"/>
      <w:autoSpaceDE w:val="0"/>
      <w:autoSpaceDN w:val="0"/>
      <w:ind w:left="1048" w:hanging="526"/>
      <w:outlineLvl w:val="5"/>
    </w:pPr>
    <w:rPr>
      <w:rFonts w:ascii="Microsoft JhengHei" w:hAnsi="Microsoft JhengHei" w:eastAsia="Microsoft JhengHei" w:cs="Microsoft JhengHei"/>
      <w:b/>
      <w:bCs/>
      <w:sz w:val="21"/>
      <w:szCs w:val="21"/>
      <w:lang w:eastAsia="en-US"/>
    </w:rPr>
  </w:style>
  <w:style w:type="character" w:customStyle="1" w:styleId="274">
    <w:name w:val="文档结构图 Char"/>
    <w:qFormat/>
    <w:locked/>
    <w:uiPriority w:val="0"/>
    <w:rPr>
      <w:rFonts w:ascii="宋体" w:hAnsi="Times New Roman" w:eastAsia="宋体" w:cs="宋体"/>
      <w:kern w:val="2"/>
      <w:sz w:val="18"/>
      <w:szCs w:val="18"/>
      <w:lang w:eastAsia="zh-CN"/>
    </w:rPr>
  </w:style>
  <w:style w:type="character" w:customStyle="1" w:styleId="275">
    <w:name w:val="my-notice"/>
    <w:qFormat/>
    <w:uiPriority w:val="99"/>
  </w:style>
  <w:style w:type="character" w:customStyle="1" w:styleId="276">
    <w:name w:val="tip12"/>
    <w:qFormat/>
    <w:uiPriority w:val="99"/>
    <w:rPr>
      <w:vanish/>
      <w:color w:val="FF0000"/>
      <w:sz w:val="18"/>
      <w:szCs w:val="18"/>
    </w:rPr>
  </w:style>
  <w:style w:type="character" w:customStyle="1" w:styleId="277">
    <w:name w:val="no62"/>
    <w:qFormat/>
    <w:uiPriority w:val="99"/>
  </w:style>
  <w:style w:type="character" w:customStyle="1" w:styleId="278">
    <w:name w:val="ico-jiang"/>
    <w:qFormat/>
    <w:uiPriority w:val="99"/>
  </w:style>
  <w:style w:type="character" w:customStyle="1" w:styleId="279">
    <w:name w:val="no72"/>
    <w:qFormat/>
    <w:uiPriority w:val="99"/>
  </w:style>
  <w:style w:type="character" w:customStyle="1" w:styleId="280">
    <w:name w:val="ico-jiang2"/>
    <w:qFormat/>
    <w:uiPriority w:val="99"/>
  </w:style>
  <w:style w:type="character" w:customStyle="1" w:styleId="281">
    <w:name w:val="my-notice1"/>
    <w:qFormat/>
    <w:uiPriority w:val="99"/>
  </w:style>
  <w:style w:type="character" w:customStyle="1" w:styleId="282">
    <w:name w:val="bds_more1"/>
    <w:qFormat/>
    <w:uiPriority w:val="99"/>
    <w:rPr>
      <w:rFonts w:ascii="宋体" w:hAnsi="宋体" w:eastAsia="宋体" w:cs="宋体"/>
    </w:rPr>
  </w:style>
  <w:style w:type="character" w:customStyle="1" w:styleId="283">
    <w:name w:val="bds_nopic2"/>
    <w:qFormat/>
    <w:uiPriority w:val="99"/>
  </w:style>
  <w:style w:type="character" w:customStyle="1" w:styleId="284">
    <w:name w:val="my-class"/>
    <w:qFormat/>
    <w:uiPriority w:val="99"/>
  </w:style>
  <w:style w:type="character" w:customStyle="1" w:styleId="285">
    <w:name w:val="no6"/>
    <w:qFormat/>
    <w:uiPriority w:val="99"/>
  </w:style>
  <w:style w:type="character" w:customStyle="1" w:styleId="286">
    <w:name w:val="orange5"/>
    <w:qFormat/>
    <w:uiPriority w:val="99"/>
    <w:rPr>
      <w:color w:val="auto"/>
    </w:rPr>
  </w:style>
  <w:style w:type="character" w:customStyle="1" w:styleId="287">
    <w:name w:val="ui-bz-bg-hover"/>
    <w:qFormat/>
    <w:uiPriority w:val="99"/>
    <w:rPr>
      <w:shd w:val="clear" w:color="auto" w:fill="000000"/>
    </w:rPr>
  </w:style>
  <w:style w:type="character" w:customStyle="1" w:styleId="288">
    <w:name w:val="no52"/>
    <w:qFormat/>
    <w:uiPriority w:val="99"/>
  </w:style>
  <w:style w:type="character" w:customStyle="1" w:styleId="289">
    <w:name w:val="orange6"/>
    <w:qFormat/>
    <w:uiPriority w:val="99"/>
    <w:rPr>
      <w:color w:val="auto"/>
    </w:rPr>
  </w:style>
  <w:style w:type="character" w:customStyle="1" w:styleId="290">
    <w:name w:val="tip"/>
    <w:qFormat/>
    <w:uiPriority w:val="99"/>
    <w:rPr>
      <w:vanish/>
      <w:color w:val="FF0000"/>
      <w:sz w:val="18"/>
      <w:szCs w:val="18"/>
    </w:rPr>
  </w:style>
  <w:style w:type="character" w:customStyle="1" w:styleId="291">
    <w:name w:val="no5"/>
    <w:qFormat/>
    <w:uiPriority w:val="99"/>
  </w:style>
  <w:style w:type="character" w:customStyle="1" w:styleId="292">
    <w:name w:val="top-icon"/>
    <w:qFormat/>
    <w:uiPriority w:val="99"/>
  </w:style>
  <w:style w:type="character" w:customStyle="1" w:styleId="293">
    <w:name w:val="ico-jiang3"/>
    <w:qFormat/>
    <w:uiPriority w:val="99"/>
  </w:style>
  <w:style w:type="character" w:customStyle="1" w:styleId="294">
    <w:name w:val="org_name"/>
    <w:qFormat/>
    <w:uiPriority w:val="99"/>
  </w:style>
  <w:style w:type="character" w:customStyle="1" w:styleId="295">
    <w:name w:val="f-star"/>
    <w:qFormat/>
    <w:uiPriority w:val="99"/>
    <w:rPr>
      <w:color w:val="auto"/>
      <w:sz w:val="21"/>
      <w:szCs w:val="21"/>
    </w:rPr>
  </w:style>
  <w:style w:type="character" w:customStyle="1" w:styleId="296">
    <w:name w:val="ui-bz-bg-hover1"/>
    <w:qFormat/>
    <w:uiPriority w:val="99"/>
  </w:style>
  <w:style w:type="character" w:customStyle="1" w:styleId="297">
    <w:name w:val="no42"/>
    <w:qFormat/>
    <w:uiPriority w:val="99"/>
  </w:style>
  <w:style w:type="character" w:customStyle="1" w:styleId="298">
    <w:name w:val="HTML Markup"/>
    <w:qFormat/>
    <w:uiPriority w:val="99"/>
    <w:rPr>
      <w:vanish/>
      <w:color w:val="FF0000"/>
    </w:rPr>
  </w:style>
  <w:style w:type="character" w:customStyle="1" w:styleId="299">
    <w:name w:val="ico-jiang1"/>
    <w:qFormat/>
    <w:uiPriority w:val="99"/>
  </w:style>
  <w:style w:type="character" w:customStyle="1" w:styleId="300">
    <w:name w:val="bds_nopic"/>
    <w:qFormat/>
    <w:uiPriority w:val="99"/>
  </w:style>
  <w:style w:type="character" w:customStyle="1" w:styleId="301">
    <w:name w:val="bds_more3"/>
    <w:qFormat/>
    <w:uiPriority w:val="99"/>
  </w:style>
  <w:style w:type="character" w:customStyle="1" w:styleId="302">
    <w:name w:val="bds_more2"/>
    <w:qFormat/>
    <w:uiPriority w:val="99"/>
  </w:style>
  <w:style w:type="character" w:customStyle="1" w:styleId="303">
    <w:name w:val="bds_nopic1"/>
    <w:qFormat/>
    <w:uiPriority w:val="99"/>
  </w:style>
  <w:style w:type="character" w:customStyle="1" w:styleId="304">
    <w:name w:val="tip10"/>
    <w:qFormat/>
    <w:uiPriority w:val="99"/>
    <w:rPr>
      <w:vanish/>
      <w:color w:val="FF0000"/>
      <w:sz w:val="18"/>
      <w:szCs w:val="18"/>
    </w:rPr>
  </w:style>
  <w:style w:type="character" w:customStyle="1" w:styleId="305">
    <w:name w:val="my-class2"/>
    <w:qFormat/>
    <w:uiPriority w:val="99"/>
  </w:style>
  <w:style w:type="character" w:customStyle="1" w:styleId="306">
    <w:name w:val="no4"/>
    <w:qFormat/>
    <w:uiPriority w:val="99"/>
  </w:style>
  <w:style w:type="character" w:customStyle="1" w:styleId="307">
    <w:name w:val="no7"/>
    <w:qFormat/>
    <w:uiPriority w:val="99"/>
  </w:style>
  <w:style w:type="character" w:customStyle="1" w:styleId="308">
    <w:name w:val="bds_more"/>
    <w:qFormat/>
    <w:uiPriority w:val="99"/>
  </w:style>
  <w:style w:type="character" w:customStyle="1" w:styleId="309">
    <w:name w:val="bds_more4"/>
    <w:qFormat/>
    <w:uiPriority w:val="99"/>
  </w:style>
  <w:style w:type="character" w:customStyle="1" w:styleId="310">
    <w:name w:val="org_name2"/>
    <w:qFormat/>
    <w:uiPriority w:val="99"/>
  </w:style>
  <w:style w:type="character" w:customStyle="1" w:styleId="311">
    <w:name w:val="orange"/>
    <w:qFormat/>
    <w:uiPriority w:val="99"/>
    <w:rPr>
      <w:color w:val="auto"/>
    </w:rPr>
  </w:style>
  <w:style w:type="character" w:customStyle="1" w:styleId="312">
    <w:name w:val="Document Map Char1"/>
    <w:qFormat/>
    <w:uiPriority w:val="99"/>
    <w:rPr>
      <w:rFonts w:ascii="Times New Roman" w:hAnsi="Times New Roman" w:cs="Times New Roman"/>
      <w:kern w:val="2"/>
      <w:sz w:val="2"/>
      <w:szCs w:val="2"/>
    </w:rPr>
  </w:style>
  <w:style w:type="character" w:customStyle="1" w:styleId="313">
    <w:name w:val="tip7"/>
    <w:qFormat/>
    <w:uiPriority w:val="99"/>
    <w:rPr>
      <w:vanish/>
      <w:color w:val="FF0000"/>
      <w:sz w:val="18"/>
      <w:szCs w:val="18"/>
    </w:rPr>
  </w:style>
  <w:style w:type="character" w:customStyle="1" w:styleId="314">
    <w:name w:val="tip13"/>
    <w:qFormat/>
    <w:uiPriority w:val="99"/>
    <w:rPr>
      <w:vanish/>
      <w:color w:val="FF0000"/>
      <w:sz w:val="18"/>
      <w:szCs w:val="18"/>
    </w:rPr>
  </w:style>
  <w:style w:type="character" w:customStyle="1" w:styleId="315">
    <w:name w:val="t-tag"/>
    <w:qFormat/>
    <w:uiPriority w:val="99"/>
    <w:rPr>
      <w:color w:val="FFFFFF"/>
      <w:sz w:val="18"/>
      <w:szCs w:val="18"/>
      <w:shd w:val="clear" w:color="auto" w:fill="auto"/>
    </w:rPr>
  </w:style>
  <w:style w:type="paragraph" w:customStyle="1" w:styleId="316">
    <w:name w:val="_Style 21"/>
    <w:basedOn w:val="1"/>
    <w:qFormat/>
    <w:uiPriority w:val="99"/>
    <w:pPr>
      <w:widowControl w:val="0"/>
      <w:jc w:val="both"/>
    </w:pPr>
    <w:rPr>
      <w:rFonts w:ascii="Times New Roman" w:hAnsi="Times New Roman" w:cs="Times New Roman"/>
      <w:kern w:val="2"/>
      <w:sz w:val="21"/>
      <w:szCs w:val="21"/>
    </w:rPr>
  </w:style>
  <w:style w:type="paragraph" w:customStyle="1" w:styleId="317">
    <w:name w:val="列出段落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18">
    <w:name w:val="txt14"/>
    <w:basedOn w:val="1"/>
    <w:qFormat/>
    <w:uiPriority w:val="99"/>
    <w:pPr>
      <w:spacing w:before="100" w:beforeAutospacing="1" w:after="100" w:afterAutospacing="1"/>
    </w:pPr>
    <w:rPr>
      <w:color w:val="000000"/>
      <w:sz w:val="21"/>
      <w:szCs w:val="21"/>
    </w:rPr>
  </w:style>
  <w:style w:type="paragraph" w:customStyle="1" w:styleId="319">
    <w:name w:val="列出段落1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20">
    <w:name w:val="_Style 2"/>
    <w:basedOn w:val="1"/>
    <w:qFormat/>
    <w:uiPriority w:val="99"/>
    <w:pPr>
      <w:widowControl w:val="0"/>
      <w:ind w:firstLine="420" w:firstLineChars="200"/>
      <w:jc w:val="both"/>
    </w:pPr>
    <w:rPr>
      <w:rFonts w:ascii="Calibri" w:hAnsi="Calibri" w:cs="Calibri"/>
      <w:kern w:val="2"/>
      <w:sz w:val="21"/>
      <w:szCs w:val="21"/>
    </w:rPr>
  </w:style>
  <w:style w:type="paragraph" w:customStyle="1" w:styleId="321">
    <w:name w:val="_Style 11"/>
    <w:basedOn w:val="1"/>
    <w:qFormat/>
    <w:uiPriority w:val="99"/>
    <w:pPr>
      <w:widowControl w:val="0"/>
      <w:jc w:val="both"/>
    </w:pPr>
    <w:rPr>
      <w:rFonts w:ascii="Times New Roman" w:hAnsi="Times New Roman" w:cs="Times New Roman"/>
      <w:kern w:val="2"/>
      <w:sz w:val="21"/>
      <w:szCs w:val="21"/>
    </w:rPr>
  </w:style>
  <w:style w:type="paragraph" w:customStyle="1" w:styleId="322">
    <w:name w:val="列出段落2"/>
    <w:basedOn w:val="1"/>
    <w:qFormat/>
    <w:uiPriority w:val="99"/>
    <w:pPr>
      <w:widowControl w:val="0"/>
      <w:ind w:firstLine="420" w:firstLineChars="200"/>
      <w:jc w:val="both"/>
    </w:pPr>
    <w:rPr>
      <w:rFonts w:ascii="Calibri" w:hAnsi="Calibri" w:cs="Calibri"/>
      <w:kern w:val="2"/>
      <w:sz w:val="21"/>
      <w:szCs w:val="21"/>
    </w:rPr>
  </w:style>
  <w:style w:type="paragraph" w:customStyle="1" w:styleId="323">
    <w:name w:val="样式 样式 样式 样式 内容 + 首行缩进:  2 字符18 + 首行缩进:  5.71 厘米 + 首行缩进:  8.04 厘米..."/>
    <w:basedOn w:val="1"/>
    <w:qFormat/>
    <w:uiPriority w:val="99"/>
    <w:pPr>
      <w:spacing w:line="360" w:lineRule="auto"/>
      <w:ind w:firstLine="425" w:firstLineChars="177"/>
    </w:pPr>
    <w:rPr>
      <w:rFonts w:ascii="Trebuchet MS" w:hAnsi="Trebuchet MS" w:cs="Trebuchet MS"/>
      <w:color w:val="404040"/>
      <w:lang w:eastAsia="en-US"/>
    </w:rPr>
  </w:style>
  <w:style w:type="paragraph" w:customStyle="1" w:styleId="324">
    <w:name w:val="无间隔1"/>
    <w:qFormat/>
    <w:uiPriority w:val="99"/>
    <w:pPr>
      <w:widowControl w:val="0"/>
      <w:spacing w:line="360" w:lineRule="auto"/>
      <w:jc w:val="center"/>
    </w:pPr>
    <w:rPr>
      <w:rFonts w:ascii="Times New Roman" w:hAnsi="Times New Roman" w:eastAsia="宋体" w:cs="Times New Roman"/>
      <w:b/>
      <w:bCs/>
      <w:color w:val="000000"/>
      <w:kern w:val="2"/>
      <w:sz w:val="21"/>
      <w:szCs w:val="21"/>
      <w:lang w:val="zh-CN" w:eastAsia="zh-CN" w:bidi="ar-SA"/>
    </w:rPr>
  </w:style>
  <w:style w:type="character" w:customStyle="1" w:styleId="325">
    <w:name w:val="标题4 Char Char"/>
    <w:link w:val="326"/>
    <w:qFormat/>
    <w:locked/>
    <w:uiPriority w:val="0"/>
    <w:rPr>
      <w:rFonts w:ascii="Arial" w:hAnsi="Arial" w:cs="Arial"/>
      <w:b/>
      <w:bCs/>
      <w:sz w:val="32"/>
      <w:szCs w:val="32"/>
    </w:rPr>
  </w:style>
  <w:style w:type="paragraph" w:customStyle="1" w:styleId="326">
    <w:name w:val="标题4"/>
    <w:basedOn w:val="5"/>
    <w:next w:val="19"/>
    <w:link w:val="325"/>
    <w:qFormat/>
    <w:uiPriority w:val="0"/>
    <w:pPr>
      <w:widowControl w:val="0"/>
      <w:spacing w:line="413" w:lineRule="auto"/>
      <w:jc w:val="both"/>
    </w:pPr>
    <w:rPr>
      <w:rFonts w:ascii="Arial" w:hAnsi="Arial" w:cs="Arial"/>
      <w:bCs/>
      <w:szCs w:val="32"/>
    </w:rPr>
  </w:style>
  <w:style w:type="character" w:customStyle="1" w:styleId="327">
    <w:name w:val="明显强调1"/>
    <w:qFormat/>
    <w:uiPriority w:val="99"/>
    <w:rPr>
      <w:b/>
      <w:bCs/>
      <w:i/>
      <w:iCs/>
      <w:color w:val="4F81BD"/>
    </w:rPr>
  </w:style>
  <w:style w:type="character" w:customStyle="1" w:styleId="328">
    <w:name w:val="标题5 Char Char"/>
    <w:link w:val="329"/>
    <w:qFormat/>
    <w:locked/>
    <w:uiPriority w:val="0"/>
    <w:rPr>
      <w:rFonts w:ascii="Arial" w:hAnsi="Arial" w:cs="Arial"/>
      <w:b/>
      <w:bCs/>
      <w:sz w:val="32"/>
      <w:szCs w:val="32"/>
    </w:rPr>
  </w:style>
  <w:style w:type="paragraph" w:customStyle="1" w:styleId="329">
    <w:name w:val="标题5"/>
    <w:basedOn w:val="6"/>
    <w:link w:val="328"/>
    <w:qFormat/>
    <w:uiPriority w:val="0"/>
    <w:pPr>
      <w:widowControl w:val="0"/>
      <w:spacing w:line="413" w:lineRule="auto"/>
      <w:jc w:val="both"/>
    </w:pPr>
    <w:rPr>
      <w:rFonts w:ascii="Arial" w:hAnsi="Arial" w:cs="Arial"/>
      <w:bCs/>
      <w:szCs w:val="32"/>
    </w:rPr>
  </w:style>
  <w:style w:type="character" w:customStyle="1" w:styleId="330">
    <w:name w:val="批注文字 Char"/>
    <w:qFormat/>
    <w:uiPriority w:val="0"/>
    <w:rPr>
      <w:kern w:val="2"/>
      <w:sz w:val="22"/>
      <w:szCs w:val="22"/>
    </w:rPr>
  </w:style>
  <w:style w:type="character" w:customStyle="1" w:styleId="331">
    <w:name w:val="textcontents"/>
    <w:qFormat/>
    <w:uiPriority w:val="0"/>
  </w:style>
  <w:style w:type="character" w:customStyle="1" w:styleId="332">
    <w:name w:val="不明显强调1"/>
    <w:qFormat/>
    <w:uiPriority w:val="99"/>
    <w:rPr>
      <w:i/>
      <w:iCs/>
      <w:color w:val="808080"/>
    </w:rPr>
  </w:style>
  <w:style w:type="character" w:customStyle="1" w:styleId="333">
    <w:name w:val="不明显参考1"/>
    <w:qFormat/>
    <w:uiPriority w:val="99"/>
    <w:rPr>
      <w:smallCaps/>
      <w:color w:val="auto"/>
      <w:u w:val="single"/>
    </w:rPr>
  </w:style>
  <w:style w:type="character" w:customStyle="1" w:styleId="334">
    <w:name w:val="批注文字 Char Char"/>
    <w:qFormat/>
    <w:uiPriority w:val="0"/>
    <w:rPr>
      <w:rFonts w:ascii="宋体" w:hAnsi="Times New Roman" w:eastAsia="宋体" w:cs="宋体"/>
      <w:sz w:val="20"/>
      <w:szCs w:val="20"/>
    </w:rPr>
  </w:style>
  <w:style w:type="character" w:customStyle="1" w:styleId="335">
    <w:name w:val="引用 字符"/>
    <w:link w:val="336"/>
    <w:qFormat/>
    <w:locked/>
    <w:uiPriority w:val="99"/>
    <w:rPr>
      <w:i/>
      <w:iCs/>
      <w:color w:val="000000"/>
      <w:kern w:val="2"/>
      <w:sz w:val="21"/>
      <w:szCs w:val="21"/>
    </w:rPr>
  </w:style>
  <w:style w:type="paragraph" w:customStyle="1" w:styleId="336">
    <w:name w:val="引用1"/>
    <w:basedOn w:val="1"/>
    <w:next w:val="1"/>
    <w:link w:val="335"/>
    <w:qFormat/>
    <w:uiPriority w:val="99"/>
    <w:pPr>
      <w:widowControl w:val="0"/>
      <w:jc w:val="both"/>
    </w:pPr>
    <w:rPr>
      <w:rFonts w:ascii="Times New Roman" w:hAnsi="Times New Roman" w:cs="Times New Roman"/>
      <w:i/>
      <w:iCs/>
      <w:color w:val="000000"/>
      <w:kern w:val="2"/>
      <w:sz w:val="21"/>
      <w:szCs w:val="21"/>
    </w:rPr>
  </w:style>
  <w:style w:type="character" w:customStyle="1" w:styleId="337">
    <w:name w:val="明显引用 字符"/>
    <w:link w:val="338"/>
    <w:qFormat/>
    <w:locked/>
    <w:uiPriority w:val="99"/>
    <w:rPr>
      <w:b/>
      <w:bCs/>
      <w:i/>
      <w:iCs/>
      <w:color w:val="4F81BD"/>
      <w:kern w:val="2"/>
      <w:sz w:val="21"/>
      <w:szCs w:val="21"/>
    </w:rPr>
  </w:style>
  <w:style w:type="paragraph" w:customStyle="1" w:styleId="338">
    <w:name w:val="明显引用1"/>
    <w:basedOn w:val="1"/>
    <w:next w:val="1"/>
    <w:link w:val="337"/>
    <w:qFormat/>
    <w:uiPriority w:val="99"/>
    <w:pPr>
      <w:widowControl w:val="0"/>
      <w:pBdr>
        <w:bottom w:val="single" w:color="4F81BD" w:sz="4" w:space="4"/>
      </w:pBdr>
      <w:spacing w:before="200" w:after="280"/>
      <w:ind w:left="936" w:right="936"/>
      <w:jc w:val="both"/>
    </w:pPr>
    <w:rPr>
      <w:rFonts w:ascii="Times New Roman" w:hAnsi="Times New Roman" w:cs="Times New Roman"/>
      <w:b/>
      <w:bCs/>
      <w:i/>
      <w:iCs/>
      <w:color w:val="4F81BD"/>
      <w:kern w:val="2"/>
      <w:sz w:val="21"/>
      <w:szCs w:val="21"/>
    </w:rPr>
  </w:style>
  <w:style w:type="character" w:customStyle="1" w:styleId="339">
    <w:name w:val="明显参考1"/>
    <w:qFormat/>
    <w:uiPriority w:val="99"/>
    <w:rPr>
      <w:b/>
      <w:bCs/>
      <w:smallCaps/>
      <w:color w:val="auto"/>
      <w:spacing w:val="5"/>
      <w:u w:val="single"/>
    </w:rPr>
  </w:style>
  <w:style w:type="character" w:customStyle="1" w:styleId="340">
    <w:name w:val="批注主题 Char2"/>
    <w:qFormat/>
    <w:uiPriority w:val="99"/>
    <w:rPr>
      <w:rFonts w:ascii="宋体" w:hAnsi="宋体" w:eastAsia="宋体" w:cs="宋体"/>
      <w:kern w:val="2"/>
      <w:sz w:val="24"/>
      <w:szCs w:val="24"/>
    </w:rPr>
  </w:style>
  <w:style w:type="character" w:customStyle="1" w:styleId="341">
    <w:name w:val="引用 Char1"/>
    <w:qFormat/>
    <w:uiPriority w:val="99"/>
    <w:rPr>
      <w:i/>
      <w:iCs/>
      <w:color w:val="000000"/>
      <w:kern w:val="2"/>
      <w:sz w:val="24"/>
      <w:szCs w:val="24"/>
    </w:rPr>
  </w:style>
  <w:style w:type="paragraph" w:customStyle="1" w:styleId="342">
    <w:name w:val="修订1"/>
    <w:qFormat/>
    <w:uiPriority w:val="99"/>
    <w:rPr>
      <w:rFonts w:ascii="Times New Roman" w:hAnsi="Times New Roman" w:eastAsia="宋体" w:cs="Times New Roman"/>
      <w:kern w:val="2"/>
      <w:sz w:val="21"/>
      <w:szCs w:val="21"/>
      <w:lang w:val="en-US" w:eastAsia="zh-CN" w:bidi="ar-SA"/>
    </w:rPr>
  </w:style>
  <w:style w:type="paragraph" w:customStyle="1" w:styleId="343">
    <w:name w:val="无间隔2"/>
    <w:qFormat/>
    <w:uiPriority w:val="99"/>
    <w:pPr>
      <w:widowControl w:val="0"/>
      <w:jc w:val="both"/>
    </w:pPr>
    <w:rPr>
      <w:rFonts w:ascii="Calibri" w:hAnsi="Calibri" w:eastAsia="宋体" w:cs="Calibri"/>
      <w:kern w:val="2"/>
      <w:sz w:val="21"/>
      <w:szCs w:val="21"/>
      <w:lang w:val="en-US" w:eastAsia="zh-CN" w:bidi="ar-SA"/>
    </w:rPr>
  </w:style>
  <w:style w:type="character" w:customStyle="1" w:styleId="344">
    <w:name w:val="明显引用 Char1"/>
    <w:qFormat/>
    <w:uiPriority w:val="99"/>
    <w:rPr>
      <w:b/>
      <w:bCs/>
      <w:i/>
      <w:iCs/>
      <w:color w:val="4F81BD"/>
      <w:kern w:val="2"/>
      <w:sz w:val="24"/>
      <w:szCs w:val="24"/>
    </w:rPr>
  </w:style>
  <w:style w:type="paragraph" w:customStyle="1" w:styleId="345">
    <w:name w:val="flNote"/>
    <w:basedOn w:val="1"/>
    <w:qFormat/>
    <w:uiPriority w:val="0"/>
    <w:pPr>
      <w:widowControl w:val="0"/>
      <w:adjustRightInd w:val="0"/>
      <w:spacing w:before="320" w:after="160" w:line="360" w:lineRule="atLeast"/>
      <w:jc w:val="center"/>
      <w:textAlignment w:val="baseline"/>
    </w:pPr>
    <w:rPr>
      <w:rFonts w:ascii="Arial" w:hAnsi="Times New Roman" w:eastAsia="黑体" w:cs="Arial"/>
      <w:sz w:val="30"/>
      <w:szCs w:val="30"/>
    </w:rPr>
  </w:style>
  <w:style w:type="paragraph" w:customStyle="1" w:styleId="346">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color w:val="FFFFFF"/>
      <w:sz w:val="30"/>
      <w:szCs w:val="30"/>
    </w:rPr>
  </w:style>
  <w:style w:type="character" w:customStyle="1" w:styleId="347">
    <w:name w:val="明显引用 Char"/>
    <w:qFormat/>
    <w:uiPriority w:val="0"/>
    <w:rPr>
      <w:b/>
      <w:bCs/>
      <w:i/>
      <w:iCs/>
      <w:color w:val="4F81BD"/>
    </w:rPr>
  </w:style>
  <w:style w:type="paragraph" w:styleId="348">
    <w:name w:val="Intense Quote"/>
    <w:basedOn w:val="1"/>
    <w:next w:val="1"/>
    <w:link w:val="350"/>
    <w:qFormat/>
    <w:uiPriority w:val="0"/>
    <w:pPr>
      <w:widowControl w:val="0"/>
      <w:pBdr>
        <w:bottom w:val="single" w:color="4F81BD" w:sz="4" w:space="4"/>
      </w:pBdr>
      <w:spacing w:before="200" w:after="280"/>
      <w:ind w:left="936" w:right="936"/>
      <w:jc w:val="both"/>
    </w:pPr>
    <w:rPr>
      <w:rFonts w:ascii="Calibri" w:hAnsi="Calibri" w:cs="Times New Roman"/>
      <w:b/>
      <w:bCs/>
      <w:i/>
      <w:iCs/>
      <w:color w:val="4F81BD"/>
      <w:sz w:val="20"/>
      <w:szCs w:val="20"/>
      <w:lang w:eastAsia="en-US"/>
    </w:rPr>
  </w:style>
  <w:style w:type="character" w:customStyle="1" w:styleId="349">
    <w:name w:val="明显引用 字符1"/>
    <w:basedOn w:val="42"/>
    <w:qFormat/>
    <w:uiPriority w:val="30"/>
    <w:rPr>
      <w:rFonts w:ascii="宋体" w:hAnsi="宋体" w:cs="宋体"/>
      <w:i/>
      <w:iCs/>
      <w:color w:val="4F81BD" w:themeColor="accent1"/>
      <w:sz w:val="24"/>
      <w:szCs w:val="24"/>
      <w14:textFill>
        <w14:solidFill>
          <w14:schemeClr w14:val="accent1"/>
        </w14:solidFill>
      </w14:textFill>
    </w:rPr>
  </w:style>
  <w:style w:type="character" w:customStyle="1" w:styleId="350">
    <w:name w:val="明显引用 字符2"/>
    <w:link w:val="348"/>
    <w:qFormat/>
    <w:uiPriority w:val="0"/>
    <w:rPr>
      <w:rFonts w:ascii="Calibri" w:hAnsi="Calibri"/>
      <w:b/>
      <w:bCs/>
      <w:i/>
      <w:iCs/>
      <w:color w:val="4F81BD"/>
      <w:lang w:eastAsia="en-US"/>
    </w:rPr>
  </w:style>
  <w:style w:type="character" w:customStyle="1" w:styleId="351">
    <w:name w:val="明显参考2"/>
    <w:qFormat/>
    <w:uiPriority w:val="0"/>
    <w:rPr>
      <w:b/>
      <w:bCs/>
      <w:smallCaps/>
      <w:color w:val="C0504D"/>
      <w:spacing w:val="5"/>
      <w:u w:val="single"/>
    </w:rPr>
  </w:style>
  <w:style w:type="character" w:customStyle="1" w:styleId="352">
    <w:name w:val="书籍标题2"/>
    <w:qFormat/>
    <w:uiPriority w:val="0"/>
    <w:rPr>
      <w:b/>
      <w:bCs/>
      <w:smallCaps/>
      <w:spacing w:val="5"/>
    </w:rPr>
  </w:style>
  <w:style w:type="character" w:customStyle="1" w:styleId="353">
    <w:name w:val="不明显强调2"/>
    <w:qFormat/>
    <w:uiPriority w:val="0"/>
    <w:rPr>
      <w:i/>
      <w:iCs/>
      <w:color w:val="808080"/>
    </w:rPr>
  </w:style>
  <w:style w:type="character" w:customStyle="1" w:styleId="354">
    <w:name w:val="明显强调2"/>
    <w:qFormat/>
    <w:uiPriority w:val="0"/>
    <w:rPr>
      <w:b/>
      <w:bCs/>
      <w:i/>
      <w:iCs/>
      <w:color w:val="4F81BD"/>
    </w:rPr>
  </w:style>
  <w:style w:type="character" w:customStyle="1" w:styleId="355">
    <w:name w:val="引用 Char"/>
    <w:qFormat/>
    <w:uiPriority w:val="0"/>
    <w:rPr>
      <w:i/>
      <w:iCs/>
      <w:color w:val="000000"/>
    </w:rPr>
  </w:style>
  <w:style w:type="paragraph" w:styleId="356">
    <w:name w:val="Quote"/>
    <w:basedOn w:val="1"/>
    <w:next w:val="1"/>
    <w:link w:val="358"/>
    <w:qFormat/>
    <w:uiPriority w:val="0"/>
    <w:pPr>
      <w:widowControl w:val="0"/>
      <w:jc w:val="both"/>
    </w:pPr>
    <w:rPr>
      <w:rFonts w:ascii="Calibri" w:hAnsi="Calibri" w:cs="Times New Roman"/>
      <w:i/>
      <w:iCs/>
      <w:color w:val="000000"/>
      <w:sz w:val="20"/>
      <w:szCs w:val="20"/>
      <w:lang w:eastAsia="en-US"/>
    </w:rPr>
  </w:style>
  <w:style w:type="character" w:customStyle="1" w:styleId="357">
    <w:name w:val="引用 字符1"/>
    <w:basedOn w:val="42"/>
    <w:qFormat/>
    <w:uiPriority w:val="29"/>
    <w:rPr>
      <w:rFonts w:ascii="宋体" w:hAnsi="宋体" w:cs="宋体"/>
      <w:i/>
      <w:iCs/>
      <w:color w:val="404040" w:themeColor="text1" w:themeTint="BF"/>
      <w:sz w:val="24"/>
      <w:szCs w:val="24"/>
      <w14:textFill>
        <w14:solidFill>
          <w14:schemeClr w14:val="tx1">
            <w14:lumMod w14:val="75000"/>
            <w14:lumOff w14:val="25000"/>
          </w14:schemeClr>
        </w14:solidFill>
      </w14:textFill>
    </w:rPr>
  </w:style>
  <w:style w:type="character" w:customStyle="1" w:styleId="358">
    <w:name w:val="引用 字符2"/>
    <w:link w:val="356"/>
    <w:qFormat/>
    <w:uiPriority w:val="0"/>
    <w:rPr>
      <w:rFonts w:ascii="Calibri" w:hAnsi="Calibri"/>
      <w:i/>
      <w:iCs/>
      <w:color w:val="000000"/>
      <w:lang w:eastAsia="en-US"/>
    </w:rPr>
  </w:style>
  <w:style w:type="character" w:customStyle="1" w:styleId="359">
    <w:name w:val="不明显参考2"/>
    <w:qFormat/>
    <w:uiPriority w:val="0"/>
    <w:rPr>
      <w:smallCaps/>
      <w:color w:val="C0504D"/>
      <w:u w:val="single"/>
    </w:rPr>
  </w:style>
  <w:style w:type="paragraph" w:customStyle="1" w:styleId="360">
    <w:name w:val="修订2"/>
    <w:qFormat/>
    <w:uiPriority w:val="0"/>
    <w:rPr>
      <w:rFonts w:ascii="Times New Roman" w:hAnsi="Times New Roman" w:eastAsia="宋体" w:cs="Times New Roman"/>
      <w:kern w:val="2"/>
      <w:sz w:val="21"/>
      <w:szCs w:val="24"/>
      <w:lang w:val="en-US" w:eastAsia="zh-CN" w:bidi="ar-SA"/>
    </w:rPr>
  </w:style>
  <w:style w:type="character" w:customStyle="1" w:styleId="361">
    <w:name w:val="标准文本 Char"/>
    <w:link w:val="362"/>
    <w:qFormat/>
    <w:uiPriority w:val="0"/>
    <w:rPr>
      <w:rFonts w:cs="宋体"/>
      <w:kern w:val="2"/>
      <w:sz w:val="24"/>
    </w:rPr>
  </w:style>
  <w:style w:type="paragraph" w:customStyle="1" w:styleId="362">
    <w:name w:val="标准文本"/>
    <w:basedOn w:val="1"/>
    <w:link w:val="36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63">
    <w:name w:val="TOC 标题2"/>
    <w:basedOn w:val="4"/>
    <w:next w:val="1"/>
    <w:unhideWhenUsed/>
    <w:qFormat/>
    <w:uiPriority w:val="0"/>
    <w:pPr>
      <w:keepLines/>
      <w:widowControl w:val="0"/>
      <w:numPr>
        <w:numId w:val="0"/>
      </w:numPr>
      <w:tabs>
        <w:tab w:val="clear" w:pos="360"/>
      </w:tabs>
      <w:autoSpaceDE w:val="0"/>
      <w:autoSpaceDN w:val="0"/>
      <w:spacing w:before="340" w:after="330" w:line="578" w:lineRule="auto"/>
      <w:outlineLvl w:val="9"/>
    </w:pPr>
    <w:rPr>
      <w:rFonts w:ascii="宋体" w:hAnsi="宋体" w:cs="宋体"/>
      <w:bCs/>
      <w:szCs w:val="44"/>
      <w:lang w:eastAsia="en-US"/>
    </w:rPr>
  </w:style>
  <w:style w:type="character" w:customStyle="1" w:styleId="364">
    <w:name w:val="不明显参考3"/>
    <w:qFormat/>
    <w:uiPriority w:val="0"/>
    <w:rPr>
      <w:smallCaps/>
      <w:color w:val="C0504D"/>
      <w:u w:val="single"/>
    </w:rPr>
  </w:style>
  <w:style w:type="character" w:customStyle="1" w:styleId="365">
    <w:name w:val="明显参考3"/>
    <w:qFormat/>
    <w:uiPriority w:val="0"/>
    <w:rPr>
      <w:b/>
      <w:bCs/>
      <w:smallCaps/>
      <w:color w:val="C0504D"/>
      <w:spacing w:val="5"/>
      <w:u w:val="single"/>
    </w:rPr>
  </w:style>
  <w:style w:type="character" w:customStyle="1" w:styleId="366">
    <w:name w:val="明显强调3"/>
    <w:qFormat/>
    <w:uiPriority w:val="0"/>
    <w:rPr>
      <w:b/>
      <w:bCs/>
      <w:i/>
      <w:iCs/>
      <w:color w:val="4F81BD"/>
    </w:rPr>
  </w:style>
  <w:style w:type="character" w:customStyle="1" w:styleId="367">
    <w:name w:val="不明显强调3"/>
    <w:qFormat/>
    <w:uiPriority w:val="0"/>
    <w:rPr>
      <w:i/>
      <w:iCs/>
      <w:color w:val="808080"/>
    </w:rPr>
  </w:style>
  <w:style w:type="character" w:customStyle="1" w:styleId="368">
    <w:name w:val="书籍标题3"/>
    <w:qFormat/>
    <w:uiPriority w:val="0"/>
    <w:rPr>
      <w:b/>
      <w:bCs/>
      <w:smallCaps/>
      <w:spacing w:val="5"/>
    </w:rPr>
  </w:style>
  <w:style w:type="paragraph" w:customStyle="1" w:styleId="369">
    <w:name w:val="修订3"/>
    <w:qFormat/>
    <w:uiPriority w:val="0"/>
    <w:rPr>
      <w:rFonts w:ascii="Times New Roman" w:hAnsi="Times New Roman" w:eastAsia="宋体" w:cs="Times New Roman"/>
      <w:kern w:val="2"/>
      <w:sz w:val="21"/>
      <w:szCs w:val="24"/>
      <w:lang w:val="en-US" w:eastAsia="zh-CN" w:bidi="ar-SA"/>
    </w:rPr>
  </w:style>
  <w:style w:type="paragraph" w:customStyle="1" w:styleId="370">
    <w:name w:val="TOC 标题3"/>
    <w:basedOn w:val="4"/>
    <w:next w:val="1"/>
    <w:unhideWhenUsed/>
    <w:qFormat/>
    <w:uiPriority w:val="0"/>
    <w:pPr>
      <w:keepLines/>
      <w:widowControl w:val="0"/>
      <w:numPr>
        <w:numId w:val="0"/>
      </w:numPr>
      <w:tabs>
        <w:tab w:val="clear" w:pos="360"/>
      </w:tabs>
      <w:autoSpaceDE w:val="0"/>
      <w:autoSpaceDN w:val="0"/>
      <w:spacing w:before="340" w:after="330" w:line="578" w:lineRule="auto"/>
      <w:outlineLvl w:val="9"/>
    </w:pPr>
    <w:rPr>
      <w:rFonts w:ascii="宋体" w:hAnsi="宋体" w:cs="宋体"/>
      <w:bCs/>
      <w:szCs w:val="44"/>
      <w:lang w:eastAsia="en-US"/>
    </w:rPr>
  </w:style>
  <w:style w:type="character" w:customStyle="1" w:styleId="371">
    <w:name w:val="不明显参考4"/>
    <w:qFormat/>
    <w:uiPriority w:val="0"/>
    <w:rPr>
      <w:smallCaps/>
      <w:color w:val="C0504D"/>
      <w:u w:val="single"/>
    </w:rPr>
  </w:style>
  <w:style w:type="character" w:customStyle="1" w:styleId="372">
    <w:name w:val="明显参考4"/>
    <w:qFormat/>
    <w:uiPriority w:val="0"/>
    <w:rPr>
      <w:b/>
      <w:bCs/>
      <w:smallCaps/>
      <w:color w:val="C0504D"/>
      <w:spacing w:val="5"/>
      <w:u w:val="single"/>
    </w:rPr>
  </w:style>
  <w:style w:type="character" w:customStyle="1" w:styleId="373">
    <w:name w:val="明显强调4"/>
    <w:qFormat/>
    <w:uiPriority w:val="0"/>
    <w:rPr>
      <w:b/>
      <w:bCs/>
      <w:i/>
      <w:iCs/>
      <w:color w:val="4F81BD"/>
    </w:rPr>
  </w:style>
  <w:style w:type="character" w:customStyle="1" w:styleId="374">
    <w:name w:val="不明显强调4"/>
    <w:qFormat/>
    <w:uiPriority w:val="0"/>
    <w:rPr>
      <w:i/>
      <w:iCs/>
      <w:color w:val="808080"/>
    </w:rPr>
  </w:style>
  <w:style w:type="character" w:customStyle="1" w:styleId="375">
    <w:name w:val="书籍标题4"/>
    <w:qFormat/>
    <w:uiPriority w:val="0"/>
    <w:rPr>
      <w:b/>
      <w:bCs/>
      <w:smallCaps/>
      <w:spacing w:val="5"/>
    </w:rPr>
  </w:style>
  <w:style w:type="paragraph" w:customStyle="1" w:styleId="376">
    <w:name w:val="修订4"/>
    <w:qFormat/>
    <w:uiPriority w:val="0"/>
    <w:rPr>
      <w:rFonts w:ascii="Times New Roman" w:hAnsi="Times New Roman" w:eastAsia="宋体" w:cs="Times New Roman"/>
      <w:kern w:val="2"/>
      <w:sz w:val="21"/>
      <w:szCs w:val="24"/>
      <w:lang w:val="en-US" w:eastAsia="zh-CN" w:bidi="ar-SA"/>
    </w:rPr>
  </w:style>
  <w:style w:type="table" w:customStyle="1" w:styleId="377">
    <w:name w:val="Table Normal11"/>
    <w:semiHidden/>
    <w:qFormat/>
    <w:uiPriority w:val="99"/>
    <w:pPr>
      <w:widowControl w:val="0"/>
      <w:autoSpaceDE w:val="0"/>
      <w:autoSpaceDN w:val="0"/>
    </w:pPr>
    <w:rPr>
      <w:rFonts w:cs="Calibri"/>
      <w:sz w:val="22"/>
      <w:lang w:eastAsia="en-US"/>
    </w:rPr>
    <w:tblPr>
      <w:tblCellMar>
        <w:top w:w="0" w:type="dxa"/>
        <w:left w:w="0" w:type="dxa"/>
        <w:bottom w:w="0" w:type="dxa"/>
        <w:right w:w="0" w:type="dxa"/>
      </w:tblCellMar>
    </w:tblPr>
  </w:style>
  <w:style w:type="paragraph" w:customStyle="1" w:styleId="378">
    <w:name w:val="列出段落11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79">
    <w:name w:val="明显引用2"/>
    <w:basedOn w:val="1"/>
    <w:next w:val="1"/>
    <w:link w:val="380"/>
    <w:qFormat/>
    <w:uiPriority w:val="99"/>
    <w:pPr>
      <w:widowControl w:val="0"/>
      <w:pBdr>
        <w:bottom w:val="single" w:color="4F81BD" w:sz="4" w:space="4"/>
      </w:pBdr>
      <w:spacing w:before="200" w:after="280"/>
      <w:ind w:left="936" w:right="936" w:firstLine="640" w:firstLineChars="200"/>
      <w:jc w:val="both"/>
    </w:pPr>
    <w:rPr>
      <w:rFonts w:hAnsi="Times New Roman" w:cs="Times New Roman"/>
      <w:b/>
      <w:i/>
      <w:color w:val="4F81BD"/>
      <w:sz w:val="22"/>
      <w:szCs w:val="20"/>
      <w:lang w:eastAsia="en-US"/>
    </w:rPr>
  </w:style>
  <w:style w:type="character" w:customStyle="1" w:styleId="380">
    <w:name w:val="Intense Quote Char"/>
    <w:link w:val="379"/>
    <w:qFormat/>
    <w:locked/>
    <w:uiPriority w:val="99"/>
    <w:rPr>
      <w:rFonts w:ascii="宋体"/>
      <w:b/>
      <w:i/>
      <w:color w:val="4F81BD"/>
      <w:sz w:val="22"/>
      <w:lang w:eastAsia="en-US"/>
    </w:rPr>
  </w:style>
  <w:style w:type="paragraph" w:customStyle="1" w:styleId="381">
    <w:name w:val="引用2"/>
    <w:basedOn w:val="1"/>
    <w:next w:val="1"/>
    <w:link w:val="382"/>
    <w:qFormat/>
    <w:uiPriority w:val="99"/>
    <w:pPr>
      <w:widowControl w:val="0"/>
      <w:ind w:firstLine="640" w:firstLineChars="200"/>
      <w:jc w:val="both"/>
    </w:pPr>
    <w:rPr>
      <w:rFonts w:hAnsi="Times New Roman" w:cs="Times New Roman"/>
      <w:i/>
      <w:color w:val="000000"/>
      <w:sz w:val="22"/>
      <w:szCs w:val="20"/>
      <w:lang w:eastAsia="en-US"/>
    </w:rPr>
  </w:style>
  <w:style w:type="character" w:customStyle="1" w:styleId="382">
    <w:name w:val="Quote Char"/>
    <w:link w:val="381"/>
    <w:qFormat/>
    <w:locked/>
    <w:uiPriority w:val="99"/>
    <w:rPr>
      <w:rFonts w:ascii="宋体"/>
      <w:i/>
      <w:color w:val="000000"/>
      <w:sz w:val="22"/>
      <w:lang w:eastAsia="en-US"/>
    </w:rPr>
  </w:style>
  <w:style w:type="paragraph" w:customStyle="1" w:styleId="383">
    <w:name w:val="无间隔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84">
    <w:name w:val="Char Char19"/>
    <w:qFormat/>
    <w:locked/>
    <w:uiPriority w:val="99"/>
    <w:rPr>
      <w:rFonts w:eastAsia="宋体"/>
      <w:b/>
      <w:kern w:val="2"/>
      <w:sz w:val="28"/>
      <w:lang w:eastAsia="zh-CN"/>
    </w:rPr>
  </w:style>
  <w:style w:type="character" w:customStyle="1" w:styleId="385">
    <w:name w:val="Char Char21"/>
    <w:qFormat/>
    <w:locked/>
    <w:uiPriority w:val="99"/>
    <w:rPr>
      <w:rFonts w:eastAsia="宋体"/>
      <w:b/>
      <w:kern w:val="2"/>
      <w:sz w:val="32"/>
      <w:lang w:eastAsia="zh-CN"/>
    </w:rPr>
  </w:style>
  <w:style w:type="character" w:customStyle="1" w:styleId="386">
    <w:name w:val="标题 2 Char"/>
    <w:qFormat/>
    <w:locked/>
    <w:uiPriority w:val="0"/>
    <w:rPr>
      <w:rFonts w:ascii="Cambria" w:hAnsi="Cambria" w:eastAsia="宋体" w:cs="Cambria"/>
      <w:b/>
      <w:bCs/>
      <w:kern w:val="2"/>
      <w:sz w:val="32"/>
      <w:szCs w:val="32"/>
      <w:lang w:eastAsia="zh-CN"/>
    </w:rPr>
  </w:style>
  <w:style w:type="character" w:customStyle="1" w:styleId="387">
    <w:name w:val="标题 3 Char"/>
    <w:qFormat/>
    <w:locked/>
    <w:uiPriority w:val="0"/>
    <w:rPr>
      <w:rFonts w:ascii="Times New Roman" w:hAnsi="Times New Roman" w:eastAsia="宋体" w:cs="Times New Roman"/>
      <w:b/>
      <w:bCs/>
      <w:kern w:val="2"/>
      <w:sz w:val="32"/>
      <w:szCs w:val="32"/>
      <w:lang w:eastAsia="zh-CN"/>
    </w:rPr>
  </w:style>
  <w:style w:type="character" w:customStyle="1" w:styleId="388">
    <w:name w:val="标题 4 Char"/>
    <w:qFormat/>
    <w:locked/>
    <w:uiPriority w:val="0"/>
    <w:rPr>
      <w:rFonts w:ascii="Cambria" w:hAnsi="Cambria" w:eastAsia="宋体" w:cs="Cambria"/>
      <w:b/>
      <w:bCs/>
      <w:kern w:val="2"/>
      <w:sz w:val="28"/>
      <w:szCs w:val="28"/>
      <w:lang w:eastAsia="zh-CN"/>
    </w:rPr>
  </w:style>
  <w:style w:type="character" w:customStyle="1" w:styleId="389">
    <w:name w:val="标题 5 Char"/>
    <w:qFormat/>
    <w:locked/>
    <w:uiPriority w:val="0"/>
    <w:rPr>
      <w:rFonts w:ascii="Times New Roman" w:hAnsi="Times New Roman" w:eastAsia="宋体" w:cs="Times New Roman"/>
      <w:b/>
      <w:bCs/>
      <w:kern w:val="2"/>
      <w:sz w:val="28"/>
      <w:szCs w:val="28"/>
      <w:lang w:eastAsia="zh-CN"/>
    </w:rPr>
  </w:style>
  <w:style w:type="character" w:customStyle="1" w:styleId="390">
    <w:name w:val="标题 6 Char"/>
    <w:qFormat/>
    <w:locked/>
    <w:uiPriority w:val="0"/>
    <w:rPr>
      <w:rFonts w:ascii="Cambria" w:hAnsi="Cambria" w:eastAsia="宋体" w:cs="Cambria"/>
      <w:b/>
      <w:bCs/>
      <w:kern w:val="2"/>
      <w:sz w:val="24"/>
      <w:szCs w:val="24"/>
      <w:lang w:eastAsia="zh-CN"/>
    </w:rPr>
  </w:style>
  <w:style w:type="character" w:customStyle="1" w:styleId="391">
    <w:name w:val="标题 7 Char"/>
    <w:qFormat/>
    <w:locked/>
    <w:uiPriority w:val="0"/>
    <w:rPr>
      <w:rFonts w:ascii="Calibri" w:hAnsi="Calibri" w:eastAsia="宋体" w:cs="Calibri"/>
      <w:b/>
      <w:bCs/>
      <w:kern w:val="2"/>
      <w:sz w:val="24"/>
      <w:szCs w:val="24"/>
      <w:lang w:eastAsia="zh-CN"/>
    </w:rPr>
  </w:style>
  <w:style w:type="character" w:customStyle="1" w:styleId="392">
    <w:name w:val="标题 8 Char"/>
    <w:qFormat/>
    <w:locked/>
    <w:uiPriority w:val="0"/>
    <w:rPr>
      <w:rFonts w:ascii="Cambria" w:hAnsi="Cambria" w:eastAsia="宋体" w:cs="Cambria"/>
      <w:kern w:val="2"/>
      <w:sz w:val="24"/>
      <w:szCs w:val="24"/>
      <w:lang w:eastAsia="zh-CN"/>
    </w:rPr>
  </w:style>
  <w:style w:type="character" w:customStyle="1" w:styleId="393">
    <w:name w:val="标题 9 Char"/>
    <w:qFormat/>
    <w:locked/>
    <w:uiPriority w:val="0"/>
    <w:rPr>
      <w:rFonts w:ascii="Cambria" w:hAnsi="Cambria" w:eastAsia="宋体" w:cs="Cambria"/>
      <w:kern w:val="2"/>
      <w:sz w:val="21"/>
      <w:szCs w:val="21"/>
      <w:lang w:eastAsia="zh-CN"/>
    </w:rPr>
  </w:style>
  <w:style w:type="character" w:customStyle="1" w:styleId="394">
    <w:name w:val="正文文本 Char"/>
    <w:qFormat/>
    <w:locked/>
    <w:uiPriority w:val="0"/>
    <w:rPr>
      <w:rFonts w:ascii="宋体" w:hAnsi="宋体" w:eastAsia="宋体" w:cs="宋体"/>
      <w:sz w:val="21"/>
      <w:szCs w:val="21"/>
    </w:rPr>
  </w:style>
  <w:style w:type="character" w:customStyle="1" w:styleId="395">
    <w:name w:val="批注框文本 Char"/>
    <w:qFormat/>
    <w:locked/>
    <w:uiPriority w:val="0"/>
    <w:rPr>
      <w:rFonts w:ascii="宋体" w:hAnsi="宋体" w:eastAsia="宋体" w:cs="宋体"/>
      <w:sz w:val="18"/>
      <w:szCs w:val="18"/>
    </w:rPr>
  </w:style>
  <w:style w:type="character" w:customStyle="1" w:styleId="396">
    <w:name w:val="批注主题 Char"/>
    <w:qFormat/>
    <w:locked/>
    <w:uiPriority w:val="0"/>
    <w:rPr>
      <w:rFonts w:ascii="宋体" w:hAnsi="Times New Roman" w:eastAsia="宋体" w:cs="宋体"/>
      <w:b/>
      <w:bCs/>
      <w:sz w:val="20"/>
      <w:szCs w:val="20"/>
      <w:lang w:eastAsia="zh-CN"/>
    </w:rPr>
  </w:style>
  <w:style w:type="character" w:customStyle="1" w:styleId="397">
    <w:name w:val="正文缩进 Char"/>
    <w:qFormat/>
    <w:locked/>
    <w:uiPriority w:val="99"/>
    <w:rPr>
      <w:rFonts w:ascii="Times New Roman" w:hAnsi="Times New Roman" w:eastAsia="宋体" w:cs="Times New Roman"/>
      <w:sz w:val="20"/>
      <w:szCs w:val="20"/>
      <w:lang w:eastAsia="zh-CN"/>
    </w:rPr>
  </w:style>
  <w:style w:type="character" w:customStyle="1" w:styleId="398">
    <w:name w:val="文档结构图 Char2"/>
    <w:qFormat/>
    <w:uiPriority w:val="99"/>
    <w:rPr>
      <w:rFonts w:ascii="宋体" w:cs="宋体"/>
      <w:sz w:val="18"/>
      <w:szCs w:val="18"/>
    </w:rPr>
  </w:style>
  <w:style w:type="character" w:customStyle="1" w:styleId="399">
    <w:name w:val="正文文本缩进 Char"/>
    <w:qFormat/>
    <w:locked/>
    <w:uiPriority w:val="99"/>
    <w:rPr>
      <w:rFonts w:ascii="Times New Roman" w:hAnsi="Times New Roman" w:eastAsia="楷体_GB2312" w:cs="Times New Roman"/>
      <w:kern w:val="2"/>
      <w:sz w:val="20"/>
      <w:szCs w:val="20"/>
      <w:lang w:eastAsia="zh-CN"/>
    </w:rPr>
  </w:style>
  <w:style w:type="character" w:customStyle="1" w:styleId="400">
    <w:name w:val="日期 Char"/>
    <w:qFormat/>
    <w:locked/>
    <w:uiPriority w:val="0"/>
    <w:rPr>
      <w:rFonts w:ascii="宋体" w:hAnsi="Times New Roman" w:eastAsia="宋体" w:cs="宋体"/>
      <w:sz w:val="20"/>
      <w:szCs w:val="20"/>
      <w:lang w:eastAsia="zh-CN"/>
    </w:rPr>
  </w:style>
  <w:style w:type="character" w:customStyle="1" w:styleId="401">
    <w:name w:val="正文文本缩进 2 Char"/>
    <w:qFormat/>
    <w:locked/>
    <w:uiPriority w:val="99"/>
    <w:rPr>
      <w:rFonts w:ascii="宋体" w:hAnsi="宋体" w:eastAsia="宋体" w:cs="宋体"/>
      <w:kern w:val="2"/>
      <w:sz w:val="24"/>
      <w:szCs w:val="24"/>
      <w:lang w:eastAsia="zh-CN"/>
    </w:rPr>
  </w:style>
  <w:style w:type="character" w:customStyle="1" w:styleId="402">
    <w:name w:val="副标题 Char"/>
    <w:qFormat/>
    <w:locked/>
    <w:uiPriority w:val="0"/>
    <w:rPr>
      <w:rFonts w:ascii="Cambria" w:hAnsi="Cambria" w:eastAsia="宋体" w:cs="Cambria"/>
      <w:b/>
      <w:bCs/>
      <w:kern w:val="28"/>
      <w:sz w:val="32"/>
      <w:szCs w:val="32"/>
      <w:lang w:eastAsia="zh-CN"/>
    </w:rPr>
  </w:style>
  <w:style w:type="character" w:customStyle="1" w:styleId="403">
    <w:name w:val="正文文本缩进 3 Char"/>
    <w:qFormat/>
    <w:locked/>
    <w:uiPriority w:val="99"/>
    <w:rPr>
      <w:rFonts w:ascii="宋体" w:hAnsi="宋体" w:eastAsia="宋体" w:cs="宋体"/>
      <w:kern w:val="2"/>
      <w:sz w:val="20"/>
      <w:szCs w:val="20"/>
      <w:lang w:eastAsia="zh-CN"/>
    </w:rPr>
  </w:style>
  <w:style w:type="character" w:customStyle="1" w:styleId="404">
    <w:name w:val="引用 Char2"/>
    <w:qFormat/>
    <w:uiPriority w:val="29"/>
    <w:rPr>
      <w:rFonts w:ascii="宋体" w:hAnsi="宋体" w:cs="宋体"/>
      <w:i/>
      <w:iCs/>
      <w:color w:val="000000"/>
      <w:kern w:val="0"/>
      <w:sz w:val="22"/>
      <w:lang w:eastAsia="en-US"/>
    </w:rPr>
  </w:style>
  <w:style w:type="character" w:customStyle="1" w:styleId="405">
    <w:name w:val="明显引用 Char2"/>
    <w:qFormat/>
    <w:uiPriority w:val="30"/>
    <w:rPr>
      <w:rFonts w:ascii="宋体" w:hAnsi="宋体" w:cs="宋体"/>
      <w:b/>
      <w:bCs/>
      <w:i/>
      <w:iCs/>
      <w:color w:val="4F81BD"/>
      <w:kern w:val="0"/>
      <w:sz w:val="22"/>
      <w:lang w:eastAsia="en-US"/>
    </w:rPr>
  </w:style>
  <w:style w:type="paragraph" w:customStyle="1" w:styleId="406">
    <w:name w:val="合同-标题"/>
    <w:basedOn w:val="37"/>
    <w:qFormat/>
    <w:uiPriority w:val="0"/>
    <w:pPr>
      <w:spacing w:after="100" w:afterLines="100"/>
    </w:pPr>
    <w:rPr>
      <w:rFonts w:eastAsia="黑体" w:asciiTheme="minorHAnsi" w:hAnsiTheme="minorHAnsi"/>
      <w:sz w:val="36"/>
    </w:rPr>
  </w:style>
  <w:style w:type="paragraph" w:customStyle="1" w:styleId="407">
    <w:name w:val="合同-正文"/>
    <w:basedOn w:val="1"/>
    <w:qFormat/>
    <w:uiPriority w:val="0"/>
    <w:pPr>
      <w:spacing w:before="240" w:after="60"/>
      <w:ind w:firstLine="723" w:firstLineChars="200"/>
      <w:outlineLvl w:val="0"/>
    </w:pPr>
    <w:rPr>
      <w:rFonts w:asciiTheme="minorHAnsi" w:hAnsiTheme="minorHAnsi"/>
    </w:rPr>
  </w:style>
  <w:style w:type="character" w:customStyle="1" w:styleId="408">
    <w:name w:val="正文头部订立方 Char"/>
    <w:link w:val="409"/>
    <w:qFormat/>
    <w:uiPriority w:val="0"/>
    <w:rPr>
      <w:rFonts w:eastAsia="黑体" w:asciiTheme="minorHAnsi" w:hAnsiTheme="minorHAnsi"/>
      <w:b/>
      <w:sz w:val="28"/>
    </w:rPr>
  </w:style>
  <w:style w:type="paragraph" w:customStyle="1" w:styleId="409">
    <w:name w:val="头部订立方"/>
    <w:basedOn w:val="1"/>
    <w:link w:val="408"/>
    <w:qFormat/>
    <w:uiPriority w:val="0"/>
    <w:pPr>
      <w:outlineLvl w:val="0"/>
    </w:pPr>
    <w:rPr>
      <w:rFonts w:eastAsia="黑体" w:asciiTheme="minorHAnsi" w:hAnsiTheme="minorHAnsi"/>
      <w:b/>
      <w:sz w:val="28"/>
    </w:rPr>
  </w:style>
  <w:style w:type="paragraph" w:customStyle="1" w:styleId="410">
    <w:name w:val="条款标题"/>
    <w:basedOn w:val="1"/>
    <w:qFormat/>
    <w:uiPriority w:val="0"/>
    <w:pPr>
      <w:spacing w:before="240" w:after="60"/>
      <w:ind w:firstLine="723" w:firstLineChars="200"/>
      <w:outlineLvl w:val="0"/>
    </w:pPr>
    <w:rPr>
      <w:rFonts w:asciiTheme="minorHAnsi" w:hAnsiTheme="minorHAnsi"/>
      <w:b/>
    </w:rPr>
  </w:style>
  <w:style w:type="paragraph" w:customStyle="1" w:styleId="411">
    <w:name w:val="列表段落2"/>
    <w:basedOn w:val="1"/>
    <w:qFormat/>
    <w:uiPriority w:val="34"/>
    <w:pPr>
      <w:ind w:firstLine="420"/>
    </w:pPr>
    <w:rPr>
      <w:rFonts w:ascii="Calibri" w:hAnsi="Calibri"/>
      <w:szCs w:val="22"/>
    </w:rPr>
  </w:style>
  <w:style w:type="table" w:customStyle="1" w:styleId="4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19947</Words>
  <Characters>21559</Characters>
  <Lines>316</Lines>
  <Paragraphs>89</Paragraphs>
  <TotalTime>17</TotalTime>
  <ScaleCrop>false</ScaleCrop>
  <LinksUpToDate>false</LinksUpToDate>
  <CharactersWithSpaces>21906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2024-09-05T04:56:00Z</dcterms:created>
  <dc:creator>123</dc:creator>
  <cp:lastModifiedBy>殷小胖</cp:lastModifiedBy>
  <cp:lastPrinted>2022-08-05T08:08:00Z</cp:lastPrinted>
  <dcterms:modified xsi:type="dcterms:W3CDTF">2025-07-04T07:58:03Z</dcterms:modified>
  <dc:title>新疆维吾尔自治区政府采购中心</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753B56C1B11A4DDCB743BC2D8B849167_13</vt:lpwstr>
  </property>
  <property fmtid="{D5CDD505-2E9C-101B-9397-08002B2CF9AE}" pid="4" name="KSOTemplateDocerSaveRecord">
    <vt:lpwstr>eyJoZGlkIjoiMTk5MGQ4OTVjMGFmMzU3NjRlODU2NGJkNmQzNzYzM2YiLCJ1c2VySWQiOiIxOTczNjkxNTMifQ==</vt:lpwstr>
  </property>
</Properties>
</file>