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0D0E4">
      <w:pPr>
        <w:spacing w:line="360" w:lineRule="auto"/>
        <w:ind w:left="1626" w:hanging="1620" w:hangingChars="450"/>
        <w:jc w:val="center"/>
        <w:rPr>
          <w:rFonts w:hint="eastAsia" w:asciiTheme="minorEastAsia" w:hAnsiTheme="minorEastAsia" w:eastAsiaTheme="minorEastAsia" w:cstheme="minorEastAsia"/>
          <w:b/>
          <w:bCs/>
          <w:color w:val="auto"/>
          <w:sz w:val="36"/>
          <w:szCs w:val="36"/>
          <w:highlight w:val="none"/>
        </w:rPr>
      </w:pPr>
      <w:permStart w:id="0" w:edGrp="everyone"/>
    </w:p>
    <w:p w14:paraId="4B0E304D">
      <w:pPr>
        <w:spacing w:line="360" w:lineRule="auto"/>
        <w:rPr>
          <w:rFonts w:hint="eastAsia" w:asciiTheme="minorEastAsia" w:hAnsiTheme="minorEastAsia" w:eastAsiaTheme="minorEastAsia" w:cstheme="minorEastAsia"/>
          <w:b/>
          <w:bCs/>
          <w:color w:val="auto"/>
          <w:sz w:val="48"/>
          <w:szCs w:val="48"/>
          <w:highlight w:val="none"/>
        </w:rPr>
      </w:pPr>
    </w:p>
    <w:p w14:paraId="4C8FF1F3">
      <w:pPr>
        <w:spacing w:line="360" w:lineRule="auto"/>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8"/>
          <w:szCs w:val="48"/>
          <w:highlight w:val="none"/>
          <w:lang w:eastAsia="zh-CN"/>
        </w:rPr>
        <w:t>2025年度中小学幼儿园教师培训公共服务平台及教学教务支持服务项目采购</w:t>
      </w:r>
    </w:p>
    <w:p w14:paraId="50E7DF38">
      <w:pPr>
        <w:spacing w:line="360" w:lineRule="auto"/>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公开</w:t>
      </w:r>
      <w:r>
        <w:rPr>
          <w:rFonts w:hint="eastAsia" w:asciiTheme="minorEastAsia" w:hAnsiTheme="minorEastAsia" w:eastAsiaTheme="minorEastAsia" w:cstheme="minorEastAsia"/>
          <w:b/>
          <w:bCs/>
          <w:color w:val="auto"/>
          <w:sz w:val="48"/>
          <w:szCs w:val="48"/>
          <w:highlight w:val="none"/>
          <w:lang w:val="en-US" w:eastAsia="zh-CN"/>
        </w:rPr>
        <w:t>招标</w:t>
      </w:r>
      <w:r>
        <w:rPr>
          <w:rFonts w:hint="eastAsia" w:asciiTheme="minorEastAsia" w:hAnsiTheme="minorEastAsia" w:eastAsiaTheme="minorEastAsia" w:cstheme="minorEastAsia"/>
          <w:b/>
          <w:bCs/>
          <w:color w:val="auto"/>
          <w:sz w:val="48"/>
          <w:szCs w:val="48"/>
          <w:highlight w:val="none"/>
        </w:rPr>
        <w:t>文件</w:t>
      </w:r>
    </w:p>
    <w:p w14:paraId="34169AFD">
      <w:pPr>
        <w:spacing w:line="360" w:lineRule="auto"/>
        <w:rPr>
          <w:rFonts w:hint="eastAsia" w:asciiTheme="minorEastAsia" w:hAnsiTheme="minorEastAsia" w:eastAsiaTheme="minorEastAsia" w:cstheme="minorEastAsia"/>
          <w:b/>
          <w:bCs/>
          <w:color w:val="auto"/>
          <w:sz w:val="28"/>
          <w:szCs w:val="28"/>
          <w:highlight w:val="none"/>
        </w:rPr>
      </w:pPr>
    </w:p>
    <w:p w14:paraId="011F6A85">
      <w:pPr>
        <w:spacing w:line="360" w:lineRule="auto"/>
        <w:rPr>
          <w:rFonts w:hint="eastAsia" w:asciiTheme="minorEastAsia" w:hAnsiTheme="minorEastAsia" w:eastAsiaTheme="minorEastAsia" w:cstheme="minorEastAsia"/>
          <w:b/>
          <w:bCs/>
          <w:color w:val="auto"/>
          <w:sz w:val="28"/>
          <w:szCs w:val="28"/>
          <w:highlight w:val="none"/>
        </w:rPr>
      </w:pPr>
    </w:p>
    <w:p w14:paraId="2ED353F4">
      <w:pPr>
        <w:spacing w:line="360" w:lineRule="auto"/>
        <w:jc w:val="center"/>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采购</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auto"/>
          <w:sz w:val="28"/>
          <w:szCs w:val="28"/>
          <w:highlight w:val="none"/>
          <w:lang w:eastAsia="zh-CN"/>
        </w:rPr>
        <w:t>XJCY2025-ZB-</w:t>
      </w:r>
      <w:r>
        <w:rPr>
          <w:rFonts w:hint="eastAsia" w:asciiTheme="minorEastAsia" w:hAnsiTheme="minorEastAsia" w:eastAsiaTheme="minorEastAsia" w:cstheme="minorEastAsia"/>
          <w:b/>
          <w:bCs/>
          <w:color w:val="auto"/>
          <w:sz w:val="28"/>
          <w:szCs w:val="28"/>
          <w:highlight w:val="none"/>
          <w:lang w:val="en-US" w:eastAsia="zh-CN"/>
        </w:rPr>
        <w:t>399</w:t>
      </w:r>
    </w:p>
    <w:p w14:paraId="6983FE71">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 w14:paraId="461E74D4">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ermEnd w:id="0"/>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9"/>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2336;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 w14:paraId="416C963D">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8"/>
          <w:szCs w:val="28"/>
          <w:highlight w:val="none"/>
        </w:rPr>
        <w:t>目    录</w:t>
      </w:r>
    </w:p>
    <w:p w14:paraId="3DB66ED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p>
    <w:p w14:paraId="11045EB7">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第一章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投标邀请</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p>
    <w:p w14:paraId="0EFC45E2">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第二章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p>
    <w:p w14:paraId="396AE268">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投标人须知前附表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p>
    <w:p w14:paraId="752C7DA8">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sdt>
        <w:sdtPr>
          <w:rPr>
            <w:rFonts w:hint="eastAsia" w:asciiTheme="minorEastAsia" w:hAnsiTheme="minorEastAsia" w:eastAsiaTheme="minorEastAsia" w:cstheme="minorEastAsia"/>
            <w:color w:val="auto"/>
            <w:sz w:val="28"/>
            <w:szCs w:val="28"/>
            <w:highlight w:val="none"/>
            <w:lang w:val="en-US" w:eastAsia="zh-CN"/>
          </w:rPr>
          <w:id w:val="147461110"/>
          <w:placeholder>
            <w:docPart w:val="{25132caa-60d1-42d8-953d-b425f797a891}"/>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11</w:t>
      </w:r>
    </w:p>
    <w:p w14:paraId="08AF8A4B">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sdt>
        <w:sdtPr>
          <w:rPr>
            <w:rFonts w:hint="eastAsia" w:asciiTheme="minorEastAsia" w:hAnsiTheme="minorEastAsia" w:eastAsiaTheme="minorEastAsia" w:cstheme="minorEastAsia"/>
            <w:color w:val="auto"/>
            <w:sz w:val="28"/>
            <w:szCs w:val="28"/>
            <w:highlight w:val="none"/>
            <w:lang w:val="en-US" w:eastAsia="zh-CN"/>
          </w:rPr>
          <w:id w:val="147456932"/>
          <w:placeholder>
            <w:docPart w:val="{63775e41-7dba-4804-84c9-6a0cddbf2083}"/>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rPr>
            <w:t>第三章  资格审查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4</w:t>
      </w:r>
    </w:p>
    <w:p w14:paraId="3BC72C34">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第四章  评标程序、评标方法和评标标准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26</w:t>
      </w:r>
    </w:p>
    <w:p w14:paraId="5888CDB5">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第五章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34</w:t>
      </w:r>
    </w:p>
    <w:p w14:paraId="71B98989">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第六章 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35</w:t>
      </w:r>
    </w:p>
    <w:p w14:paraId="261F24C1">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r>
        <w:rPr>
          <w:rFonts w:hint="default" w:asciiTheme="minorEastAsia" w:hAnsiTheme="minorEastAsia" w:eastAsiaTheme="minorEastAsia" w:cstheme="minorEastAsia"/>
          <w:color w:val="auto"/>
          <w:sz w:val="28"/>
          <w:szCs w:val="28"/>
          <w:highlight w:val="none"/>
          <w:lang w:val="en-US" w:eastAsia="zh-CN"/>
        </w:rPr>
        <w:t>第七章  投标文件格式</w:t>
      </w:r>
      <w:r>
        <w:rPr>
          <w:rFonts w:hint="default"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32</w:t>
      </w:r>
    </w:p>
    <w:p w14:paraId="2044F148">
      <w:pPr>
        <w:pStyle w:val="26"/>
        <w:rPr>
          <w:rFonts w:hint="eastAsia" w:asciiTheme="minorEastAsia" w:hAnsiTheme="minorEastAsia" w:eastAsiaTheme="minorEastAsia" w:cstheme="minorEastAsia"/>
          <w:color w:val="auto"/>
          <w:sz w:val="28"/>
          <w:szCs w:val="28"/>
          <w:highlight w:val="none"/>
        </w:rPr>
        <w:sectPr>
          <w:footerReference r:id="rId5" w:type="first"/>
          <w:footerReference r:id="rId3" w:type="default"/>
          <w:footerReference r:id="rId4" w:type="even"/>
          <w:pgSz w:w="11906" w:h="16838"/>
          <w:pgMar w:top="1440" w:right="1469" w:bottom="1440" w:left="1797" w:header="851" w:footer="992" w:gutter="0"/>
          <w:pgBorders>
            <w:top w:val="none" w:sz="0" w:space="0"/>
            <w:left w:val="none" w:sz="0" w:space="0"/>
            <w:bottom w:val="none" w:sz="0" w:space="0"/>
            <w:right w:val="none" w:sz="0" w:space="0"/>
          </w:pgBorders>
          <w:pgNumType w:fmt="numberInDash" w:start="0"/>
          <w:cols w:space="720" w:num="1"/>
          <w:titlePg/>
          <w:docGrid w:type="linesAndChars" w:linePitch="312" w:charSpace="0"/>
        </w:sectPr>
      </w:pPr>
    </w:p>
    <w:p w14:paraId="52CB3FEA">
      <w:pPr>
        <w:keepNext w:val="0"/>
        <w:keepLines w:val="0"/>
        <w:pageBreakBefore w:val="0"/>
        <w:kinsoku/>
        <w:wordWrap/>
        <w:overflowPunct/>
        <w:topLinePunct w:val="0"/>
        <w:autoSpaceDE/>
        <w:autoSpaceDN/>
        <w:bidi w:val="0"/>
        <w:adjustRightInd/>
        <w:snapToGrid/>
        <w:spacing w:before="60" w:after="60" w:line="360" w:lineRule="exact"/>
        <w:jc w:val="center"/>
        <w:textAlignment w:val="auto"/>
        <w:rPr>
          <w:rFonts w:hint="eastAsia" w:asciiTheme="minorEastAsia" w:hAnsiTheme="minorEastAsia" w:eastAsiaTheme="minorEastAsia" w:cstheme="minorEastAsia"/>
          <w:b/>
          <w:bCs/>
          <w:color w:val="auto"/>
          <w:kern w:val="36"/>
          <w:sz w:val="32"/>
          <w:szCs w:val="24"/>
          <w:highlight w:val="none"/>
          <w:lang w:eastAsia="zh-CN"/>
        </w:rPr>
      </w:pPr>
      <w:bookmarkStart w:id="0" w:name="_Hlk90983038"/>
      <w:bookmarkStart w:id="1" w:name="_Hlk88495647"/>
      <w:r>
        <w:rPr>
          <w:rFonts w:hint="eastAsia" w:asciiTheme="minorEastAsia" w:hAnsiTheme="minorEastAsia" w:eastAsiaTheme="minorEastAsia" w:cstheme="minorEastAsia"/>
          <w:b/>
          <w:bCs/>
          <w:color w:val="auto"/>
          <w:kern w:val="36"/>
          <w:sz w:val="32"/>
          <w:szCs w:val="24"/>
          <w:highlight w:val="none"/>
          <w:lang w:eastAsia="zh-CN"/>
        </w:rPr>
        <w:t>第一章   投标邀请</w:t>
      </w:r>
    </w:p>
    <w:bookmarkEnd w:id="0"/>
    <w:bookmarkEnd w:id="1"/>
    <w:p w14:paraId="59E4A334">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lang w:eastAsia="zh-CN"/>
        </w:rPr>
      </w:pPr>
      <w:r>
        <w:rPr>
          <w:rFonts w:hint="eastAsia" w:cs="Arial"/>
          <w:b/>
          <w:bCs/>
          <w:color w:val="auto"/>
          <w:highlight w:val="none"/>
          <w:lang w:eastAsia="zh-CN"/>
        </w:rPr>
        <w:t>2025年度中小学幼儿园教师培训公共服务平台及教学教务支持服务项目采购</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lang w:val="en-US" w:eastAsia="zh-CN"/>
        </w:rPr>
        <w:t>招标</w:t>
      </w:r>
      <w:r>
        <w:rPr>
          <w:rFonts w:hint="eastAsia" w:cs="Arial"/>
          <w:b/>
          <w:bCs/>
          <w:color w:val="auto"/>
          <w:highlight w:val="none"/>
        </w:rPr>
        <w:t>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0" w:firstLineChars="200"/>
        <w:textAlignment w:val="auto"/>
        <w:rPr>
          <w:rFonts w:cs="Arial"/>
          <w:color w:val="auto"/>
          <w:highlight w:val="none"/>
        </w:rPr>
      </w:pPr>
      <w:r>
        <w:rPr>
          <w:rFonts w:hint="eastAsia" w:cs="Arial"/>
          <w:color w:val="auto"/>
          <w:highlight w:val="none"/>
        </w:rPr>
        <w:t>2025年度中小学幼儿园教师培训公共服务平台及教学教务支持服务项目采购</w:t>
      </w:r>
      <w:r>
        <w:rPr>
          <w:rFonts w:cs="Arial"/>
          <w:color w:val="auto"/>
          <w:highlight w:val="none"/>
        </w:rPr>
        <w:t>的潜在</w:t>
      </w:r>
      <w:r>
        <w:rPr>
          <w:rFonts w:hint="eastAsia" w:cs="Arial"/>
          <w:color w:val="auto"/>
          <w:highlight w:val="none"/>
          <w:lang w:eastAsia="zh-CN"/>
        </w:rPr>
        <w:t>投标人</w:t>
      </w:r>
      <w:r>
        <w:rPr>
          <w:rFonts w:cs="Arial"/>
          <w:color w:val="auto"/>
          <w:highlight w:val="none"/>
        </w:rPr>
        <w:t>应在</w:t>
      </w:r>
      <w:r>
        <w:rPr>
          <w:rFonts w:hint="eastAsia" w:cs="Arial"/>
          <w:color w:val="auto"/>
          <w:highlight w:val="none"/>
        </w:rPr>
        <w:t>政采云平台http://www.zcygov.cn</w:t>
      </w:r>
      <w:r>
        <w:rPr>
          <w:rFonts w:cs="Arial"/>
          <w:color w:val="auto"/>
          <w:highlight w:val="none"/>
        </w:rPr>
        <w:t>获取</w:t>
      </w:r>
      <w:r>
        <w:rPr>
          <w:rFonts w:hint="eastAsia" w:cs="Arial"/>
          <w:color w:val="auto"/>
          <w:highlight w:val="none"/>
          <w:lang w:eastAsia="zh-CN"/>
        </w:rPr>
        <w:t>招标文件</w:t>
      </w:r>
      <w:r>
        <w:rPr>
          <w:rFonts w:cs="Arial"/>
          <w:color w:val="auto"/>
          <w:highlight w:val="none"/>
        </w:rPr>
        <w:t>，并于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30</w:t>
      </w:r>
      <w:r>
        <w:rPr>
          <w:rFonts w:hint="eastAsia" w:cs="Arial"/>
          <w:color w:val="auto"/>
          <w:highlight w:val="none"/>
        </w:rPr>
        <w:t>日</w:t>
      </w:r>
      <w:r>
        <w:rPr>
          <w:rFonts w:cs="Arial"/>
          <w:color w:val="auto"/>
          <w:highlight w:val="none"/>
        </w:rPr>
        <w:t xml:space="preserve"> 11:00（北京时间）前递交</w:t>
      </w:r>
      <w:r>
        <w:rPr>
          <w:rFonts w:hint="eastAsia" w:cs="Arial"/>
          <w:color w:val="auto"/>
          <w:highlight w:val="none"/>
          <w:lang w:eastAsia="zh-CN"/>
        </w:rPr>
        <w:t>投标文件</w:t>
      </w:r>
      <w:r>
        <w:rPr>
          <w:rFonts w:cs="Arial"/>
          <w:color w:val="auto"/>
          <w:highlight w:val="none"/>
        </w:rPr>
        <w:t>。</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eastAsia" w:eastAsia="宋体" w:cs="Arial"/>
          <w:color w:val="auto"/>
          <w:highlight w:val="none"/>
          <w:lang w:val="en-US" w:eastAsia="zh-CN"/>
        </w:rPr>
      </w:pPr>
      <w:r>
        <w:rPr>
          <w:rFonts w:cs="Arial"/>
          <w:color w:val="auto"/>
          <w:highlight w:val="none"/>
        </w:rPr>
        <w:t>项目编号：</w:t>
      </w:r>
      <w:r>
        <w:rPr>
          <w:rFonts w:hint="eastAsia" w:cs="Arial"/>
          <w:color w:val="auto"/>
          <w:highlight w:val="none"/>
          <w:lang w:eastAsia="zh-CN"/>
        </w:rPr>
        <w:t>XJCY2025-ZB-399</w:t>
      </w:r>
    </w:p>
    <w:p w14:paraId="016E123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2025年度中小学幼儿园教师培训公共服务平台及教学教务支持服务项目采购</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6400000.00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6400000.00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w:t>
      </w:r>
      <w:r>
        <w:rPr>
          <w:rFonts w:hint="eastAsia" w:cs="Arial"/>
          <w:color w:val="auto"/>
          <w:highlight w:val="none"/>
          <w:lang w:eastAsia="zh-CN"/>
        </w:rPr>
        <w:t>招标文件</w:t>
      </w:r>
      <w:r>
        <w:rPr>
          <w:rFonts w:hint="eastAsia" w:cs="Arial"/>
          <w:color w:val="auto"/>
          <w:highlight w:val="none"/>
        </w:rPr>
        <w:t>。</w:t>
      </w:r>
    </w:p>
    <w:p w14:paraId="17DECF6E">
      <w:pPr>
        <w:pStyle w:val="413"/>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413"/>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6DEC31D8">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lang w:eastAsia="zh-CN"/>
        </w:rPr>
        <w:t>新疆师范大学继续教育学院高等学历继续教育课程资源建设服务项目</w:t>
      </w:r>
      <w:r>
        <w:rPr>
          <w:rFonts w:hint="eastAsia" w:ascii="宋体" w:hAnsi="宋体" w:eastAsia="宋体" w:cs="Times New Roman"/>
          <w:color w:val="auto"/>
          <w:sz w:val="24"/>
          <w:highlight w:val="none"/>
          <w:lang w:val="en-US" w:eastAsia="zh-CN"/>
        </w:rPr>
        <w:t>-文史类</w:t>
      </w:r>
    </w:p>
    <w:p w14:paraId="302597FA">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41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6400000.00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w:t>
      </w:r>
      <w:r>
        <w:rPr>
          <w:rFonts w:hint="eastAsia" w:ascii="宋体" w:hAnsi="宋体" w:eastAsia="宋体"/>
          <w:color w:val="auto"/>
          <w:sz w:val="24"/>
          <w:highlight w:val="none"/>
          <w:lang w:eastAsia="zh-CN"/>
        </w:rPr>
        <w:t>招标文件</w:t>
      </w:r>
      <w:r>
        <w:rPr>
          <w:rFonts w:hint="eastAsia" w:ascii="宋体" w:hAnsi="宋体" w:eastAsia="宋体"/>
          <w:color w:val="auto"/>
          <w:sz w:val="24"/>
          <w:highlight w:val="none"/>
        </w:rPr>
        <w:t>；</w:t>
      </w:r>
    </w:p>
    <w:p w14:paraId="4093BDB4">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合同履约期限：</w:t>
      </w:r>
      <w:r>
        <w:rPr>
          <w:rFonts w:hint="eastAsia" w:cs="Arial"/>
          <w:color w:val="auto"/>
          <w:highlight w:val="none"/>
        </w:rPr>
        <w:t>中标后30日内完成系统交付，并</w:t>
      </w:r>
      <w:r>
        <w:rPr>
          <w:rFonts w:hint="eastAsia" w:cs="Arial"/>
          <w:color w:val="auto"/>
          <w:highlight w:val="none"/>
          <w:lang w:val="en-US" w:eastAsia="zh-CN"/>
        </w:rPr>
        <w:t>提供为期2天的系统操作培训</w:t>
      </w:r>
      <w:r>
        <w:rPr>
          <w:rFonts w:hint="eastAsia" w:cs="Arial"/>
          <w:color w:val="auto"/>
          <w:highlight w:val="none"/>
        </w:rPr>
        <w:t>。</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w:t>
      </w:r>
      <w:r>
        <w:rPr>
          <w:rFonts w:hint="eastAsia" w:cs="Arial"/>
          <w:color w:val="auto"/>
          <w:highlight w:val="none"/>
          <w:lang w:eastAsia="zh-CN"/>
        </w:rPr>
        <w:t>招标文件</w:t>
      </w:r>
      <w:r>
        <w:rPr>
          <w:rFonts w:hint="eastAsia" w:cs="Arial"/>
          <w:color w:val="auto"/>
          <w:highlight w:val="none"/>
        </w:rPr>
        <w:t>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36ACEFB7">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lang w:eastAsia="zh-CN"/>
        </w:rPr>
        <w:t>投标人</w:t>
      </w:r>
      <w:r>
        <w:rPr>
          <w:rFonts w:hint="eastAsia" w:cs="Arial"/>
          <w:color w:val="auto"/>
          <w:highlight w:val="none"/>
        </w:rPr>
        <w:t>为中小企业；</w:t>
      </w:r>
    </w:p>
    <w:p w14:paraId="60A0EFE1">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hint="eastAsia" w:cs="Arial"/>
          <w:color w:val="auto"/>
          <w:highlight w:val="none"/>
        </w:rPr>
        <w:t>本项目为专门面向中小企业(含中型、小型、微型企业)采购项目，根据《政府采购促进中小企业发展管理办法》(财库[2020]46号)的规定，不再执行价格评审优惠的扶持政策，必须提供此声明函。</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hint="eastAsia" w:eastAsia="宋体" w:cs="Arial"/>
          <w:color w:val="auto"/>
          <w:highlight w:val="none"/>
          <w:lang w:eastAsia="zh-CN"/>
        </w:rPr>
      </w:pPr>
      <w:r>
        <w:rPr>
          <w:rFonts w:hint="eastAsia" w:cs="Arial"/>
          <w:b/>
          <w:bCs/>
          <w:color w:val="auto"/>
          <w:highlight w:val="none"/>
        </w:rPr>
        <w:t>三、获取</w:t>
      </w:r>
      <w:r>
        <w:rPr>
          <w:rFonts w:hint="eastAsia" w:cs="Arial"/>
          <w:b/>
          <w:bCs/>
          <w:color w:val="auto"/>
          <w:highlight w:val="none"/>
          <w:lang w:eastAsia="zh-CN"/>
        </w:rPr>
        <w:t>招标文件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07</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14</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w:t>
      </w:r>
      <w:r>
        <w:rPr>
          <w:rFonts w:hint="eastAsia"/>
          <w:color w:val="auto"/>
          <w:highlight w:val="none"/>
          <w:lang w:eastAsia="zh-CN"/>
        </w:rPr>
        <w:t>投标人</w:t>
      </w:r>
      <w:r>
        <w:rPr>
          <w:rFonts w:hint="eastAsia"/>
          <w:color w:val="auto"/>
          <w:highlight w:val="none"/>
        </w:rPr>
        <w:t>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w:t>
      </w:r>
      <w:r>
        <w:rPr>
          <w:rFonts w:hint="eastAsia"/>
          <w:color w:val="auto"/>
          <w:highlight w:val="none"/>
          <w:lang w:eastAsia="zh-CN"/>
        </w:rPr>
        <w:t>招标文件</w:t>
      </w:r>
      <w:r>
        <w:rPr>
          <w:rFonts w:hint="eastAsia"/>
          <w:color w:val="auto"/>
          <w:highlight w:val="none"/>
        </w:rPr>
        <w:t>（登录政府采购云平台→采购项目→获取采购文件→申请，审核通过后可下载</w:t>
      </w:r>
      <w:r>
        <w:rPr>
          <w:rFonts w:hint="eastAsia"/>
          <w:color w:val="auto"/>
          <w:highlight w:val="none"/>
          <w:lang w:eastAsia="zh-CN"/>
        </w:rPr>
        <w:t>招标文件</w:t>
      </w:r>
      <w:r>
        <w:rPr>
          <w:rFonts w:hint="eastAsia"/>
          <w:color w:val="auto"/>
          <w:highlight w:val="none"/>
        </w:rPr>
        <w:t>，如有操作性问题，可与政采云在线客服进行咨询，咨询电话95763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w:t>
      </w:r>
      <w:r>
        <w:rPr>
          <w:rFonts w:hint="eastAsia" w:cs="Arial"/>
          <w:b/>
          <w:bCs/>
          <w:color w:val="auto"/>
          <w:highlight w:val="none"/>
          <w:lang w:eastAsia="zh-CN"/>
        </w:rPr>
        <w:t>投标文件</w:t>
      </w:r>
      <w:r>
        <w:rPr>
          <w:rFonts w:hint="eastAsia" w:cs="Arial"/>
          <w:b/>
          <w:bCs/>
          <w:color w:val="auto"/>
          <w:highlight w:val="none"/>
        </w:rPr>
        <w:t>截止时间、</w:t>
      </w:r>
      <w:r>
        <w:rPr>
          <w:rFonts w:hint="eastAsia" w:cs="Arial"/>
          <w:b/>
          <w:bCs/>
          <w:color w:val="auto"/>
          <w:highlight w:val="none"/>
          <w:lang w:eastAsia="zh-CN"/>
        </w:rPr>
        <w:t>投标</w:t>
      </w:r>
      <w:r>
        <w:rPr>
          <w:rFonts w:hint="eastAsia" w:cs="Arial"/>
          <w:b/>
          <w:bCs/>
          <w:color w:val="auto"/>
          <w:highlight w:val="none"/>
        </w:rPr>
        <w:t>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w:t>
      </w:r>
      <w:r>
        <w:rPr>
          <w:rFonts w:hint="eastAsia" w:cs="Arial"/>
          <w:b/>
          <w:bCs/>
          <w:color w:val="auto"/>
          <w:highlight w:val="none"/>
          <w:lang w:eastAsia="zh-CN"/>
        </w:rPr>
        <w:t>投标文件</w:t>
      </w:r>
      <w:r>
        <w:rPr>
          <w:rFonts w:cs="Arial"/>
          <w:b/>
          <w:bCs/>
          <w:color w:val="auto"/>
          <w:highlight w:val="none"/>
        </w:rPr>
        <w:t>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w:t>
      </w:r>
      <w:r>
        <w:rPr>
          <w:rFonts w:hint="eastAsia" w:cs="Arial"/>
          <w:color w:val="auto"/>
          <w:highlight w:val="none"/>
          <w:lang w:eastAsia="zh-CN"/>
        </w:rPr>
        <w:t>投标文件</w:t>
      </w:r>
      <w:r>
        <w:rPr>
          <w:rFonts w:hint="eastAsia" w:cs="Arial"/>
          <w:color w:val="auto"/>
          <w:highlight w:val="none"/>
        </w:rPr>
        <w:t>上传至政采云平台https://www.zcygov.cn/对应位置（逾期未上传的或不符合规定的</w:t>
      </w:r>
      <w:r>
        <w:rPr>
          <w:rFonts w:hint="eastAsia" w:cs="Arial"/>
          <w:color w:val="auto"/>
          <w:highlight w:val="none"/>
          <w:lang w:eastAsia="zh-CN"/>
        </w:rPr>
        <w:t>投标文件</w:t>
      </w:r>
      <w:r>
        <w:rPr>
          <w:rFonts w:hint="eastAsia" w:cs="Arial"/>
          <w:color w:val="auto"/>
          <w:highlight w:val="none"/>
        </w:rPr>
        <w:t>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hint="eastAsia" w:cs="Arial"/>
          <w:b/>
          <w:bCs/>
          <w:color w:val="auto"/>
          <w:highlight w:val="none"/>
          <w:lang w:val="en-US" w:eastAsia="zh-CN"/>
        </w:rPr>
        <w:t>投标</w:t>
      </w: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hint="eastAsia" w:cs="Arial"/>
          <w:color w:val="auto"/>
          <w:highlight w:val="none"/>
          <w:lang w:val="en-US" w:eastAsia="zh-CN"/>
        </w:rPr>
        <w:t>投标</w:t>
      </w:r>
      <w:r>
        <w:rPr>
          <w:rFonts w:cs="Arial"/>
          <w:color w:val="auto"/>
          <w:highlight w:val="none"/>
        </w:rPr>
        <w:t>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1.本项目实行网上投标，采用电子</w:t>
      </w:r>
      <w:r>
        <w:rPr>
          <w:rFonts w:hint="eastAsia" w:cs="Arial"/>
          <w:color w:val="auto"/>
          <w:highlight w:val="none"/>
          <w:lang w:eastAsia="zh-CN"/>
        </w:rPr>
        <w:t>投标文件</w:t>
      </w:r>
      <w:r>
        <w:rPr>
          <w:rFonts w:hint="eastAsia" w:cs="Arial"/>
          <w:color w:val="auto"/>
          <w:highlight w:val="none"/>
        </w:rPr>
        <w:t xml:space="preserve">；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w:t>
      </w:r>
      <w:r>
        <w:rPr>
          <w:rFonts w:hint="eastAsia" w:cs="Arial"/>
          <w:color w:val="auto"/>
          <w:highlight w:val="none"/>
          <w:lang w:eastAsia="zh-CN"/>
        </w:rPr>
        <w:t>投标人</w:t>
      </w:r>
      <w:r>
        <w:rPr>
          <w:rFonts w:hint="eastAsia" w:cs="Arial"/>
          <w:color w:val="auto"/>
          <w:highlight w:val="none"/>
        </w:rPr>
        <w:t>在</w:t>
      </w:r>
      <w:r>
        <w:rPr>
          <w:rFonts w:hint="eastAsia" w:cs="Arial"/>
          <w:color w:val="auto"/>
          <w:highlight w:val="none"/>
          <w:lang w:eastAsia="zh-CN"/>
        </w:rPr>
        <w:t>投标</w:t>
      </w:r>
      <w:r>
        <w:rPr>
          <w:rFonts w:hint="eastAsia" w:cs="Arial"/>
          <w:color w:val="auto"/>
          <w:highlight w:val="none"/>
        </w:rPr>
        <w:t>前应确保成为新疆政府采购网正式注册入库</w:t>
      </w:r>
      <w:r>
        <w:rPr>
          <w:rFonts w:hint="eastAsia" w:cs="Arial"/>
          <w:color w:val="auto"/>
          <w:highlight w:val="none"/>
          <w:lang w:eastAsia="zh-CN"/>
        </w:rPr>
        <w:t>投标人</w:t>
      </w:r>
      <w:r>
        <w:rPr>
          <w:rFonts w:hint="eastAsia" w:cs="Arial"/>
          <w:color w:val="auto"/>
          <w:highlight w:val="none"/>
        </w:rPr>
        <w:t>，并完成CA数字证书（符合国密标准）申领。因未注册入库、未办理CA数字证书等原因造成无法投标或投标失败等后果由</w:t>
      </w:r>
      <w:r>
        <w:rPr>
          <w:rFonts w:hint="eastAsia" w:cs="Arial"/>
          <w:color w:val="auto"/>
          <w:highlight w:val="none"/>
          <w:lang w:eastAsia="zh-CN"/>
        </w:rPr>
        <w:t>投标人</w:t>
      </w:r>
      <w:r>
        <w:rPr>
          <w:rFonts w:hint="eastAsia" w:cs="Arial"/>
          <w:color w:val="auto"/>
          <w:highlight w:val="none"/>
        </w:rPr>
        <w:t>自行承担。有意向参与电子开评标的</w:t>
      </w:r>
      <w:r>
        <w:rPr>
          <w:rFonts w:hint="eastAsia" w:cs="Arial"/>
          <w:color w:val="auto"/>
          <w:highlight w:val="none"/>
          <w:lang w:eastAsia="zh-CN"/>
        </w:rPr>
        <w:t>投标人</w:t>
      </w:r>
      <w:r>
        <w:rPr>
          <w:rFonts w:hint="eastAsia" w:cs="Arial"/>
          <w:color w:val="auto"/>
          <w:highlight w:val="none"/>
        </w:rPr>
        <w:t>，可访问新疆数字证书认证中心官方网站（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w:t>
      </w:r>
      <w:r>
        <w:rPr>
          <w:rFonts w:hint="eastAsia" w:cs="Arial"/>
          <w:color w:val="auto"/>
          <w:highlight w:val="none"/>
          <w:lang w:eastAsia="zh-CN"/>
        </w:rPr>
        <w:t>投标人</w:t>
      </w:r>
      <w:r>
        <w:rPr>
          <w:rFonts w:hint="eastAsia" w:cs="Arial"/>
          <w:color w:val="auto"/>
          <w:highlight w:val="none"/>
        </w:rPr>
        <w:t>在完成政采云电子交易客户端下载、安装后，可通过账号密码或CA登录客户端进行</w:t>
      </w:r>
      <w:r>
        <w:rPr>
          <w:rFonts w:hint="eastAsia" w:cs="Arial"/>
          <w:color w:val="auto"/>
          <w:highlight w:val="none"/>
          <w:lang w:eastAsia="zh-CN"/>
        </w:rPr>
        <w:t>投标文件</w:t>
      </w:r>
      <w:r>
        <w:rPr>
          <w:rFonts w:hint="eastAsia" w:cs="Arial"/>
          <w:color w:val="auto"/>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cs="Arial"/>
          <w:color w:val="auto"/>
          <w:highlight w:val="none"/>
          <w:lang w:eastAsia="zh-CN"/>
        </w:rPr>
        <w:t>投标人</w:t>
      </w:r>
      <w:r>
        <w:rPr>
          <w:rFonts w:hint="eastAsia" w:cs="Arial"/>
          <w:color w:val="auto"/>
          <w:highlight w:val="none"/>
        </w:rPr>
        <w:t>自身原因导致在规定时间内无法正常解密的（如：浏览器故障、未安装相关驱动、网络故障、加密CA与解密CA不一致等），采购中心/代理机构不予异常处理，视为</w:t>
      </w:r>
      <w:r>
        <w:rPr>
          <w:rFonts w:hint="eastAsia" w:cs="Arial"/>
          <w:color w:val="auto"/>
          <w:highlight w:val="none"/>
          <w:lang w:eastAsia="zh-CN"/>
        </w:rPr>
        <w:t>投标人</w:t>
      </w:r>
      <w:r>
        <w:rPr>
          <w:rFonts w:hint="eastAsia" w:cs="Arial"/>
          <w:color w:val="auto"/>
          <w:highlight w:val="none"/>
        </w:rPr>
        <w:t>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w:t>
      </w:r>
      <w:r>
        <w:rPr>
          <w:rFonts w:hint="eastAsia" w:cs="Arial"/>
          <w:color w:val="auto"/>
          <w:highlight w:val="none"/>
          <w:lang w:eastAsia="zh-CN"/>
        </w:rPr>
        <w:t>投标人</w:t>
      </w:r>
      <w:r>
        <w:rPr>
          <w:rFonts w:hint="eastAsia" w:cs="Arial"/>
          <w:color w:val="auto"/>
          <w:highlight w:val="none"/>
        </w:rPr>
        <w:t>应当在投标截止时间前,将生成的“电子加密</w:t>
      </w:r>
      <w:r>
        <w:rPr>
          <w:rFonts w:hint="eastAsia" w:cs="Arial"/>
          <w:color w:val="auto"/>
          <w:highlight w:val="none"/>
          <w:lang w:eastAsia="zh-CN"/>
        </w:rPr>
        <w:t>投标文件</w:t>
      </w:r>
      <w:r>
        <w:rPr>
          <w:rFonts w:hint="eastAsia" w:cs="Arial"/>
          <w:color w:val="auto"/>
          <w:highlight w:val="none"/>
        </w:rPr>
        <w:t>”上传递交至“政府采购云平台”,投标截止时间以后上传递交的</w:t>
      </w:r>
      <w:r>
        <w:rPr>
          <w:rFonts w:hint="eastAsia" w:cs="Arial"/>
          <w:color w:val="auto"/>
          <w:highlight w:val="none"/>
          <w:lang w:eastAsia="zh-CN"/>
        </w:rPr>
        <w:t>投标文件</w:t>
      </w:r>
      <w:r>
        <w:rPr>
          <w:rFonts w:hint="eastAsia" w:cs="Arial"/>
          <w:color w:val="auto"/>
          <w:highlight w:val="none"/>
        </w:rPr>
        <w:t>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w:t>
      </w:r>
      <w:r>
        <w:rPr>
          <w:rFonts w:hint="eastAsia" w:cs="Arial"/>
          <w:color w:val="auto"/>
          <w:highlight w:val="none"/>
          <w:lang w:eastAsia="zh-CN"/>
        </w:rPr>
        <w:t>投标人</w:t>
      </w:r>
      <w:r>
        <w:rPr>
          <w:rFonts w:hint="eastAsia" w:cs="Arial"/>
          <w:color w:val="auto"/>
          <w:highlight w:val="none"/>
        </w:rPr>
        <w:t>在</w:t>
      </w:r>
      <w:r>
        <w:rPr>
          <w:rFonts w:hint="eastAsia" w:cs="Arial"/>
          <w:color w:val="auto"/>
          <w:highlight w:val="none"/>
          <w:lang w:eastAsia="zh-CN"/>
        </w:rPr>
        <w:t>投标</w:t>
      </w:r>
      <w:r>
        <w:rPr>
          <w:rFonts w:hint="eastAsia" w:cs="Arial"/>
          <w:color w:val="auto"/>
          <w:highlight w:val="none"/>
        </w:rPr>
        <w:t>前须提前配置好电脑浏览器（建议使用360浏览器或谷歌浏览器）,</w:t>
      </w:r>
      <w:r>
        <w:rPr>
          <w:rFonts w:hint="eastAsia" w:cs="Arial"/>
          <w:color w:val="auto"/>
          <w:highlight w:val="none"/>
          <w:lang w:eastAsia="zh-CN"/>
        </w:rPr>
        <w:t>投标</w:t>
      </w:r>
      <w:r>
        <w:rPr>
          <w:rFonts w:hint="eastAsia" w:cs="Arial"/>
          <w:color w:val="auto"/>
          <w:highlight w:val="none"/>
        </w:rPr>
        <w:t>时登录政采云平台，在“项目采购-</w:t>
      </w:r>
      <w:r>
        <w:rPr>
          <w:rFonts w:hint="eastAsia" w:cs="Arial"/>
          <w:color w:val="auto"/>
          <w:highlight w:val="none"/>
          <w:lang w:eastAsia="zh-CN"/>
        </w:rPr>
        <w:t>投标</w:t>
      </w:r>
      <w:r>
        <w:rPr>
          <w:rFonts w:hint="eastAsia" w:cs="Arial"/>
          <w:color w:val="auto"/>
          <w:highlight w:val="none"/>
        </w:rPr>
        <w:t>评标”功能中，使用制作加密电子</w:t>
      </w:r>
      <w:r>
        <w:rPr>
          <w:rFonts w:hint="eastAsia" w:cs="Arial"/>
          <w:color w:val="auto"/>
          <w:highlight w:val="none"/>
          <w:lang w:eastAsia="zh-CN"/>
        </w:rPr>
        <w:t>投标文件</w:t>
      </w:r>
      <w:r>
        <w:rPr>
          <w:rFonts w:hint="eastAsia" w:cs="Arial"/>
          <w:color w:val="auto"/>
          <w:highlight w:val="none"/>
        </w:rPr>
        <w:t>的CA锁进行解密及报价确认。本项目</w:t>
      </w:r>
      <w:r>
        <w:rPr>
          <w:rFonts w:hint="eastAsia" w:cs="Arial"/>
          <w:color w:val="auto"/>
          <w:highlight w:val="none"/>
          <w:lang w:eastAsia="zh-CN"/>
        </w:rPr>
        <w:t>投标文件</w:t>
      </w:r>
      <w:r>
        <w:rPr>
          <w:rFonts w:hint="eastAsia" w:cs="Arial"/>
          <w:color w:val="auto"/>
          <w:highlight w:val="none"/>
        </w:rPr>
        <w:t>的解密时间定为30分钟内,若</w:t>
      </w:r>
      <w:r>
        <w:rPr>
          <w:rFonts w:hint="eastAsia" w:cs="Arial"/>
          <w:color w:val="auto"/>
          <w:highlight w:val="none"/>
          <w:lang w:eastAsia="zh-CN"/>
        </w:rPr>
        <w:t>投标人</w:t>
      </w:r>
      <w:r>
        <w:rPr>
          <w:rFonts w:hint="eastAsia" w:cs="Arial"/>
          <w:color w:val="auto"/>
          <w:highlight w:val="none"/>
        </w:rPr>
        <w:t>在规定时间内因自身原因导致无法正常解密,后果由</w:t>
      </w:r>
      <w:r>
        <w:rPr>
          <w:rFonts w:hint="eastAsia" w:cs="Arial"/>
          <w:color w:val="auto"/>
          <w:highlight w:val="none"/>
          <w:lang w:eastAsia="zh-CN"/>
        </w:rPr>
        <w:t>投标人</w:t>
      </w:r>
      <w:r>
        <w:rPr>
          <w:rFonts w:hint="eastAsia" w:cs="Arial"/>
          <w:color w:val="auto"/>
          <w:highlight w:val="none"/>
        </w:rPr>
        <w:t>自行承担。</w:t>
      </w:r>
    </w:p>
    <w:p w14:paraId="6A158B01">
      <w:pPr>
        <w:pStyle w:val="152"/>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登录政采云平台，在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时间后30分钟内用“项目采购-</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评标”功能进行解密</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。若</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在规定时间内未按时解密的，视为无效投标。解密与加密</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0991-4112288</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r>
        <w:rPr>
          <w:rFonts w:hint="eastAsia" w:cs="Arial"/>
          <w:color w:val="auto"/>
          <w:highlight w:val="none"/>
          <w:lang w:eastAsia="zh-CN"/>
        </w:rPr>
        <w:t>、</w:t>
      </w:r>
      <w:r>
        <w:rPr>
          <w:rFonts w:hint="eastAsia" w:cs="Arial"/>
          <w:color w:val="auto"/>
          <w:highlight w:val="none"/>
          <w:lang w:val="en-US" w:eastAsia="zh-CN"/>
        </w:rPr>
        <w:t>曹英英</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50F46A38">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6"/>
          <w:szCs w:val="20"/>
          <w:highlight w:val="none"/>
        </w:rPr>
        <w:br w:type="page"/>
      </w:r>
      <w:r>
        <w:rPr>
          <w:rFonts w:hint="eastAsia" w:asciiTheme="minorEastAsia" w:hAnsiTheme="minorEastAsia" w:eastAsiaTheme="minorEastAsia" w:cstheme="minorEastAsia"/>
          <w:b/>
          <w:color w:val="auto"/>
          <w:kern w:val="2"/>
          <w:sz w:val="32"/>
          <w:szCs w:val="32"/>
          <w:highlight w:val="none"/>
        </w:rPr>
        <w:t>第二章</w:t>
      </w:r>
      <w:r>
        <w:rPr>
          <w:rFonts w:hint="eastAsia" w:asciiTheme="minorEastAsia" w:hAnsiTheme="minorEastAsia" w:eastAsiaTheme="minorEastAsia" w:cstheme="minorEastAsia"/>
          <w:b/>
          <w:color w:val="auto"/>
          <w:kern w:val="2"/>
          <w:sz w:val="32"/>
          <w:szCs w:val="32"/>
          <w:highlight w:val="none"/>
          <w:lang w:val="en-US" w:eastAsia="zh-CN"/>
        </w:rPr>
        <w:t xml:space="preserve">  </w:t>
      </w:r>
      <w:r>
        <w:rPr>
          <w:rFonts w:hint="eastAsia" w:asciiTheme="minorEastAsia" w:hAnsiTheme="minorEastAsia" w:eastAsiaTheme="minorEastAsia" w:cstheme="minorEastAsia"/>
          <w:b/>
          <w:color w:val="auto"/>
          <w:kern w:val="2"/>
          <w:sz w:val="32"/>
          <w:szCs w:val="32"/>
          <w:highlight w:val="none"/>
        </w:rPr>
        <w:t>投标人须知</w:t>
      </w:r>
    </w:p>
    <w:p w14:paraId="196F344D">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2"/>
          <w:szCs w:val="32"/>
          <w:highlight w:val="none"/>
        </w:rPr>
        <w:t>投标人须知</w:t>
      </w:r>
      <w:r>
        <w:rPr>
          <w:rFonts w:hint="eastAsia" w:asciiTheme="minorEastAsia" w:hAnsiTheme="minorEastAsia" w:eastAsiaTheme="minorEastAsia" w:cstheme="minorEastAsia"/>
          <w:b/>
          <w:color w:val="auto"/>
          <w:kern w:val="2"/>
          <w:sz w:val="32"/>
          <w:szCs w:val="32"/>
          <w:highlight w:val="none"/>
          <w:lang w:val="en-US" w:eastAsia="zh-CN"/>
        </w:rPr>
        <w:t>前附</w:t>
      </w:r>
      <w:r>
        <w:rPr>
          <w:rFonts w:hint="eastAsia" w:asciiTheme="minorEastAsia" w:hAnsiTheme="minorEastAsia" w:eastAsiaTheme="minorEastAsia" w:cstheme="minorEastAsia"/>
          <w:b/>
          <w:color w:val="auto"/>
          <w:kern w:val="2"/>
          <w:sz w:val="32"/>
          <w:szCs w:val="32"/>
          <w:highlight w:val="none"/>
        </w:rPr>
        <w:t>表</w:t>
      </w:r>
    </w:p>
    <w:tbl>
      <w:tblPr>
        <w:tblStyle w:val="40"/>
        <w:tblW w:w="110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604"/>
      </w:tblGrid>
      <w:tr w14:paraId="06C48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vAlign w:val="center"/>
          </w:tcPr>
          <w:p w14:paraId="6F50C89A">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509" w:type="dxa"/>
            <w:tcBorders>
              <w:tl2br w:val="nil"/>
              <w:tr2bl w:val="nil"/>
            </w:tcBorders>
            <w:vAlign w:val="center"/>
          </w:tcPr>
          <w:p w14:paraId="7AA0E3D5">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7604" w:type="dxa"/>
            <w:tcBorders>
              <w:tl2br w:val="nil"/>
              <w:tr2bl w:val="nil"/>
            </w:tcBorders>
            <w:vAlign w:val="center"/>
          </w:tcPr>
          <w:p w14:paraId="316F9EB6">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内容</w:t>
            </w:r>
          </w:p>
        </w:tc>
      </w:tr>
      <w:tr w14:paraId="27DF3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0F67DDF">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w:t>
            </w:r>
          </w:p>
        </w:tc>
        <w:tc>
          <w:tcPr>
            <w:tcW w:w="2509" w:type="dxa"/>
            <w:tcBorders>
              <w:tl2br w:val="nil"/>
              <w:tr2bl w:val="nil"/>
            </w:tcBorders>
            <w:vAlign w:val="center"/>
          </w:tcPr>
          <w:p w14:paraId="2F5F9CFC">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c>
        <w:tc>
          <w:tcPr>
            <w:tcW w:w="7604" w:type="dxa"/>
            <w:tcBorders>
              <w:tl2br w:val="nil"/>
              <w:tr2bl w:val="nil"/>
            </w:tcBorders>
            <w:vAlign w:val="center"/>
          </w:tcPr>
          <w:p w14:paraId="6F80B7E9">
            <w:pPr>
              <w:keepNext w:val="0"/>
              <w:keepLines w:val="0"/>
              <w:pageBreakBefore w:val="0"/>
              <w:kinsoku/>
              <w:wordWrap/>
              <w:topLinePunct w:val="0"/>
              <w:bidi w:val="0"/>
              <w:spacing w:line="48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XJCY2025-ZB-399</w:t>
            </w:r>
          </w:p>
        </w:tc>
      </w:tr>
      <w:tr w14:paraId="51270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2E72247">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w:t>
            </w:r>
          </w:p>
        </w:tc>
        <w:tc>
          <w:tcPr>
            <w:tcW w:w="2509" w:type="dxa"/>
            <w:tcBorders>
              <w:tl2br w:val="nil"/>
              <w:tr2bl w:val="nil"/>
            </w:tcBorders>
            <w:vAlign w:val="center"/>
          </w:tcPr>
          <w:p w14:paraId="5E795CDE">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7604" w:type="dxa"/>
            <w:tcBorders>
              <w:tl2br w:val="nil"/>
              <w:tr2bl w:val="nil"/>
            </w:tcBorders>
          </w:tcPr>
          <w:p w14:paraId="1CE5C980">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新疆师范大学继续教育学院高等学历继续教育课程资源建设服务项目</w:t>
            </w:r>
          </w:p>
        </w:tc>
      </w:tr>
      <w:tr w14:paraId="45250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D2CAD0C">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w:t>
            </w:r>
          </w:p>
        </w:tc>
        <w:tc>
          <w:tcPr>
            <w:tcW w:w="2509" w:type="dxa"/>
            <w:tcBorders>
              <w:tl2br w:val="nil"/>
              <w:tr2bl w:val="nil"/>
            </w:tcBorders>
            <w:vAlign w:val="center"/>
          </w:tcPr>
          <w:p w14:paraId="2C254ECB">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w:t>
            </w:r>
          </w:p>
        </w:tc>
        <w:tc>
          <w:tcPr>
            <w:tcW w:w="7604" w:type="dxa"/>
            <w:tcBorders>
              <w:tl2br w:val="nil"/>
              <w:tr2bl w:val="nil"/>
            </w:tcBorders>
            <w:vAlign w:val="center"/>
          </w:tcPr>
          <w:p w14:paraId="1512B5A6">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采购人：新疆师范大学</w:t>
            </w:r>
          </w:p>
          <w:p w14:paraId="0A3EE4CA">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联系人：柳老师</w:t>
            </w:r>
          </w:p>
          <w:p w14:paraId="74ECE90D">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联系电话：0991-4112288</w:t>
            </w:r>
          </w:p>
          <w:p w14:paraId="057FD974">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地址：新疆维吾尔自治区乌鲁木齐市水磨沟区观园路100号</w:t>
            </w:r>
          </w:p>
          <w:p w14:paraId="5977D2B2">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代理机构：新疆诚誉工程项目管理有限公司</w:t>
            </w:r>
          </w:p>
          <w:p w14:paraId="5801073F">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公司地址：乌鲁木齐市会展大道599号新疆财富中心C座6楼601室 </w:t>
            </w:r>
          </w:p>
          <w:p w14:paraId="20C52B74">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项目联系人：赵箭、殷伟豪、</w:t>
            </w:r>
            <w:r>
              <w:rPr>
                <w:rFonts w:hint="eastAsia" w:asciiTheme="minorEastAsia" w:hAnsiTheme="minorEastAsia" w:eastAsiaTheme="minorEastAsia" w:cstheme="minorEastAsia"/>
                <w:color w:val="auto"/>
                <w:highlight w:val="none"/>
                <w:lang w:eastAsia="zh-CN"/>
              </w:rPr>
              <w:t>曹英英</w:t>
            </w:r>
          </w:p>
          <w:p w14:paraId="1AF2859B">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联系电话：17690825332</w:t>
            </w:r>
          </w:p>
          <w:p w14:paraId="4272BC28">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联系邮箱：1491358962@qq.com</w:t>
            </w:r>
          </w:p>
        </w:tc>
      </w:tr>
      <w:tr w14:paraId="0F55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43B1D31">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4</w:t>
            </w:r>
          </w:p>
        </w:tc>
        <w:tc>
          <w:tcPr>
            <w:tcW w:w="2509" w:type="dxa"/>
            <w:tcBorders>
              <w:tl2br w:val="nil"/>
              <w:tr2bl w:val="nil"/>
            </w:tcBorders>
            <w:vAlign w:val="center"/>
          </w:tcPr>
          <w:p w14:paraId="75D5E6D1">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采购内容</w:t>
            </w:r>
          </w:p>
        </w:tc>
        <w:tc>
          <w:tcPr>
            <w:tcW w:w="7604" w:type="dxa"/>
            <w:tcBorders>
              <w:tl2br w:val="nil"/>
              <w:tr2bl w:val="nil"/>
            </w:tcBorders>
            <w:vAlign w:val="center"/>
          </w:tcPr>
          <w:p w14:paraId="3500D15C">
            <w:pPr>
              <w:keepNext w:val="0"/>
              <w:keepLines w:val="0"/>
              <w:pageBreakBefore w:val="0"/>
              <w:kinsoku/>
              <w:wordWrap/>
              <w:topLinePunct w:val="0"/>
              <w:bidi w:val="0"/>
              <w:spacing w:line="480" w:lineRule="exact"/>
              <w:rPr>
                <w:rFonts w:hint="default"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投标人</w:t>
            </w:r>
            <w:r>
              <w:rPr>
                <w:rFonts w:hint="default" w:asciiTheme="minorEastAsia" w:hAnsiTheme="minorEastAsia" w:eastAsiaTheme="minorEastAsia" w:cstheme="minorEastAsia"/>
                <w:b w:val="0"/>
                <w:bCs w:val="0"/>
                <w:color w:val="auto"/>
                <w:highlight w:val="none"/>
                <w:lang w:val="en-US" w:eastAsia="zh-CN"/>
              </w:rPr>
              <w:t>应提供为期三年的教师继续教育学分管理平台、在线研训平台、课程资源平台，培训所需全学段全学科课程、教学教务服务及网络服务软硬件设施，内容主要包括：在教育主管部门和采购人指导下，依托用户服务体系、应用业务体系、技术支撑体系和监督评价体系，服务并支撑教师研修共同体的构建，线上线下相结合教师专业发展活动，完成全年的教师继续教育项目管理和培训实施工作。</w:t>
            </w:r>
          </w:p>
        </w:tc>
      </w:tr>
      <w:tr w14:paraId="604FE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2E47604">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5</w:t>
            </w:r>
          </w:p>
        </w:tc>
        <w:tc>
          <w:tcPr>
            <w:tcW w:w="2509" w:type="dxa"/>
            <w:tcBorders>
              <w:tl2br w:val="nil"/>
              <w:tr2bl w:val="nil"/>
            </w:tcBorders>
            <w:vAlign w:val="center"/>
          </w:tcPr>
          <w:p w14:paraId="6C206B8A">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报价方式</w:t>
            </w:r>
          </w:p>
        </w:tc>
        <w:tc>
          <w:tcPr>
            <w:tcW w:w="7604" w:type="dxa"/>
            <w:tcBorders>
              <w:tl2br w:val="nil"/>
              <w:tr2bl w:val="nil"/>
            </w:tcBorders>
            <w:vAlign w:val="center"/>
          </w:tcPr>
          <w:p w14:paraId="379984E1">
            <w:pPr>
              <w:keepNext w:val="0"/>
              <w:keepLines w:val="0"/>
              <w:pageBreakBefore w:val="0"/>
              <w:kinsoku/>
              <w:wordWrap/>
              <w:topLinePunct w:val="0"/>
              <w:bidi w:val="0"/>
              <w:spacing w:line="48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总价报价</w:t>
            </w:r>
          </w:p>
        </w:tc>
      </w:tr>
      <w:tr w14:paraId="51124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65C2530E">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bookmarkStart w:id="2" w:name="_Hlk105083709"/>
            <w:r>
              <w:rPr>
                <w:rFonts w:hint="eastAsia" w:asciiTheme="minorEastAsia" w:hAnsiTheme="minorEastAsia" w:eastAsiaTheme="minorEastAsia" w:cstheme="minorEastAsia"/>
                <w:color w:val="auto"/>
                <w:highlight w:val="none"/>
                <w:lang w:bidi="ar"/>
              </w:rPr>
              <w:t>6</w:t>
            </w:r>
          </w:p>
        </w:tc>
        <w:tc>
          <w:tcPr>
            <w:tcW w:w="2509" w:type="dxa"/>
            <w:tcBorders>
              <w:tl2br w:val="nil"/>
              <w:tr2bl w:val="nil"/>
            </w:tcBorders>
            <w:shd w:val="clear" w:color="auto" w:fill="FFC000"/>
            <w:vAlign w:val="center"/>
          </w:tcPr>
          <w:p w14:paraId="16AF56BE">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最高限价</w:t>
            </w:r>
          </w:p>
        </w:tc>
        <w:tc>
          <w:tcPr>
            <w:tcW w:w="7604" w:type="dxa"/>
            <w:tcBorders>
              <w:tl2br w:val="nil"/>
              <w:tr2bl w:val="nil"/>
            </w:tcBorders>
            <w:shd w:val="clear" w:color="auto" w:fill="FFC000"/>
            <w:vAlign w:val="center"/>
          </w:tcPr>
          <w:p w14:paraId="47D54449">
            <w:pPr>
              <w:keepNext w:val="0"/>
              <w:keepLines w:val="0"/>
              <w:pageBreakBefore w:val="0"/>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最高限价:</w:t>
            </w:r>
            <w:r>
              <w:rPr>
                <w:rFonts w:hint="eastAsia" w:asciiTheme="minorEastAsia" w:hAnsiTheme="minorEastAsia" w:eastAsiaTheme="minorEastAsia" w:cstheme="minorEastAsia"/>
                <w:b w:val="0"/>
                <w:bCs w:val="0"/>
                <w:color w:val="auto"/>
                <w:highlight w:val="none"/>
                <w:lang w:val="en-US" w:eastAsia="zh-CN"/>
              </w:rPr>
              <w:t>640</w:t>
            </w:r>
            <w:r>
              <w:rPr>
                <w:rFonts w:hint="eastAsia" w:asciiTheme="minorEastAsia" w:hAnsiTheme="minorEastAsia" w:eastAsiaTheme="minorEastAsia" w:cstheme="minorEastAsia"/>
                <w:b w:val="0"/>
                <w:bCs w:val="0"/>
                <w:color w:val="auto"/>
                <w:highlight w:val="none"/>
              </w:rPr>
              <w:t>万元。</w:t>
            </w:r>
          </w:p>
          <w:p w14:paraId="756D66F3">
            <w:pPr>
              <w:keepNext w:val="0"/>
              <w:keepLines w:val="0"/>
              <w:pageBreakBefore w:val="0"/>
              <w:numPr>
                <w:ilvl w:val="0"/>
                <w:numId w:val="0"/>
              </w:numPr>
              <w:kinsoku/>
              <w:wordWrap/>
              <w:topLinePunct w:val="0"/>
              <w:bidi w:val="0"/>
              <w:spacing w:line="480" w:lineRule="exact"/>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rPr>
              <w:t>固定单价</w:t>
            </w:r>
            <w:r>
              <w:rPr>
                <w:rFonts w:hint="eastAsia" w:asciiTheme="minorEastAsia" w:hAnsiTheme="minorEastAsia" w:eastAsiaTheme="minorEastAsia" w:cstheme="minorEastAsia"/>
                <w:b w:val="0"/>
                <w:bCs w:val="0"/>
                <w:color w:val="auto"/>
                <w:highlight w:val="none"/>
                <w:lang w:val="en-US" w:eastAsia="zh-CN"/>
              </w:rPr>
              <w:t>报价</w:t>
            </w:r>
          </w:p>
          <w:p w14:paraId="3DA27D69">
            <w:pPr>
              <w:keepNext w:val="0"/>
              <w:keepLines w:val="0"/>
              <w:pageBreakBefore w:val="0"/>
              <w:numPr>
                <w:ilvl w:val="0"/>
                <w:numId w:val="4"/>
              </w:numPr>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公共服务平台:最高限价0元/年;</w:t>
            </w:r>
          </w:p>
          <w:p w14:paraId="19935301">
            <w:pPr>
              <w:keepNext w:val="0"/>
              <w:keepLines w:val="0"/>
              <w:pageBreakBefore w:val="0"/>
              <w:numPr>
                <w:ilvl w:val="0"/>
                <w:numId w:val="4"/>
              </w:numPr>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大规模同步在线:最高限价2元/人/课时;</w:t>
            </w:r>
          </w:p>
          <w:p w14:paraId="1100320A">
            <w:pPr>
              <w:keepNext w:val="0"/>
              <w:keepLines w:val="0"/>
              <w:pageBreakBefore w:val="0"/>
              <w:numPr>
                <w:ilvl w:val="0"/>
                <w:numId w:val="4"/>
              </w:numPr>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同步小班化:最高限价24元/人/课时;</w:t>
            </w:r>
          </w:p>
          <w:p w14:paraId="11A1E69B">
            <w:pPr>
              <w:keepNext w:val="0"/>
              <w:keepLines w:val="0"/>
              <w:pageBreakBefore w:val="0"/>
              <w:numPr>
                <w:ilvl w:val="0"/>
                <w:numId w:val="4"/>
              </w:numPr>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异步在线，最高限价2元/人/课时;</w:t>
            </w:r>
          </w:p>
          <w:p w14:paraId="6F440C1F">
            <w:pPr>
              <w:keepNext w:val="0"/>
              <w:keepLines w:val="0"/>
              <w:pageBreakBefore w:val="0"/>
              <w:kinsoku/>
              <w:wordWrap/>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其中：投标人</w:t>
            </w:r>
            <w:r>
              <w:rPr>
                <w:rFonts w:hint="eastAsia" w:asciiTheme="minorEastAsia" w:hAnsiTheme="minorEastAsia" w:eastAsiaTheme="minorEastAsia" w:cstheme="minorEastAsia"/>
                <w:b w:val="0"/>
                <w:bCs w:val="0"/>
                <w:color w:val="auto"/>
                <w:highlight w:val="none"/>
                <w:lang w:eastAsia="zh-CN"/>
              </w:rPr>
              <w:t>投标</w:t>
            </w:r>
            <w:r>
              <w:rPr>
                <w:rFonts w:hint="eastAsia" w:asciiTheme="minorEastAsia" w:hAnsiTheme="minorEastAsia" w:eastAsiaTheme="minorEastAsia" w:cstheme="minorEastAsia"/>
                <w:b w:val="0"/>
                <w:bCs w:val="0"/>
                <w:color w:val="auto"/>
                <w:highlight w:val="none"/>
                <w:lang w:val="en-US" w:eastAsia="zh-CN"/>
              </w:rPr>
              <w:t>报价</w:t>
            </w:r>
            <w:r>
              <w:rPr>
                <w:rFonts w:hint="eastAsia" w:asciiTheme="minorEastAsia" w:hAnsiTheme="minorEastAsia" w:eastAsiaTheme="minorEastAsia" w:cstheme="minorEastAsia"/>
                <w:b w:val="0"/>
                <w:bCs w:val="0"/>
                <w:color w:val="auto"/>
                <w:highlight w:val="none"/>
              </w:rPr>
              <w:t>不得高于预算单价及预算总价</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否则其投标将被否决。</w:t>
            </w:r>
          </w:p>
        </w:tc>
      </w:tr>
      <w:bookmarkEnd w:id="2"/>
      <w:tr w14:paraId="59363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429AD3D0">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7</w:t>
            </w:r>
          </w:p>
        </w:tc>
        <w:tc>
          <w:tcPr>
            <w:tcW w:w="2509" w:type="dxa"/>
            <w:tcBorders>
              <w:tl2br w:val="nil"/>
              <w:tr2bl w:val="nil"/>
            </w:tcBorders>
            <w:vAlign w:val="center"/>
          </w:tcPr>
          <w:p w14:paraId="7E598B35">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w:t>
            </w:r>
          </w:p>
        </w:tc>
        <w:tc>
          <w:tcPr>
            <w:tcW w:w="7604" w:type="dxa"/>
            <w:tcBorders>
              <w:tl2br w:val="nil"/>
              <w:tr2bl w:val="nil"/>
            </w:tcBorders>
            <w:vAlign w:val="center"/>
          </w:tcPr>
          <w:p w14:paraId="67B7BB19">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1D5C6334">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为</w:t>
            </w:r>
            <w:r>
              <w:rPr>
                <w:rFonts w:hint="eastAsia" w:asciiTheme="minorEastAsia" w:hAnsiTheme="minorEastAsia" w:eastAsiaTheme="minorEastAsia" w:cstheme="minorEastAsia"/>
                <w:color w:val="auto"/>
                <w:highlight w:val="none"/>
                <w:lang w:val="en-US" w:eastAsia="zh-CN"/>
              </w:rPr>
              <w:t>中小</w:t>
            </w:r>
            <w:r>
              <w:rPr>
                <w:rFonts w:hint="eastAsia" w:asciiTheme="minorEastAsia" w:hAnsiTheme="minorEastAsia" w:eastAsiaTheme="minorEastAsia" w:cstheme="minorEastAsia"/>
                <w:color w:val="auto"/>
                <w:highlight w:val="none"/>
              </w:rPr>
              <w:t>企业；</w:t>
            </w:r>
          </w:p>
          <w:p w14:paraId="53698C43">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本项目为专门面向</w:t>
            </w:r>
            <w:r>
              <w:rPr>
                <w:rFonts w:hint="eastAsia" w:asciiTheme="minorEastAsia" w:hAnsiTheme="minorEastAsia" w:eastAsiaTheme="minorEastAsia" w:cstheme="minorEastAsia"/>
                <w:color w:val="auto"/>
                <w:highlight w:val="none"/>
                <w:lang w:val="en-US" w:eastAsia="zh-CN"/>
              </w:rPr>
              <w:t>小微</w:t>
            </w:r>
            <w:r>
              <w:rPr>
                <w:rFonts w:hint="eastAsia" w:asciiTheme="minorEastAsia" w:hAnsiTheme="minorEastAsia" w:eastAsiaTheme="minorEastAsia" w:cstheme="minorEastAsia"/>
                <w:color w:val="auto"/>
                <w:highlight w:val="none"/>
              </w:rPr>
              <w:t xml:space="preserve">企业(含小型、微型企业) 采购项目，根据《政府采购促进中小企业发展管理办法》  (财库[2020]46号) 的规定，不再执行价格评审优惠的扶持政策，必须提供此声明函。 </w:t>
            </w:r>
          </w:p>
          <w:p w14:paraId="3C8FDFB0">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3E7FDB6A">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01E95E23">
            <w:pPr>
              <w:keepNext w:val="0"/>
              <w:keepLines w:val="0"/>
              <w:pageBreakBefore w:val="0"/>
              <w:kinsoku/>
              <w:wordWrap/>
              <w:topLinePunct w:val="0"/>
              <w:bidi w:val="0"/>
              <w:spacing w:before="60" w:after="60"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）本项目不接受联合体投标。</w:t>
            </w:r>
          </w:p>
        </w:tc>
      </w:tr>
      <w:tr w14:paraId="5F31B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141768CF">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8</w:t>
            </w:r>
          </w:p>
        </w:tc>
        <w:tc>
          <w:tcPr>
            <w:tcW w:w="2509" w:type="dxa"/>
            <w:tcBorders>
              <w:tl2br w:val="nil"/>
              <w:tr2bl w:val="nil"/>
            </w:tcBorders>
            <w:vAlign w:val="center"/>
          </w:tcPr>
          <w:p w14:paraId="4FBCFBEB">
            <w:pPr>
              <w:pStyle w:val="132"/>
              <w:keepNext w:val="0"/>
              <w:keepLines w:val="0"/>
              <w:pageBreakBefore w:val="0"/>
              <w:kinsoku/>
              <w:wordWrap/>
              <w:topLinePunct w:val="0"/>
              <w:bidi w:val="0"/>
              <w:spacing w:line="480" w:lineRule="exact"/>
              <w:ind w:left="38"/>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信用情况</w:t>
            </w:r>
          </w:p>
        </w:tc>
        <w:tc>
          <w:tcPr>
            <w:tcW w:w="7604" w:type="dxa"/>
            <w:tcBorders>
              <w:tl2br w:val="nil"/>
              <w:tr2bl w:val="nil"/>
            </w:tcBorders>
            <w:vAlign w:val="center"/>
          </w:tcPr>
          <w:p w14:paraId="3A4454E2">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信用记录审查：</w:t>
            </w:r>
          </w:p>
          <w:p w14:paraId="4AD7109C">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，其投标将被拒绝。</w:t>
            </w:r>
          </w:p>
        </w:tc>
      </w:tr>
      <w:tr w14:paraId="04A24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vAlign w:val="center"/>
          </w:tcPr>
          <w:p w14:paraId="7D7D2905">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9</w:t>
            </w:r>
          </w:p>
        </w:tc>
        <w:tc>
          <w:tcPr>
            <w:tcW w:w="2509" w:type="dxa"/>
            <w:tcBorders>
              <w:tl2br w:val="nil"/>
              <w:tr2bl w:val="nil"/>
            </w:tcBorders>
            <w:vAlign w:val="center"/>
          </w:tcPr>
          <w:p w14:paraId="0FCE8F72">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是否接受联合体投标</w:t>
            </w:r>
          </w:p>
        </w:tc>
        <w:tc>
          <w:tcPr>
            <w:tcW w:w="7604" w:type="dxa"/>
            <w:tcBorders>
              <w:tl2br w:val="nil"/>
              <w:tr2bl w:val="nil"/>
            </w:tcBorders>
            <w:vAlign w:val="center"/>
          </w:tcPr>
          <w:p w14:paraId="673B83D1">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不接受</w:t>
            </w:r>
          </w:p>
        </w:tc>
      </w:tr>
      <w:tr w14:paraId="0F7CE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A4042CD">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10</w:t>
            </w:r>
          </w:p>
        </w:tc>
        <w:tc>
          <w:tcPr>
            <w:tcW w:w="2509" w:type="dxa"/>
            <w:tcBorders>
              <w:tl2br w:val="nil"/>
              <w:tr2bl w:val="nil"/>
            </w:tcBorders>
            <w:vAlign w:val="center"/>
          </w:tcPr>
          <w:p w14:paraId="4FF8E370">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文件发放日期</w:t>
            </w:r>
          </w:p>
        </w:tc>
        <w:tc>
          <w:tcPr>
            <w:tcW w:w="7604" w:type="dxa"/>
            <w:tcBorders>
              <w:tl2br w:val="nil"/>
              <w:tr2bl w:val="nil"/>
            </w:tcBorders>
            <w:vAlign w:val="center"/>
          </w:tcPr>
          <w:p w14:paraId="6785BCC5">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时间：2</w:t>
            </w:r>
            <w:r>
              <w:rPr>
                <w:rFonts w:hint="eastAsia" w:asciiTheme="minorEastAsia" w:hAnsiTheme="minorEastAsia" w:eastAsiaTheme="minorEastAsia" w:cstheme="minorEastAsia"/>
                <w:b w:val="0"/>
                <w:bCs w:val="0"/>
                <w:color w:val="auto"/>
                <w:highlight w:val="none"/>
                <w:lang w:val="en-US" w:eastAsia="zh-CN"/>
              </w:rPr>
              <w:t>025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07</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07</w:t>
            </w:r>
            <w:r>
              <w:rPr>
                <w:rFonts w:hint="eastAsia" w:asciiTheme="minorEastAsia" w:hAnsiTheme="minorEastAsia" w:eastAsiaTheme="minorEastAsia" w:cstheme="minorEastAsia"/>
                <w:b w:val="0"/>
                <w:bCs w:val="0"/>
                <w:color w:val="auto"/>
                <w:highlight w:val="none"/>
              </w:rPr>
              <w:t>日至20</w:t>
            </w:r>
            <w:r>
              <w:rPr>
                <w:rFonts w:hint="eastAsia" w:asciiTheme="minorEastAsia" w:hAnsiTheme="minorEastAsia" w:eastAsiaTheme="minorEastAsia" w:cstheme="minorEastAsia"/>
                <w:b w:val="0"/>
                <w:bCs w:val="0"/>
                <w:color w:val="auto"/>
                <w:highlight w:val="none"/>
                <w:lang w:val="en-US" w:eastAsia="zh-CN"/>
              </w:rPr>
              <w:t>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07</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14</w:t>
            </w:r>
            <w:r>
              <w:rPr>
                <w:rFonts w:hint="eastAsia" w:asciiTheme="minorEastAsia" w:hAnsiTheme="minorEastAsia" w:eastAsiaTheme="minorEastAsia" w:cstheme="minorEastAsia"/>
                <w:b w:val="0"/>
                <w:bCs w:val="0"/>
                <w:color w:val="auto"/>
                <w:highlight w:val="none"/>
              </w:rPr>
              <w:t>日，每天上午10:00至13:30，下午15:30至19:00（北京时间，法定节假日除外）</w:t>
            </w:r>
          </w:p>
          <w:p w14:paraId="14BB8F25">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地点：政采云平台http://www.zcygov.cn</w:t>
            </w:r>
          </w:p>
        </w:tc>
      </w:tr>
      <w:tr w14:paraId="1880A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9AD37A3">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11</w:t>
            </w:r>
          </w:p>
        </w:tc>
        <w:tc>
          <w:tcPr>
            <w:tcW w:w="2509" w:type="dxa"/>
            <w:tcBorders>
              <w:tl2br w:val="nil"/>
              <w:tr2bl w:val="nil"/>
            </w:tcBorders>
            <w:vAlign w:val="center"/>
          </w:tcPr>
          <w:p w14:paraId="3C6C9C67">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标书售价</w:t>
            </w:r>
          </w:p>
        </w:tc>
        <w:tc>
          <w:tcPr>
            <w:tcW w:w="7604" w:type="dxa"/>
            <w:tcBorders>
              <w:tl2br w:val="nil"/>
              <w:tr2bl w:val="nil"/>
            </w:tcBorders>
            <w:vAlign w:val="center"/>
          </w:tcPr>
          <w:p w14:paraId="78CA45D3">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人民币0元</w:t>
            </w:r>
          </w:p>
          <w:p w14:paraId="1EEC64B3">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投标资格不能转让。</w:t>
            </w:r>
          </w:p>
        </w:tc>
      </w:tr>
      <w:tr w14:paraId="2D985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43070EFE">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12</w:t>
            </w:r>
          </w:p>
        </w:tc>
        <w:tc>
          <w:tcPr>
            <w:tcW w:w="2509" w:type="dxa"/>
            <w:tcBorders>
              <w:tl2br w:val="nil"/>
              <w:tr2bl w:val="nil"/>
            </w:tcBorders>
            <w:vAlign w:val="center"/>
          </w:tcPr>
          <w:p w14:paraId="264F660A">
            <w:pPr>
              <w:keepNext w:val="0"/>
              <w:keepLines w:val="0"/>
              <w:pageBreakBefore w:val="0"/>
              <w:kinsoku/>
              <w:wordWrap/>
              <w:overflowPunct w:val="0"/>
              <w:topLinePunct w:val="0"/>
              <w:bidi w:val="0"/>
              <w:spacing w:line="480" w:lineRule="exact"/>
              <w:ind w:left="240" w:hanging="240" w:hangingChars="1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投标文件递交截止时间及开标时间</w:t>
            </w:r>
          </w:p>
        </w:tc>
        <w:tc>
          <w:tcPr>
            <w:tcW w:w="7604" w:type="dxa"/>
            <w:tcBorders>
              <w:tl2br w:val="nil"/>
              <w:tr2bl w:val="nil"/>
            </w:tcBorders>
            <w:vAlign w:val="center"/>
          </w:tcPr>
          <w:p w14:paraId="72211FE5">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日 11:00（北京时间）</w:t>
            </w:r>
            <w:bookmarkStart w:id="25" w:name="_GoBack"/>
            <w:bookmarkEnd w:id="25"/>
          </w:p>
        </w:tc>
      </w:tr>
      <w:tr w14:paraId="1D2D2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19172BFC">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2509" w:type="dxa"/>
            <w:tcBorders>
              <w:tl2br w:val="nil"/>
              <w:tr2bl w:val="nil"/>
            </w:tcBorders>
            <w:vAlign w:val="center"/>
          </w:tcPr>
          <w:p w14:paraId="3DFA6869">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投标文件递交及开标地点</w:t>
            </w:r>
          </w:p>
        </w:tc>
        <w:tc>
          <w:tcPr>
            <w:tcW w:w="7604" w:type="dxa"/>
            <w:tcBorders>
              <w:tl2br w:val="nil"/>
              <w:tr2bl w:val="nil"/>
            </w:tcBorders>
            <w:vAlign w:val="center"/>
          </w:tcPr>
          <w:p w14:paraId="44B0DF53">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政采云平台http://www.zcygov.cn</w:t>
            </w:r>
          </w:p>
        </w:tc>
      </w:tr>
      <w:tr w14:paraId="39C43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9" w:type="dxa"/>
            <w:tcBorders>
              <w:tl2br w:val="nil"/>
              <w:tr2bl w:val="nil"/>
            </w:tcBorders>
            <w:vAlign w:val="center"/>
          </w:tcPr>
          <w:p w14:paraId="2D755AC3">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14</w:t>
            </w:r>
          </w:p>
        </w:tc>
        <w:tc>
          <w:tcPr>
            <w:tcW w:w="2509" w:type="dxa"/>
            <w:tcBorders>
              <w:tl2br w:val="nil"/>
              <w:tr2bl w:val="nil"/>
            </w:tcBorders>
            <w:vAlign w:val="center"/>
          </w:tcPr>
          <w:p w14:paraId="38CCB1D6">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投标有效期</w:t>
            </w:r>
          </w:p>
        </w:tc>
        <w:tc>
          <w:tcPr>
            <w:tcW w:w="7604" w:type="dxa"/>
            <w:tcBorders>
              <w:tl2br w:val="nil"/>
              <w:tr2bl w:val="nil"/>
            </w:tcBorders>
            <w:vAlign w:val="center"/>
          </w:tcPr>
          <w:p w14:paraId="432EDED9">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自提交投标文件的截止之日起算</w:t>
            </w:r>
            <w:r>
              <w:rPr>
                <w:rFonts w:hint="eastAsia" w:asciiTheme="minorEastAsia" w:hAnsiTheme="minorEastAsia" w:eastAsiaTheme="minorEastAsia" w:cstheme="minorEastAsia"/>
                <w:color w:val="auto"/>
                <w:highlight w:val="none"/>
                <w:u w:val="single"/>
                <w:lang w:val="en-US" w:eastAsia="zh-CN"/>
              </w:rPr>
              <w:t xml:space="preserve"> 90 </w:t>
            </w:r>
            <w:r>
              <w:rPr>
                <w:rFonts w:hint="eastAsia" w:asciiTheme="minorEastAsia" w:hAnsiTheme="minorEastAsia" w:eastAsiaTheme="minorEastAsia" w:cstheme="minorEastAsia"/>
                <w:color w:val="auto"/>
                <w:highlight w:val="none"/>
              </w:rPr>
              <w:t>日历天。</w:t>
            </w:r>
          </w:p>
        </w:tc>
      </w:tr>
      <w:tr w14:paraId="60B79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02E21D5">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15</w:t>
            </w:r>
          </w:p>
        </w:tc>
        <w:tc>
          <w:tcPr>
            <w:tcW w:w="2509" w:type="dxa"/>
            <w:tcBorders>
              <w:tl2br w:val="nil"/>
              <w:tr2bl w:val="nil"/>
            </w:tcBorders>
            <w:vAlign w:val="center"/>
          </w:tcPr>
          <w:p w14:paraId="1DB3CEC2">
            <w:pPr>
              <w:keepNext w:val="0"/>
              <w:keepLines w:val="0"/>
              <w:pageBreakBefore w:val="0"/>
              <w:widowControl/>
              <w:suppressLineNumbers w:val="0"/>
              <w:kinsoku/>
              <w:wordWrap/>
              <w:overflowPunct w:val="0"/>
              <w:topLinePunct w:val="0"/>
              <w:bidi w:val="0"/>
              <w:spacing w:before="0" w:beforeAutospacing="0" w:after="0" w:afterAutospacing="0" w:line="480" w:lineRule="exact"/>
              <w:ind w:left="0" w:leftChars="0" w:right="0" w:rightChars="0"/>
              <w:jc w:val="center"/>
              <w:rPr>
                <w:rFonts w:hint="eastAsia" w:asciiTheme="minorEastAsia" w:hAnsiTheme="minorEastAsia" w:eastAsiaTheme="minorEastAsia" w:cstheme="minorEastAsia"/>
                <w:color w:val="auto"/>
                <w:highlight w:val="none"/>
              </w:rPr>
            </w:pPr>
            <w:r>
              <w:rPr>
                <w:rFonts w:hint="eastAsia"/>
                <w:color w:val="auto"/>
                <w:highlight w:val="none"/>
              </w:rPr>
              <w:t>服务期限</w:t>
            </w:r>
          </w:p>
        </w:tc>
        <w:tc>
          <w:tcPr>
            <w:tcW w:w="7604" w:type="dxa"/>
            <w:tcBorders>
              <w:tl2br w:val="nil"/>
              <w:tr2bl w:val="nil"/>
            </w:tcBorders>
            <w:vAlign w:val="center"/>
          </w:tcPr>
          <w:p w14:paraId="34344735">
            <w:pPr>
              <w:keepNext w:val="0"/>
              <w:keepLines w:val="0"/>
              <w:pageBreakBefore w:val="0"/>
              <w:widowControl/>
              <w:suppressLineNumbers w:val="0"/>
              <w:kinsoku/>
              <w:wordWrap/>
              <w:topLinePunct w:val="0"/>
              <w:bidi w:val="0"/>
              <w:spacing w:before="0" w:beforeAutospacing="0" w:after="0" w:afterAutospacing="0" w:line="480" w:lineRule="exact"/>
              <w:ind w:left="0" w:leftChars="0" w:right="0" w:rightChars="0"/>
              <w:rPr>
                <w:rFonts w:hint="default" w:asciiTheme="minorEastAsia" w:hAnsiTheme="minorEastAsia" w:eastAsiaTheme="minorEastAsia" w:cstheme="minorEastAsia"/>
                <w:color w:val="auto"/>
                <w:highlight w:val="none"/>
                <w:lang w:val="en-US" w:eastAsia="zh-CN"/>
              </w:rPr>
            </w:pPr>
            <w:r>
              <w:rPr>
                <w:rFonts w:hint="default" w:asciiTheme="minorEastAsia" w:hAnsiTheme="minorEastAsia" w:eastAsiaTheme="minorEastAsia" w:cstheme="minorEastAsia"/>
                <w:color w:val="auto"/>
                <w:highlight w:val="none"/>
                <w:lang w:val="en-US" w:eastAsia="zh-CN"/>
              </w:rPr>
              <w:t>中标后30日内完成系统交付，并提供为期2天的系统操作培训。</w:t>
            </w:r>
          </w:p>
        </w:tc>
      </w:tr>
      <w:tr w14:paraId="54C9C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shd w:val="clear" w:color="auto" w:fill="auto"/>
            <w:vAlign w:val="center"/>
          </w:tcPr>
          <w:p w14:paraId="42134CB7">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sz w:val="24"/>
                <w:szCs w:val="24"/>
                <w:highlight w:val="none"/>
                <w:lang w:val="en-US" w:eastAsia="zh-CN" w:bidi="ar"/>
              </w:rPr>
            </w:pPr>
            <w:r>
              <w:rPr>
                <w:rFonts w:hint="eastAsia" w:asciiTheme="minorEastAsia" w:hAnsiTheme="minorEastAsia" w:eastAsiaTheme="minorEastAsia" w:cstheme="minorEastAsia"/>
                <w:color w:val="auto"/>
                <w:highlight w:val="none"/>
                <w:lang w:bidi="ar"/>
              </w:rPr>
              <w:t>16</w:t>
            </w:r>
          </w:p>
        </w:tc>
        <w:tc>
          <w:tcPr>
            <w:tcW w:w="2509" w:type="dxa"/>
            <w:tcBorders>
              <w:tl2br w:val="nil"/>
              <w:tr2bl w:val="nil"/>
            </w:tcBorders>
            <w:vAlign w:val="center"/>
          </w:tcPr>
          <w:p w14:paraId="4DD6835D">
            <w:pPr>
              <w:keepNext w:val="0"/>
              <w:keepLines w:val="0"/>
              <w:pageBreakBefore w:val="0"/>
              <w:widowControl/>
              <w:suppressLineNumbers w:val="0"/>
              <w:kinsoku/>
              <w:wordWrap/>
              <w:overflowPunct w:val="0"/>
              <w:topLinePunct w:val="0"/>
              <w:bidi w:val="0"/>
              <w:spacing w:before="0" w:beforeAutospacing="0" w:after="0" w:afterAutospacing="0" w:line="480" w:lineRule="exact"/>
              <w:ind w:left="0" w:leftChars="0" w:right="0" w:rightChars="0"/>
              <w:jc w:val="center"/>
              <w:rPr>
                <w:rFonts w:hint="eastAsia" w:asciiTheme="minorEastAsia" w:hAnsiTheme="minorEastAsia" w:eastAsiaTheme="minorEastAsia" w:cstheme="minorEastAsia"/>
                <w:color w:val="auto"/>
                <w:highlight w:val="none"/>
              </w:rPr>
            </w:pPr>
            <w:r>
              <w:rPr>
                <w:rFonts w:hint="eastAsia"/>
                <w:color w:val="auto"/>
                <w:highlight w:val="none"/>
              </w:rPr>
              <w:t>服务地点</w:t>
            </w:r>
          </w:p>
        </w:tc>
        <w:tc>
          <w:tcPr>
            <w:tcW w:w="7604" w:type="dxa"/>
            <w:tcBorders>
              <w:tl2br w:val="nil"/>
              <w:tr2bl w:val="nil"/>
            </w:tcBorders>
            <w:vAlign w:val="center"/>
          </w:tcPr>
          <w:p w14:paraId="364903A0">
            <w:pPr>
              <w:keepNext w:val="0"/>
              <w:keepLines w:val="0"/>
              <w:pageBreakBefore w:val="0"/>
              <w:widowControl/>
              <w:suppressLineNumbers w:val="0"/>
              <w:kinsoku/>
              <w:wordWrap/>
              <w:topLinePunct w:val="0"/>
              <w:bidi w:val="0"/>
              <w:spacing w:before="0" w:beforeAutospacing="0" w:after="0" w:afterAutospacing="0" w:line="480" w:lineRule="exact"/>
              <w:ind w:left="0" w:leftChars="0" w:right="0" w:right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线上平台，具体以甲乙双方协商为准。</w:t>
            </w:r>
          </w:p>
        </w:tc>
      </w:tr>
      <w:tr w14:paraId="2254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shd w:val="clear" w:color="auto" w:fill="auto"/>
            <w:vAlign w:val="center"/>
          </w:tcPr>
          <w:p w14:paraId="2CB4CD8B">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lang w:bidi="ar"/>
              </w:rPr>
              <w:t>17</w:t>
            </w:r>
          </w:p>
        </w:tc>
        <w:tc>
          <w:tcPr>
            <w:tcW w:w="2509" w:type="dxa"/>
            <w:tcBorders>
              <w:tl2br w:val="nil"/>
              <w:tr2bl w:val="nil"/>
            </w:tcBorders>
            <w:vAlign w:val="center"/>
          </w:tcPr>
          <w:p w14:paraId="4EF137CA">
            <w:pPr>
              <w:keepNext w:val="0"/>
              <w:keepLines w:val="0"/>
              <w:pageBreakBefore w:val="0"/>
              <w:widowControl/>
              <w:suppressLineNumbers w:val="0"/>
              <w:kinsoku/>
              <w:wordWrap/>
              <w:overflowPunct w:val="0"/>
              <w:topLinePunct w:val="0"/>
              <w:bidi w:val="0"/>
              <w:spacing w:before="0" w:beforeAutospacing="0" w:after="0" w:afterAutospacing="0" w:line="480" w:lineRule="exact"/>
              <w:ind w:left="0" w:leftChars="0" w:right="0" w:rightChars="0"/>
              <w:jc w:val="center"/>
              <w:rPr>
                <w:rFonts w:hint="eastAsia" w:asciiTheme="minorEastAsia" w:hAnsiTheme="minorEastAsia" w:eastAsiaTheme="minorEastAsia" w:cstheme="minorEastAsia"/>
                <w:color w:val="auto"/>
                <w:highlight w:val="none"/>
              </w:rPr>
            </w:pPr>
            <w:r>
              <w:rPr>
                <w:rFonts w:hint="eastAsia"/>
                <w:color w:val="auto"/>
                <w:highlight w:val="none"/>
              </w:rPr>
              <w:t>服务要求</w:t>
            </w:r>
          </w:p>
        </w:tc>
        <w:tc>
          <w:tcPr>
            <w:tcW w:w="7604" w:type="dxa"/>
            <w:tcBorders>
              <w:tl2br w:val="nil"/>
              <w:tr2bl w:val="nil"/>
            </w:tcBorders>
            <w:vAlign w:val="center"/>
          </w:tcPr>
          <w:p w14:paraId="49F0ACFB">
            <w:pPr>
              <w:keepNext w:val="0"/>
              <w:keepLines w:val="0"/>
              <w:pageBreakBefore w:val="0"/>
              <w:widowControl/>
              <w:suppressLineNumbers w:val="0"/>
              <w:kinsoku/>
              <w:wordWrap/>
              <w:topLinePunct w:val="0"/>
              <w:bidi w:val="0"/>
              <w:spacing w:before="0" w:beforeAutospacing="0" w:after="0" w:afterAutospacing="0" w:line="480" w:lineRule="exact"/>
              <w:ind w:left="0" w:leftChars="0" w:right="0" w:right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签订合同后交付学习平台和课程资源供甲方使用，甲方每期项目结束后进行项目验收。</w:t>
            </w:r>
          </w:p>
          <w:p w14:paraId="15CF553A">
            <w:pPr>
              <w:keepNext w:val="0"/>
              <w:keepLines w:val="0"/>
              <w:pageBreakBefore w:val="0"/>
              <w:widowControl/>
              <w:suppressLineNumbers w:val="0"/>
              <w:kinsoku/>
              <w:wordWrap/>
              <w:topLinePunct w:val="0"/>
              <w:bidi w:val="0"/>
              <w:spacing w:before="0" w:beforeAutospacing="0" w:after="0" w:afterAutospacing="0" w:line="480" w:lineRule="exact"/>
              <w:ind w:left="0" w:leftChars="0" w:right="0" w:right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向甲方和相关部门提供系统运行所需要的服务器等硬件和网络设备，保证系统在培训期间7×24小时的可用服务。</w:t>
            </w:r>
          </w:p>
        </w:tc>
      </w:tr>
      <w:tr w14:paraId="6829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shd w:val="clear" w:color="auto" w:fill="auto"/>
            <w:vAlign w:val="center"/>
          </w:tcPr>
          <w:p w14:paraId="5BA8B228">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18</w:t>
            </w:r>
          </w:p>
        </w:tc>
        <w:tc>
          <w:tcPr>
            <w:tcW w:w="2509" w:type="dxa"/>
            <w:tcBorders>
              <w:tl2br w:val="nil"/>
              <w:tr2bl w:val="nil"/>
            </w:tcBorders>
            <w:vAlign w:val="center"/>
          </w:tcPr>
          <w:p w14:paraId="373D8DA5">
            <w:pPr>
              <w:keepNext w:val="0"/>
              <w:keepLines w:val="0"/>
              <w:pageBreakBefore w:val="0"/>
              <w:widowControl/>
              <w:suppressLineNumbers w:val="0"/>
              <w:kinsoku/>
              <w:wordWrap/>
              <w:overflowPunct w:val="0"/>
              <w:topLinePunct w:val="0"/>
              <w:bidi w:val="0"/>
              <w:spacing w:before="0" w:beforeAutospacing="0" w:after="0" w:afterAutospacing="0" w:line="480" w:lineRule="exact"/>
              <w:ind w:left="0" w:leftChars="0" w:right="0" w:rightChars="0"/>
              <w:jc w:val="center"/>
              <w:rPr>
                <w:rFonts w:hint="eastAsia"/>
                <w:color w:val="auto"/>
                <w:highlight w:val="none"/>
              </w:rPr>
            </w:pPr>
            <w:r>
              <w:rPr>
                <w:rFonts w:hint="eastAsia"/>
                <w:color w:val="auto"/>
                <w:highlight w:val="none"/>
                <w:lang w:val="en-US" w:eastAsia="zh-CN"/>
              </w:rPr>
              <w:t>售后要求</w:t>
            </w:r>
          </w:p>
        </w:tc>
        <w:tc>
          <w:tcPr>
            <w:tcW w:w="7604" w:type="dxa"/>
            <w:tcBorders>
              <w:tl2br w:val="nil"/>
              <w:tr2bl w:val="nil"/>
            </w:tcBorders>
            <w:vAlign w:val="center"/>
          </w:tcPr>
          <w:p w14:paraId="121A92D4">
            <w:pPr>
              <w:keepNext w:val="0"/>
              <w:keepLines w:val="0"/>
              <w:pageBreakBefore w:val="0"/>
              <w:widowControl/>
              <w:suppressLineNumbers w:val="0"/>
              <w:kinsoku/>
              <w:wordWrap/>
              <w:topLinePunct w:val="0"/>
              <w:bidi w:val="0"/>
              <w:spacing w:before="0" w:beforeAutospacing="0" w:after="0" w:afterAutospacing="0" w:line="480" w:lineRule="exact"/>
              <w:ind w:left="0" w:leftChars="0" w:right="0" w:rightChars="0"/>
              <w:rPr>
                <w:rFonts w:hint="eastAsia"/>
                <w:color w:val="auto"/>
                <w:highlight w:val="none"/>
              </w:rPr>
            </w:pPr>
            <w:r>
              <w:rPr>
                <w:rFonts w:hint="eastAsia"/>
                <w:color w:val="auto"/>
                <w:highlight w:val="none"/>
              </w:rPr>
              <w:t>制作培训PPT演示文档、用户手册、常见问题的解决方案、制定培训方案。</w:t>
            </w:r>
          </w:p>
        </w:tc>
      </w:tr>
      <w:tr w14:paraId="57BC8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9" w:type="dxa"/>
            <w:tcBorders>
              <w:tl2br w:val="nil"/>
              <w:tr2bl w:val="nil"/>
            </w:tcBorders>
            <w:vAlign w:val="center"/>
          </w:tcPr>
          <w:p w14:paraId="4131E55F">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19</w:t>
            </w:r>
          </w:p>
        </w:tc>
        <w:tc>
          <w:tcPr>
            <w:tcW w:w="2509" w:type="dxa"/>
            <w:tcBorders>
              <w:tl2br w:val="nil"/>
              <w:tr2bl w:val="nil"/>
            </w:tcBorders>
            <w:vAlign w:val="center"/>
          </w:tcPr>
          <w:p w14:paraId="5714AA7F">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项目地点</w:t>
            </w:r>
          </w:p>
        </w:tc>
        <w:tc>
          <w:tcPr>
            <w:tcW w:w="7604" w:type="dxa"/>
            <w:tcBorders>
              <w:tl2br w:val="nil"/>
              <w:tr2bl w:val="nil"/>
            </w:tcBorders>
            <w:vAlign w:val="center"/>
          </w:tcPr>
          <w:p w14:paraId="0702B0D4">
            <w:pPr>
              <w:keepNext w:val="0"/>
              <w:keepLines w:val="0"/>
              <w:pageBreakBefore w:val="0"/>
              <w:kinsoku/>
              <w:wordWrap/>
              <w:overflowPunct w:val="0"/>
              <w:topLinePunct w:val="0"/>
              <w:bidi w:val="0"/>
              <w:spacing w:line="48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新疆师范大学指定地点。</w:t>
            </w:r>
          </w:p>
        </w:tc>
      </w:tr>
      <w:tr w14:paraId="529EE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vAlign w:val="center"/>
          </w:tcPr>
          <w:p w14:paraId="405E91AD">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w:t>
            </w:r>
          </w:p>
        </w:tc>
        <w:tc>
          <w:tcPr>
            <w:tcW w:w="2509" w:type="dxa"/>
            <w:tcBorders>
              <w:tl2br w:val="nil"/>
              <w:tr2bl w:val="nil"/>
            </w:tcBorders>
            <w:vAlign w:val="center"/>
          </w:tcPr>
          <w:p w14:paraId="7F549BA7">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评标方法</w:t>
            </w:r>
          </w:p>
        </w:tc>
        <w:tc>
          <w:tcPr>
            <w:tcW w:w="7604" w:type="dxa"/>
            <w:tcBorders>
              <w:tl2br w:val="nil"/>
              <w:tr2bl w:val="nil"/>
            </w:tcBorders>
            <w:vAlign w:val="center"/>
          </w:tcPr>
          <w:p w14:paraId="4F34F56C">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w:t>
            </w:r>
          </w:p>
        </w:tc>
      </w:tr>
      <w:tr w14:paraId="5111B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vAlign w:val="center"/>
          </w:tcPr>
          <w:p w14:paraId="4D055987">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21</w:t>
            </w:r>
          </w:p>
        </w:tc>
        <w:tc>
          <w:tcPr>
            <w:tcW w:w="2509" w:type="dxa"/>
            <w:vMerge w:val="restart"/>
            <w:tcBorders>
              <w:tl2br w:val="nil"/>
              <w:tr2bl w:val="nil"/>
            </w:tcBorders>
            <w:vAlign w:val="center"/>
          </w:tcPr>
          <w:p w14:paraId="76DB90B8">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w:t>
            </w:r>
          </w:p>
        </w:tc>
        <w:tc>
          <w:tcPr>
            <w:tcW w:w="7604" w:type="dxa"/>
            <w:tcBorders>
              <w:tl2br w:val="nil"/>
              <w:tr2bl w:val="nil"/>
            </w:tcBorders>
            <w:vAlign w:val="center"/>
          </w:tcPr>
          <w:p w14:paraId="348C24FA">
            <w:pPr>
              <w:keepNext w:val="0"/>
              <w:keepLines w:val="0"/>
              <w:pageBreakBefore w:val="0"/>
              <w:widowControl/>
              <w:suppressLineNumbers w:val="0"/>
              <w:kinsoku/>
              <w:wordWrap/>
              <w:overflowPunct w:val="0"/>
              <w:topLinePunct w:val="0"/>
              <w:bidi w:val="0"/>
              <w:spacing w:before="0" w:beforeAutospacing="0" w:after="0" w:afterAutospacing="0" w:line="480" w:lineRule="exact"/>
              <w:ind w:left="0" w:right="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保证金金额：</w:t>
            </w:r>
            <w:r>
              <w:rPr>
                <w:rFonts w:hint="eastAsia"/>
                <w:b/>
                <w:bCs/>
                <w:color w:val="auto"/>
                <w:highlight w:val="none"/>
                <w:lang w:val="en-US" w:eastAsia="zh-CN"/>
              </w:rPr>
              <w:t>60000.00（陆万元整）</w:t>
            </w:r>
          </w:p>
        </w:tc>
      </w:tr>
      <w:tr w14:paraId="176D9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vAlign w:val="center"/>
          </w:tcPr>
          <w:p w14:paraId="1BF4BB6F">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015261D2">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p>
        </w:tc>
        <w:tc>
          <w:tcPr>
            <w:tcW w:w="7604" w:type="dxa"/>
            <w:tcBorders>
              <w:tl2br w:val="nil"/>
              <w:tr2bl w:val="nil"/>
            </w:tcBorders>
            <w:vAlign w:val="center"/>
          </w:tcPr>
          <w:p w14:paraId="42C5C9A6">
            <w:pPr>
              <w:keepNext w:val="0"/>
              <w:keepLines w:val="0"/>
              <w:pageBreakBefore w:val="0"/>
              <w:numPr>
                <w:ilvl w:val="0"/>
                <w:numId w:val="5"/>
              </w:numPr>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保证金缴纳方式：</w:t>
            </w:r>
          </w:p>
          <w:p w14:paraId="4E40EF8B">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2"/>
                <w:highlight w:val="none"/>
              </w:rPr>
              <w:t>电汇、网银转账等非现金形式</w:t>
            </w:r>
          </w:p>
          <w:p w14:paraId="1353BE81">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投标保证金缴纳账号：</w:t>
            </w:r>
          </w:p>
          <w:p w14:paraId="18E678E2">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账户名：新疆诚誉工程项目管理有限公司</w:t>
            </w:r>
          </w:p>
          <w:p w14:paraId="003C6C28">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开户行：乌鲁木齐银行营业部</w:t>
            </w:r>
          </w:p>
          <w:p w14:paraId="5ECF059F">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行号：313881000019</w:t>
            </w:r>
            <w:r>
              <w:rPr>
                <w:rFonts w:hint="eastAsia" w:asciiTheme="minorEastAsia" w:hAnsiTheme="minorEastAsia" w:eastAsiaTheme="minorEastAsia" w:cstheme="minorEastAsia"/>
                <w:b/>
                <w:bCs/>
                <w:color w:val="auto"/>
                <w:highlight w:val="none"/>
              </w:rPr>
              <w:cr/>
            </w:r>
            <w:r>
              <w:rPr>
                <w:rFonts w:hint="eastAsia" w:asciiTheme="minorEastAsia" w:hAnsiTheme="minorEastAsia" w:eastAsiaTheme="minorEastAsia" w:cstheme="minorEastAsia"/>
                <w:b/>
                <w:bCs/>
                <w:color w:val="auto"/>
                <w:highlight w:val="none"/>
              </w:rPr>
              <w:t>帐号：0000020080110023481768</w:t>
            </w:r>
          </w:p>
          <w:p w14:paraId="0AA4B93C">
            <w:pPr>
              <w:keepNext w:val="0"/>
              <w:keepLines w:val="0"/>
              <w:pageBreakBefore w:val="0"/>
              <w:kinsoku/>
              <w:wordWrap/>
              <w:overflowPunct w:val="0"/>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例：</w:t>
            </w:r>
            <w:r>
              <w:rPr>
                <w:rFonts w:hint="eastAsia" w:asciiTheme="minorEastAsia" w:hAnsiTheme="minorEastAsia" w:eastAsiaTheme="minorEastAsia" w:cstheme="minorEastAsia"/>
                <w:color w:val="auto"/>
                <w:highlight w:val="none"/>
              </w:rPr>
              <w:t>***项目 保证金</w:t>
            </w:r>
          </w:p>
          <w:p w14:paraId="4D8CA83B">
            <w:pPr>
              <w:keepNext w:val="0"/>
              <w:keepLines w:val="0"/>
              <w:pageBreakBefore w:val="0"/>
              <w:kinsoku/>
              <w:wordWrap/>
              <w:topLinePunct w:val="0"/>
              <w:bidi w:val="0"/>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财务办公室：乌鲁木齐市会展大道599号新疆财富中心C座6楼财务室</w:t>
            </w:r>
          </w:p>
          <w:p w14:paraId="41B9A4A5">
            <w:pPr>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联系电话：0991-4152021</w:t>
            </w:r>
          </w:p>
          <w:p w14:paraId="5027AF63">
            <w:pPr>
              <w:keepNext w:val="0"/>
              <w:keepLines w:val="0"/>
              <w:pageBreakBefore w:val="0"/>
              <w:numPr>
                <w:ilvl w:val="0"/>
                <w:numId w:val="6"/>
              </w:numPr>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保函形式</w:t>
            </w:r>
          </w:p>
          <w:p w14:paraId="6B762D28">
            <w:pPr>
              <w:keepNext w:val="0"/>
              <w:keepLines w:val="0"/>
              <w:pageBreakBefore w:val="0"/>
              <w:kinsoku/>
              <w:wordWrap/>
              <w:topLinePunct w:val="0"/>
              <w:bidi w:val="0"/>
              <w:spacing w:line="480" w:lineRule="exact"/>
              <w:ind w:firstLine="240" w:firstLineChars="1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将保函制作到电子投标文件即可</w:t>
            </w:r>
          </w:p>
        </w:tc>
      </w:tr>
      <w:tr w14:paraId="460F9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vAlign w:val="center"/>
          </w:tcPr>
          <w:p w14:paraId="603BA690">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2832FFCB">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p>
        </w:tc>
        <w:tc>
          <w:tcPr>
            <w:tcW w:w="7604" w:type="dxa"/>
            <w:tcBorders>
              <w:tl2br w:val="nil"/>
              <w:tr2bl w:val="nil"/>
            </w:tcBorders>
            <w:vAlign w:val="center"/>
          </w:tcPr>
          <w:p w14:paraId="16C89B01">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三、到账截止时间：同投标截止时间</w:t>
            </w:r>
          </w:p>
        </w:tc>
      </w:tr>
      <w:tr w14:paraId="2181F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79" w:type="dxa"/>
            <w:tcBorders>
              <w:tl2br w:val="nil"/>
              <w:tr2bl w:val="nil"/>
            </w:tcBorders>
            <w:vAlign w:val="center"/>
          </w:tcPr>
          <w:p w14:paraId="74C37385">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22</w:t>
            </w:r>
          </w:p>
        </w:tc>
        <w:tc>
          <w:tcPr>
            <w:tcW w:w="2509" w:type="dxa"/>
            <w:tcBorders>
              <w:tl2br w:val="nil"/>
              <w:tr2bl w:val="nil"/>
            </w:tcBorders>
            <w:vAlign w:val="center"/>
          </w:tcPr>
          <w:p w14:paraId="5CB549E0">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电子投标文件须知</w:t>
            </w:r>
          </w:p>
        </w:tc>
        <w:tc>
          <w:tcPr>
            <w:tcW w:w="7604" w:type="dxa"/>
            <w:tcBorders>
              <w:tl2br w:val="nil"/>
              <w:tr2bl w:val="nil"/>
            </w:tcBorders>
            <w:vAlign w:val="center"/>
          </w:tcPr>
          <w:p w14:paraId="00A71A48">
            <w:pPr>
              <w:pStyle w:val="153"/>
              <w:keepNext w:val="0"/>
              <w:keepLines w:val="0"/>
              <w:pageBreakBefore w:val="0"/>
              <w:widowControl/>
              <w:kinsoku/>
              <w:wordWrap/>
              <w:topLinePunct w:val="0"/>
              <w:autoSpaceDE w:val="0"/>
              <w:autoSpaceDN w:val="0"/>
              <w:bidi w:val="0"/>
              <w:spacing w:line="480" w:lineRule="exact"/>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sym w:font="Wingdings 2" w:char="0052"/>
            </w:r>
            <w:r>
              <w:rPr>
                <w:rFonts w:hint="eastAsia" w:asciiTheme="minorEastAsia" w:hAnsiTheme="minorEastAsia" w:eastAsiaTheme="minorEastAsia" w:cstheme="minorEastAsia"/>
                <w:b/>
                <w:color w:val="auto"/>
                <w:kern w:val="2"/>
                <w:sz w:val="24"/>
                <w:szCs w:val="24"/>
                <w:highlight w:val="none"/>
              </w:rPr>
              <w:t>采用不见面开标：</w:t>
            </w:r>
          </w:p>
          <w:p w14:paraId="1DE94452">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1.本项目实行网上投标，采用电子投标文件；</w:t>
            </w:r>
          </w:p>
          <w:p w14:paraId="0388E968">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2.各</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在开标前应确保成为新疆政府采购网正式注册入库</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，并完成CA数字证书（符合国密标准）申领。因未注册入库、未办理CA数字证书等原因造成无法投标或投标失败等后果由</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自行承担。有意向参与电子开评标的</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，可访问新疆数字证书认证中心官方网站（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3032F843">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自身原因导致在规定时间内无法正常解密的（如：浏览器故障、未安装相关驱动、网络故障、加密CA与解密CA不一致等），采购中心/代理机构不予异常处理，视为</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自动弃标；</w:t>
            </w:r>
          </w:p>
          <w:p w14:paraId="17944693">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应当在投标截止时间前,将生成的“电子加密投标文件”上传递交至“政府采购云平台”,投标截止时间以后上传递交的投标文件将被“政府采购云平台”拒收；</w:t>
            </w:r>
          </w:p>
          <w:p w14:paraId="7189E5C7">
            <w:pPr>
              <w:keepNext w:val="0"/>
              <w:keepLines w:val="0"/>
              <w:pageBreakBefore w:val="0"/>
              <w:kinsoku/>
              <w:wordWrap/>
              <w:topLinePunct w:val="0"/>
              <w:bidi w:val="0"/>
              <w:spacing w:line="48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在规定时间内因自身原因导致无法正常解密,后果由</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自行承担。</w:t>
            </w:r>
          </w:p>
          <w:p w14:paraId="4F645065">
            <w:pPr>
              <w:pStyle w:val="152"/>
              <w:keepNext w:val="0"/>
              <w:keepLines w:val="0"/>
              <w:pageBreakBefore w:val="0"/>
              <w:kinsoku/>
              <w:wordWrap/>
              <w:topLinePunct w:val="0"/>
              <w:bidi w:val="0"/>
              <w:spacing w:line="480" w:lineRule="exact"/>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登录政采云平台，在开标时间后30分钟内用“项目采购-开标评标”功能进行解密投标文件。若</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在规定时间内未按时解密的，视为无效投标。解密与加密投标文件须使用同一个 CA。</w:t>
            </w:r>
          </w:p>
        </w:tc>
      </w:tr>
      <w:tr w14:paraId="306F0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2660479">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w:t>
            </w:r>
          </w:p>
        </w:tc>
        <w:tc>
          <w:tcPr>
            <w:tcW w:w="2509" w:type="dxa"/>
            <w:tcBorders>
              <w:tl2br w:val="nil"/>
              <w:tr2bl w:val="nil"/>
            </w:tcBorders>
            <w:vAlign w:val="center"/>
          </w:tcPr>
          <w:p w14:paraId="38666F1D">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投标文件的签署规定</w:t>
            </w:r>
          </w:p>
        </w:tc>
        <w:tc>
          <w:tcPr>
            <w:tcW w:w="7604" w:type="dxa"/>
            <w:tcBorders>
              <w:tl2br w:val="nil"/>
              <w:tr2bl w:val="nil"/>
            </w:tcBorders>
            <w:vAlign w:val="center"/>
          </w:tcPr>
          <w:p w14:paraId="635ADF2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投标文件应按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文件要求在签字盖章处加盖公章和由法定代表人或其授权代表签字。</w:t>
            </w:r>
          </w:p>
          <w:p w14:paraId="22BFA62A">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2.投标文件中的任何行间插字、涂改和增删，应加盖公章或由投标人的法定代表人或其授权的代理人签字确认。否则，在评标时将其视为无效投标。</w:t>
            </w:r>
          </w:p>
        </w:tc>
      </w:tr>
      <w:tr w14:paraId="0ABC4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0812701">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24</w:t>
            </w:r>
          </w:p>
        </w:tc>
        <w:tc>
          <w:tcPr>
            <w:tcW w:w="2509" w:type="dxa"/>
            <w:tcBorders>
              <w:tl2br w:val="nil"/>
              <w:tr2bl w:val="nil"/>
            </w:tcBorders>
            <w:vAlign w:val="center"/>
          </w:tcPr>
          <w:p w14:paraId="1A741230">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投标文件格式</w:t>
            </w:r>
          </w:p>
        </w:tc>
        <w:tc>
          <w:tcPr>
            <w:tcW w:w="7604" w:type="dxa"/>
            <w:tcBorders>
              <w:tl2br w:val="nil"/>
              <w:tr2bl w:val="nil"/>
            </w:tcBorders>
            <w:vAlign w:val="center"/>
          </w:tcPr>
          <w:p w14:paraId="1170151F">
            <w:pPr>
              <w:keepNext w:val="0"/>
              <w:keepLines w:val="0"/>
              <w:pageBreakBefore w:val="0"/>
              <w:widowControl/>
              <w:numPr>
                <w:ilvl w:val="0"/>
                <w:numId w:val="7"/>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投标人应按</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文件中提供的投标文件格式填写。</w:t>
            </w:r>
          </w:p>
          <w:p w14:paraId="6A2019D1">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文件没有提供格式的，投标人可自行设置。</w:t>
            </w:r>
          </w:p>
          <w:p w14:paraId="2B86F5E4">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3.投标人应将投标文件按规定的顺序编排、并应编制目录、逐页标注连续页码。</w:t>
            </w:r>
          </w:p>
          <w:p w14:paraId="7646917B">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4.电报、电话、传真、电子邮件等形式的投标概不接受。</w:t>
            </w:r>
          </w:p>
        </w:tc>
      </w:tr>
      <w:tr w14:paraId="61CE4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vAlign w:val="center"/>
          </w:tcPr>
          <w:p w14:paraId="19F5313D">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25</w:t>
            </w:r>
          </w:p>
        </w:tc>
        <w:tc>
          <w:tcPr>
            <w:tcW w:w="2509" w:type="dxa"/>
            <w:tcBorders>
              <w:tl2br w:val="nil"/>
              <w:tr2bl w:val="nil"/>
            </w:tcBorders>
            <w:vAlign w:val="center"/>
          </w:tcPr>
          <w:p w14:paraId="732925D5">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付款方式及币种</w:t>
            </w:r>
          </w:p>
        </w:tc>
        <w:tc>
          <w:tcPr>
            <w:tcW w:w="7604" w:type="dxa"/>
            <w:tcBorders>
              <w:tl2br w:val="nil"/>
              <w:tr2bl w:val="nil"/>
            </w:tcBorders>
            <w:vAlign w:val="center"/>
          </w:tcPr>
          <w:p w14:paraId="649A798B">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1、付款币种</w:t>
            </w:r>
          </w:p>
          <w:p w14:paraId="462C4A10">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本次采购所述的项目资金均以人民币支付。</w:t>
            </w:r>
          </w:p>
          <w:p w14:paraId="2C959013">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付款方式：</w:t>
            </w:r>
          </w:p>
          <w:p w14:paraId="5285B07A">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val="en-US" w:eastAsia="zh-CN"/>
              </w:rPr>
              <w:t>每期培训</w:t>
            </w:r>
            <w:r>
              <w:rPr>
                <w:rFonts w:hint="eastAsia" w:asciiTheme="minorEastAsia" w:hAnsiTheme="minorEastAsia" w:eastAsiaTheme="minorEastAsia" w:cstheme="minorEastAsia"/>
                <w:b/>
                <w:color w:val="auto"/>
                <w:highlight w:val="none"/>
              </w:rPr>
              <w:t>项目</w:t>
            </w:r>
            <w:r>
              <w:rPr>
                <w:rFonts w:hint="eastAsia" w:asciiTheme="minorEastAsia" w:hAnsiTheme="minorEastAsia" w:eastAsiaTheme="minorEastAsia" w:cstheme="minorEastAsia"/>
                <w:b/>
                <w:color w:val="auto"/>
                <w:highlight w:val="none"/>
                <w:lang w:val="en-US" w:eastAsia="zh-CN"/>
              </w:rPr>
              <w:t>结束后，按照具体使用人数及使用量支付相关费用</w:t>
            </w:r>
            <w:r>
              <w:rPr>
                <w:rFonts w:hint="eastAsia" w:asciiTheme="minorEastAsia" w:hAnsiTheme="minorEastAsia" w:eastAsiaTheme="minorEastAsia" w:cstheme="minorEastAsia"/>
                <w:b/>
                <w:color w:val="auto"/>
                <w:highlight w:val="none"/>
              </w:rPr>
              <w:t>。</w:t>
            </w:r>
          </w:p>
          <w:p w14:paraId="11D80D61">
            <w:pPr>
              <w:keepNext w:val="0"/>
              <w:keepLines w:val="0"/>
              <w:pageBreakBefore w:val="0"/>
              <w:numPr>
                <w:ilvl w:val="0"/>
                <w:numId w:val="0"/>
              </w:numPr>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3、乙方须向甲方出具合法有效完整的完税发票及凭证资料进行支付结算。</w:t>
            </w:r>
          </w:p>
          <w:p w14:paraId="1FCB0ED9">
            <w:pPr>
              <w:keepNext w:val="0"/>
              <w:keepLines w:val="0"/>
              <w:pageBreakBefore w:val="0"/>
              <w:kinsoku/>
              <w:wordWrap/>
              <w:topLinePunct w:val="0"/>
              <w:bidi w:val="0"/>
              <w:spacing w:line="4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备注：最终付款方式以和甲方单位签订合同为准。</w:t>
            </w:r>
          </w:p>
        </w:tc>
      </w:tr>
      <w:tr w14:paraId="46FCB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5E394557">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26</w:t>
            </w:r>
          </w:p>
        </w:tc>
        <w:tc>
          <w:tcPr>
            <w:tcW w:w="2509" w:type="dxa"/>
            <w:tcBorders>
              <w:tl2br w:val="nil"/>
              <w:tr2bl w:val="nil"/>
            </w:tcBorders>
            <w:vAlign w:val="center"/>
          </w:tcPr>
          <w:p w14:paraId="002BED9E">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投标费用</w:t>
            </w:r>
          </w:p>
        </w:tc>
        <w:tc>
          <w:tcPr>
            <w:tcW w:w="7604" w:type="dxa"/>
            <w:tcBorders>
              <w:tl2br w:val="nil"/>
              <w:tr2bl w:val="nil"/>
            </w:tcBorders>
            <w:vAlign w:val="center"/>
          </w:tcPr>
          <w:p w14:paraId="4D51F1A0">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不论投标的结果如何，投标人均应自行承担所有与参加投标有关的全部费用。</w:t>
            </w:r>
          </w:p>
        </w:tc>
      </w:tr>
      <w:tr w14:paraId="7868C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3D8BDD83">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bidi="ar"/>
              </w:rPr>
            </w:pPr>
            <w:r>
              <w:rPr>
                <w:rFonts w:hint="eastAsia" w:asciiTheme="minorEastAsia" w:hAnsiTheme="minorEastAsia" w:eastAsiaTheme="minorEastAsia" w:cstheme="minorEastAsia"/>
                <w:color w:val="auto"/>
                <w:highlight w:val="none"/>
                <w:lang w:val="en-US" w:eastAsia="zh-CN" w:bidi="ar"/>
              </w:rPr>
              <w:t>27</w:t>
            </w:r>
          </w:p>
        </w:tc>
        <w:tc>
          <w:tcPr>
            <w:tcW w:w="2509" w:type="dxa"/>
            <w:tcBorders>
              <w:tl2br w:val="nil"/>
              <w:tr2bl w:val="nil"/>
            </w:tcBorders>
            <w:shd w:val="clear" w:color="auto" w:fill="auto"/>
            <w:vAlign w:val="center"/>
          </w:tcPr>
          <w:p w14:paraId="0EA2D52A">
            <w:pPr>
              <w:keepNext w:val="0"/>
              <w:keepLines w:val="0"/>
              <w:pageBreakBefore w:val="0"/>
              <w:widowControl/>
              <w:suppressLineNumbers w:val="0"/>
              <w:kinsoku/>
              <w:wordWrap/>
              <w:overflowPunct w:val="0"/>
              <w:topLinePunct w:val="0"/>
              <w:bidi w:val="0"/>
              <w:spacing w:before="0" w:beforeAutospacing="0" w:after="0" w:afterAutospacing="0" w:line="480" w:lineRule="exact"/>
              <w:ind w:left="0" w:leftChars="0" w:right="0" w:rightChars="0"/>
              <w:jc w:val="center"/>
              <w:rPr>
                <w:rFonts w:hint="default"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bidi="ar-SA"/>
              </w:rPr>
              <w:t>评标委员会</w:t>
            </w:r>
          </w:p>
        </w:tc>
        <w:tc>
          <w:tcPr>
            <w:tcW w:w="7604" w:type="dxa"/>
            <w:tcBorders>
              <w:tl2br w:val="nil"/>
              <w:tr2bl w:val="nil"/>
            </w:tcBorders>
            <w:shd w:val="clear" w:color="auto" w:fill="auto"/>
            <w:vAlign w:val="center"/>
          </w:tcPr>
          <w:p w14:paraId="05E21E32">
            <w:pPr>
              <w:keepNext w:val="0"/>
              <w:keepLines w:val="0"/>
              <w:pageBreakBefore w:val="0"/>
              <w:widowControl/>
              <w:suppressLineNumbers w:val="0"/>
              <w:kinsoku/>
              <w:wordWrap/>
              <w:topLinePunct w:val="0"/>
              <w:bidi w:val="0"/>
              <w:spacing w:before="0" w:beforeAutospacing="0" w:after="0" w:afterAutospacing="0" w:line="480" w:lineRule="exact"/>
              <w:ind w:left="0" w:right="0"/>
              <w:rPr>
                <w:rFonts w:hint="eastAsia"/>
                <w:color w:val="auto"/>
                <w:highlight w:val="none"/>
                <w:lang w:val="en-US" w:eastAsia="zh-CN"/>
              </w:rPr>
            </w:pPr>
            <w:r>
              <w:rPr>
                <w:rFonts w:hint="eastAsia"/>
                <w:color w:val="auto"/>
                <w:highlight w:val="none"/>
                <w:lang w:val="en-US" w:eastAsia="zh-CN"/>
              </w:rPr>
              <w:t>评标委员会构成：5人；</w:t>
            </w:r>
          </w:p>
          <w:p w14:paraId="3B54D1F6">
            <w:pPr>
              <w:keepNext w:val="0"/>
              <w:keepLines w:val="0"/>
              <w:pageBreakBefore w:val="0"/>
              <w:widowControl/>
              <w:suppressLineNumbers w:val="0"/>
              <w:kinsoku/>
              <w:wordWrap/>
              <w:topLinePunct w:val="0"/>
              <w:bidi w:val="0"/>
              <w:spacing w:before="0" w:beforeAutospacing="0" w:after="0" w:afterAutospacing="0" w:line="480" w:lineRule="exact"/>
              <w:ind w:left="0" w:right="0"/>
              <w:rPr>
                <w:rFonts w:hint="default"/>
                <w:color w:val="auto"/>
                <w:highlight w:val="none"/>
                <w:lang w:val="en-US" w:eastAsia="zh-CN"/>
              </w:rPr>
            </w:pPr>
            <w:r>
              <w:rPr>
                <w:rFonts w:hint="eastAsia"/>
                <w:color w:val="auto"/>
                <w:highlight w:val="none"/>
                <w:lang w:val="en-US" w:eastAsia="zh-CN"/>
              </w:rPr>
              <w:t>采购人代表：1人；抽取专家：4人。</w:t>
            </w:r>
          </w:p>
          <w:p w14:paraId="37A804E9">
            <w:pPr>
              <w:keepNext w:val="0"/>
              <w:keepLines w:val="0"/>
              <w:pageBreakBefore w:val="0"/>
              <w:widowControl/>
              <w:suppressLineNumbers w:val="0"/>
              <w:kinsoku/>
              <w:wordWrap/>
              <w:topLinePunct w:val="0"/>
              <w:bidi w:val="0"/>
              <w:spacing w:before="0" w:beforeAutospacing="0" w:after="0" w:afterAutospacing="0" w:line="480" w:lineRule="exact"/>
              <w:ind w:left="0" w:leftChars="0" w:right="0" w:rightChars="0"/>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评审专家确定方式：政采云系统专家库随机抽取</w:t>
            </w:r>
          </w:p>
        </w:tc>
      </w:tr>
      <w:tr w14:paraId="4C875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D5C3612">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28</w:t>
            </w:r>
          </w:p>
        </w:tc>
        <w:tc>
          <w:tcPr>
            <w:tcW w:w="2509" w:type="dxa"/>
            <w:tcBorders>
              <w:tl2br w:val="nil"/>
              <w:tr2bl w:val="nil"/>
            </w:tcBorders>
            <w:vAlign w:val="center"/>
          </w:tcPr>
          <w:p w14:paraId="74BF6E2C">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代理服务费</w:t>
            </w:r>
          </w:p>
        </w:tc>
        <w:tc>
          <w:tcPr>
            <w:tcW w:w="7604" w:type="dxa"/>
            <w:tcBorders>
              <w:tl2br w:val="nil"/>
              <w:tr2bl w:val="nil"/>
            </w:tcBorders>
            <w:vAlign w:val="center"/>
          </w:tcPr>
          <w:p w14:paraId="0376176B">
            <w:pPr>
              <w:keepNext w:val="0"/>
              <w:keepLines w:val="0"/>
              <w:pageBreakBefore w:val="0"/>
              <w:kinsoku/>
              <w:wordWrap/>
              <w:topLinePunct w:val="0"/>
              <w:bidi w:val="0"/>
              <w:adjustRightInd w:val="0"/>
              <w:snapToGrid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1、代理报酬的计算方法：国家计委关于《</w:t>
            </w:r>
            <w:r>
              <w:rPr>
                <w:rFonts w:hint="eastAsia" w:asciiTheme="minorEastAsia" w:hAnsiTheme="minorEastAsia" w:eastAsiaTheme="minorEastAsia" w:cstheme="minorEastAsia"/>
                <w:color w:val="auto"/>
                <w:highlight w:val="none"/>
                <w:lang w:eastAsia="zh-CN"/>
              </w:rPr>
              <w:t>采购</w:t>
            </w:r>
            <w:r>
              <w:rPr>
                <w:rFonts w:hint="eastAsia" w:asciiTheme="minorEastAsia" w:hAnsiTheme="minorEastAsia" w:eastAsiaTheme="minorEastAsia" w:cstheme="minorEastAsia"/>
                <w:color w:val="auto"/>
                <w:highlight w:val="none"/>
              </w:rPr>
              <w:t>代理服务收费管理暂行办法》（计价格[2002]1980号）和国家发改价格【2011】534号文件“规定的服务费取费按标准收取。</w:t>
            </w:r>
          </w:p>
          <w:p w14:paraId="4C066D4B">
            <w:pPr>
              <w:keepNext w:val="0"/>
              <w:keepLines w:val="0"/>
              <w:pageBreakBefore w:val="0"/>
              <w:kinsoku/>
              <w:wordWrap/>
              <w:topLinePunct w:val="0"/>
              <w:bidi w:val="0"/>
              <w:adjustRightInd w:val="0"/>
              <w:snapToGrid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2、代理报酬支付方式：由中标人支付。</w:t>
            </w:r>
          </w:p>
          <w:p w14:paraId="08BC8E82">
            <w:pPr>
              <w:keepNext w:val="0"/>
              <w:keepLines w:val="0"/>
              <w:pageBreakBefore w:val="0"/>
              <w:kinsoku/>
              <w:wordWrap/>
              <w:topLinePunct w:val="0"/>
              <w:bidi w:val="0"/>
              <w:adjustRightInd w:val="0"/>
              <w:snapToGrid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3、代理报酬的支付时间：由中标人领取中标通知书时支付。</w:t>
            </w:r>
          </w:p>
        </w:tc>
      </w:tr>
      <w:tr w14:paraId="7DD8E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5045864">
            <w:pPr>
              <w:keepNext w:val="0"/>
              <w:keepLines w:val="0"/>
              <w:pageBreakBefore w:val="0"/>
              <w:kinsoku/>
              <w:wordWrap/>
              <w:topLinePunct w:val="0"/>
              <w:bidi w:val="0"/>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bidi="ar"/>
              </w:rPr>
              <w:t>2</w:t>
            </w:r>
            <w:r>
              <w:rPr>
                <w:rFonts w:hint="eastAsia" w:asciiTheme="minorEastAsia" w:hAnsiTheme="minorEastAsia" w:eastAsiaTheme="minorEastAsia" w:cstheme="minorEastAsia"/>
                <w:color w:val="auto"/>
                <w:highlight w:val="none"/>
                <w:lang w:val="en-US" w:eastAsia="zh-CN" w:bidi="ar"/>
              </w:rPr>
              <w:t>9</w:t>
            </w:r>
          </w:p>
        </w:tc>
        <w:tc>
          <w:tcPr>
            <w:tcW w:w="2509" w:type="dxa"/>
            <w:tcBorders>
              <w:tl2br w:val="nil"/>
              <w:tr2bl w:val="nil"/>
            </w:tcBorders>
            <w:vAlign w:val="center"/>
          </w:tcPr>
          <w:p w14:paraId="61AC72AD">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低于成本价不正当</w:t>
            </w:r>
          </w:p>
          <w:p w14:paraId="6CBA10DB">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竞争预防措施</w:t>
            </w:r>
          </w:p>
        </w:tc>
        <w:tc>
          <w:tcPr>
            <w:tcW w:w="7604" w:type="dxa"/>
            <w:tcBorders>
              <w:tl2br w:val="nil"/>
              <w:tr2bl w:val="nil"/>
            </w:tcBorders>
            <w:vAlign w:val="center"/>
          </w:tcPr>
          <w:p w14:paraId="72756509">
            <w:pPr>
              <w:keepNext w:val="0"/>
              <w:keepLines w:val="0"/>
              <w:pageBreakBefore w:val="0"/>
              <w:kinsoku/>
              <w:wordWrap/>
              <w:topLinePunct w:val="0"/>
              <w:bidi w:val="0"/>
              <w:spacing w:line="48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9359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DE19111">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30</w:t>
            </w:r>
          </w:p>
        </w:tc>
        <w:tc>
          <w:tcPr>
            <w:tcW w:w="2509" w:type="dxa"/>
            <w:tcBorders>
              <w:tl2br w:val="nil"/>
              <w:tr2bl w:val="nil"/>
            </w:tcBorders>
            <w:vAlign w:val="center"/>
          </w:tcPr>
          <w:p w14:paraId="5A002ED7">
            <w:pPr>
              <w:pStyle w:val="132"/>
              <w:keepNext w:val="0"/>
              <w:keepLines w:val="0"/>
              <w:pageBreakBefore w:val="0"/>
              <w:kinsoku/>
              <w:wordWrap/>
              <w:topLinePunct w:val="0"/>
              <w:bidi w:val="0"/>
              <w:spacing w:line="480" w:lineRule="exact"/>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质疑须知</w:t>
            </w:r>
          </w:p>
        </w:tc>
        <w:tc>
          <w:tcPr>
            <w:tcW w:w="7604" w:type="dxa"/>
            <w:tcBorders>
              <w:tl2br w:val="nil"/>
              <w:tr2bl w:val="nil"/>
            </w:tcBorders>
            <w:vAlign w:val="center"/>
          </w:tcPr>
          <w:p w14:paraId="33EE371E">
            <w:pPr>
              <w:pStyle w:val="132"/>
              <w:keepNext w:val="0"/>
              <w:keepLines w:val="0"/>
              <w:pageBreakBefore w:val="0"/>
              <w:kinsoku/>
              <w:wordWrap/>
              <w:topLinePunct w:val="0"/>
              <w:bidi w:val="0"/>
              <w:spacing w:line="480" w:lineRule="exact"/>
              <w:ind w:left="494" w:hanging="494" w:hangingChars="206"/>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接收质疑函的方式：现场递交纸质版及Word格式电子版质疑文件至接受单位</w:t>
            </w:r>
          </w:p>
          <w:p w14:paraId="52C12963">
            <w:pPr>
              <w:pStyle w:val="132"/>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接受质疑的单位：新疆诚誉工程项目管理有限公司</w:t>
            </w:r>
          </w:p>
          <w:p w14:paraId="47893F53">
            <w:pPr>
              <w:pStyle w:val="132"/>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联系电话：</w:t>
            </w:r>
            <w:r>
              <w:rPr>
                <w:rFonts w:hint="eastAsia" w:asciiTheme="minorEastAsia" w:hAnsiTheme="minorEastAsia" w:eastAsiaTheme="minorEastAsia" w:cstheme="minorEastAsia"/>
                <w:color w:val="auto"/>
                <w:highlight w:val="none"/>
              </w:rPr>
              <w:t>0991-8890252</w:t>
            </w:r>
          </w:p>
          <w:p w14:paraId="532EDB4C">
            <w:pPr>
              <w:pStyle w:val="132"/>
              <w:keepNext w:val="0"/>
              <w:keepLines w:val="0"/>
              <w:pageBreakBefore w:val="0"/>
              <w:kinsoku/>
              <w:wordWrap/>
              <w:topLinePunct w:val="0"/>
              <w:bidi w:val="0"/>
              <w:spacing w:line="480" w:lineRule="exac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地址：</w:t>
            </w:r>
            <w:r>
              <w:rPr>
                <w:rFonts w:hint="eastAsia" w:asciiTheme="minorEastAsia" w:hAnsiTheme="minorEastAsia" w:eastAsiaTheme="minorEastAsia" w:cstheme="minorEastAsia"/>
                <w:color w:val="auto"/>
                <w:highlight w:val="none"/>
              </w:rPr>
              <w:t>乌鲁木齐市会展大道599号新疆财富中心C座6楼601室</w:t>
            </w:r>
          </w:p>
        </w:tc>
      </w:tr>
      <w:tr w14:paraId="03BE2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74BDB">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31</w:t>
            </w:r>
          </w:p>
        </w:tc>
        <w:tc>
          <w:tcPr>
            <w:tcW w:w="2509" w:type="dxa"/>
            <w:tcBorders>
              <w:tl2br w:val="nil"/>
              <w:tr2bl w:val="nil"/>
            </w:tcBorders>
            <w:vAlign w:val="center"/>
          </w:tcPr>
          <w:p w14:paraId="5CA74657">
            <w:pPr>
              <w:pStyle w:val="132"/>
              <w:keepNext w:val="0"/>
              <w:keepLines w:val="0"/>
              <w:pageBreakBefore w:val="0"/>
              <w:kinsoku/>
              <w:wordWrap/>
              <w:topLinePunct w:val="0"/>
              <w:bidi w:val="0"/>
              <w:spacing w:line="480" w:lineRule="exact"/>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公告发布媒体</w:t>
            </w:r>
          </w:p>
        </w:tc>
        <w:tc>
          <w:tcPr>
            <w:tcW w:w="7604" w:type="dxa"/>
            <w:tcBorders>
              <w:tl2br w:val="nil"/>
              <w:tr2bl w:val="nil"/>
            </w:tcBorders>
            <w:vAlign w:val="center"/>
          </w:tcPr>
          <w:p w14:paraId="5E2EE0F7">
            <w:pPr>
              <w:keepNext w:val="0"/>
              <w:keepLines w:val="0"/>
              <w:pageBreakBefore w:val="0"/>
              <w:kinsoku/>
              <w:wordWrap/>
              <w:topLinePunct w:val="0"/>
              <w:bidi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新疆政府采购网</w:t>
            </w:r>
            <w:r>
              <w:rPr>
                <w:rFonts w:hint="eastAsia" w:asciiTheme="minorEastAsia" w:hAnsiTheme="minorEastAsia" w:eastAsiaTheme="minorEastAsia" w:cstheme="minorEastAsia"/>
                <w:color w:val="auto"/>
                <w:highlight w:val="none"/>
              </w:rPr>
              <w:drawing>
                <wp:inline distT="0" distB="0" distL="114300" distR="114300">
                  <wp:extent cx="189230" cy="142875"/>
                  <wp:effectExtent l="0" t="0" r="127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15"/>
                          <a:stretch>
                            <a:fillRect/>
                          </a:stretch>
                        </pic:blipFill>
                        <pic:spPr>
                          <a:xfrm>
                            <a:off x="0" y="0"/>
                            <a:ext cx="189230" cy="142875"/>
                          </a:xfrm>
                          <a:prstGeom prst="rect">
                            <a:avLst/>
                          </a:prstGeom>
                          <a:noFill/>
                          <a:ln>
                            <a:noFill/>
                          </a:ln>
                        </pic:spPr>
                      </pic:pic>
                    </a:graphicData>
                  </a:graphic>
                </wp:inline>
              </w:drawing>
            </w:r>
            <w:r>
              <w:rPr>
                <w:rFonts w:hint="eastAsia" w:asciiTheme="minorEastAsia" w:hAnsiTheme="minorEastAsia" w:eastAsiaTheme="minorEastAsia" w:cstheme="minorEastAsia"/>
                <w:color w:val="auto"/>
                <w:highlight w:val="none"/>
              </w:rPr>
              <w:t>http://www.ccgp-xinjiang.gov.cn/home.html</w:t>
            </w:r>
          </w:p>
        </w:tc>
      </w:tr>
      <w:tr w14:paraId="4CF8A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B2A4458">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32</w:t>
            </w:r>
          </w:p>
        </w:tc>
        <w:tc>
          <w:tcPr>
            <w:tcW w:w="2509" w:type="dxa"/>
            <w:tcBorders>
              <w:tl2br w:val="nil"/>
              <w:tr2bl w:val="nil"/>
            </w:tcBorders>
            <w:vAlign w:val="center"/>
          </w:tcPr>
          <w:p w14:paraId="1B04CB9F">
            <w:pPr>
              <w:keepNext w:val="0"/>
              <w:keepLines w:val="0"/>
              <w:pageBreakBefore w:val="0"/>
              <w:kinsoku/>
              <w:wordWrap/>
              <w:overflowPunct w:val="0"/>
              <w:topLinePunct w:val="0"/>
              <w:bidi w:val="0"/>
              <w:spacing w:line="480" w:lineRule="exact"/>
              <w:jc w:val="center"/>
              <w:rPr>
                <w:rFonts w:hint="eastAsia" w:ascii="宋体" w:hAnsi="宋体" w:eastAsia="宋体" w:cs="宋体"/>
                <w:color w:val="auto"/>
                <w:sz w:val="24"/>
                <w:szCs w:val="24"/>
                <w:highlight w:val="none"/>
                <w:lang w:val="en-US" w:eastAsia="zh-CN" w:bidi="ar-SA"/>
              </w:rPr>
            </w:pPr>
            <w:r>
              <w:rPr>
                <w:rFonts w:hint="eastAsia" w:eastAsia="宋体"/>
                <w:color w:val="auto"/>
                <w:highlight w:val="none"/>
              </w:rPr>
              <w:t>确定中标人时，出现中标候选人分数并列的情形，确定中标人方式</w:t>
            </w:r>
          </w:p>
        </w:tc>
        <w:tc>
          <w:tcPr>
            <w:tcW w:w="7604" w:type="dxa"/>
            <w:tcBorders>
              <w:tl2br w:val="nil"/>
              <w:tr2bl w:val="nil"/>
            </w:tcBorders>
            <w:vAlign w:val="center"/>
          </w:tcPr>
          <w:p w14:paraId="7563C158">
            <w:pPr>
              <w:keepNext w:val="0"/>
              <w:keepLines w:val="0"/>
              <w:pageBreakBefore w:val="0"/>
              <w:kinsoku/>
              <w:wordWrap/>
              <w:overflowPunct w:val="0"/>
              <w:topLinePunct w:val="0"/>
              <w:bidi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采用综合评分法的，按投标报价由低到高顺序排列。得分且投标报价相同的并列。投标文件满足</w:t>
            </w:r>
            <w:r>
              <w:rPr>
                <w:rFonts w:hint="eastAsia"/>
                <w:color w:val="auto"/>
                <w:highlight w:val="none"/>
                <w:lang w:eastAsia="zh-CN"/>
              </w:rPr>
              <w:t>采购</w:t>
            </w:r>
            <w:r>
              <w:rPr>
                <w:rFonts w:hint="eastAsia" w:eastAsia="宋体"/>
                <w:color w:val="auto"/>
                <w:highlight w:val="none"/>
              </w:rPr>
              <w:t>文件全部实质性要求，且按照评审因素的量化指标评审得分最高的投标人为排名第一的中标候选人。</w:t>
            </w:r>
          </w:p>
        </w:tc>
      </w:tr>
      <w:tr w14:paraId="2F7D2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C25A3">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33</w:t>
            </w:r>
          </w:p>
        </w:tc>
        <w:tc>
          <w:tcPr>
            <w:tcW w:w="2509" w:type="dxa"/>
            <w:tcBorders>
              <w:tl2br w:val="nil"/>
              <w:tr2bl w:val="nil"/>
            </w:tcBorders>
            <w:vAlign w:val="center"/>
          </w:tcPr>
          <w:p w14:paraId="3B5343C9">
            <w:pPr>
              <w:keepNext w:val="0"/>
              <w:keepLines w:val="0"/>
              <w:pageBreakBefore w:val="0"/>
              <w:kinsoku/>
              <w:wordWrap/>
              <w:overflowPunct w:val="0"/>
              <w:topLinePunct w:val="0"/>
              <w:bidi w:val="0"/>
              <w:spacing w:line="480" w:lineRule="exact"/>
              <w:jc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投标文件份数</w:t>
            </w:r>
          </w:p>
        </w:tc>
        <w:tc>
          <w:tcPr>
            <w:tcW w:w="7604" w:type="dxa"/>
            <w:tcBorders>
              <w:tl2br w:val="nil"/>
              <w:tr2bl w:val="nil"/>
            </w:tcBorders>
            <w:vAlign w:val="center"/>
          </w:tcPr>
          <w:p w14:paraId="52C99D73">
            <w:pPr>
              <w:keepNext w:val="0"/>
              <w:keepLines w:val="0"/>
              <w:pageBreakBefore w:val="0"/>
              <w:kinsoku/>
              <w:wordWrap/>
              <w:overflowPunct w:val="0"/>
              <w:topLinePunct w:val="0"/>
              <w:bidi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w:t>
            </w:r>
            <w:r>
              <w:rPr>
                <w:rFonts w:hint="eastAsia"/>
                <w:color w:val="auto"/>
                <w:highlight w:val="none"/>
                <w:lang w:eastAsia="zh-CN"/>
              </w:rPr>
              <w:t>采购</w:t>
            </w:r>
            <w:r>
              <w:rPr>
                <w:rFonts w:hint="eastAsia" w:eastAsia="宋体"/>
                <w:color w:val="auto"/>
                <w:highlight w:val="none"/>
              </w:rPr>
              <w:t>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09DE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4C7937F">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34</w:t>
            </w:r>
          </w:p>
        </w:tc>
        <w:tc>
          <w:tcPr>
            <w:tcW w:w="2509" w:type="dxa"/>
            <w:tcBorders>
              <w:tl2br w:val="nil"/>
              <w:tr2bl w:val="nil"/>
            </w:tcBorders>
            <w:vAlign w:val="center"/>
          </w:tcPr>
          <w:p w14:paraId="37D66A4D">
            <w:pPr>
              <w:pStyle w:val="132"/>
              <w:keepNext w:val="0"/>
              <w:keepLines w:val="0"/>
              <w:pageBreakBefore w:val="0"/>
              <w:suppressLineNumbers w:val="0"/>
              <w:kinsoku/>
              <w:wordWrap/>
              <w:topLinePunct w:val="0"/>
              <w:bidi w:val="0"/>
              <w:spacing w:before="0" w:beforeAutospacing="0" w:after="0" w:afterAutospacing="0" w:line="480" w:lineRule="exact"/>
              <w:ind w:left="0" w:leftChars="0" w:right="0" w:rightChars="0"/>
              <w:jc w:val="center"/>
              <w:rPr>
                <w:rFonts w:hint="eastAsia"/>
                <w:color w:val="auto"/>
                <w:highlight w:val="none"/>
                <w:lang w:val="en-US" w:eastAsia="zh-CN"/>
              </w:rPr>
            </w:pPr>
            <w:r>
              <w:rPr>
                <w:rFonts w:hint="eastAsia" w:cs="Times New Roman"/>
                <w:color w:val="auto"/>
                <w:kern w:val="2"/>
                <w:highlight w:val="none"/>
                <w:lang w:val="en-US" w:eastAsia="zh-CN"/>
              </w:rPr>
              <w:t>其他说明</w:t>
            </w:r>
          </w:p>
        </w:tc>
        <w:tc>
          <w:tcPr>
            <w:tcW w:w="7604" w:type="dxa"/>
            <w:tcBorders>
              <w:tl2br w:val="nil"/>
              <w:tr2bl w:val="nil"/>
            </w:tcBorders>
            <w:vAlign w:val="center"/>
          </w:tcPr>
          <w:p w14:paraId="17DC0DE4">
            <w:pPr>
              <w:keepNext w:val="0"/>
              <w:keepLines w:val="0"/>
              <w:pageBreakBefore w:val="0"/>
              <w:widowControl/>
              <w:suppressLineNumbers w:val="0"/>
              <w:kinsoku/>
              <w:wordWrap/>
              <w:topLinePunct w:val="0"/>
              <w:bidi w:val="0"/>
              <w:spacing w:before="0" w:beforeAutospacing="0" w:after="0" w:afterAutospacing="0" w:line="480" w:lineRule="exact"/>
              <w:ind w:left="0" w:leftChars="0" w:right="0" w:rightChars="0"/>
              <w:rPr>
                <w:rFonts w:hint="eastAsia" w:eastAsia="宋体"/>
                <w:color w:val="auto"/>
                <w:highlight w:val="none"/>
              </w:rPr>
            </w:pPr>
            <w:r>
              <w:rPr>
                <w:rFonts w:hint="eastAsia"/>
                <w:color w:val="auto"/>
                <w:highlight w:val="none"/>
                <w:lang w:val="en-US" w:eastAsia="zh-CN"/>
              </w:rPr>
              <w:t>本项目兼投但不得兼中，“投标人在某一分包被确定为中标人后，自动丧失其他分包的中标资格，其后续分包投标文件不再进入评审。”</w:t>
            </w:r>
          </w:p>
        </w:tc>
      </w:tr>
      <w:tr w14:paraId="0149C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4D465AF">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35</w:t>
            </w:r>
          </w:p>
        </w:tc>
        <w:tc>
          <w:tcPr>
            <w:tcW w:w="2509" w:type="dxa"/>
            <w:tcBorders>
              <w:tl2br w:val="nil"/>
              <w:tr2bl w:val="nil"/>
            </w:tcBorders>
            <w:shd w:val="clear" w:color="auto" w:fill="auto"/>
            <w:vAlign w:val="center"/>
          </w:tcPr>
          <w:p w14:paraId="021507E3">
            <w:pPr>
              <w:keepNext w:val="0"/>
              <w:keepLines w:val="0"/>
              <w:pageBreakBefore w:val="0"/>
              <w:kinsoku/>
              <w:wordWrap/>
              <w:topLinePunct w:val="0"/>
              <w:bidi w:val="0"/>
              <w:spacing w:line="480" w:lineRule="exact"/>
              <w:jc w:val="center"/>
              <w:rPr>
                <w:rFonts w:hint="eastAsia" w:ascii="宋体" w:hAnsi="宋体" w:eastAsia="宋体" w:cs="宋体"/>
                <w:color w:val="auto"/>
                <w:sz w:val="24"/>
                <w:szCs w:val="24"/>
                <w:highlight w:val="none"/>
                <w:lang w:val="en-US" w:eastAsia="zh-CN" w:bidi="ar-SA"/>
              </w:rPr>
            </w:pPr>
            <w:r>
              <w:rPr>
                <w:rFonts w:hint="eastAsia"/>
                <w:color w:val="auto"/>
                <w:highlight w:val="none"/>
              </w:rPr>
              <w:t>政府采购政策支持</w:t>
            </w:r>
          </w:p>
        </w:tc>
        <w:tc>
          <w:tcPr>
            <w:tcW w:w="7604" w:type="dxa"/>
            <w:tcBorders>
              <w:tl2br w:val="nil"/>
              <w:tr2bl w:val="nil"/>
            </w:tcBorders>
            <w:shd w:val="clear" w:color="auto" w:fill="auto"/>
            <w:vAlign w:val="top"/>
          </w:tcPr>
          <w:p w14:paraId="26534C5D">
            <w:pPr>
              <w:keepNext w:val="0"/>
              <w:keepLines w:val="0"/>
              <w:pageBreakBefore w:val="0"/>
              <w:kinsoku/>
              <w:wordWrap/>
              <w:topLinePunct w:val="0"/>
              <w:bidi w:val="0"/>
              <w:spacing w:line="480" w:lineRule="exact"/>
              <w:rPr>
                <w:rFonts w:hint="eastAsia" w:ascii="宋体" w:hAnsi="宋体" w:eastAsia="宋体" w:cs="宋体"/>
                <w:color w:val="auto"/>
                <w:sz w:val="24"/>
                <w:szCs w:val="24"/>
                <w:highlight w:val="none"/>
                <w:lang w:val="en-US" w:eastAsia="zh-CN" w:bidi="ar-SA"/>
              </w:rPr>
            </w:pPr>
            <w:r>
              <w:rPr>
                <w:color w:val="auto"/>
                <w:highlight w:val="none"/>
              </w:rPr>
              <w:t>1</w:t>
            </w:r>
            <w:r>
              <w:rPr>
                <w:rFonts w:hint="eastAsia"/>
                <w:color w:val="auto"/>
                <w:highlight w:val="none"/>
              </w:rPr>
              <w:t>、本项目为非专门面向中小企业（含中型、小型、微型企业）采购项目。监狱企业、残疾人福利性单位视同为小微企业。本项目采购标的对应的中小企业划分标准所属行业为</w:t>
            </w:r>
            <w:r>
              <w:rPr>
                <w:rFonts w:hint="eastAsia"/>
                <w:b/>
                <w:bCs/>
                <w:color w:val="auto"/>
                <w:highlight w:val="none"/>
              </w:rPr>
              <w:t>软件和信息技术服务</w:t>
            </w:r>
            <w:r>
              <w:rPr>
                <w:rFonts w:hint="eastAsia"/>
                <w:color w:val="auto"/>
                <w:highlight w:val="none"/>
              </w:rPr>
              <w:t>。</w:t>
            </w:r>
          </w:p>
        </w:tc>
      </w:tr>
      <w:tr w14:paraId="3BE18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ABA74BD">
            <w:pPr>
              <w:keepNext w:val="0"/>
              <w:keepLines w:val="0"/>
              <w:pageBreakBefore w:val="0"/>
              <w:kinsoku/>
              <w:wordWrap/>
              <w:topLinePunct w:val="0"/>
              <w:bidi w:val="0"/>
              <w:spacing w:line="480" w:lineRule="exact"/>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36</w:t>
            </w:r>
          </w:p>
        </w:tc>
        <w:tc>
          <w:tcPr>
            <w:tcW w:w="2509" w:type="dxa"/>
            <w:tcBorders>
              <w:tl2br w:val="nil"/>
              <w:tr2bl w:val="nil"/>
            </w:tcBorders>
            <w:shd w:val="clear" w:color="auto" w:fill="auto"/>
            <w:vAlign w:val="center"/>
          </w:tcPr>
          <w:p w14:paraId="03A891D4">
            <w:pPr>
              <w:keepNext w:val="0"/>
              <w:keepLines w:val="0"/>
              <w:pageBreakBefore w:val="0"/>
              <w:kinsoku/>
              <w:wordWrap/>
              <w:topLinePunct w:val="0"/>
              <w:bidi w:val="0"/>
              <w:spacing w:line="480" w:lineRule="exact"/>
              <w:jc w:val="center"/>
              <w:rPr>
                <w:rFonts w:hint="default" w:eastAsia="宋体"/>
                <w:color w:val="auto"/>
                <w:highlight w:val="none"/>
                <w:lang w:val="en-US" w:eastAsia="zh-CN"/>
              </w:rPr>
            </w:pPr>
            <w:r>
              <w:rPr>
                <w:rFonts w:hint="eastAsia"/>
                <w:color w:val="auto"/>
                <w:highlight w:val="none"/>
                <w:lang w:val="en-US" w:eastAsia="zh-CN"/>
              </w:rPr>
              <w:t>项目演示</w:t>
            </w:r>
          </w:p>
        </w:tc>
        <w:tc>
          <w:tcPr>
            <w:tcW w:w="7604" w:type="dxa"/>
            <w:tcBorders>
              <w:tl2br w:val="nil"/>
              <w:tr2bl w:val="nil"/>
            </w:tcBorders>
            <w:shd w:val="clear" w:color="auto" w:fill="auto"/>
            <w:vAlign w:val="top"/>
          </w:tcPr>
          <w:p w14:paraId="5A236638">
            <w:pPr>
              <w:keepNext w:val="0"/>
              <w:keepLines w:val="0"/>
              <w:pageBreakBefore w:val="0"/>
              <w:kinsoku/>
              <w:wordWrap/>
              <w:topLinePunct w:val="0"/>
              <w:bidi w:val="0"/>
              <w:spacing w:line="48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演</w:t>
            </w:r>
            <w:r>
              <w:rPr>
                <w:rFonts w:hint="eastAsia" w:ascii="宋体" w:hAnsi="宋体" w:eastAsia="宋体" w:cs="宋体"/>
                <w:color w:val="auto"/>
                <w:highlight w:val="none"/>
              </w:rPr>
              <w:t>示时长：</w:t>
            </w:r>
            <w:r>
              <w:rPr>
                <w:rFonts w:hint="eastAsia" w:cs="宋体"/>
                <w:color w:val="auto"/>
                <w:highlight w:val="none"/>
                <w:lang w:val="en-US" w:eastAsia="zh-CN"/>
              </w:rPr>
              <w:t>15</w:t>
            </w:r>
            <w:r>
              <w:rPr>
                <w:rFonts w:hint="eastAsia" w:ascii="宋体" w:hAnsi="宋体" w:eastAsia="宋体" w:cs="宋体"/>
                <w:color w:val="auto"/>
                <w:highlight w:val="none"/>
                <w:lang w:val="en-US" w:eastAsia="zh-CN"/>
              </w:rPr>
              <w:t>分钟</w:t>
            </w:r>
            <w:r>
              <w:rPr>
                <w:rFonts w:hint="eastAsia" w:ascii="宋体" w:hAnsi="宋体" w:eastAsia="宋体" w:cs="宋体"/>
                <w:color w:val="auto"/>
                <w:highlight w:val="none"/>
              </w:rPr>
              <w:t xml:space="preserve">          </w:t>
            </w:r>
          </w:p>
          <w:p w14:paraId="042C9669">
            <w:pPr>
              <w:keepNext w:val="0"/>
              <w:keepLines w:val="0"/>
              <w:pageBreakBefore w:val="0"/>
              <w:kinsoku/>
              <w:wordWrap/>
              <w:topLinePunct w:val="0"/>
              <w:bidi w:val="0"/>
              <w:spacing w:line="4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演示要求： </w:t>
            </w:r>
            <w:r>
              <w:rPr>
                <w:rFonts w:hint="eastAsia" w:ascii="宋体" w:hAnsi="宋体" w:eastAsia="宋体" w:cs="宋体"/>
                <w:color w:val="auto"/>
                <w:highlight w:val="none"/>
                <w:lang w:val="en-US" w:eastAsia="zh-CN"/>
              </w:rPr>
              <w:t>1.由评委从采购需求附件一《中小学幼儿园教师培训课程》及附件二《所学非所教及学历课程》“课程清单”中，各随机抽取课程4门，共8门课程进行演示。每一类课程质量清晰、声音清晰、课程质量好。</w:t>
            </w:r>
          </w:p>
          <w:p w14:paraId="3CB364DF">
            <w:pPr>
              <w:keepNext w:val="0"/>
              <w:keepLines w:val="0"/>
              <w:pageBreakBefore w:val="0"/>
              <w:kinsoku/>
              <w:wordWrap/>
              <w:topLinePunct w:val="0"/>
              <w:bidi w:val="0"/>
              <w:spacing w:line="480" w:lineRule="exact"/>
              <w:rPr>
                <w:color w:val="auto"/>
                <w:highlight w:val="none"/>
              </w:rPr>
            </w:pPr>
            <w:r>
              <w:rPr>
                <w:rFonts w:hint="eastAsia" w:ascii="宋体" w:hAnsi="宋体" w:eastAsia="宋体" w:cs="宋体"/>
                <w:color w:val="auto"/>
                <w:highlight w:val="none"/>
                <w:lang w:val="en-US" w:eastAsia="zh-CN"/>
              </w:rPr>
              <w:t>2.投标人须使用所开发的真实系统进行演示，使用原型、PPT、视频等替代演示不得分。演示功能由评委根据“系统具体功能要求”清单，随机从带“▲”条款中抽取5项系统功能点，每有一项功能不完全满足扣4分，扣完为止。</w:t>
            </w:r>
          </w:p>
        </w:tc>
      </w:tr>
      <w:tr w14:paraId="5ED29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C770CF1">
            <w:pPr>
              <w:keepNext w:val="0"/>
              <w:keepLines w:val="0"/>
              <w:pageBreakBefore w:val="0"/>
              <w:kinsoku/>
              <w:wordWrap/>
              <w:overflowPunct w:val="0"/>
              <w:topLinePunct w:val="0"/>
              <w:bidi w:val="0"/>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w:t>
            </w:r>
          </w:p>
        </w:tc>
        <w:tc>
          <w:tcPr>
            <w:tcW w:w="10113" w:type="dxa"/>
            <w:gridSpan w:val="2"/>
            <w:tcBorders>
              <w:tl2br w:val="nil"/>
              <w:tr2bl w:val="nil"/>
            </w:tcBorders>
            <w:vAlign w:val="center"/>
          </w:tcPr>
          <w:p w14:paraId="2D423130">
            <w:pPr>
              <w:keepNext w:val="0"/>
              <w:keepLines w:val="0"/>
              <w:pageBreakBefore w:val="0"/>
              <w:kinsoku/>
              <w:wordWrap/>
              <w:topLinePunct w:val="0"/>
              <w:bidi w:val="0"/>
              <w:spacing w:line="480" w:lineRule="exact"/>
              <w:ind w:firstLine="470" w:firstLineChars="196"/>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1、为保证本项目服务质量，良好的售后服务；最低报价不作为中标的唯一依据。</w:t>
            </w:r>
          </w:p>
          <w:p w14:paraId="0A538083">
            <w:pPr>
              <w:keepNext w:val="0"/>
              <w:keepLines w:val="0"/>
              <w:pageBreakBefore w:val="0"/>
              <w:kinsoku/>
              <w:wordWrap/>
              <w:topLinePunct w:val="0"/>
              <w:bidi w:val="0"/>
              <w:spacing w:line="480" w:lineRule="exact"/>
              <w:ind w:firstLine="470" w:firstLineChars="196"/>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2</w:t>
            </w:r>
            <w:r>
              <w:rPr>
                <w:rFonts w:hint="eastAsia" w:asciiTheme="minorEastAsia" w:hAnsiTheme="minorEastAsia" w:eastAsiaTheme="minorEastAsia" w:cstheme="minorEastAsia"/>
                <w:b w:val="0"/>
                <w:bCs/>
                <w:color w:val="auto"/>
                <w:highlight w:val="none"/>
              </w:rPr>
              <w:t>、</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文件中部分加“*”、“★”、加粗、加下划线、废标、无效标、投标被拒绝字样的条款，为</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的实质性要求和条件，着重提醒各投标人注意，并认真查看</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文件中的每一个条款及要求，因误读</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文件而造成的后果，</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人概不负责。</w:t>
            </w:r>
          </w:p>
          <w:p w14:paraId="6FDA2E64">
            <w:pPr>
              <w:keepNext w:val="0"/>
              <w:keepLines w:val="0"/>
              <w:pageBreakBefore w:val="0"/>
              <w:kinsoku/>
              <w:wordWrap/>
              <w:topLinePunct w:val="0"/>
              <w:bidi w:val="0"/>
              <w:spacing w:line="480" w:lineRule="exact"/>
              <w:ind w:firstLine="470" w:firstLineChars="196"/>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val="0"/>
                <w:bCs/>
                <w:color w:val="auto"/>
                <w:highlight w:val="none"/>
                <w:lang w:val="en-US" w:eastAsia="zh-CN"/>
              </w:rPr>
              <w:t>3</w:t>
            </w:r>
            <w:r>
              <w:rPr>
                <w:rFonts w:hint="eastAsia" w:asciiTheme="minorEastAsia" w:hAnsiTheme="minorEastAsia" w:eastAsiaTheme="minorEastAsia" w:cstheme="minorEastAsia"/>
                <w:b w:val="0"/>
                <w:bCs/>
                <w:color w:val="auto"/>
                <w:highlight w:val="none"/>
              </w:rPr>
              <w:t>、投标文件中有弄虚作假的内容，其投标文件作废。（如假证书、假业绩、隐瞒不良行为记录、夸大荣誉、使用非本单位在职员工的相关证件及不符合</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文件规定的条款等）；在签订合同之前，投标人如发现投标人的投标文件有弄虚作假内容，</w:t>
            </w:r>
            <w:r>
              <w:rPr>
                <w:rFonts w:hint="eastAsia" w:asciiTheme="minorEastAsia" w:hAnsiTheme="minorEastAsia" w:eastAsiaTheme="minorEastAsia" w:cstheme="minorEastAsia"/>
                <w:b w:val="0"/>
                <w:bCs/>
                <w:color w:val="auto"/>
                <w:highlight w:val="none"/>
                <w:lang w:eastAsia="zh-CN"/>
              </w:rPr>
              <w:t>采购</w:t>
            </w:r>
            <w:r>
              <w:rPr>
                <w:rFonts w:hint="eastAsia" w:asciiTheme="minorEastAsia" w:hAnsiTheme="minorEastAsia" w:eastAsiaTheme="minorEastAsia" w:cstheme="minorEastAsia"/>
                <w:b w:val="0"/>
                <w:bCs/>
                <w:color w:val="auto"/>
                <w:highlight w:val="none"/>
              </w:rPr>
              <w:t>人可拒绝与其签订合同，并将其列入政府采购黑名单库。</w:t>
            </w:r>
          </w:p>
        </w:tc>
      </w:tr>
    </w:tbl>
    <w:p w14:paraId="7BDD15D4">
      <w:pPr>
        <w:pStyle w:val="112"/>
        <w:spacing w:line="440" w:lineRule="exact"/>
        <w:outlineLvl w:val="0"/>
        <w:rPr>
          <w:rFonts w:hint="eastAsia" w:asciiTheme="minorEastAsia" w:hAnsiTheme="minorEastAsia" w:eastAsiaTheme="minorEastAsia" w:cstheme="minorEastAsia"/>
          <w:b/>
          <w:color w:val="auto"/>
          <w:kern w:val="2"/>
          <w:sz w:val="36"/>
          <w:szCs w:val="20"/>
          <w:highlight w:val="none"/>
        </w:rPr>
      </w:pPr>
    </w:p>
    <w:p w14:paraId="6B3468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bookmarkStart w:id="3" w:name="_Toc80724649"/>
      <w:r>
        <w:rPr>
          <w:rFonts w:hint="eastAsia" w:asciiTheme="minorEastAsia" w:hAnsiTheme="minorEastAsia" w:eastAsiaTheme="minorEastAsia" w:cstheme="minorEastAsia"/>
          <w:b/>
          <w:color w:val="auto"/>
          <w:kern w:val="2"/>
          <w:sz w:val="36"/>
          <w:szCs w:val="20"/>
          <w:highlight w:val="none"/>
        </w:rPr>
        <w:br w:type="page"/>
      </w:r>
      <w:bookmarkEnd w:id="3"/>
      <w:r>
        <w:rPr>
          <w:rFonts w:hint="eastAsia" w:ascii="宋体" w:hAnsi="宋体" w:eastAsia="宋体" w:cs="宋体"/>
          <w:b/>
          <w:bCs/>
          <w:color w:val="auto"/>
          <w:sz w:val="28"/>
          <w:szCs w:val="28"/>
          <w:highlight w:val="none"/>
        </w:rPr>
        <w:t>投标人须知</w:t>
      </w:r>
    </w:p>
    <w:p w14:paraId="378DBA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481EA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采购人、采购代理机构、投标人、联合体</w:t>
      </w:r>
    </w:p>
    <w:p w14:paraId="48E914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采购人、采购代理机构：指依法进行政府采购的国家机关、事业单位、团体组织，及其委托的采购代理机构。本项目采购人、采购代理机构见第一章《投标邀请》。</w:t>
      </w:r>
    </w:p>
    <w:p w14:paraId="7DD54A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投标人（也称“</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”、“申请人”）：指向采购人提供货物、工程或者服务的法人、其他组织或者自然人。</w:t>
      </w:r>
    </w:p>
    <w:p w14:paraId="60849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的身份共同参加政府采购。</w:t>
      </w:r>
    </w:p>
    <w:p w14:paraId="1F6690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资金来源、项目属性、科研仪器设备采购、核心产品</w:t>
      </w:r>
    </w:p>
    <w:p w14:paraId="7F34F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61CA0F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0010C1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713401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核心产品见《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02A0C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现场考察、开标前答疑会</w:t>
      </w:r>
    </w:p>
    <w:p w14:paraId="51BCC9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》中规定了组织现场考察、召开开标前答疑会，则投标人应按要求在规定的时间和地点参加。</w:t>
      </w:r>
    </w:p>
    <w:p w14:paraId="106004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0850F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样品</w:t>
      </w:r>
    </w:p>
    <w:p w14:paraId="1C5DC2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本项目是否要求投标人提供样品，以及样品制作的标准和要求、是否需要随样品提交相关检测报告、样品的递交与退还等要求见《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44E28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样品的评审方法以及评审标准等内容见第四章《评标程序、评标方法和评标标准》。</w:t>
      </w:r>
    </w:p>
    <w:p w14:paraId="213984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531BB9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151F15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1D2BE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B9555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AFAFD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34A869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1C8ADD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6C88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5.2.1.2</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提供的货物、工程或者服务符合下列情形的，享受中小企业扶持政策：</w:t>
      </w:r>
    </w:p>
    <w:p w14:paraId="1BC33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620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478CB9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353359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提供的货物既有中小企业制造货物，也有大型企业制造货物的，不享受中小企业扶持政策。</w:t>
      </w:r>
    </w:p>
    <w:p w14:paraId="446AA7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CDA5D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CC61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C1013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57BB76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2CDCE4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7C22C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47AB4A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7E9CAA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AAE2B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本项目是否专门面向中小企业预留采购份额见第一章《投标邀请》。</w:t>
      </w:r>
    </w:p>
    <w:p w14:paraId="725E96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1AF4B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小微企业价格评审优惠的政策调整：见第四章《评标程序、评标方法和评标标准》。</w:t>
      </w:r>
    </w:p>
    <w:p w14:paraId="02BD9B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27095C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8192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DB7CB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如本项目采购产品属于实施政府强制采购品目清单范围的节能产品，则投标人所报产品必须获得国家确定的认证机构出具的、处于有效期之内的节能产品认证证书，否则投标无效；</w:t>
      </w:r>
    </w:p>
    <w:p w14:paraId="12092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非政府强制采购的节能产品或环境标志产品，依据品目清单和认证证书实施政府优先采购。优先采购的具体规定见第四章《评标程序、评标方法和评标标准》（如涉及）。</w:t>
      </w:r>
    </w:p>
    <w:p w14:paraId="48A8A4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投标费用</w:t>
      </w:r>
    </w:p>
    <w:p w14:paraId="16498B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投标人应自行承担所有与准备和参加投标有关的费用，无论投标的结果如何，</w:t>
      </w:r>
    </w:p>
    <w:p w14:paraId="41F067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0537AE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w:t>
      </w:r>
    </w:p>
    <w:p w14:paraId="193E61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招标文件构成</w:t>
      </w:r>
    </w:p>
    <w:p w14:paraId="65550A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招标文件包括以下部分：</w:t>
      </w:r>
    </w:p>
    <w:p w14:paraId="2D381B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投标邀请</w:t>
      </w:r>
    </w:p>
    <w:p w14:paraId="6981C4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p>
    <w:p w14:paraId="704927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w:t>
      </w:r>
    </w:p>
    <w:p w14:paraId="1CB35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评标程序、评标方法和评标标准</w:t>
      </w:r>
    </w:p>
    <w:p w14:paraId="7B8437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1AABE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拟签订的合同文本</w:t>
      </w:r>
    </w:p>
    <w:p w14:paraId="4E0C47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p>
    <w:p w14:paraId="35DE0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投标人应认真阅读招标文件的全部内容。投标人应按照招标文件要求提交投标文件并保证所提供的全部资料的真实性，并对招标文件做出实质性响应，否则投标无效。</w:t>
      </w:r>
    </w:p>
    <w:p w14:paraId="12DC18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对招标文件的澄清或修改</w:t>
      </w:r>
    </w:p>
    <w:p w14:paraId="772925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采购人或采购代理机构对已发出的招标文件进行必要澄清或者修改的，将在原公告发布媒体上发布更正公告，并以书面形式通知所有获取招标文件的潜在投标人。</w:t>
      </w:r>
    </w:p>
    <w:p w14:paraId="026C19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上述书面通知，按照获取招标文件的潜在投标人提供的联系方式发出，因提供的信息有误导致通知延迟或无法通知的，采购人或采购代理机构不承担责任。</w:t>
      </w:r>
    </w:p>
    <w:p w14:paraId="2F97CE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D3AE8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投标文件的编制</w:t>
      </w:r>
    </w:p>
    <w:p w14:paraId="6C7C00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投标范围、投标文件中计量单位的使用及投标语言</w:t>
      </w:r>
    </w:p>
    <w:p w14:paraId="3E9E12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324A8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除招标文件有特殊要求外，本项目投标所使用的计量单位，应采用中华人民共和国法定计量单位。</w:t>
      </w:r>
    </w:p>
    <w:p w14:paraId="5F513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FA326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投标文件构成</w:t>
      </w:r>
    </w:p>
    <w:p w14:paraId="00547F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投标人应当按照招标文件的要求编制投标文件。投标文件应由《资格证明文件》、《商务技术文件》两部分构成。投标文件的部分格式要求，见第七章《投标文件格式》。</w:t>
      </w:r>
    </w:p>
    <w:p w14:paraId="3BB764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8BE20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第四章《评标程序、评标方法和评标标准》中涉及的证明文件。</w:t>
      </w:r>
    </w:p>
    <w:p w14:paraId="4232F7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4776D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投标人认为应附的其他材料。</w:t>
      </w:r>
    </w:p>
    <w:p w14:paraId="485FDD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w:t>
      </w:r>
    </w:p>
    <w:p w14:paraId="4D37E6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所有投标均以人民币报价。</w:t>
      </w:r>
    </w:p>
    <w:p w14:paraId="6FDBFD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》中有特殊规定的，从其规定。</w:t>
      </w:r>
    </w:p>
    <w:p w14:paraId="388AEC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0BB50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按照招标文件要求完成本项目的全部相关费用。</w:t>
      </w:r>
    </w:p>
    <w:p w14:paraId="2E174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索要或者接受其给予的赠品、回扣或者与采购无关的其他商品、服务。</w:t>
      </w:r>
    </w:p>
    <w:p w14:paraId="124C08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投标人不能提供任何有选择性或可调整的报价（招标文件另有规定的除外），否则其投标无效。</w:t>
      </w:r>
    </w:p>
    <w:p w14:paraId="173E6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w:t>
      </w:r>
    </w:p>
    <w:p w14:paraId="5B0F2F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投标人应按《</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》中规定的金额及要求交纳投标保证金。</w:t>
      </w:r>
    </w:p>
    <w:p w14:paraId="6A82AF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交纳投标保证金可采用的形式：政府采购法律法规接受的支票、汇票、本票、网上银行支付或者金融机构、担保机构出具的保函等非现金形式。</w:t>
      </w:r>
    </w:p>
    <w:p w14:paraId="1088C7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sectPr>
          <w:headerReference r:id="rId6" w:type="default"/>
          <w:footerReference r:id="rId7" w:type="default"/>
          <w:pgSz w:w="11907" w:h="16840"/>
          <w:pgMar w:top="1440" w:right="1800" w:bottom="1440" w:left="1800" w:header="830" w:footer="886"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52BFF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投标保证金有效期同投标有效期。</w:t>
      </w:r>
    </w:p>
    <w:p w14:paraId="2F234A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投标人为联合体的，可以由联合体中的一方或者多方共同交纳投标保证金，其交纳的投标保证金对联合体各方均具有约束力。</w:t>
      </w:r>
    </w:p>
    <w:p w14:paraId="6221C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F9D5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投标人在投标截止时间前撤回已提交的投标文件的，自收到投标人书面撤回通知之日起5个工作日内退还已收取的投标保证金；</w:t>
      </w:r>
    </w:p>
    <w:p w14:paraId="665F2C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中标人的投标保证金，自采购合同签订之日起5个工作日内退还中标人；</w:t>
      </w:r>
    </w:p>
    <w:p w14:paraId="2C0AD5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未中标投标人的投标保证金，自中标通知书发出之日起5个工作日内退还未中标人；</w:t>
      </w:r>
    </w:p>
    <w:p w14:paraId="362C6E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终止招标项目已经收取投标保证金的，自终止采购活动后5个工作日内退还已收取的投标保证金及其在银行产生的孳息。</w:t>
      </w:r>
    </w:p>
    <w:p w14:paraId="5A6079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有下列情形之一的，采购人或采购代理机构可以不予退还投标保证金：</w:t>
      </w:r>
    </w:p>
    <w:p w14:paraId="1FB7C1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投标有效期内投标人撤销投标文件的；</w:t>
      </w:r>
    </w:p>
    <w:p w14:paraId="3B98A0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》中规定的其他情形。</w:t>
      </w:r>
    </w:p>
    <w:p w14:paraId="2FC3A1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投标有效期</w:t>
      </w:r>
    </w:p>
    <w:p w14:paraId="7D279C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投标文件应在本招标文件《</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》中规定的投标有效期内保持有效，投标有效期少于招标文件规定期限的，其投标无效。</w:t>
      </w:r>
    </w:p>
    <w:p w14:paraId="5CAD7A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投标文件的签署、盖章</w:t>
      </w:r>
    </w:p>
    <w:p w14:paraId="400A6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C7074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招标文件要求盖章的内容，一般通过投标文件编制工具加盖电子签章。</w:t>
      </w:r>
    </w:p>
    <w:p w14:paraId="49E9EF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投标文件的提交</w:t>
      </w:r>
      <w:r>
        <w:rPr>
          <w:rFonts w:hint="eastAsia" w:ascii="宋体" w:hAnsi="宋体" w:eastAsia="宋体" w:cs="宋体"/>
          <w:color w:val="auto"/>
          <w:sz w:val="24"/>
          <w:szCs w:val="24"/>
          <w:highlight w:val="none"/>
          <w:lang w:val="en-US" w:eastAsia="zh-CN"/>
        </w:rPr>
        <w:t>2424</w:t>
      </w:r>
    </w:p>
    <w:p w14:paraId="4C043C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投标文件的提交</w:t>
      </w:r>
    </w:p>
    <w:p w14:paraId="07E138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政府采购电子交易平台。投标人根据招标文件及电子交易平台</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操作手册要求编制、生成并提交电子投标文件。</w:t>
      </w:r>
    </w:p>
    <w:p w14:paraId="096291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采购人及采购代理机构拒绝接受通过电子交易平台以外任何形式提交的投标文件，投标保证金除外。</w:t>
      </w:r>
    </w:p>
    <w:p w14:paraId="4A517D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投标截止时间</w:t>
      </w:r>
    </w:p>
    <w:p w14:paraId="0F4EC2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投标人应在招标文件要求提交投标文件截止时间前，将电子投标文件提交至电子交易平台。</w:t>
      </w:r>
    </w:p>
    <w:p w14:paraId="115C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投标文件的修改与撤回</w:t>
      </w:r>
    </w:p>
    <w:p w14:paraId="69DB67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8F5B5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投标人对投标文件的补充、修改的内容应当按照招标文件要求签署、盖章，作为投标文件的组成部分。</w:t>
      </w:r>
    </w:p>
    <w:p w14:paraId="5B6A85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开标、资格审查及评标</w:t>
      </w:r>
    </w:p>
    <w:p w14:paraId="78FC45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p>
    <w:p w14:paraId="5BA57E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采购人或采购代理机构将按招标文件的规定，在投标截止时间的同一时间和招标文件预先确定的地点组织开标。</w:t>
      </w:r>
    </w:p>
    <w:p w14:paraId="25992E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本项目开标使用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政府采购电子交易平台。投标人应在规定的时间内对投标文件进行解密，因非系统原因导致的解密失败，视为投标无效。</w:t>
      </w:r>
    </w:p>
    <w:p w14:paraId="4C43F0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71D77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6D66C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投标人不足3家的，不予开标。</w:t>
      </w:r>
    </w:p>
    <w:p w14:paraId="05AEF0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w:t>
      </w:r>
    </w:p>
    <w:p w14:paraId="7C4D2A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见第三章《资格审查》。</w:t>
      </w:r>
    </w:p>
    <w:p w14:paraId="78616B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0802AA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评标委员会根据政府采购有关规定和本次采购项目的特点进行组建，并负责具体评标事务，独立履行职责。</w:t>
      </w:r>
    </w:p>
    <w:p w14:paraId="00D53A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48986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评标程序、评标方法和评标标准</w:t>
      </w:r>
    </w:p>
    <w:p w14:paraId="50A1FD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见第四章《评标程序、评标方法和评标标准》。</w:t>
      </w:r>
    </w:p>
    <w:p w14:paraId="49DC18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确定中标</w:t>
      </w:r>
    </w:p>
    <w:p w14:paraId="4375EE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确定中标人</w:t>
      </w:r>
    </w:p>
    <w:p w14:paraId="39B6B8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》。中标候选人并列的，按照《</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》要求确定中标人。</w:t>
      </w:r>
    </w:p>
    <w:p w14:paraId="2A88A7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中标公告与中标通知书</w:t>
      </w:r>
    </w:p>
    <w:p w14:paraId="2FE425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采购人或采购代理机构自中标人确定之日起2个工作日内，在</w:t>
      </w:r>
      <w:r>
        <w:rPr>
          <w:rFonts w:hint="eastAsia" w:cs="宋体"/>
          <w:color w:val="auto"/>
          <w:sz w:val="24"/>
          <w:szCs w:val="24"/>
          <w:highlight w:val="none"/>
          <w:lang w:eastAsia="zh-CN"/>
        </w:rPr>
        <w:t>新疆</w:t>
      </w:r>
      <w:r>
        <w:rPr>
          <w:rFonts w:hint="eastAsia" w:ascii="宋体" w:hAnsi="宋体" w:eastAsia="宋体" w:cs="宋体"/>
          <w:color w:val="auto"/>
          <w:sz w:val="24"/>
          <w:szCs w:val="24"/>
          <w:highlight w:val="none"/>
        </w:rPr>
        <w:t>政府采购网公告中标结果，同时向中标人发出中标通知书，中标公告期限为1个工作日。</w:t>
      </w:r>
    </w:p>
    <w:p w14:paraId="6E32D1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中标通知书对采购人和中标</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均具有法律效力。中标通知书发出后，采购人改变中标结果的，或者中标</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放弃中标项目的，应当依法承担法律责任。</w:t>
      </w:r>
    </w:p>
    <w:p w14:paraId="2EEFAB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废标</w:t>
      </w:r>
    </w:p>
    <w:p w14:paraId="01E96E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在招标采购中，出现下列情形之一的，应予废标：</w:t>
      </w:r>
    </w:p>
    <w:p w14:paraId="1B7880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符合专业条件的</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或者对招标文件作实质响应的</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不足三家的；</w:t>
      </w:r>
    </w:p>
    <w:p w14:paraId="75DD9B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1E2B3A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投标人的报价均超过了采购预算，采购人不能支付的；</w:t>
      </w:r>
    </w:p>
    <w:p w14:paraId="60B64F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因重大变故，采购任务取消的。</w:t>
      </w:r>
    </w:p>
    <w:p w14:paraId="7E4720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废标后，采购人将废标理由书面通知所有投标人。</w:t>
      </w:r>
    </w:p>
    <w:p w14:paraId="2231ED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57743E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409129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中标人拒绝与采购人签订合同的，采购人可以按照评标报告推荐的中标候选人名单排序，确定下一候选人为中标人，也可以重新开展政府采购活动。</w:t>
      </w:r>
    </w:p>
    <w:p w14:paraId="238188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联合体中标的，联合体各方应当共同与采购人签订合同，就采购合同约定的事项向采购人承担连带责任。</w:t>
      </w:r>
    </w:p>
    <w:p w14:paraId="213C4B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31A5B4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采购人允许采用分包方式履行合同的，中标人可以依法在中标后将中标项目的非主体、非关键性工作采取分包方式履行合同。本项目的非主体、非关键性工作是否允许分包，见《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》。政府采购合同分包履行的，应当在投标文件中载明分包承担主体，分包承担主体应当具备相应资质条件且不得再次分包，否则投标无效。中标人就采购项目和分包项目向采购人负责，分包</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就分包项目承担责任。</w:t>
      </w:r>
    </w:p>
    <w:p w14:paraId="6520D8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43407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07A38B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投标人对政府采购活动事项有疑问的，可依法提出询问，并按《</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》载明的形式送达采购人或采购代理机构。</w:t>
      </w:r>
    </w:p>
    <w:p w14:paraId="748516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依法提出的询问，在3个工作日内作出答复，但答复的内容不得涉及商业秘密。</w:t>
      </w:r>
    </w:p>
    <w:p w14:paraId="63958D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7CE59F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9B64D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53081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D55F1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投标人应在法定质疑期内一次性提出针对同一采购程序环节的质疑，法定质疑期内针对同一采购程序环节再次提出的质疑，采购人、采购代理机构有权不予答复。</w:t>
      </w:r>
    </w:p>
    <w:p w14:paraId="6359E6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B57A0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6F7154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》。由中标人支付的，中标人须一次性向采购代理机构缴纳代理费，投标报价应包含代理费用。</w:t>
      </w:r>
    </w:p>
    <w:p w14:paraId="771B1E45">
      <w:pP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br w:type="page"/>
      </w:r>
    </w:p>
    <w:p w14:paraId="7296BC4D">
      <w:pPr>
        <w:pStyle w:val="16"/>
        <w:numPr>
          <w:ilvl w:val="0"/>
          <w:numId w:val="8"/>
        </w:numPr>
        <w:spacing w:before="305" w:line="219" w:lineRule="auto"/>
        <w:jc w:val="center"/>
        <w:outlineLvl w:val="0"/>
        <w:rPr>
          <w:b/>
          <w:bCs/>
          <w:color w:val="auto"/>
          <w:spacing w:val="-9"/>
          <w:sz w:val="32"/>
          <w:szCs w:val="32"/>
          <w:highlight w:val="none"/>
        </w:rPr>
      </w:pPr>
      <w:r>
        <w:rPr>
          <w:color w:val="auto"/>
          <w:spacing w:val="9"/>
          <w:sz w:val="32"/>
          <w:szCs w:val="32"/>
          <w:highlight w:val="none"/>
        </w:rPr>
        <w:t xml:space="preserve">  </w:t>
      </w:r>
      <w:r>
        <w:rPr>
          <w:b/>
          <w:bCs/>
          <w:color w:val="auto"/>
          <w:spacing w:val="-9"/>
          <w:sz w:val="32"/>
          <w:szCs w:val="32"/>
          <w:highlight w:val="none"/>
        </w:rPr>
        <w:t>资格审查</w:t>
      </w:r>
    </w:p>
    <w:p w14:paraId="71E25A4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一、资格审查程序</w:t>
      </w:r>
    </w:p>
    <w:p w14:paraId="55790F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开标结束后，采购人或采购代理机构将根据《资格审查要求》中的规定，对投标人进行资格审查，并形成资格审查结果。</w:t>
      </w:r>
    </w:p>
    <w:p w14:paraId="04D9DB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《资格审查要求》中对格式有要求的，除招标文件另有规定外，均为“实质性格式”文件。</w:t>
      </w:r>
    </w:p>
    <w:p w14:paraId="7560E0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投标人《资格证明文件》有任何一项不符合《资格审查要求》的，资格审查不合格，其投标无效。</w:t>
      </w:r>
    </w:p>
    <w:p w14:paraId="6CA682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资格审查合格的投标人不足3家的，不进行评标。</w:t>
      </w:r>
    </w:p>
    <w:p w14:paraId="10F97FC1">
      <w:pPr>
        <w:pStyle w:val="20"/>
        <w:numPr>
          <w:ilvl w:val="0"/>
          <w:numId w:val="0"/>
        </w:numPr>
        <w:spacing w:line="360" w:lineRule="auto"/>
        <w:ind w:leftChars="0"/>
        <w:jc w:val="both"/>
        <w:rPr>
          <w:rFonts w:hint="eastAsia" w:asciiTheme="minorEastAsia" w:hAnsiTheme="minorEastAsia" w:eastAsiaTheme="minorEastAsia" w:cstheme="minorEastAsia"/>
          <w:b/>
          <w:bCs/>
          <w:color w:val="auto"/>
          <w:spacing w:val="-2"/>
          <w:sz w:val="24"/>
          <w:szCs w:val="24"/>
          <w:highlight w:val="none"/>
          <w:lang w:val="en-US" w:eastAsia="zh-CN"/>
        </w:rPr>
      </w:pPr>
    </w:p>
    <w:p w14:paraId="7292B117">
      <w:pPr>
        <w:pStyle w:val="20"/>
        <w:numPr>
          <w:ilvl w:val="0"/>
          <w:numId w:val="0"/>
        </w:numPr>
        <w:spacing w:line="360" w:lineRule="auto"/>
        <w:ind w:leftChars="0"/>
        <w:jc w:val="left"/>
        <w:rPr>
          <w:rFonts w:hint="eastAsia" w:asciiTheme="minorEastAsia" w:hAnsiTheme="minorEastAsia" w:eastAsiaTheme="minorEastAsia" w:cstheme="minorEastAsia"/>
          <w:b/>
          <w:bCs/>
          <w:color w:val="auto"/>
          <w:spacing w:val="-2"/>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二、</w:t>
      </w:r>
      <w:r>
        <w:rPr>
          <w:rFonts w:hint="eastAsia" w:asciiTheme="minorEastAsia" w:hAnsiTheme="minorEastAsia" w:eastAsiaTheme="minorEastAsia" w:cstheme="minorEastAsia"/>
          <w:b/>
          <w:bCs/>
          <w:color w:val="auto"/>
          <w:spacing w:val="-2"/>
          <w:sz w:val="24"/>
          <w:szCs w:val="24"/>
          <w:highlight w:val="none"/>
        </w:rPr>
        <w:t>资格审查要求</w:t>
      </w:r>
    </w:p>
    <w:tbl>
      <w:tblPr>
        <w:tblStyle w:val="40"/>
        <w:tblW w:w="10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28"/>
        <w:gridCol w:w="5221"/>
        <w:gridCol w:w="589"/>
        <w:gridCol w:w="589"/>
        <w:gridCol w:w="529"/>
      </w:tblGrid>
      <w:tr w14:paraId="69B57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vAlign w:val="center"/>
          </w:tcPr>
          <w:p w14:paraId="233B3FAD">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21" w:type="dxa"/>
            <w:vMerge w:val="restart"/>
            <w:tcBorders>
              <w:tl2br w:val="nil"/>
              <w:tr2bl w:val="nil"/>
            </w:tcBorders>
            <w:vAlign w:val="center"/>
          </w:tcPr>
          <w:p w14:paraId="235ECF5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07" w:type="dxa"/>
            <w:gridSpan w:val="3"/>
            <w:tcBorders>
              <w:tl2br w:val="nil"/>
              <w:tr2bl w:val="nil"/>
            </w:tcBorders>
            <w:vAlign w:val="center"/>
          </w:tcPr>
          <w:p w14:paraId="48220196">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投标企业名称</w:t>
            </w:r>
          </w:p>
        </w:tc>
      </w:tr>
      <w:tr w14:paraId="3FAE2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vAlign w:val="center"/>
          </w:tcPr>
          <w:p w14:paraId="2D46BB1C">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221" w:type="dxa"/>
            <w:vMerge w:val="continue"/>
            <w:tcBorders>
              <w:tl2br w:val="nil"/>
              <w:tr2bl w:val="nil"/>
            </w:tcBorders>
            <w:vAlign w:val="center"/>
          </w:tcPr>
          <w:p w14:paraId="28D29CD0">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0257A3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589" w:type="dxa"/>
            <w:tcBorders>
              <w:tl2br w:val="nil"/>
              <w:tr2bl w:val="nil"/>
            </w:tcBorders>
            <w:vAlign w:val="center"/>
          </w:tcPr>
          <w:p w14:paraId="1968723A">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9" w:type="dxa"/>
            <w:tcBorders>
              <w:tl2br w:val="nil"/>
              <w:tr2bl w:val="nil"/>
            </w:tcBorders>
            <w:vAlign w:val="center"/>
          </w:tcPr>
          <w:p w14:paraId="0481E0FF">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388E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B207F48">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628" w:type="dxa"/>
            <w:tcBorders>
              <w:tl2br w:val="nil"/>
              <w:tr2bl w:val="nil"/>
            </w:tcBorders>
            <w:vAlign w:val="center"/>
          </w:tcPr>
          <w:p w14:paraId="35DD724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21" w:type="dxa"/>
            <w:tcBorders>
              <w:tl2br w:val="nil"/>
              <w:tr2bl w:val="nil"/>
            </w:tcBorders>
            <w:vAlign w:val="center"/>
          </w:tcPr>
          <w:p w14:paraId="50588B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法人或者其他组织的营业执照等证明文件；</w:t>
            </w:r>
          </w:p>
        </w:tc>
        <w:tc>
          <w:tcPr>
            <w:tcW w:w="589" w:type="dxa"/>
            <w:tcBorders>
              <w:tl2br w:val="nil"/>
              <w:tr2bl w:val="nil"/>
            </w:tcBorders>
            <w:vAlign w:val="center"/>
          </w:tcPr>
          <w:p w14:paraId="61072D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62B9A200">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14E47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7D3DC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7AEBD177">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628" w:type="dxa"/>
            <w:tcBorders>
              <w:tl2br w:val="nil"/>
              <w:tr2bl w:val="nil"/>
            </w:tcBorders>
            <w:vAlign w:val="center"/>
          </w:tcPr>
          <w:p w14:paraId="62569942">
            <w:pPr>
              <w:widowControl w:val="0"/>
              <w:spacing w:line="520" w:lineRule="exact"/>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投标人代表身份证明</w:t>
            </w:r>
          </w:p>
        </w:tc>
        <w:tc>
          <w:tcPr>
            <w:tcW w:w="5221" w:type="dxa"/>
            <w:tcBorders>
              <w:tl2br w:val="nil"/>
              <w:tr2bl w:val="nil"/>
            </w:tcBorders>
            <w:vAlign w:val="center"/>
          </w:tcPr>
          <w:p w14:paraId="65A3F2F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589" w:type="dxa"/>
            <w:tcBorders>
              <w:tl2br w:val="nil"/>
              <w:tr2bl w:val="nil"/>
            </w:tcBorders>
            <w:vAlign w:val="center"/>
          </w:tcPr>
          <w:p w14:paraId="7F7C6489">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0BCFA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1CD652A">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05252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638" w:type="dxa"/>
            <w:tcBorders>
              <w:tl2br w:val="nil"/>
              <w:tr2bl w:val="nil"/>
            </w:tcBorders>
            <w:vAlign w:val="center"/>
          </w:tcPr>
          <w:p w14:paraId="1AB27EDC">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628" w:type="dxa"/>
            <w:tcBorders>
              <w:tl2br w:val="nil"/>
              <w:tr2bl w:val="nil"/>
            </w:tcBorders>
            <w:vAlign w:val="center"/>
          </w:tcPr>
          <w:p w14:paraId="3CFE557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21" w:type="dxa"/>
            <w:tcBorders>
              <w:tl2br w:val="nil"/>
              <w:tr2bl w:val="nil"/>
            </w:tcBorders>
            <w:vAlign w:val="center"/>
          </w:tcPr>
          <w:p w14:paraId="4BC081C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w:t>
            </w:r>
            <w:r>
              <w:rPr>
                <w:rFonts w:hint="eastAsia" w:cs="宋体"/>
                <w:color w:val="auto"/>
                <w:kern w:val="2"/>
                <w:sz w:val="24"/>
                <w:szCs w:val="24"/>
                <w:highlight w:val="none"/>
                <w:lang w:val="en-US" w:eastAsia="zh-CN"/>
              </w:rPr>
              <w:t>24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589" w:type="dxa"/>
            <w:tcBorders>
              <w:tl2br w:val="nil"/>
              <w:tr2bl w:val="nil"/>
            </w:tcBorders>
            <w:vAlign w:val="center"/>
          </w:tcPr>
          <w:p w14:paraId="5F54E15B">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DE7FB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440066D">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11DA5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l2br w:val="nil"/>
              <w:tr2bl w:val="nil"/>
            </w:tcBorders>
            <w:vAlign w:val="center"/>
          </w:tcPr>
          <w:p w14:paraId="2BD4EA8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628" w:type="dxa"/>
            <w:tcBorders>
              <w:tl2br w:val="nil"/>
              <w:tr2bl w:val="nil"/>
            </w:tcBorders>
            <w:vAlign w:val="center"/>
          </w:tcPr>
          <w:p w14:paraId="78934922">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21" w:type="dxa"/>
            <w:tcBorders>
              <w:tl2br w:val="nil"/>
              <w:tr2bl w:val="nil"/>
            </w:tcBorders>
            <w:vAlign w:val="center"/>
          </w:tcPr>
          <w:p w14:paraId="6E68DEA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w:t>
            </w:r>
            <w:r>
              <w:rPr>
                <w:rFonts w:hint="eastAsia"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证明材料；</w:t>
            </w:r>
          </w:p>
        </w:tc>
        <w:tc>
          <w:tcPr>
            <w:tcW w:w="589" w:type="dxa"/>
            <w:tcBorders>
              <w:tl2br w:val="nil"/>
              <w:tr2bl w:val="nil"/>
            </w:tcBorders>
            <w:vAlign w:val="center"/>
          </w:tcPr>
          <w:p w14:paraId="05E9A165">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578937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C03D19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3C37F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64DD156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628" w:type="dxa"/>
            <w:tcBorders>
              <w:tl2br w:val="nil"/>
              <w:tr2bl w:val="nil"/>
            </w:tcBorders>
            <w:vAlign w:val="center"/>
          </w:tcPr>
          <w:p w14:paraId="5D4D638F">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21" w:type="dxa"/>
            <w:tcBorders>
              <w:tl2br w:val="nil"/>
              <w:tr2bl w:val="nil"/>
            </w:tcBorders>
            <w:vAlign w:val="center"/>
          </w:tcPr>
          <w:p w14:paraId="054A2E80">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589" w:type="dxa"/>
            <w:tcBorders>
              <w:tl2br w:val="nil"/>
              <w:tr2bl w:val="nil"/>
            </w:tcBorders>
            <w:vAlign w:val="center"/>
          </w:tcPr>
          <w:p w14:paraId="189CAD43">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E039E8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A292C03">
            <w:pPr>
              <w:widowControl w:val="0"/>
              <w:spacing w:line="520" w:lineRule="exact"/>
              <w:jc w:val="center"/>
              <w:rPr>
                <w:rFonts w:hint="eastAsia" w:ascii="宋体" w:hAnsi="宋体" w:eastAsia="宋体" w:cs="宋体"/>
                <w:color w:val="auto"/>
                <w:kern w:val="2"/>
                <w:sz w:val="24"/>
                <w:szCs w:val="24"/>
                <w:highlight w:val="none"/>
              </w:rPr>
            </w:pPr>
          </w:p>
        </w:tc>
      </w:tr>
      <w:tr w14:paraId="01114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E1BAE82">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628" w:type="dxa"/>
            <w:tcBorders>
              <w:tl2br w:val="nil"/>
              <w:tr2bl w:val="nil"/>
            </w:tcBorders>
            <w:vAlign w:val="center"/>
          </w:tcPr>
          <w:p w14:paraId="2BA6FF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21" w:type="dxa"/>
            <w:tcBorders>
              <w:tl2br w:val="nil"/>
              <w:tr2bl w:val="nil"/>
            </w:tcBorders>
            <w:vAlign w:val="center"/>
          </w:tcPr>
          <w:p w14:paraId="2AA3050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589" w:type="dxa"/>
            <w:tcBorders>
              <w:tl2br w:val="nil"/>
              <w:tr2bl w:val="nil"/>
            </w:tcBorders>
            <w:vAlign w:val="center"/>
          </w:tcPr>
          <w:p w14:paraId="35644127">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1F5FCC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BC717C4">
            <w:pPr>
              <w:widowControl w:val="0"/>
              <w:spacing w:line="520" w:lineRule="exact"/>
              <w:jc w:val="center"/>
              <w:rPr>
                <w:rFonts w:hint="eastAsia" w:ascii="宋体" w:hAnsi="宋体" w:eastAsia="宋体" w:cs="宋体"/>
                <w:color w:val="auto"/>
                <w:kern w:val="2"/>
                <w:sz w:val="24"/>
                <w:szCs w:val="24"/>
                <w:highlight w:val="none"/>
              </w:rPr>
            </w:pPr>
          </w:p>
        </w:tc>
      </w:tr>
      <w:tr w14:paraId="30EBB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4BFE5149">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628" w:type="dxa"/>
            <w:tcBorders>
              <w:tl2br w:val="nil"/>
              <w:tr2bl w:val="nil"/>
            </w:tcBorders>
            <w:vAlign w:val="center"/>
          </w:tcPr>
          <w:p w14:paraId="022C3335">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21" w:type="dxa"/>
            <w:tcBorders>
              <w:tl2br w:val="nil"/>
              <w:tr2bl w:val="nil"/>
            </w:tcBorders>
            <w:vAlign w:val="center"/>
          </w:tcPr>
          <w:p w14:paraId="5C385E6D">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89" w:type="dxa"/>
            <w:tcBorders>
              <w:tl2br w:val="nil"/>
              <w:tr2bl w:val="nil"/>
            </w:tcBorders>
            <w:vAlign w:val="center"/>
          </w:tcPr>
          <w:p w14:paraId="1E5C5B15">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F7DCF77">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1172CAC2">
            <w:pPr>
              <w:widowControl w:val="0"/>
              <w:spacing w:line="520" w:lineRule="exact"/>
              <w:jc w:val="center"/>
              <w:rPr>
                <w:rFonts w:hint="eastAsia" w:ascii="宋体" w:hAnsi="宋体" w:eastAsia="宋体" w:cs="宋体"/>
                <w:color w:val="auto"/>
                <w:kern w:val="2"/>
                <w:sz w:val="24"/>
                <w:szCs w:val="24"/>
                <w:highlight w:val="none"/>
              </w:rPr>
            </w:pPr>
          </w:p>
        </w:tc>
      </w:tr>
      <w:tr w14:paraId="5D764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tcBorders>
              <w:tl2br w:val="nil"/>
              <w:tr2bl w:val="nil"/>
            </w:tcBorders>
            <w:vAlign w:val="center"/>
          </w:tcPr>
          <w:p w14:paraId="25EF40AF">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628" w:type="dxa"/>
            <w:tcBorders>
              <w:tl2br w:val="nil"/>
              <w:tr2bl w:val="nil"/>
            </w:tcBorders>
            <w:vAlign w:val="center"/>
          </w:tcPr>
          <w:p w14:paraId="7C7AD774">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21" w:type="dxa"/>
            <w:tcBorders>
              <w:tl2br w:val="nil"/>
              <w:tr2bl w:val="nil"/>
            </w:tcBorders>
            <w:vAlign w:val="center"/>
          </w:tcPr>
          <w:p w14:paraId="0DDED8A8">
            <w:pPr>
              <w:spacing w:line="480" w:lineRule="exac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vAlign w:val="center"/>
          </w:tcPr>
          <w:p w14:paraId="4C05E94A">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7E5D6D9">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5DA4D78">
            <w:pPr>
              <w:widowControl w:val="0"/>
              <w:spacing w:line="520" w:lineRule="exact"/>
              <w:jc w:val="center"/>
              <w:rPr>
                <w:rFonts w:hint="eastAsia" w:ascii="宋体" w:hAnsi="宋体" w:eastAsia="宋体" w:cs="宋体"/>
                <w:color w:val="auto"/>
                <w:kern w:val="2"/>
                <w:sz w:val="24"/>
                <w:szCs w:val="24"/>
                <w:highlight w:val="none"/>
              </w:rPr>
            </w:pPr>
          </w:p>
        </w:tc>
      </w:tr>
      <w:tr w14:paraId="25346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638" w:type="dxa"/>
            <w:tcBorders>
              <w:tl2br w:val="nil"/>
              <w:tr2bl w:val="nil"/>
            </w:tcBorders>
            <w:vAlign w:val="center"/>
          </w:tcPr>
          <w:p w14:paraId="684F3AD5">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628" w:type="dxa"/>
            <w:tcBorders>
              <w:tl2br w:val="nil"/>
              <w:tr2bl w:val="nil"/>
            </w:tcBorders>
            <w:vAlign w:val="center"/>
          </w:tcPr>
          <w:p w14:paraId="0EE813ED">
            <w:pPr>
              <w:widowControl w:val="0"/>
              <w:spacing w:after="100" w:afterAutospacing="1" w:line="520" w:lineRule="exact"/>
              <w:jc w:val="both"/>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rPr>
              <w:t>落实政府采购政策需满足的资格要求</w:t>
            </w:r>
          </w:p>
        </w:tc>
        <w:tc>
          <w:tcPr>
            <w:tcW w:w="5221" w:type="dxa"/>
            <w:tcBorders>
              <w:tl2br w:val="nil"/>
              <w:tr2bl w:val="nil"/>
            </w:tcBorders>
            <w:vAlign w:val="center"/>
          </w:tcPr>
          <w:p w14:paraId="207701C7">
            <w:pPr>
              <w:widowControl w:val="0"/>
              <w:spacing w:line="520" w:lineRule="exact"/>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为</w:t>
            </w:r>
            <w:r>
              <w:rPr>
                <w:rFonts w:hint="eastAsia" w:cs="宋体"/>
                <w:color w:val="auto"/>
                <w:kern w:val="2"/>
                <w:sz w:val="24"/>
                <w:szCs w:val="24"/>
                <w:highlight w:val="none"/>
                <w:lang w:val="en-US" w:eastAsia="zh-CN"/>
              </w:rPr>
              <w:t>中小</w:t>
            </w:r>
            <w:r>
              <w:rPr>
                <w:rFonts w:hint="eastAsia" w:ascii="宋体" w:hAnsi="宋体" w:eastAsia="宋体" w:cs="宋体"/>
                <w:color w:val="auto"/>
                <w:kern w:val="2"/>
                <w:sz w:val="24"/>
                <w:szCs w:val="24"/>
                <w:highlight w:val="none"/>
              </w:rPr>
              <w:t>企业；</w:t>
            </w:r>
          </w:p>
          <w:p w14:paraId="1F569E08">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投标人所投产品生产厂家应均为小微企业或监狱企业或残疾人福利性单位；</w:t>
            </w:r>
          </w:p>
          <w:p w14:paraId="7D200F4D">
            <w:pPr>
              <w:spacing w:line="480" w:lineRule="exac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rPr>
              <w:t>投标人应按</w:t>
            </w:r>
            <w:r>
              <w:rPr>
                <w:rFonts w:hint="eastAsia" w:cs="宋体"/>
                <w:color w:val="auto"/>
                <w:kern w:val="2"/>
                <w:sz w:val="24"/>
                <w:szCs w:val="24"/>
                <w:highlight w:val="none"/>
                <w:lang w:eastAsia="zh-CN"/>
              </w:rPr>
              <w:t>采购</w:t>
            </w:r>
            <w:r>
              <w:rPr>
                <w:rFonts w:hint="eastAsia" w:ascii="宋体" w:hAnsi="宋体" w:eastAsia="宋体" w:cs="宋体"/>
                <w:color w:val="auto"/>
                <w:kern w:val="2"/>
                <w:sz w:val="24"/>
                <w:szCs w:val="24"/>
                <w:highlight w:val="none"/>
              </w:rPr>
              <w:t>文件要求提供《中小企业声明函》或《残疾人福利性单位声明函》或监狱企业证明材料；</w:t>
            </w:r>
          </w:p>
        </w:tc>
        <w:tc>
          <w:tcPr>
            <w:tcW w:w="589" w:type="dxa"/>
            <w:tcBorders>
              <w:tl2br w:val="nil"/>
              <w:tr2bl w:val="nil"/>
            </w:tcBorders>
            <w:vAlign w:val="center"/>
          </w:tcPr>
          <w:p w14:paraId="06496854">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70BD8E9">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22A1FDBD">
            <w:pPr>
              <w:widowControl w:val="0"/>
              <w:spacing w:line="520" w:lineRule="exact"/>
              <w:jc w:val="center"/>
              <w:rPr>
                <w:rFonts w:hint="eastAsia" w:ascii="宋体" w:hAnsi="宋体" w:eastAsia="宋体" w:cs="宋体"/>
                <w:color w:val="auto"/>
                <w:kern w:val="2"/>
                <w:sz w:val="24"/>
                <w:szCs w:val="24"/>
                <w:highlight w:val="none"/>
              </w:rPr>
            </w:pPr>
          </w:p>
        </w:tc>
      </w:tr>
      <w:tr w14:paraId="646CB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8" w:type="dxa"/>
            <w:tcBorders>
              <w:tl2br w:val="nil"/>
              <w:tr2bl w:val="nil"/>
            </w:tcBorders>
            <w:vAlign w:val="center"/>
          </w:tcPr>
          <w:p w14:paraId="0CAF77DA">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628" w:type="dxa"/>
            <w:tcBorders>
              <w:tl2br w:val="nil"/>
              <w:tr2bl w:val="nil"/>
            </w:tcBorders>
            <w:vAlign w:val="center"/>
          </w:tcPr>
          <w:p w14:paraId="02F7A296">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21" w:type="dxa"/>
            <w:tcBorders>
              <w:tl2br w:val="nil"/>
              <w:tr2bl w:val="nil"/>
            </w:tcBorders>
            <w:vAlign w:val="center"/>
          </w:tcPr>
          <w:p w14:paraId="79C8B14E">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589" w:type="dxa"/>
            <w:tcBorders>
              <w:tl2br w:val="nil"/>
              <w:tr2bl w:val="nil"/>
            </w:tcBorders>
            <w:vAlign w:val="center"/>
          </w:tcPr>
          <w:p w14:paraId="1660A6B9">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0AD9DE11">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50A6755">
            <w:pPr>
              <w:widowControl w:val="0"/>
              <w:spacing w:line="520" w:lineRule="exact"/>
              <w:jc w:val="center"/>
              <w:rPr>
                <w:rFonts w:hint="eastAsia" w:ascii="宋体" w:hAnsi="宋体" w:eastAsia="宋体" w:cs="宋体"/>
                <w:color w:val="auto"/>
                <w:kern w:val="2"/>
                <w:sz w:val="24"/>
                <w:szCs w:val="24"/>
                <w:highlight w:val="none"/>
              </w:rPr>
            </w:pPr>
          </w:p>
        </w:tc>
      </w:tr>
      <w:tr w14:paraId="2ADB4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8" w:type="dxa"/>
            <w:tcBorders>
              <w:tl2br w:val="nil"/>
              <w:tr2bl w:val="nil"/>
            </w:tcBorders>
            <w:vAlign w:val="center"/>
          </w:tcPr>
          <w:p w14:paraId="649635D5">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w:t>
            </w:r>
          </w:p>
        </w:tc>
        <w:tc>
          <w:tcPr>
            <w:tcW w:w="2628" w:type="dxa"/>
            <w:tcBorders>
              <w:tl2br w:val="nil"/>
              <w:tr2bl w:val="nil"/>
            </w:tcBorders>
            <w:vAlign w:val="center"/>
          </w:tcPr>
          <w:p w14:paraId="277F614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投标保证金</w:t>
            </w:r>
          </w:p>
        </w:tc>
        <w:tc>
          <w:tcPr>
            <w:tcW w:w="5221" w:type="dxa"/>
            <w:tcBorders>
              <w:tl2br w:val="nil"/>
              <w:tr2bl w:val="nil"/>
            </w:tcBorders>
            <w:vAlign w:val="center"/>
          </w:tcPr>
          <w:p w14:paraId="2A9E6107">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是否按照投标须知要求金额提交了投标保证金，并提供了投标保证金凭证。</w:t>
            </w:r>
          </w:p>
        </w:tc>
        <w:tc>
          <w:tcPr>
            <w:tcW w:w="589" w:type="dxa"/>
            <w:tcBorders>
              <w:tl2br w:val="nil"/>
              <w:tr2bl w:val="nil"/>
            </w:tcBorders>
            <w:vAlign w:val="center"/>
          </w:tcPr>
          <w:p w14:paraId="39A9BF7C">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1A90E83">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0B6EFFA">
            <w:pPr>
              <w:widowControl w:val="0"/>
              <w:spacing w:line="520" w:lineRule="exact"/>
              <w:jc w:val="center"/>
              <w:rPr>
                <w:rFonts w:hint="eastAsia" w:ascii="宋体" w:hAnsi="宋体" w:eastAsia="宋体" w:cs="宋体"/>
                <w:color w:val="auto"/>
                <w:kern w:val="2"/>
                <w:sz w:val="24"/>
                <w:szCs w:val="24"/>
                <w:highlight w:val="none"/>
              </w:rPr>
            </w:pPr>
          </w:p>
        </w:tc>
      </w:tr>
      <w:tr w14:paraId="4FAAE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vAlign w:val="center"/>
          </w:tcPr>
          <w:p w14:paraId="6951D261">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589" w:type="dxa"/>
            <w:tcBorders>
              <w:tl2br w:val="nil"/>
              <w:tr2bl w:val="nil"/>
            </w:tcBorders>
            <w:vAlign w:val="center"/>
          </w:tcPr>
          <w:p w14:paraId="025EC4F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6CF00D5">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B0A564B">
            <w:pPr>
              <w:widowControl w:val="0"/>
              <w:spacing w:line="520" w:lineRule="exact"/>
              <w:jc w:val="center"/>
              <w:rPr>
                <w:rFonts w:hint="eastAsia" w:ascii="宋体" w:hAnsi="宋体" w:eastAsia="宋体" w:cs="宋体"/>
                <w:color w:val="auto"/>
                <w:kern w:val="2"/>
                <w:sz w:val="24"/>
                <w:szCs w:val="24"/>
                <w:highlight w:val="none"/>
              </w:rPr>
            </w:pPr>
          </w:p>
        </w:tc>
      </w:tr>
      <w:tr w14:paraId="693A8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vAlign w:val="center"/>
          </w:tcPr>
          <w:p w14:paraId="31A9B2D3">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589" w:type="dxa"/>
            <w:tcBorders>
              <w:tl2br w:val="nil"/>
              <w:tr2bl w:val="nil"/>
            </w:tcBorders>
            <w:vAlign w:val="center"/>
          </w:tcPr>
          <w:p w14:paraId="4BAD6D4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7F219266">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5BC3FE2">
            <w:pPr>
              <w:widowControl w:val="0"/>
              <w:spacing w:line="520" w:lineRule="exact"/>
              <w:jc w:val="center"/>
              <w:rPr>
                <w:rFonts w:hint="eastAsia" w:ascii="宋体" w:hAnsi="宋体" w:eastAsia="宋体" w:cs="宋体"/>
                <w:color w:val="auto"/>
                <w:kern w:val="2"/>
                <w:sz w:val="24"/>
                <w:szCs w:val="24"/>
                <w:highlight w:val="none"/>
              </w:rPr>
            </w:pPr>
          </w:p>
        </w:tc>
      </w:tr>
    </w:tbl>
    <w:p w14:paraId="0E8547C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1FDC6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评标程序、评标方法和评标标准</w:t>
      </w:r>
    </w:p>
    <w:p w14:paraId="72E8D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一、评标方法</w:t>
      </w:r>
    </w:p>
    <w:p w14:paraId="280864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1投标文件的符合性审查</w:t>
      </w:r>
    </w:p>
    <w:p w14:paraId="13DEA4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1.1评标委员会对资格审查合格的投标人的投标文件进行符合性审查，以确定其是否满足招标文件的实质性要求。</w:t>
      </w:r>
    </w:p>
    <w:p w14:paraId="74FBA1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F1A37D6">
      <w:pPr>
        <w:spacing w:line="360" w:lineRule="auto"/>
        <w:jc w:val="center"/>
        <w:rPr>
          <w:rFonts w:hint="eastAsia" w:asciiTheme="minorEastAsia" w:hAnsiTheme="minorEastAsia" w:eastAsiaTheme="minorEastAsia" w:cstheme="minorEastAsia"/>
          <w:b/>
          <w:bCs/>
          <w:color w:val="auto"/>
          <w:spacing w:val="-2"/>
          <w:highlight w:val="none"/>
        </w:rPr>
      </w:pPr>
      <w:r>
        <w:rPr>
          <w:rFonts w:hint="eastAsia" w:asciiTheme="minorEastAsia" w:hAnsiTheme="minorEastAsia" w:eastAsiaTheme="minorEastAsia" w:cstheme="minorEastAsia"/>
          <w:b/>
          <w:bCs/>
          <w:color w:val="auto"/>
          <w:spacing w:val="-2"/>
          <w:highlight w:val="none"/>
        </w:rPr>
        <w:t>符合性审查</w:t>
      </w:r>
    </w:p>
    <w:tbl>
      <w:tblPr>
        <w:tblStyle w:val="40"/>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34"/>
        <w:gridCol w:w="486"/>
        <w:gridCol w:w="537"/>
        <w:gridCol w:w="755"/>
        <w:gridCol w:w="597"/>
      </w:tblGrid>
      <w:tr w14:paraId="0E472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restart"/>
            <w:tcBorders>
              <w:tl2br w:val="nil"/>
              <w:tr2bl w:val="nil"/>
            </w:tcBorders>
            <w:vAlign w:val="center"/>
          </w:tcPr>
          <w:p w14:paraId="1A5B20A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评审内容</w:t>
            </w:r>
          </w:p>
        </w:tc>
        <w:tc>
          <w:tcPr>
            <w:tcW w:w="2375" w:type="dxa"/>
            <w:gridSpan w:val="4"/>
            <w:tcBorders>
              <w:tl2br w:val="nil"/>
              <w:tr2bl w:val="nil"/>
            </w:tcBorders>
            <w:vAlign w:val="center"/>
          </w:tcPr>
          <w:p w14:paraId="4C5C2E26">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投标企业名称</w:t>
            </w:r>
          </w:p>
        </w:tc>
      </w:tr>
      <w:tr w14:paraId="6773A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continue"/>
            <w:tcBorders>
              <w:tl2br w:val="nil"/>
              <w:tr2bl w:val="nil"/>
            </w:tcBorders>
            <w:vAlign w:val="center"/>
          </w:tcPr>
          <w:p w14:paraId="43BC1AFD">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486" w:type="dxa"/>
            <w:tcBorders>
              <w:tl2br w:val="nil"/>
              <w:tr2bl w:val="nil"/>
            </w:tcBorders>
            <w:vAlign w:val="center"/>
          </w:tcPr>
          <w:p w14:paraId="6BC405D8">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w:t>
            </w:r>
          </w:p>
        </w:tc>
        <w:tc>
          <w:tcPr>
            <w:tcW w:w="537" w:type="dxa"/>
            <w:tcBorders>
              <w:tl2br w:val="nil"/>
              <w:tr2bl w:val="nil"/>
            </w:tcBorders>
            <w:vAlign w:val="center"/>
          </w:tcPr>
          <w:p w14:paraId="4786E615">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w:t>
            </w:r>
          </w:p>
        </w:tc>
        <w:tc>
          <w:tcPr>
            <w:tcW w:w="755" w:type="dxa"/>
            <w:tcBorders>
              <w:tl2br w:val="nil"/>
              <w:tr2bl w:val="nil"/>
            </w:tcBorders>
            <w:vAlign w:val="center"/>
          </w:tcPr>
          <w:p w14:paraId="596BA8F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w:t>
            </w:r>
          </w:p>
        </w:tc>
        <w:tc>
          <w:tcPr>
            <w:tcW w:w="597" w:type="dxa"/>
            <w:tcBorders>
              <w:tl2br w:val="nil"/>
              <w:tr2bl w:val="nil"/>
            </w:tcBorders>
            <w:vAlign w:val="center"/>
          </w:tcPr>
          <w:p w14:paraId="2ED1EF4F">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w:t>
            </w:r>
          </w:p>
        </w:tc>
      </w:tr>
      <w:tr w14:paraId="23F36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64F1C5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834" w:type="dxa"/>
            <w:tcBorders>
              <w:tl2br w:val="nil"/>
              <w:tr2bl w:val="nil"/>
            </w:tcBorders>
            <w:vAlign w:val="center"/>
          </w:tcPr>
          <w:p w14:paraId="429C5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highlight w:val="none"/>
              </w:rPr>
            </w:pPr>
            <w:r>
              <w:rPr>
                <w:rFonts w:hint="eastAsia" w:eastAsia="宋体"/>
                <w:color w:val="auto"/>
                <w:highlight w:val="none"/>
              </w:rPr>
              <w:t>投标函有单位盖章及法定代表人或法定代表人授权的代理人签字或盖章的；</w:t>
            </w:r>
          </w:p>
        </w:tc>
        <w:tc>
          <w:tcPr>
            <w:tcW w:w="486" w:type="dxa"/>
            <w:tcBorders>
              <w:tl2br w:val="nil"/>
              <w:tr2bl w:val="nil"/>
            </w:tcBorders>
            <w:vAlign w:val="center"/>
          </w:tcPr>
          <w:p w14:paraId="0129217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708274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7FA00F7D">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030D2B8">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01202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DEB65A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p>
        </w:tc>
        <w:tc>
          <w:tcPr>
            <w:tcW w:w="6834" w:type="dxa"/>
            <w:tcBorders>
              <w:tl2br w:val="nil"/>
              <w:tr2bl w:val="nil"/>
            </w:tcBorders>
            <w:shd w:val="clear" w:color="auto" w:fill="auto"/>
            <w:vAlign w:val="center"/>
          </w:tcPr>
          <w:p w14:paraId="42F0B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eastAsia="宋体"/>
                <w:color w:val="auto"/>
                <w:highlight w:val="none"/>
              </w:rPr>
              <w:t>法定代表人身份证明书必须按</w:t>
            </w:r>
            <w:r>
              <w:rPr>
                <w:rFonts w:hint="eastAsia"/>
                <w:color w:val="auto"/>
                <w:highlight w:val="none"/>
                <w:lang w:eastAsia="zh-CN"/>
              </w:rPr>
              <w:t>招标文件</w:t>
            </w:r>
            <w:r>
              <w:rPr>
                <w:rFonts w:hint="eastAsia" w:eastAsia="宋体"/>
                <w:color w:val="auto"/>
                <w:highlight w:val="none"/>
              </w:rPr>
              <w:t>规定格式完整提供，并要盖投标人章。</w:t>
            </w:r>
          </w:p>
        </w:tc>
        <w:tc>
          <w:tcPr>
            <w:tcW w:w="486" w:type="dxa"/>
            <w:tcBorders>
              <w:tl2br w:val="nil"/>
              <w:tr2bl w:val="nil"/>
            </w:tcBorders>
            <w:vAlign w:val="center"/>
          </w:tcPr>
          <w:p w14:paraId="6D2EEE4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3DD66CE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468E077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0417DF67">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08BEF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2A6CA8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6834" w:type="dxa"/>
            <w:tcBorders>
              <w:tl2br w:val="nil"/>
              <w:tr2bl w:val="nil"/>
            </w:tcBorders>
            <w:shd w:val="clear" w:color="auto" w:fill="auto"/>
            <w:vAlign w:val="center"/>
          </w:tcPr>
          <w:p w14:paraId="18DCA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eastAsia="宋体"/>
                <w:color w:val="auto"/>
                <w:highlight w:val="none"/>
              </w:rPr>
              <w:t>法定代表人授权委托书必须按</w:t>
            </w:r>
            <w:r>
              <w:rPr>
                <w:rFonts w:hint="eastAsia"/>
                <w:color w:val="auto"/>
                <w:highlight w:val="none"/>
                <w:lang w:eastAsia="zh-CN"/>
              </w:rPr>
              <w:t>招标文件</w:t>
            </w:r>
            <w:r>
              <w:rPr>
                <w:rFonts w:hint="eastAsia" w:eastAsia="宋体"/>
                <w:color w:val="auto"/>
                <w:highlight w:val="none"/>
              </w:rPr>
              <w:t>规定格式完整提供，并要盖投标人章、法定代表人章。</w:t>
            </w:r>
          </w:p>
        </w:tc>
        <w:tc>
          <w:tcPr>
            <w:tcW w:w="486" w:type="dxa"/>
            <w:tcBorders>
              <w:tl2br w:val="nil"/>
              <w:tr2bl w:val="nil"/>
            </w:tcBorders>
            <w:vAlign w:val="center"/>
          </w:tcPr>
          <w:p w14:paraId="20E8002A">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68050E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106DF9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F9830C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52A19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4893052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c>
          <w:tcPr>
            <w:tcW w:w="6834" w:type="dxa"/>
            <w:tcBorders>
              <w:tl2br w:val="nil"/>
              <w:tr2bl w:val="nil"/>
            </w:tcBorders>
            <w:shd w:val="clear" w:color="auto" w:fill="auto"/>
            <w:vAlign w:val="center"/>
          </w:tcPr>
          <w:p w14:paraId="16983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报价未高于设定的总预算金额。</w:t>
            </w:r>
          </w:p>
        </w:tc>
        <w:tc>
          <w:tcPr>
            <w:tcW w:w="486" w:type="dxa"/>
            <w:tcBorders>
              <w:tl2br w:val="nil"/>
              <w:tr2bl w:val="nil"/>
            </w:tcBorders>
            <w:vAlign w:val="center"/>
          </w:tcPr>
          <w:p w14:paraId="4F7EE7D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BC5140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309ACB3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C9AFA4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082A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649CC8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p>
        </w:tc>
        <w:tc>
          <w:tcPr>
            <w:tcW w:w="6834" w:type="dxa"/>
            <w:tcBorders>
              <w:tl2br w:val="nil"/>
              <w:tr2bl w:val="nil"/>
            </w:tcBorders>
            <w:shd w:val="clear" w:color="auto" w:fill="auto"/>
            <w:vAlign w:val="center"/>
          </w:tcPr>
          <w:p w14:paraId="2B450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w:t>
            </w:r>
          </w:p>
        </w:tc>
        <w:tc>
          <w:tcPr>
            <w:tcW w:w="486" w:type="dxa"/>
            <w:tcBorders>
              <w:tl2br w:val="nil"/>
              <w:tr2bl w:val="nil"/>
            </w:tcBorders>
            <w:vAlign w:val="center"/>
          </w:tcPr>
          <w:p w14:paraId="6B2D60C7">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58078B8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51E091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A1D4E8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7E1A3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B516D8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p>
        </w:tc>
        <w:tc>
          <w:tcPr>
            <w:tcW w:w="6834" w:type="dxa"/>
            <w:tcBorders>
              <w:tl2br w:val="nil"/>
              <w:tr2bl w:val="nil"/>
            </w:tcBorders>
            <w:vAlign w:val="center"/>
          </w:tcPr>
          <w:p w14:paraId="78D98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文件要求签署、盖章的;</w:t>
            </w:r>
          </w:p>
        </w:tc>
        <w:tc>
          <w:tcPr>
            <w:tcW w:w="486" w:type="dxa"/>
            <w:tcBorders>
              <w:tl2br w:val="nil"/>
              <w:tr2bl w:val="nil"/>
            </w:tcBorders>
            <w:vAlign w:val="center"/>
          </w:tcPr>
          <w:p w14:paraId="7BD06EB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4F1A6EB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43911C6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25E821F">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598C5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l2br w:val="nil"/>
              <w:tr2bl w:val="nil"/>
            </w:tcBorders>
            <w:vAlign w:val="center"/>
          </w:tcPr>
          <w:p w14:paraId="606B9D9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7</w:t>
            </w:r>
          </w:p>
        </w:tc>
        <w:tc>
          <w:tcPr>
            <w:tcW w:w="6834" w:type="dxa"/>
            <w:tcBorders>
              <w:tl2br w:val="nil"/>
              <w:tr2bl w:val="nil"/>
            </w:tcBorders>
            <w:shd w:val="clear" w:color="auto" w:fill="auto"/>
            <w:vAlign w:val="center"/>
          </w:tcPr>
          <w:p w14:paraId="6FDA5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文件含有采购人不能接受的附加条件；</w:t>
            </w:r>
          </w:p>
        </w:tc>
        <w:tc>
          <w:tcPr>
            <w:tcW w:w="486" w:type="dxa"/>
            <w:tcBorders>
              <w:tl2br w:val="nil"/>
              <w:tr2bl w:val="nil"/>
            </w:tcBorders>
            <w:vAlign w:val="center"/>
          </w:tcPr>
          <w:p w14:paraId="69EDAE9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71EA0F73">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6B0A0515">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1648E9B9">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3D5C6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5" w:type="dxa"/>
            <w:tcBorders>
              <w:tl2br w:val="nil"/>
              <w:tr2bl w:val="nil"/>
            </w:tcBorders>
            <w:vAlign w:val="center"/>
          </w:tcPr>
          <w:p w14:paraId="52C8A3B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8</w:t>
            </w:r>
          </w:p>
        </w:tc>
        <w:tc>
          <w:tcPr>
            <w:tcW w:w="6834" w:type="dxa"/>
            <w:tcBorders>
              <w:tl2br w:val="nil"/>
              <w:tr2bl w:val="nil"/>
            </w:tcBorders>
            <w:shd w:val="clear" w:color="auto" w:fill="auto"/>
            <w:vAlign w:val="center"/>
          </w:tcPr>
          <w:p w14:paraId="58A0E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不符合法律、法规和</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rPr>
              <w:t>中规定的其他实质性要求。</w:t>
            </w:r>
          </w:p>
        </w:tc>
        <w:tc>
          <w:tcPr>
            <w:tcW w:w="486" w:type="dxa"/>
            <w:tcBorders>
              <w:tl2br w:val="nil"/>
              <w:tr2bl w:val="nil"/>
            </w:tcBorders>
            <w:vAlign w:val="center"/>
          </w:tcPr>
          <w:p w14:paraId="7058AD9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E2A51E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9796255">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9F1662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42FAF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599A01F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审查结果</w:t>
            </w:r>
          </w:p>
        </w:tc>
        <w:tc>
          <w:tcPr>
            <w:tcW w:w="486" w:type="dxa"/>
            <w:tcBorders>
              <w:tl2br w:val="nil"/>
              <w:tr2bl w:val="nil"/>
            </w:tcBorders>
            <w:vAlign w:val="center"/>
          </w:tcPr>
          <w:p w14:paraId="5A9D9AE0">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AEEDE12">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5CF40041">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CB64EE8">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r w14:paraId="1BC89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6BDB7BBA">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不通过理由说明</w:t>
            </w:r>
          </w:p>
        </w:tc>
        <w:tc>
          <w:tcPr>
            <w:tcW w:w="486" w:type="dxa"/>
            <w:tcBorders>
              <w:tl2br w:val="nil"/>
              <w:tr2bl w:val="nil"/>
            </w:tcBorders>
            <w:vAlign w:val="center"/>
          </w:tcPr>
          <w:p w14:paraId="2FE9153E">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32A350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F12489B">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47572EFA">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auto"/>
                <w:highlight w:val="none"/>
              </w:rPr>
            </w:pPr>
          </w:p>
        </w:tc>
      </w:tr>
    </w:tbl>
    <w:p w14:paraId="05BF9E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4"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投标文件有关事项的澄清或者说明</w:t>
      </w:r>
    </w:p>
    <w:p w14:paraId="6BC95F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44D7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6DD7C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5EF1D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投标文件报价出现前后不一致的，按照下列规定修正：</w:t>
      </w:r>
    </w:p>
    <w:p w14:paraId="376F3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招标文件对于报价修正是否另有规定：</w:t>
      </w:r>
    </w:p>
    <w:p w14:paraId="0749B5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□有，具体规定为：_____________</w:t>
      </w:r>
    </w:p>
    <w:p w14:paraId="609BA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无，按下述2.4.2-2.4.7项规定修正。</w:t>
      </w:r>
    </w:p>
    <w:p w14:paraId="7C59D1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单独递交的开标一览表（报价表）与投标文件中开标一览表（报价表）内容不一致的，以单独递交的开标一览表（报价表）为准；</w:t>
      </w:r>
    </w:p>
    <w:p w14:paraId="793227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0DD5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70B6DC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单价金额小数点或者百分比有明显错位的，以开标一览表的总价为准，并修改单价；</w:t>
      </w:r>
    </w:p>
    <w:p w14:paraId="225371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76F6D2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同时出现两种以上不一致的，按照前款规定的顺序修正。修正后的报价经投标人书面确认后产生约束力，投标人不确认的，其投标无效。</w:t>
      </w:r>
    </w:p>
    <w:p w14:paraId="2E2D3B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落实政府采购政策的价格调整：只有符合第二章《投标人须知》5.2条规定情形的，可以享受中小企业扶持政策，用扣除后的价格参加评审；否则，评标时价格不予扣除。</w:t>
      </w:r>
    </w:p>
    <w:p w14:paraId="081C9C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%的扣除，用扣除后的价格参加评审。</w:t>
      </w:r>
    </w:p>
    <w:p w14:paraId="0367E8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%的扣除，用扣除后的价格参加评审。</w:t>
      </w:r>
    </w:p>
    <w:p w14:paraId="6BF240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095F8C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089698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中小企业参加政府采购活动，应当按照招标文件给定的格式出具《中小企业声明函》，否则不得享受相关中小企业扶持政策。</w:t>
      </w:r>
    </w:p>
    <w:p w14:paraId="5EC26D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25BFB2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残疾人福利性单位按招标文件要求提供了《残疾人福利性单位声明函》的，视同小微企业。</w:t>
      </w:r>
    </w:p>
    <w:p w14:paraId="0A730C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若投标人同时属于小型或微型企业、监狱企业、残疾人福利性单位中的两种及以上，将不重复享受小微企业价格扣减的优惠政策。</w:t>
      </w:r>
    </w:p>
    <w:p w14:paraId="7AC230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投标文件的比较和评价</w:t>
      </w:r>
    </w:p>
    <w:p w14:paraId="14376F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评标委员会将按照招标文件中规定的评标方法和标准，对符合性审查合格的投标文件进行商务和技术评估，综合比较与评价；未通过符合性审查的投标文件不得进入比较与评价。</w:t>
      </w:r>
    </w:p>
    <w:p w14:paraId="26D298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评标方法和评标标准</w:t>
      </w:r>
    </w:p>
    <w:p w14:paraId="17DDA1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本项目采用的评标方法为：</w:t>
      </w:r>
    </w:p>
    <w:p w14:paraId="100576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1B29E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□最低评标价法，指投标文件满足招标文件全部实质性要求，且投标报价最低的投标人为中标候选人的评标方法。</w:t>
      </w:r>
    </w:p>
    <w:p w14:paraId="6BF4D5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3D889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随机抽取</w:t>
      </w:r>
    </w:p>
    <w:p w14:paraId="2C475C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其他方式，具体要求：</w:t>
      </w:r>
      <w:r>
        <w:rPr>
          <w:rFonts w:hint="eastAsia" w:ascii="宋体" w:hAnsi="宋体" w:eastAsia="宋体" w:cs="宋体"/>
          <w:color w:val="auto"/>
          <w:sz w:val="24"/>
          <w:szCs w:val="24"/>
          <w:highlight w:val="none"/>
          <w:u w:val="single"/>
          <w:lang w:val="en-US" w:eastAsia="zh-CN"/>
        </w:rPr>
        <w:t xml:space="preserve">  /  </w:t>
      </w:r>
    </w:p>
    <w:p w14:paraId="67E16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3.2.3非政府强制采购的节能产品或环境标志产品，依据品目清单和认证证书实施政府优先采购。优先采购的具体规定（如涉及）</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政策性加分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4A86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3.2.4关于无线局域网认证产品政府采购清单中的产品，优先采购的具体规定（如涉及）</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2CC509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确定中标候选人名单</w:t>
      </w:r>
    </w:p>
    <w:p w14:paraId="2AFC7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7B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□随机抽取</w:t>
      </w:r>
    </w:p>
    <w:p w14:paraId="72E491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其他方式，具体要求：</w:t>
      </w:r>
      <w:r>
        <w:rPr>
          <w:rFonts w:hint="eastAsia" w:ascii="宋体" w:hAnsi="宋体" w:eastAsia="宋体" w:cs="宋体"/>
          <w:b/>
          <w:bCs/>
          <w:color w:val="auto"/>
          <w:sz w:val="24"/>
          <w:szCs w:val="24"/>
          <w:highlight w:val="none"/>
          <w:u w:val="single"/>
        </w:rPr>
        <w:t>如投标人的得分相同，排名按报价分由高至低排序，若总得分相同且报价分得分也相同的，按业绩得分由高至低顺序排列:若业绩得分仍相同的，按技术评审得分由高至低顺序排列。</w:t>
      </w:r>
    </w:p>
    <w:p w14:paraId="5CED59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019BC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0BA0A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评标委员会要对评分汇总情况进行复核，特别是对排名第一的、报价最低的、投标或</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rPr>
        <w:t>被认定为无效的情形进行重点复核。</w:t>
      </w:r>
    </w:p>
    <w:p w14:paraId="43E0F8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评标委员会将根据各投标人的评标排序，依次推荐本项目（各采购包）的中标候选人，起草并签署评标报告。本项目（各采购包）评标委员会共（各）推荐___名中标候选人。</w:t>
      </w:r>
    </w:p>
    <w:p w14:paraId="50935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0E9E6F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评标委员会在评标过程中发现投标人有行贿、提供虚假材料或者串通等违法行为时，有向采购人、采购代理机构或者有关部门报告的职责。</w:t>
      </w:r>
    </w:p>
    <w:p w14:paraId="2BE07A7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9CF6BC4">
      <w:pPr>
        <w:shd w:val="clear" w:color="auto" w:fill="FFFFFF"/>
        <w:spacing w:after="0"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0B7A6D54">
      <w:pPr>
        <w:keepNext w:val="0"/>
        <w:keepLines w:val="0"/>
        <w:pageBreakBefore w:val="0"/>
        <w:shd w:val="clear" w:color="auto" w:fill="FFFFFF"/>
        <w:kinsoku/>
        <w:wordWrap/>
        <w:overflowPunct/>
        <w:topLinePunct w:val="0"/>
        <w:bidi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报价评审 </w:t>
      </w:r>
    </w:p>
    <w:tbl>
      <w:tblPr>
        <w:tblStyle w:val="40"/>
        <w:tblW w:w="10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893"/>
        <w:gridCol w:w="8030"/>
      </w:tblGrid>
      <w:tr w14:paraId="0617E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21" w:type="dxa"/>
            <w:tcBorders>
              <w:tl2br w:val="nil"/>
              <w:tr2bl w:val="nil"/>
            </w:tcBorders>
            <w:noWrap w:val="0"/>
            <w:vAlign w:val="center"/>
          </w:tcPr>
          <w:p w14:paraId="5CB446F8">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893" w:type="dxa"/>
            <w:tcBorders>
              <w:tl2br w:val="nil"/>
              <w:tr2bl w:val="nil"/>
            </w:tcBorders>
            <w:noWrap w:val="0"/>
            <w:vAlign w:val="center"/>
          </w:tcPr>
          <w:p w14:paraId="47DE3C2B">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8030" w:type="dxa"/>
            <w:tcBorders>
              <w:tl2br w:val="nil"/>
              <w:tr2bl w:val="nil"/>
            </w:tcBorders>
            <w:noWrap w:val="0"/>
            <w:vAlign w:val="center"/>
          </w:tcPr>
          <w:p w14:paraId="79AF043F">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D6A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2021" w:type="dxa"/>
            <w:tcBorders>
              <w:tl2br w:val="nil"/>
              <w:tr2bl w:val="nil"/>
            </w:tcBorders>
            <w:noWrap w:val="0"/>
            <w:vAlign w:val="center"/>
          </w:tcPr>
          <w:p w14:paraId="78EDE88A">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893" w:type="dxa"/>
            <w:tcBorders>
              <w:tl2br w:val="nil"/>
              <w:tr2bl w:val="nil"/>
            </w:tcBorders>
            <w:noWrap w:val="0"/>
            <w:vAlign w:val="center"/>
          </w:tcPr>
          <w:p w14:paraId="5657D14C">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8030" w:type="dxa"/>
            <w:tcBorders>
              <w:tl2br w:val="nil"/>
              <w:tr2bl w:val="nil"/>
            </w:tcBorders>
            <w:noWrap w:val="0"/>
            <w:vAlign w:val="center"/>
          </w:tcPr>
          <w:p w14:paraId="76FDABCC">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报价最低的报价为</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基准价，其价格分为满分。</w:t>
            </w:r>
          </w:p>
          <w:p w14:paraId="1335ACCA">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的价格分统一按照下列公式计算:</w:t>
            </w:r>
          </w:p>
          <w:p w14:paraId="12E3AEED">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报价)×价格分（小数点保留两位）</w:t>
            </w:r>
          </w:p>
          <w:p w14:paraId="761AA470">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价格分采用低价优先法计算，即满足采购文件要求且投标价格最低的投标报价为评标基准价，其价格分为满分。 </w:t>
            </w:r>
          </w:p>
          <w:p w14:paraId="52396C16">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的价格分统一按照下列公式计算： </w:t>
            </w:r>
          </w:p>
          <w:p w14:paraId="4C5023DC">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单项投标报价得分=（单项评标基准价/单项投标报价）×价格权重×100 </w:t>
            </w:r>
          </w:p>
          <w:p w14:paraId="46EDBCEE">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1、大规模同步在线权重</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p w14:paraId="4F9B21F3">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2、同步小班化权重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67FCF721">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3、异步在线权重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3F5AC25D">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本项目的价格总权重为10%。</w:t>
            </w:r>
          </w:p>
          <w:p w14:paraId="54ED288A">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注：在评审阶段，经评审委员会认为无效的投标报价，报价部分得分按“0”计。</w:t>
            </w:r>
          </w:p>
          <w:p w14:paraId="3A80BAD1">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168E645">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价格总得分=大规模同步在线报价得分+同步小班化报价得分+异步在线报价得分</w:t>
            </w:r>
          </w:p>
        </w:tc>
      </w:tr>
    </w:tbl>
    <w:p w14:paraId="2682025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5E01D4A">
      <w:pPr>
        <w:keepNext w:val="0"/>
        <w:keepLines w:val="0"/>
        <w:pageBreakBefore w:val="0"/>
        <w:shd w:val="clear" w:color="auto" w:fill="FFFFFF"/>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商务技术评审</w:t>
      </w:r>
    </w:p>
    <w:tbl>
      <w:tblPr>
        <w:tblStyle w:val="40"/>
        <w:tblW w:w="10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498"/>
        <w:gridCol w:w="738"/>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63" w:type="dxa"/>
            <w:tcBorders>
              <w:tl2br w:val="nil"/>
              <w:tr2bl w:val="nil"/>
            </w:tcBorders>
            <w:noWrap w:val="0"/>
            <w:vAlign w:val="center"/>
          </w:tcPr>
          <w:p w14:paraId="453E989C">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7498" w:type="dxa"/>
            <w:tcBorders>
              <w:tl2br w:val="nil"/>
              <w:tr2bl w:val="nil"/>
            </w:tcBorders>
            <w:noWrap w:val="0"/>
            <w:vAlign w:val="center"/>
          </w:tcPr>
          <w:p w14:paraId="702D1F8D">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38" w:type="dxa"/>
            <w:tcBorders>
              <w:tl2br w:val="nil"/>
              <w:tr2bl w:val="nil"/>
            </w:tcBorders>
            <w:noWrap w:val="0"/>
            <w:vAlign w:val="center"/>
          </w:tcPr>
          <w:p w14:paraId="03EB53C7">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990" w:type="dxa"/>
            <w:gridSpan w:val="4"/>
            <w:tcBorders>
              <w:tl2br w:val="nil"/>
              <w:tr2bl w:val="nil"/>
            </w:tcBorders>
            <w:noWrap w:val="0"/>
            <w:vAlign w:val="center"/>
          </w:tcPr>
          <w:p w14:paraId="2A86A0A9">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w:t>
            </w:r>
            <w:r>
              <w:rPr>
                <w:rFonts w:hint="eastAsia"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1" w:type="dxa"/>
            <w:tcBorders>
              <w:tl2br w:val="nil"/>
              <w:tr2bl w:val="nil"/>
            </w:tcBorders>
            <w:noWrap w:val="0"/>
            <w:vAlign w:val="center"/>
          </w:tcPr>
          <w:p w14:paraId="05B4227F">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963" w:type="dxa"/>
            <w:tcBorders>
              <w:tl2br w:val="nil"/>
              <w:tr2bl w:val="nil"/>
            </w:tcBorders>
            <w:noWrap w:val="0"/>
            <w:vAlign w:val="center"/>
          </w:tcPr>
          <w:p w14:paraId="2F8B3E6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color w:val="auto"/>
                <w:highlight w:val="none"/>
                <w:lang w:val="en-US" w:eastAsia="zh-CN"/>
              </w:rPr>
            </w:pPr>
            <w:r>
              <w:rPr>
                <w:rFonts w:hint="eastAsia"/>
                <w:color w:val="auto"/>
                <w:highlight w:val="none"/>
                <w:lang w:val="en-US" w:eastAsia="zh-CN"/>
              </w:rPr>
              <w:t>技术需求响应</w:t>
            </w:r>
          </w:p>
        </w:tc>
        <w:tc>
          <w:tcPr>
            <w:tcW w:w="7498" w:type="dxa"/>
            <w:tcBorders>
              <w:tl2br w:val="nil"/>
              <w:tr2bl w:val="nil"/>
            </w:tcBorders>
            <w:noWrap w:val="0"/>
            <w:vAlign w:val="center"/>
          </w:tcPr>
          <w:p w14:paraId="20FF8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auto"/>
                <w:highlight w:val="none"/>
                <w:lang w:val="en-US" w:eastAsia="zh-CN"/>
              </w:rPr>
            </w:pPr>
            <w:r>
              <w:rPr>
                <w:rFonts w:hint="eastAsia"/>
                <w:color w:val="auto"/>
                <w:highlight w:val="none"/>
                <w:lang w:val="en-US" w:eastAsia="zh-CN"/>
              </w:rPr>
              <w:t>1.“技术要求及需求”，完全满足招标文件要求的得15分；带“▲”每有一项负偏离的扣1分，一般参数，每有扣一项负偏离的扣0.5分，扣完为止。提供证明材料（系统功能截图）加盖投标人公章。不满足技术参数的投标参数不得照抄采购文件参数，照抄按无效标处理。</w:t>
            </w:r>
          </w:p>
          <w:p w14:paraId="4B158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auto"/>
                <w:highlight w:val="none"/>
                <w:lang w:val="en-US" w:eastAsia="zh-CN"/>
              </w:rPr>
            </w:pPr>
            <w:r>
              <w:rPr>
                <w:rFonts w:hint="eastAsia"/>
                <w:color w:val="auto"/>
                <w:highlight w:val="none"/>
                <w:lang w:val="en-US" w:eastAsia="zh-CN"/>
              </w:rPr>
              <w:t>2.对响应文件中有系统功能截图，但系统演示过程中并无此功能，视为虚假功能，技术部分为0分。</w:t>
            </w:r>
          </w:p>
        </w:tc>
        <w:tc>
          <w:tcPr>
            <w:tcW w:w="738" w:type="dxa"/>
            <w:tcBorders>
              <w:tl2br w:val="nil"/>
              <w:tr2bl w:val="nil"/>
            </w:tcBorders>
            <w:noWrap w:val="0"/>
            <w:vAlign w:val="center"/>
          </w:tcPr>
          <w:p w14:paraId="6C3B53F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15分</w:t>
            </w:r>
          </w:p>
        </w:tc>
      </w:tr>
      <w:tr w14:paraId="48347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791" w:type="dxa"/>
            <w:tcBorders>
              <w:tl2br w:val="nil"/>
              <w:tr2bl w:val="nil"/>
            </w:tcBorders>
            <w:noWrap w:val="0"/>
            <w:vAlign w:val="center"/>
          </w:tcPr>
          <w:p w14:paraId="788368A3">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963" w:type="dxa"/>
            <w:tcBorders>
              <w:tl2br w:val="nil"/>
              <w:tr2bl w:val="nil"/>
            </w:tcBorders>
            <w:noWrap w:val="0"/>
            <w:vAlign w:val="center"/>
          </w:tcPr>
          <w:p w14:paraId="5D6EC1A2">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color w:val="auto"/>
                <w:highlight w:val="none"/>
                <w:lang w:val="en-US" w:eastAsia="zh-CN"/>
              </w:rPr>
            </w:pPr>
            <w:r>
              <w:rPr>
                <w:rFonts w:hint="eastAsia"/>
                <w:color w:val="auto"/>
                <w:highlight w:val="none"/>
                <w:lang w:val="en-US" w:eastAsia="zh-CN"/>
              </w:rPr>
              <w:t>承诺函</w:t>
            </w:r>
          </w:p>
        </w:tc>
        <w:tc>
          <w:tcPr>
            <w:tcW w:w="7498" w:type="dxa"/>
            <w:tcBorders>
              <w:tl2br w:val="nil"/>
              <w:tr2bl w:val="nil"/>
            </w:tcBorders>
            <w:noWrap w:val="0"/>
            <w:vAlign w:val="center"/>
          </w:tcPr>
          <w:p w14:paraId="5C36B0F7">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eastAsia"/>
                <w:color w:val="auto"/>
                <w:highlight w:val="none"/>
                <w:lang w:val="en-US" w:eastAsia="zh-CN"/>
              </w:rPr>
            </w:pPr>
            <w:r>
              <w:rPr>
                <w:rFonts w:hint="eastAsia"/>
                <w:color w:val="auto"/>
                <w:highlight w:val="none"/>
                <w:lang w:val="en-US" w:eastAsia="zh-CN"/>
              </w:rPr>
              <w:t>响应投标人承诺：</w:t>
            </w:r>
          </w:p>
          <w:p w14:paraId="2448265B">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eastAsia"/>
                <w:color w:val="auto"/>
                <w:highlight w:val="none"/>
                <w:lang w:val="en-US" w:eastAsia="zh-CN"/>
              </w:rPr>
            </w:pPr>
            <w:r>
              <w:rPr>
                <w:rFonts w:hint="eastAsia"/>
                <w:color w:val="auto"/>
                <w:highlight w:val="none"/>
                <w:lang w:val="en-US" w:eastAsia="zh-CN"/>
              </w:rPr>
              <w:t>1.合作履行期内，本次采购服务所需的“教师专业发展培训公共服务平台”线上运营所需的服务器、带宽等网络服务支撑资源将全部由成交投标人负责。</w:t>
            </w:r>
          </w:p>
          <w:p w14:paraId="3CB3CF39">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eastAsia"/>
                <w:color w:val="auto"/>
                <w:highlight w:val="none"/>
                <w:lang w:val="en-US" w:eastAsia="zh-CN"/>
              </w:rPr>
            </w:pPr>
            <w:r>
              <w:rPr>
                <w:rFonts w:hint="eastAsia"/>
                <w:color w:val="auto"/>
                <w:highlight w:val="none"/>
                <w:lang w:val="en-US" w:eastAsia="zh-CN"/>
              </w:rPr>
              <w:t>2.项目除本招标采购需求约定的内容外，中标单位进场后还需要根据采购单位使用部门的实际需求对平台功能进行优化调整（不少于30人月/年），以符合国家及教育主管部门最新政策和法规要求，以及提升参训教师使用体验。</w:t>
            </w:r>
          </w:p>
          <w:p w14:paraId="38220BFA">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eastAsia"/>
                <w:color w:val="auto"/>
                <w:highlight w:val="none"/>
                <w:lang w:val="en-US" w:eastAsia="zh-CN"/>
              </w:rPr>
            </w:pPr>
            <w:r>
              <w:rPr>
                <w:rFonts w:hint="eastAsia"/>
                <w:color w:val="auto"/>
                <w:highlight w:val="none"/>
                <w:lang w:val="en-US" w:eastAsia="zh-CN"/>
              </w:rPr>
              <w:t>3.本次招标服务期满后,平台的知识产权归采购人所有。投标人承诺无偿将系统及源代码移交给采购人，并协助申请软件著作权。投标人须确保系统移交前后无差别、全部功能正常可用。</w:t>
            </w:r>
          </w:p>
          <w:p w14:paraId="64AAF703">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eastAsia"/>
                <w:color w:val="auto"/>
                <w:highlight w:val="none"/>
                <w:lang w:val="en-US" w:eastAsia="zh-CN"/>
              </w:rPr>
            </w:pPr>
            <w:r>
              <w:rPr>
                <w:rFonts w:hint="eastAsia"/>
                <w:color w:val="auto"/>
                <w:highlight w:val="none"/>
                <w:lang w:val="en-US" w:eastAsia="zh-CN"/>
              </w:rPr>
              <w:t>4.提供的课程资源必须符合采购方在线培训平台系统相关要求，课程以及配套学习资料须通过线下方式拷贝给采购方，采购方进行课程资源审读。</w:t>
            </w:r>
          </w:p>
          <w:p w14:paraId="5FC1F019">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eastAsia"/>
                <w:color w:val="auto"/>
                <w:highlight w:val="none"/>
                <w:lang w:val="en-US" w:eastAsia="zh-CN"/>
              </w:rPr>
            </w:pPr>
            <w:r>
              <w:rPr>
                <w:rFonts w:hint="eastAsia"/>
                <w:color w:val="auto"/>
                <w:highlight w:val="none"/>
                <w:lang w:val="en-US" w:eastAsia="zh-CN"/>
              </w:rPr>
              <w:t>5.投标人须指派核心人员全程负责本项目，未经招标方书面同意不得更换人员。项目经理及技术负责人具有2022年以来，省级教师培训项目管理平台的项目管理及技术开发经验的相关证明材料。注：请响应投标人严格按照要求提交合同关键页面（关键页面包括签约时间、项目名称、服务内容页、金额和双方盖章）、在项目中所担任职务、主要工作、业主联系人、业主联系电话。</w:t>
            </w:r>
          </w:p>
          <w:p w14:paraId="44BDDEFA">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default"/>
                <w:color w:val="auto"/>
                <w:highlight w:val="none"/>
                <w:lang w:val="en-US" w:eastAsia="zh-CN"/>
              </w:rPr>
            </w:pPr>
            <w:r>
              <w:rPr>
                <w:rFonts w:hint="eastAsia"/>
                <w:color w:val="auto"/>
                <w:highlight w:val="none"/>
                <w:lang w:val="en-US" w:eastAsia="zh-CN"/>
              </w:rPr>
              <w:t>投标人须提供以上五方面的承诺函，每提供一项承诺得1分，满分5分。</w:t>
            </w:r>
          </w:p>
        </w:tc>
        <w:tc>
          <w:tcPr>
            <w:tcW w:w="738" w:type="dxa"/>
            <w:tcBorders>
              <w:tl2br w:val="nil"/>
              <w:tr2bl w:val="nil"/>
            </w:tcBorders>
            <w:noWrap w:val="0"/>
            <w:vAlign w:val="center"/>
          </w:tcPr>
          <w:p w14:paraId="52C766BA">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5分</w:t>
            </w:r>
          </w:p>
        </w:tc>
      </w:tr>
      <w:tr w14:paraId="56D4C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791" w:type="dxa"/>
            <w:tcBorders>
              <w:tl2br w:val="nil"/>
              <w:tr2bl w:val="nil"/>
            </w:tcBorders>
            <w:noWrap w:val="0"/>
            <w:vAlign w:val="center"/>
          </w:tcPr>
          <w:p w14:paraId="61C202E8">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3</w:t>
            </w:r>
          </w:p>
        </w:tc>
        <w:tc>
          <w:tcPr>
            <w:tcW w:w="1963" w:type="dxa"/>
            <w:tcBorders>
              <w:tl2br w:val="nil"/>
              <w:tr2bl w:val="nil"/>
            </w:tcBorders>
            <w:noWrap w:val="0"/>
            <w:vAlign w:val="center"/>
          </w:tcPr>
          <w:p w14:paraId="18F615FF">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color w:val="auto"/>
                <w:highlight w:val="none"/>
                <w:lang w:val="en-US" w:eastAsia="zh-CN"/>
              </w:rPr>
            </w:pPr>
            <w:r>
              <w:rPr>
                <w:rFonts w:hint="eastAsia"/>
                <w:color w:val="auto"/>
                <w:highlight w:val="none"/>
                <w:lang w:val="en-US" w:eastAsia="zh-CN"/>
              </w:rPr>
              <w:t>平台安全性</w:t>
            </w:r>
          </w:p>
        </w:tc>
        <w:tc>
          <w:tcPr>
            <w:tcW w:w="7498" w:type="dxa"/>
            <w:tcBorders>
              <w:tl2br w:val="nil"/>
              <w:tr2bl w:val="nil"/>
            </w:tcBorders>
            <w:noWrap w:val="0"/>
            <w:vAlign w:val="center"/>
          </w:tcPr>
          <w:p w14:paraId="2316A001">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default"/>
                <w:color w:val="auto"/>
                <w:highlight w:val="none"/>
                <w:lang w:val="en-US" w:eastAsia="zh-CN"/>
              </w:rPr>
            </w:pPr>
            <w:r>
              <w:rPr>
                <w:rFonts w:hint="eastAsia"/>
                <w:color w:val="auto"/>
                <w:highlight w:val="none"/>
                <w:lang w:val="en-US" w:eastAsia="zh-CN"/>
              </w:rPr>
              <w:t>投标人所投入本项目的服务平台具备国家信息安全等级保护三级（或以上）认证证书或备案证明，并附有2024年或2025年测评报告的得1分。</w:t>
            </w:r>
          </w:p>
        </w:tc>
        <w:tc>
          <w:tcPr>
            <w:tcW w:w="738" w:type="dxa"/>
            <w:tcBorders>
              <w:tl2br w:val="nil"/>
              <w:tr2bl w:val="nil"/>
            </w:tcBorders>
            <w:noWrap w:val="0"/>
            <w:vAlign w:val="center"/>
          </w:tcPr>
          <w:p w14:paraId="4AA97997">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1分</w:t>
            </w:r>
          </w:p>
        </w:tc>
      </w:tr>
      <w:tr w14:paraId="2FA99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91" w:type="dxa"/>
            <w:tcBorders>
              <w:tl2br w:val="nil"/>
              <w:tr2bl w:val="nil"/>
            </w:tcBorders>
            <w:noWrap w:val="0"/>
            <w:vAlign w:val="center"/>
          </w:tcPr>
          <w:p w14:paraId="548AD375">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4</w:t>
            </w:r>
          </w:p>
        </w:tc>
        <w:tc>
          <w:tcPr>
            <w:tcW w:w="1963" w:type="dxa"/>
            <w:tcBorders>
              <w:tl2br w:val="nil"/>
              <w:tr2bl w:val="nil"/>
            </w:tcBorders>
            <w:noWrap w:val="0"/>
            <w:vAlign w:val="center"/>
          </w:tcPr>
          <w:p w14:paraId="0FA2193F">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color w:val="auto"/>
                <w:highlight w:val="none"/>
                <w:lang w:val="en-US" w:eastAsia="zh-CN"/>
              </w:rPr>
            </w:pPr>
            <w:r>
              <w:rPr>
                <w:rFonts w:hint="eastAsia"/>
                <w:color w:val="auto"/>
                <w:highlight w:val="none"/>
                <w:lang w:val="en-US" w:eastAsia="zh-CN"/>
              </w:rPr>
              <w:t>计算机软件著作权登记证书</w:t>
            </w:r>
          </w:p>
        </w:tc>
        <w:tc>
          <w:tcPr>
            <w:tcW w:w="7498" w:type="dxa"/>
            <w:tcBorders>
              <w:tl2br w:val="nil"/>
              <w:tr2bl w:val="nil"/>
            </w:tcBorders>
            <w:noWrap w:val="0"/>
            <w:vAlign w:val="center"/>
          </w:tcPr>
          <w:p w14:paraId="3DD3423B">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left"/>
              <w:rPr>
                <w:rFonts w:hint="default"/>
                <w:color w:val="auto"/>
                <w:highlight w:val="none"/>
                <w:lang w:val="en-US" w:eastAsia="zh-CN"/>
              </w:rPr>
            </w:pPr>
            <w:r>
              <w:rPr>
                <w:rFonts w:hint="eastAsia"/>
                <w:color w:val="auto"/>
                <w:highlight w:val="none"/>
                <w:lang w:val="en-US" w:eastAsia="zh-CN"/>
              </w:rPr>
              <w:t>投标人具有与本项目内容相关的计算机软件著作权登记证书，如教师发展服务类、培训项目及学分管理类、同步在线培训类等相关技术的计算机软件著作权登记证书，每提供1个得0.5，最高1分。</w:t>
            </w:r>
          </w:p>
        </w:tc>
        <w:tc>
          <w:tcPr>
            <w:tcW w:w="738" w:type="dxa"/>
            <w:tcBorders>
              <w:tl2br w:val="nil"/>
              <w:tr2bl w:val="nil"/>
            </w:tcBorders>
            <w:noWrap w:val="0"/>
            <w:vAlign w:val="center"/>
          </w:tcPr>
          <w:p w14:paraId="6B5A59B7">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0990" w:type="dxa"/>
            <w:gridSpan w:val="4"/>
            <w:tcBorders>
              <w:tl2br w:val="nil"/>
              <w:tr2bl w:val="nil"/>
            </w:tcBorders>
            <w:noWrap w:val="0"/>
            <w:vAlign w:val="center"/>
          </w:tcPr>
          <w:p w14:paraId="1F1856A7">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r>
              <w:rPr>
                <w:rFonts w:hint="eastAsia" w:cs="宋体"/>
                <w:b/>
                <w:bCs/>
                <w:color w:val="auto"/>
                <w:sz w:val="24"/>
                <w:szCs w:val="24"/>
                <w:highlight w:val="none"/>
                <w:lang w:val="en-US" w:eastAsia="zh-CN"/>
              </w:rPr>
              <w:t>68</w:t>
            </w:r>
            <w:r>
              <w:rPr>
                <w:rFonts w:hint="eastAsia" w:ascii="宋体" w:hAnsi="宋体" w:eastAsia="宋体" w:cs="宋体"/>
                <w:b/>
                <w:bCs/>
                <w:color w:val="auto"/>
                <w:sz w:val="24"/>
                <w:szCs w:val="24"/>
                <w:highlight w:val="none"/>
                <w:lang w:val="en-US" w:eastAsia="zh-CN"/>
              </w:rPr>
              <w:t>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91" w:type="dxa"/>
            <w:tcBorders>
              <w:tl2br w:val="nil"/>
              <w:tr2bl w:val="nil"/>
            </w:tcBorders>
            <w:noWrap w:val="0"/>
            <w:vAlign w:val="center"/>
          </w:tcPr>
          <w:p w14:paraId="641A2062">
            <w:pPr>
              <w:pStyle w:val="131"/>
              <w:keepNext w:val="0"/>
              <w:keepLines w:val="0"/>
              <w:pageBreakBefore w:val="0"/>
              <w:widowControl/>
              <w:suppressLineNumbers w:val="0"/>
              <w:kinsoku/>
              <w:wordWrap/>
              <w:overflowPunct/>
              <w:topLinePunct w:val="0"/>
              <w:autoSpaceDE/>
              <w:autoSpaceDN/>
              <w:bidi w:val="0"/>
              <w:snapToGrid/>
              <w:spacing w:beforeAutospacing="0" w:afterAutospacing="0" w:line="360" w:lineRule="exact"/>
              <w:ind w:left="0" w:right="0" w:firstLine="72"/>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p>
        </w:tc>
        <w:tc>
          <w:tcPr>
            <w:tcW w:w="1963" w:type="dxa"/>
            <w:tcBorders>
              <w:tl2br w:val="nil"/>
              <w:tr2bl w:val="nil"/>
            </w:tcBorders>
            <w:noWrap w:val="0"/>
            <w:vAlign w:val="center"/>
          </w:tcPr>
          <w:p w14:paraId="3A1193B3">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课程数量及质量</w:t>
            </w:r>
          </w:p>
        </w:tc>
        <w:tc>
          <w:tcPr>
            <w:tcW w:w="7498" w:type="dxa"/>
            <w:tcBorders>
              <w:tl2br w:val="nil"/>
              <w:tr2bl w:val="nil"/>
            </w:tcBorders>
            <w:shd w:val="clear" w:color="auto" w:fill="auto"/>
            <w:noWrap w:val="0"/>
            <w:vAlign w:val="center"/>
          </w:tcPr>
          <w:p w14:paraId="0812009F">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投标人匹配附件《中小学幼儿园教师培训课程》匹配率超过95%（含），每个课程主题匹配不少于4门课程，且所有主题匹配的课程不少于3000门、总学时数不少于5000学时。本项满分5分。以上内容不满足，不得分。</w:t>
            </w:r>
          </w:p>
          <w:p w14:paraId="2A4719E1">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投标人匹配附件《所学非所教及学历课程》匹配率超过95%，投标人提供的应注明课程名称、课程负责人、课程建设单位，所提供课程是“省级一流课程或国家级一流课程”的需注明。本项满分5分。以上内容不满足，不得分。</w:t>
            </w:r>
          </w:p>
          <w:p w14:paraId="58329D1D">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《所学非所教及学历课程》中每有一门省级一流课程，得0.1分，最高得0.5分；每有一门国家级一流课程，得0.5分，最高得2分。本项满分2分。</w:t>
            </w:r>
          </w:p>
          <w:p w14:paraId="7CD8D289">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提供的课程，需符合意识形态要求，提供课程审读证明或其他证明资料。保证课程坚定正确的政治立场，教学内容无法律法规禁止的情形，符合课程思政要求，内容健康、正确，无科学性错误，提供相关审读作证资料得1分，不提供不得分。</w:t>
            </w:r>
          </w:p>
        </w:tc>
        <w:tc>
          <w:tcPr>
            <w:tcW w:w="738" w:type="dxa"/>
            <w:tcBorders>
              <w:tl2br w:val="nil"/>
              <w:tr2bl w:val="nil"/>
            </w:tcBorders>
            <w:noWrap w:val="0"/>
            <w:vAlign w:val="center"/>
          </w:tcPr>
          <w:p w14:paraId="2682CC2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13分</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963" w:type="dxa"/>
            <w:tcBorders>
              <w:tl2br w:val="nil"/>
              <w:tr2bl w:val="nil"/>
            </w:tcBorders>
            <w:noWrap w:val="0"/>
            <w:vAlign w:val="center"/>
          </w:tcPr>
          <w:p w14:paraId="19F81F12">
            <w:pPr>
              <w:spacing w:line="360" w:lineRule="exact"/>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运营服务质量保证措施</w:t>
            </w:r>
          </w:p>
        </w:tc>
        <w:tc>
          <w:tcPr>
            <w:tcW w:w="7498" w:type="dxa"/>
            <w:tcBorders>
              <w:tl2br w:val="nil"/>
              <w:tr2bl w:val="nil"/>
            </w:tcBorders>
            <w:shd w:val="clear" w:color="auto" w:fill="auto"/>
            <w:noWrap w:val="0"/>
            <w:vAlign w:val="center"/>
          </w:tcPr>
          <w:p w14:paraId="3D6DAF62">
            <w:pPr>
              <w:pStyle w:val="258"/>
              <w:spacing w:line="288"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投标人需提供七方面内容方案，包括：</w:t>
            </w:r>
            <w:r>
              <w:rPr>
                <w:rFonts w:hint="eastAsia" w:cs="宋体"/>
                <w:color w:val="auto"/>
                <w:sz w:val="24"/>
                <w:szCs w:val="24"/>
                <w:highlight w:val="none"/>
                <w:lang w:val="en-US" w:eastAsia="zh-CN" w:bidi="ar-SA"/>
              </w:rPr>
              <w:t>①</w:t>
            </w:r>
            <w:r>
              <w:rPr>
                <w:rFonts w:hint="eastAsia" w:ascii="宋体" w:hAnsi="宋体" w:eastAsia="宋体" w:cs="宋体"/>
                <w:color w:val="auto"/>
                <w:sz w:val="24"/>
                <w:szCs w:val="24"/>
                <w:highlight w:val="none"/>
                <w:lang w:val="en-US" w:eastAsia="zh-CN" w:bidi="ar-SA"/>
              </w:rPr>
              <w:t>客户服务、</w:t>
            </w:r>
            <w:r>
              <w:rPr>
                <w:rFonts w:hint="eastAsia" w:cs="宋体"/>
                <w:color w:val="auto"/>
                <w:sz w:val="24"/>
                <w:szCs w:val="24"/>
                <w:highlight w:val="none"/>
                <w:lang w:val="en-US" w:eastAsia="zh-CN" w:bidi="ar-SA"/>
              </w:rPr>
              <w:t>②</w:t>
            </w:r>
            <w:r>
              <w:rPr>
                <w:rFonts w:hint="eastAsia" w:ascii="宋体" w:hAnsi="宋体" w:eastAsia="宋体" w:cs="宋体"/>
                <w:color w:val="auto"/>
                <w:sz w:val="24"/>
                <w:szCs w:val="24"/>
                <w:highlight w:val="none"/>
                <w:lang w:val="en-US" w:eastAsia="zh-CN" w:bidi="ar-SA"/>
              </w:rPr>
              <w:t>内容运营服务、</w:t>
            </w:r>
            <w:r>
              <w:rPr>
                <w:rFonts w:hint="eastAsia" w:cs="宋体"/>
                <w:color w:val="auto"/>
                <w:sz w:val="24"/>
                <w:szCs w:val="24"/>
                <w:highlight w:val="none"/>
                <w:lang w:val="en-US" w:eastAsia="zh-CN" w:bidi="ar-SA"/>
              </w:rPr>
              <w:t>③</w:t>
            </w:r>
            <w:r>
              <w:rPr>
                <w:rFonts w:hint="eastAsia" w:ascii="宋体" w:hAnsi="宋体" w:eastAsia="宋体" w:cs="宋体"/>
                <w:color w:val="auto"/>
                <w:sz w:val="24"/>
                <w:szCs w:val="24"/>
                <w:highlight w:val="none"/>
                <w:lang w:val="en-US" w:eastAsia="zh-CN" w:bidi="ar-SA"/>
              </w:rPr>
              <w:t>活动运营服务、</w:t>
            </w:r>
            <w:r>
              <w:rPr>
                <w:rFonts w:hint="eastAsia" w:cs="宋体"/>
                <w:color w:val="auto"/>
                <w:sz w:val="24"/>
                <w:szCs w:val="24"/>
                <w:highlight w:val="none"/>
                <w:lang w:val="en-US" w:eastAsia="zh-CN" w:bidi="ar-SA"/>
              </w:rPr>
              <w:t>④</w:t>
            </w:r>
            <w:r>
              <w:rPr>
                <w:rFonts w:hint="eastAsia" w:ascii="宋体" w:hAnsi="宋体" w:eastAsia="宋体" w:cs="宋体"/>
                <w:color w:val="auto"/>
                <w:sz w:val="24"/>
                <w:szCs w:val="24"/>
                <w:highlight w:val="none"/>
                <w:lang w:val="en-US" w:eastAsia="zh-CN" w:bidi="ar-SA"/>
              </w:rPr>
              <w:t>用户管理与运营服务、</w:t>
            </w:r>
            <w:r>
              <w:rPr>
                <w:rFonts w:hint="eastAsia" w:cs="宋体"/>
                <w:color w:val="auto"/>
                <w:sz w:val="24"/>
                <w:szCs w:val="24"/>
                <w:highlight w:val="none"/>
                <w:lang w:val="en-US" w:eastAsia="zh-CN" w:bidi="ar-SA"/>
              </w:rPr>
              <w:t>⑤</w:t>
            </w:r>
            <w:r>
              <w:rPr>
                <w:rFonts w:hint="eastAsia" w:ascii="宋体" w:hAnsi="宋体" w:eastAsia="宋体" w:cs="宋体"/>
                <w:color w:val="auto"/>
                <w:sz w:val="24"/>
                <w:szCs w:val="24"/>
                <w:highlight w:val="none"/>
                <w:lang w:val="en-US" w:eastAsia="zh-CN" w:bidi="ar-SA"/>
              </w:rPr>
              <w:t>社区运营服务</w:t>
            </w:r>
            <w:r>
              <w:rPr>
                <w:rFonts w:hint="eastAsia" w:cs="宋体"/>
                <w:color w:val="auto"/>
                <w:sz w:val="24"/>
                <w:szCs w:val="24"/>
                <w:highlight w:val="none"/>
                <w:lang w:val="en-US" w:eastAsia="zh-CN" w:bidi="ar-SA"/>
              </w:rPr>
              <w:t>、⑥</w:t>
            </w:r>
            <w:r>
              <w:rPr>
                <w:rFonts w:hint="eastAsia" w:ascii="宋体" w:hAnsi="宋体" w:eastAsia="宋体" w:cs="宋体"/>
                <w:color w:val="auto"/>
                <w:sz w:val="24"/>
                <w:szCs w:val="24"/>
                <w:highlight w:val="none"/>
                <w:lang w:val="en-US" w:eastAsia="zh-CN" w:bidi="ar-SA"/>
              </w:rPr>
              <w:t>学时运营服务、</w:t>
            </w:r>
            <w:r>
              <w:rPr>
                <w:rFonts w:hint="eastAsia" w:cs="宋体"/>
                <w:color w:val="auto"/>
                <w:sz w:val="24"/>
                <w:szCs w:val="24"/>
                <w:highlight w:val="none"/>
                <w:lang w:val="en-US" w:eastAsia="zh-CN" w:bidi="ar-SA"/>
              </w:rPr>
              <w:t>⑦</w:t>
            </w:r>
            <w:r>
              <w:rPr>
                <w:rFonts w:hint="eastAsia" w:ascii="宋体" w:hAnsi="宋体" w:eastAsia="宋体" w:cs="宋体"/>
                <w:color w:val="auto"/>
                <w:sz w:val="24"/>
                <w:szCs w:val="24"/>
                <w:highlight w:val="none"/>
                <w:lang w:val="en-US" w:eastAsia="zh-CN" w:bidi="ar-SA"/>
              </w:rPr>
              <w:t>数据运营服务。</w:t>
            </w:r>
          </w:p>
          <w:p w14:paraId="1DAF2A2A">
            <w:pPr>
              <w:pStyle w:val="258"/>
              <w:spacing w:line="288" w:lineRule="auto"/>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投标人提供的上述七方面方案，每缺少一项内容扣1分，每有一处缺陷扣0.5分，扣完为止。</w:t>
            </w:r>
            <w:r>
              <w:rPr>
                <w:rFonts w:hint="eastAsia"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缺陷是指：前后内容不一致、缺少针对性、存在凭空编造、涉及的规范及标准错误、项目名称或实施地点区域错误、内容简略不够详细或与本项目无关等任意一种情形等</w:t>
            </w:r>
            <w:r>
              <w:rPr>
                <w:rFonts w:hint="eastAsia" w:cs="宋体"/>
                <w:color w:val="auto"/>
                <w:sz w:val="24"/>
                <w:szCs w:val="24"/>
                <w:highlight w:val="none"/>
                <w:lang w:val="en-US" w:eastAsia="zh-CN" w:bidi="ar-SA"/>
              </w:rPr>
              <w:t>）</w:t>
            </w:r>
          </w:p>
        </w:tc>
        <w:tc>
          <w:tcPr>
            <w:tcW w:w="738" w:type="dxa"/>
            <w:tcBorders>
              <w:tl2br w:val="nil"/>
              <w:tr2bl w:val="nil"/>
            </w:tcBorders>
            <w:noWrap w:val="0"/>
            <w:vAlign w:val="center"/>
          </w:tcPr>
          <w:p w14:paraId="792EA3D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7分</w:t>
            </w:r>
          </w:p>
        </w:tc>
      </w:tr>
      <w:tr w14:paraId="03617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5EA08544">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963" w:type="dxa"/>
            <w:tcBorders>
              <w:tl2br w:val="nil"/>
              <w:tr2bl w:val="nil"/>
            </w:tcBorders>
            <w:shd w:val="clear" w:color="auto" w:fill="auto"/>
            <w:noWrap w:val="0"/>
            <w:vAlign w:val="center"/>
          </w:tcPr>
          <w:p w14:paraId="7348004C">
            <w:pPr>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zh-CN" w:bidi="ar-SA"/>
              </w:rPr>
              <w:t>课程授权</w:t>
            </w:r>
          </w:p>
        </w:tc>
        <w:tc>
          <w:tcPr>
            <w:tcW w:w="7498" w:type="dxa"/>
            <w:tcBorders>
              <w:tl2br w:val="nil"/>
              <w:tr2bl w:val="nil"/>
            </w:tcBorders>
            <w:shd w:val="clear" w:color="auto" w:fill="auto"/>
            <w:noWrap w:val="0"/>
            <w:vAlign w:val="center"/>
          </w:tcPr>
          <w:p w14:paraId="49DF95C3">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（1）响应</w:t>
            </w:r>
            <w:r>
              <w:rPr>
                <w:rFonts w:hint="eastAsia" w:cs="宋体"/>
                <w:color w:val="auto"/>
                <w:sz w:val="24"/>
                <w:szCs w:val="24"/>
                <w:highlight w:val="none"/>
                <w:lang w:val="en-US" w:eastAsia="zh-CN" w:bidi="ar-SA"/>
              </w:rPr>
              <w:t>投标人</w:t>
            </w:r>
            <w:r>
              <w:rPr>
                <w:rFonts w:hint="eastAsia" w:ascii="宋体" w:hAnsi="宋体" w:eastAsia="宋体" w:cs="宋体"/>
                <w:color w:val="auto"/>
                <w:sz w:val="24"/>
                <w:szCs w:val="24"/>
                <w:highlight w:val="none"/>
                <w:lang w:val="en-US" w:eastAsia="zh-CN" w:bidi="ar-SA"/>
              </w:rPr>
              <w:t>具备课程自主研发能力，可提供自20</w:t>
            </w:r>
            <w:r>
              <w:rPr>
                <w:rFonts w:hint="eastAsia" w:cs="宋体"/>
                <w:color w:val="auto"/>
                <w:sz w:val="24"/>
                <w:szCs w:val="24"/>
                <w:highlight w:val="none"/>
                <w:lang w:val="en-US" w:eastAsia="zh-CN" w:bidi="ar-SA"/>
              </w:rPr>
              <w:t>22</w:t>
            </w:r>
            <w:r>
              <w:rPr>
                <w:rFonts w:hint="eastAsia" w:ascii="宋体" w:hAnsi="宋体" w:eastAsia="宋体" w:cs="宋体"/>
                <w:color w:val="auto"/>
                <w:sz w:val="24"/>
                <w:szCs w:val="24"/>
                <w:highlight w:val="none"/>
                <w:lang w:val="en-US" w:eastAsia="zh-CN" w:bidi="ar-SA"/>
              </w:rPr>
              <w:t>年以来的课程作品登记证书。每提供一份计1分，最高得分为4分；</w:t>
            </w:r>
            <w:r>
              <w:rPr>
                <w:rFonts w:hint="eastAsia" w:ascii="宋体" w:hAnsi="宋体" w:eastAsia="宋体" w:cs="宋体"/>
                <w:color w:val="auto"/>
                <w:sz w:val="24"/>
                <w:szCs w:val="24"/>
                <w:highlight w:val="none"/>
                <w:lang w:val="en-US" w:eastAsia="zh-CN" w:bidi="ar-SA"/>
              </w:rPr>
              <w:br w:type="textWrapping"/>
            </w:r>
            <w:r>
              <w:rPr>
                <w:rFonts w:hint="eastAsia" w:ascii="宋体" w:hAnsi="宋体" w:eastAsia="宋体" w:cs="宋体"/>
                <w:color w:val="auto"/>
                <w:sz w:val="24"/>
                <w:szCs w:val="24"/>
                <w:highlight w:val="none"/>
                <w:lang w:val="en-US" w:eastAsia="zh-CN" w:bidi="ar-SA"/>
              </w:rPr>
              <w:t>（2）响应</w:t>
            </w:r>
            <w:r>
              <w:rPr>
                <w:rFonts w:hint="eastAsia" w:cs="宋体"/>
                <w:color w:val="auto"/>
                <w:sz w:val="24"/>
                <w:szCs w:val="24"/>
                <w:highlight w:val="none"/>
                <w:lang w:val="en-US" w:eastAsia="zh-CN" w:bidi="ar-SA"/>
              </w:rPr>
              <w:t>投标人</w:t>
            </w:r>
            <w:r>
              <w:rPr>
                <w:rFonts w:hint="eastAsia" w:ascii="宋体" w:hAnsi="宋体" w:eastAsia="宋体" w:cs="宋体"/>
                <w:color w:val="auto"/>
                <w:sz w:val="24"/>
                <w:szCs w:val="24"/>
                <w:highlight w:val="none"/>
                <w:lang w:val="en-US" w:eastAsia="zh-CN" w:bidi="ar-SA"/>
              </w:rPr>
              <w:t>具备课程资源整合能力，可提供自202</w:t>
            </w:r>
            <w:r>
              <w:rPr>
                <w:rFonts w:hint="eastAsia"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年以来与教育部直属师范类院校签署的课程资源合作协议或授权书，用以证明其具备整合并提供丰富课程资源的能力。每提供一份计2分。</w:t>
            </w:r>
          </w:p>
        </w:tc>
        <w:tc>
          <w:tcPr>
            <w:tcW w:w="738" w:type="dxa"/>
            <w:tcBorders>
              <w:tl2br w:val="nil"/>
              <w:tr2bl w:val="nil"/>
            </w:tcBorders>
            <w:shd w:val="clear" w:color="auto" w:fill="auto"/>
            <w:noWrap w:val="0"/>
            <w:vAlign w:val="center"/>
          </w:tcPr>
          <w:p w14:paraId="168E7BB3">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leftChars="0" w:right="0" w:rightChars="0"/>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rPr>
              <w:t>6分</w:t>
            </w:r>
          </w:p>
        </w:tc>
      </w:tr>
      <w:tr w14:paraId="21287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91" w:type="dxa"/>
            <w:tcBorders>
              <w:tl2br w:val="nil"/>
              <w:tr2bl w:val="nil"/>
            </w:tcBorders>
            <w:noWrap w:val="0"/>
            <w:vAlign w:val="center"/>
          </w:tcPr>
          <w:p w14:paraId="67A8E074">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963" w:type="dxa"/>
            <w:tcBorders>
              <w:tl2br w:val="nil"/>
              <w:tr2bl w:val="nil"/>
            </w:tcBorders>
            <w:noWrap w:val="0"/>
            <w:vAlign w:val="center"/>
          </w:tcPr>
          <w:p w14:paraId="0E428D76">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运维服务质量保证措施</w:t>
            </w:r>
          </w:p>
        </w:tc>
        <w:tc>
          <w:tcPr>
            <w:tcW w:w="7498" w:type="dxa"/>
            <w:tcBorders>
              <w:tl2br w:val="nil"/>
              <w:tr2bl w:val="nil"/>
            </w:tcBorders>
            <w:shd w:val="clear" w:color="auto" w:fill="auto"/>
            <w:noWrap w:val="0"/>
            <w:vAlign w:val="center"/>
          </w:tcPr>
          <w:p w14:paraId="36B88941">
            <w:pPr>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投标人需提供四方面内容方案，包括：</w:t>
            </w:r>
            <w:r>
              <w:rPr>
                <w:rFonts w:hint="eastAsia" w:cs="宋体"/>
                <w:color w:val="auto"/>
                <w:sz w:val="24"/>
                <w:szCs w:val="24"/>
                <w:highlight w:val="none"/>
                <w:lang w:val="en-US" w:eastAsia="zh-CN" w:bidi="ar-SA"/>
              </w:rPr>
              <w:t>①</w:t>
            </w:r>
            <w:r>
              <w:rPr>
                <w:rFonts w:hint="eastAsia" w:ascii="宋体" w:hAnsi="宋体" w:eastAsia="宋体" w:cs="宋体"/>
                <w:color w:val="auto"/>
                <w:sz w:val="24"/>
                <w:szCs w:val="24"/>
                <w:highlight w:val="none"/>
                <w:lang w:val="en-US" w:eastAsia="zh-CN" w:bidi="ar-SA"/>
              </w:rPr>
              <w:t>系统运维服务、</w:t>
            </w:r>
            <w:r>
              <w:rPr>
                <w:rFonts w:hint="eastAsia" w:cs="宋体"/>
                <w:color w:val="auto"/>
                <w:sz w:val="24"/>
                <w:szCs w:val="24"/>
                <w:highlight w:val="none"/>
                <w:lang w:val="en-US" w:eastAsia="zh-CN" w:bidi="ar-SA"/>
              </w:rPr>
              <w:t>②</w:t>
            </w:r>
            <w:r>
              <w:rPr>
                <w:rFonts w:hint="eastAsia" w:ascii="宋体" w:hAnsi="宋体" w:eastAsia="宋体" w:cs="宋体"/>
                <w:color w:val="auto"/>
                <w:sz w:val="24"/>
                <w:szCs w:val="24"/>
                <w:highlight w:val="none"/>
                <w:lang w:val="en-US" w:eastAsia="zh-CN" w:bidi="ar-SA"/>
              </w:rPr>
              <w:t>数据迁移服务、</w:t>
            </w:r>
            <w:r>
              <w:rPr>
                <w:rFonts w:hint="eastAsia" w:cs="宋体"/>
                <w:color w:val="auto"/>
                <w:sz w:val="24"/>
                <w:szCs w:val="24"/>
                <w:highlight w:val="none"/>
                <w:lang w:val="en-US" w:eastAsia="zh-CN" w:bidi="ar-SA"/>
              </w:rPr>
              <w:t>③</w:t>
            </w:r>
            <w:r>
              <w:rPr>
                <w:rFonts w:hint="eastAsia" w:ascii="宋体" w:hAnsi="宋体" w:eastAsia="宋体" w:cs="宋体"/>
                <w:color w:val="auto"/>
                <w:sz w:val="24"/>
                <w:szCs w:val="24"/>
                <w:highlight w:val="none"/>
                <w:lang w:val="en-US" w:eastAsia="zh-CN" w:bidi="ar-SA"/>
              </w:rPr>
              <w:t>安全运营服务、</w:t>
            </w:r>
            <w:r>
              <w:rPr>
                <w:rFonts w:hint="eastAsia" w:cs="宋体"/>
                <w:color w:val="auto"/>
                <w:sz w:val="24"/>
                <w:szCs w:val="24"/>
                <w:highlight w:val="none"/>
                <w:lang w:val="en-US" w:eastAsia="zh-CN" w:bidi="ar-SA"/>
              </w:rPr>
              <w:t>④</w:t>
            </w:r>
            <w:r>
              <w:rPr>
                <w:rFonts w:hint="eastAsia" w:ascii="宋体" w:hAnsi="宋体" w:eastAsia="宋体" w:cs="宋体"/>
                <w:color w:val="auto"/>
                <w:sz w:val="24"/>
                <w:szCs w:val="24"/>
                <w:highlight w:val="none"/>
                <w:lang w:val="en-US" w:eastAsia="zh-CN" w:bidi="ar-SA"/>
              </w:rPr>
              <w:t>其他要求。</w:t>
            </w:r>
          </w:p>
          <w:p w14:paraId="7AC3392F">
            <w:pPr>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投标人提供的上述</w:t>
            </w:r>
            <w:r>
              <w:rPr>
                <w:rFonts w:hint="eastAsia" w:cs="宋体"/>
                <w:color w:val="auto"/>
                <w:sz w:val="24"/>
                <w:szCs w:val="24"/>
                <w:highlight w:val="none"/>
                <w:lang w:val="en-US" w:eastAsia="zh-CN" w:bidi="ar-SA"/>
              </w:rPr>
              <w:t>四</w:t>
            </w:r>
            <w:r>
              <w:rPr>
                <w:rFonts w:hint="eastAsia" w:ascii="宋体" w:hAnsi="宋体" w:eastAsia="宋体" w:cs="宋体"/>
                <w:color w:val="auto"/>
                <w:sz w:val="24"/>
                <w:szCs w:val="24"/>
                <w:highlight w:val="none"/>
                <w:lang w:val="en-US" w:eastAsia="zh-CN" w:bidi="ar-SA"/>
              </w:rPr>
              <w:t>方面方案，每缺少一项内容扣1分，每有一处缺陷扣</w:t>
            </w:r>
            <w:r>
              <w:rPr>
                <w:rFonts w:hint="eastAsia" w:cs="宋体"/>
                <w:color w:val="auto"/>
                <w:sz w:val="24"/>
                <w:szCs w:val="24"/>
                <w:highlight w:val="none"/>
                <w:lang w:val="en-US" w:eastAsia="zh-CN" w:bidi="ar-SA"/>
              </w:rPr>
              <w:t>0.5分，</w:t>
            </w:r>
            <w:r>
              <w:rPr>
                <w:rFonts w:hint="eastAsia" w:ascii="宋体" w:hAnsi="宋体" w:eastAsia="宋体" w:cs="宋体"/>
                <w:color w:val="auto"/>
                <w:sz w:val="24"/>
                <w:szCs w:val="24"/>
                <w:highlight w:val="none"/>
                <w:lang w:val="en-US" w:eastAsia="zh-CN" w:bidi="ar-SA"/>
              </w:rPr>
              <w:t>扣完为止。</w:t>
            </w:r>
            <w:r>
              <w:rPr>
                <w:rFonts w:hint="eastAsia"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缺陷是指：前后内容不一致、缺少针对性、存在凭空编造、涉及的规范及标准错误、项目名称或实施地点区域错误、内容简略不够详细或与本项目无关等任意一种情形等</w:t>
            </w:r>
            <w:r>
              <w:rPr>
                <w:rFonts w:hint="eastAsia" w:cs="宋体"/>
                <w:color w:val="auto"/>
                <w:sz w:val="24"/>
                <w:szCs w:val="24"/>
                <w:highlight w:val="none"/>
                <w:lang w:val="en-US" w:eastAsia="zh-CN" w:bidi="ar-SA"/>
              </w:rPr>
              <w:t>）</w:t>
            </w:r>
          </w:p>
        </w:tc>
        <w:tc>
          <w:tcPr>
            <w:tcW w:w="738" w:type="dxa"/>
            <w:tcBorders>
              <w:tl2br w:val="nil"/>
              <w:tr2bl w:val="nil"/>
            </w:tcBorders>
            <w:noWrap w:val="0"/>
            <w:vAlign w:val="center"/>
          </w:tcPr>
          <w:p w14:paraId="690A709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4分</w:t>
            </w:r>
          </w:p>
        </w:tc>
      </w:tr>
      <w:tr w14:paraId="7463E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91" w:type="dxa"/>
            <w:tcBorders>
              <w:tl2br w:val="nil"/>
              <w:tr2bl w:val="nil"/>
            </w:tcBorders>
            <w:noWrap w:val="0"/>
            <w:vAlign w:val="center"/>
          </w:tcPr>
          <w:p w14:paraId="4159310C">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963" w:type="dxa"/>
            <w:tcBorders>
              <w:tl2br w:val="nil"/>
              <w:tr2bl w:val="nil"/>
            </w:tcBorders>
            <w:shd w:val="clear" w:color="auto" w:fill="auto"/>
            <w:noWrap w:val="0"/>
            <w:vAlign w:val="center"/>
          </w:tcPr>
          <w:p w14:paraId="5C8500B9">
            <w:pPr>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硬件服务器、网络和大模型要求</w:t>
            </w:r>
          </w:p>
        </w:tc>
        <w:tc>
          <w:tcPr>
            <w:tcW w:w="7498" w:type="dxa"/>
            <w:tcBorders>
              <w:tl2br w:val="nil"/>
              <w:tr2bl w:val="nil"/>
            </w:tcBorders>
            <w:shd w:val="clear" w:color="auto" w:fill="auto"/>
            <w:noWrap w:val="0"/>
            <w:vAlign w:val="center"/>
          </w:tcPr>
          <w:p w14:paraId="42C89BF4">
            <w:pPr>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投标人需提供三方面内容方案，包括：</w:t>
            </w:r>
            <w:r>
              <w:rPr>
                <w:rFonts w:hint="eastAsia" w:cs="宋体"/>
                <w:color w:val="auto"/>
                <w:sz w:val="24"/>
                <w:szCs w:val="24"/>
                <w:highlight w:val="none"/>
                <w:lang w:val="en-US" w:eastAsia="zh-CN" w:bidi="ar-SA"/>
              </w:rPr>
              <w:t>①</w:t>
            </w:r>
            <w:r>
              <w:rPr>
                <w:rFonts w:hint="eastAsia" w:ascii="宋体" w:hAnsi="宋体" w:eastAsia="宋体" w:cs="宋体"/>
                <w:color w:val="auto"/>
                <w:sz w:val="24"/>
                <w:szCs w:val="24"/>
                <w:highlight w:val="none"/>
                <w:lang w:val="en-US" w:eastAsia="zh-CN" w:bidi="ar-SA"/>
              </w:rPr>
              <w:t>硬件服务器、</w:t>
            </w:r>
            <w:r>
              <w:rPr>
                <w:rFonts w:hint="eastAsia" w:cs="宋体"/>
                <w:color w:val="auto"/>
                <w:sz w:val="24"/>
                <w:szCs w:val="24"/>
                <w:highlight w:val="none"/>
                <w:lang w:val="en-US" w:eastAsia="zh-CN" w:bidi="ar-SA"/>
              </w:rPr>
              <w:t>②</w:t>
            </w:r>
            <w:r>
              <w:rPr>
                <w:rFonts w:hint="eastAsia" w:ascii="宋体" w:hAnsi="宋体" w:eastAsia="宋体" w:cs="宋体"/>
                <w:color w:val="auto"/>
                <w:sz w:val="24"/>
                <w:szCs w:val="24"/>
                <w:highlight w:val="none"/>
                <w:lang w:val="en-US" w:eastAsia="zh-CN" w:bidi="ar-SA"/>
              </w:rPr>
              <w:t>网络带宽资源、</w:t>
            </w:r>
            <w:r>
              <w:rPr>
                <w:rFonts w:hint="eastAsia" w:cs="宋体"/>
                <w:color w:val="auto"/>
                <w:sz w:val="24"/>
                <w:szCs w:val="24"/>
                <w:highlight w:val="none"/>
                <w:lang w:val="en-US" w:eastAsia="zh-CN" w:bidi="ar-SA"/>
              </w:rPr>
              <w:t>③</w:t>
            </w:r>
            <w:r>
              <w:rPr>
                <w:rFonts w:hint="eastAsia" w:ascii="宋体" w:hAnsi="宋体" w:eastAsia="宋体" w:cs="宋体"/>
                <w:color w:val="auto"/>
                <w:sz w:val="24"/>
                <w:szCs w:val="24"/>
                <w:highlight w:val="none"/>
                <w:lang w:val="en-US" w:eastAsia="zh-CN" w:bidi="ar-SA"/>
              </w:rPr>
              <w:t>大模型。</w:t>
            </w:r>
          </w:p>
          <w:p w14:paraId="7818EA89">
            <w:pPr>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投标人提供的上述三方面方案非常全面，且完全满足或优于采购需求得6分</w:t>
            </w:r>
            <w:r>
              <w:rPr>
                <w:rFonts w:hint="eastAsia" w:cs="宋体"/>
                <w:color w:val="auto"/>
                <w:sz w:val="24"/>
                <w:szCs w:val="24"/>
                <w:highlight w:val="none"/>
                <w:lang w:val="en-US" w:eastAsia="zh-CN" w:bidi="ar-SA"/>
              </w:rPr>
              <w:t>，每有一项不满足扣3分</w:t>
            </w:r>
            <w:r>
              <w:rPr>
                <w:rFonts w:hint="eastAsia" w:ascii="宋体" w:hAnsi="宋体"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扣完为止。</w:t>
            </w:r>
          </w:p>
        </w:tc>
        <w:tc>
          <w:tcPr>
            <w:tcW w:w="738" w:type="dxa"/>
            <w:tcBorders>
              <w:tl2br w:val="nil"/>
              <w:tr2bl w:val="nil"/>
            </w:tcBorders>
            <w:noWrap w:val="0"/>
            <w:vAlign w:val="center"/>
          </w:tcPr>
          <w:p w14:paraId="642ABE1A">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6分</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791" w:type="dxa"/>
            <w:tcBorders>
              <w:tl2br w:val="nil"/>
              <w:tr2bl w:val="nil"/>
            </w:tcBorders>
            <w:noWrap w:val="0"/>
            <w:vAlign w:val="center"/>
          </w:tcPr>
          <w:p w14:paraId="190866FB">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10</w:t>
            </w:r>
          </w:p>
        </w:tc>
        <w:tc>
          <w:tcPr>
            <w:tcW w:w="1963" w:type="dxa"/>
            <w:tcBorders>
              <w:tl2br w:val="nil"/>
              <w:tr2bl w:val="nil"/>
            </w:tcBorders>
            <w:noWrap w:val="0"/>
            <w:vAlign w:val="center"/>
          </w:tcPr>
          <w:p w14:paraId="11369537">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现场演示</w:t>
            </w:r>
          </w:p>
          <w:p w14:paraId="2A5B314C">
            <w:pPr>
              <w:pStyle w:val="414"/>
              <w:keepNext w:val="0"/>
              <w:keepLines w:val="0"/>
              <w:pageBreakBefore w:val="0"/>
              <w:widowControl/>
              <w:suppressLineNumbers w:val="0"/>
              <w:kinsoku/>
              <w:wordWrap/>
              <w:overflowPunct/>
              <w:topLinePunct w:val="0"/>
              <w:autoSpaceDE/>
              <w:autoSpaceDN/>
              <w:bidi w:val="0"/>
              <w:snapToGrid/>
              <w:spacing w:before="86" w:beforeAutospacing="0" w:after="0" w:afterAutospacing="0" w:line="360" w:lineRule="exact"/>
              <w:ind w:left="0" w:right="0"/>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（注：开标时进入腾讯会议以线上形式演示）</w:t>
            </w:r>
          </w:p>
        </w:tc>
        <w:tc>
          <w:tcPr>
            <w:tcW w:w="7498" w:type="dxa"/>
            <w:tcBorders>
              <w:tl2br w:val="nil"/>
              <w:tr2bl w:val="nil"/>
            </w:tcBorders>
            <w:shd w:val="clear" w:color="auto" w:fill="auto"/>
            <w:noWrap w:val="0"/>
            <w:vAlign w:val="center"/>
          </w:tcPr>
          <w:p w14:paraId="54E74221">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投标人须使用所开发的真实系统进行演示，使用原型、PPT、视频等替代演示不得分。演示功能由评委根据“系统具体功能要求”清单，随机从带“▲”条款中抽取5项系统功能点，每有一项功能不完全满足扣4分，扣完为止</w:t>
            </w:r>
            <w:r>
              <w:rPr>
                <w:rFonts w:hint="eastAsia" w:cs="宋体"/>
                <w:color w:val="auto"/>
                <w:sz w:val="24"/>
                <w:szCs w:val="24"/>
                <w:highlight w:val="none"/>
                <w:lang w:val="en-US" w:eastAsia="zh-CN"/>
              </w:rPr>
              <w:t>，此项满分为20分</w:t>
            </w:r>
            <w:r>
              <w:rPr>
                <w:rFonts w:hint="eastAsia" w:ascii="宋体" w:hAnsi="宋体" w:eastAsia="宋体" w:cs="宋体"/>
                <w:color w:val="auto"/>
                <w:sz w:val="24"/>
                <w:szCs w:val="24"/>
                <w:highlight w:val="none"/>
                <w:lang w:val="en-US" w:eastAsia="zh-CN"/>
              </w:rPr>
              <w:t>。</w:t>
            </w:r>
          </w:p>
          <w:p w14:paraId="09E6722F">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②由评委从采购需求附件一《中小学幼儿园教师培训课程》及附件二《所学非所教及学历课程》“课程清单”中，各随机抽取课程4门，共8门课程进行演示。每一类课程质量清晰、声音清晰、课程质量好。不满足每类课程要求扣1分，扣完为止，此项满分为8分。</w:t>
            </w:r>
          </w:p>
        </w:tc>
        <w:tc>
          <w:tcPr>
            <w:tcW w:w="738" w:type="dxa"/>
            <w:tcBorders>
              <w:tl2br w:val="nil"/>
              <w:tr2bl w:val="nil"/>
            </w:tcBorders>
            <w:noWrap w:val="0"/>
            <w:vAlign w:val="center"/>
          </w:tcPr>
          <w:p w14:paraId="23A4710C">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 xml:space="preserve">28分 </w:t>
            </w:r>
          </w:p>
        </w:tc>
      </w:tr>
      <w:tr w14:paraId="00EF0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0" w:type="auto"/>
            <w:vAlign w:val="center"/>
          </w:tcPr>
          <w:p w14:paraId="34F9AAB9">
            <w:pPr>
              <w:pStyle w:val="11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7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963" w:type="dxa"/>
            <w:vAlign w:val="center"/>
          </w:tcPr>
          <w:p w14:paraId="3895CFD4">
            <w:pPr>
              <w:pStyle w:val="414"/>
              <w:keepNext w:val="0"/>
              <w:keepLines w:val="0"/>
              <w:pageBreakBefore w:val="0"/>
              <w:widowControl/>
              <w:suppressLineNumbers w:val="0"/>
              <w:kinsoku/>
              <w:wordWrap/>
              <w:overflowPunct/>
              <w:topLinePunct w:val="0"/>
              <w:autoSpaceDE/>
              <w:autoSpaceDN/>
              <w:bidi w:val="0"/>
              <w:snapToGrid/>
              <w:spacing w:before="86" w:beforeAutospacing="0" w:after="0" w:afterAutospacing="0" w:line="360" w:lineRule="exact"/>
              <w:ind w:left="0" w:right="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售后服务</w:t>
            </w:r>
          </w:p>
        </w:tc>
        <w:tc>
          <w:tcPr>
            <w:tcW w:w="7498" w:type="dxa"/>
            <w:shd w:val="clear" w:color="auto" w:fill="auto"/>
            <w:vAlign w:val="center"/>
          </w:tcPr>
          <w:p w14:paraId="37C8250D">
            <w:pPr>
              <w:pStyle w:val="131"/>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firstLine="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1、根据</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的</w:t>
            </w:r>
            <w:r>
              <w:rPr>
                <w:rFonts w:hint="eastAsia"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质保承诺</w:t>
            </w:r>
            <w:r>
              <w:rPr>
                <w:rFonts w:hint="eastAsia"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售后服务体系</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服务</w:t>
            </w:r>
            <w:r>
              <w:rPr>
                <w:rFonts w:hint="eastAsia" w:cs="宋体"/>
                <w:color w:val="auto"/>
                <w:sz w:val="24"/>
                <w:szCs w:val="24"/>
                <w:highlight w:val="none"/>
                <w:lang w:val="en-US" w:eastAsia="zh-CN"/>
              </w:rPr>
              <w:t>响应时间；④</w:t>
            </w:r>
            <w:r>
              <w:rPr>
                <w:rFonts w:hint="eastAsia" w:ascii="宋体" w:hAnsi="宋体" w:eastAsia="宋体" w:cs="宋体"/>
                <w:color w:val="auto"/>
                <w:sz w:val="24"/>
                <w:szCs w:val="24"/>
                <w:highlight w:val="none"/>
                <w:lang w:val="en-US" w:eastAsia="zh-CN"/>
              </w:rPr>
              <w:t>有后续功能定制开发的技术能力</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提供长期良好的本地化服务保障（提供本地化服务承诺书）</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rPr>
              <w:t>做出详细的承诺等</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rPr>
              <w:t>部分要素进行评审。</w:t>
            </w:r>
            <w:r>
              <w:rPr>
                <w:rFonts w:hint="eastAsia" w:cs="宋体"/>
                <w:color w:val="auto"/>
                <w:sz w:val="24"/>
                <w:szCs w:val="24"/>
                <w:highlight w:val="none"/>
                <w:lang w:val="en-US" w:eastAsia="zh-CN"/>
              </w:rPr>
              <w:t>投标人每提供一项得1分，</w:t>
            </w:r>
            <w:r>
              <w:rPr>
                <w:rFonts w:hint="eastAsia" w:ascii="宋体" w:hAnsi="宋体" w:eastAsia="宋体" w:cs="宋体"/>
                <w:color w:val="auto"/>
                <w:sz w:val="24"/>
                <w:szCs w:val="24"/>
                <w:highlight w:val="none"/>
                <w:lang w:val="en-US" w:eastAsia="zh-CN" w:bidi="ar-SA"/>
              </w:rPr>
              <w:t>每有一处缺陷扣</w:t>
            </w:r>
            <w:r>
              <w:rPr>
                <w:rFonts w:hint="eastAsia" w:cs="宋体"/>
                <w:color w:val="auto"/>
                <w:sz w:val="24"/>
                <w:szCs w:val="24"/>
                <w:highlight w:val="none"/>
                <w:lang w:val="en-US" w:eastAsia="zh-CN" w:bidi="ar-SA"/>
              </w:rPr>
              <w:t>0.5分，</w:t>
            </w:r>
            <w:r>
              <w:rPr>
                <w:rFonts w:hint="eastAsia" w:ascii="宋体" w:hAnsi="宋体" w:eastAsia="宋体" w:cs="宋体"/>
                <w:color w:val="auto"/>
                <w:sz w:val="24"/>
                <w:szCs w:val="24"/>
                <w:highlight w:val="none"/>
                <w:lang w:val="en-US" w:eastAsia="zh-CN" w:bidi="ar-SA"/>
              </w:rPr>
              <w:t>扣完为止</w:t>
            </w:r>
            <w:r>
              <w:rPr>
                <w:rFonts w:hint="eastAsia" w:cs="宋体"/>
                <w:color w:val="auto"/>
                <w:sz w:val="24"/>
                <w:szCs w:val="24"/>
                <w:highlight w:val="none"/>
                <w:lang w:val="en-US" w:eastAsia="zh-CN" w:bidi="ar-SA"/>
              </w:rPr>
              <w:t>，</w:t>
            </w:r>
            <w:r>
              <w:rPr>
                <w:rFonts w:hint="eastAsia" w:cs="宋体"/>
                <w:color w:val="auto"/>
                <w:sz w:val="24"/>
                <w:szCs w:val="24"/>
                <w:highlight w:val="none"/>
                <w:lang w:val="en-US" w:eastAsia="zh-CN"/>
              </w:rPr>
              <w:t>满分4分</w:t>
            </w:r>
            <w:r>
              <w:rPr>
                <w:rFonts w:hint="eastAsia" w:ascii="宋体" w:hAnsi="宋体" w:eastAsia="宋体" w:cs="宋体"/>
                <w:color w:val="auto"/>
                <w:sz w:val="24"/>
                <w:szCs w:val="24"/>
                <w:highlight w:val="none"/>
                <w:lang w:val="en-US"/>
              </w:rPr>
              <w:t>。</w:t>
            </w:r>
            <w:r>
              <w:rPr>
                <w:rFonts w:hint="eastAsia"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缺陷是指：前后内容不一致、缺少针对性、存在凭空编造、涉及的规范及标准错误、项目名称或实施地点区域错误、内容简略不够详细或与本项目无关等任意一种情形等</w:t>
            </w:r>
            <w:r>
              <w:rPr>
                <w:rFonts w:hint="eastAsia" w:cs="宋体"/>
                <w:color w:val="auto"/>
                <w:sz w:val="24"/>
                <w:szCs w:val="24"/>
                <w:highlight w:val="none"/>
                <w:lang w:val="en-US" w:eastAsia="zh-CN" w:bidi="ar-SA"/>
              </w:rPr>
              <w:t>）</w:t>
            </w:r>
          </w:p>
        </w:tc>
        <w:tc>
          <w:tcPr>
            <w:tcW w:w="738" w:type="dxa"/>
            <w:vAlign w:val="center"/>
          </w:tcPr>
          <w:p w14:paraId="04671B8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4分</w:t>
            </w:r>
          </w:p>
        </w:tc>
      </w:tr>
      <w:bookmarkEnd w:id="4"/>
    </w:tbl>
    <w:p w14:paraId="767A634E">
      <w:pPr>
        <w:rPr>
          <w:rFonts w:hint="eastAsia" w:asciiTheme="minorEastAsia" w:hAnsiTheme="minorEastAsia" w:eastAsiaTheme="minorEastAsia" w:cstheme="minorEastAsia"/>
          <w:b/>
          <w:color w:val="auto"/>
          <w:sz w:val="36"/>
          <w:highlight w:val="none"/>
          <w:lang w:val="en-US" w:eastAsia="zh-CN"/>
        </w:rPr>
      </w:pPr>
      <w:bookmarkStart w:id="5" w:name="_Toc80724662"/>
      <w:r>
        <w:rPr>
          <w:rFonts w:hint="eastAsia" w:asciiTheme="minorEastAsia" w:hAnsiTheme="minorEastAsia" w:eastAsiaTheme="minorEastAsia" w:cstheme="minorEastAsia"/>
          <w:b/>
          <w:color w:val="auto"/>
          <w:sz w:val="36"/>
          <w:highlight w:val="none"/>
          <w:lang w:val="en-US" w:eastAsia="zh-CN"/>
        </w:rPr>
        <w:br w:type="page"/>
      </w:r>
    </w:p>
    <w:p w14:paraId="01FDA5E2">
      <w:pPr>
        <w:jc w:val="center"/>
        <w:rPr>
          <w:b/>
          <w:bCs/>
          <w:color w:val="auto"/>
          <w:spacing w:val="-4"/>
          <w:sz w:val="32"/>
          <w:szCs w:val="32"/>
          <w:highlight w:val="none"/>
        </w:rPr>
      </w:pPr>
      <w:r>
        <w:rPr>
          <w:rFonts w:hint="eastAsia" w:asciiTheme="minorEastAsia" w:hAnsiTheme="minorEastAsia" w:eastAsiaTheme="minorEastAsia" w:cstheme="minorEastAsia"/>
          <w:b/>
          <w:color w:val="auto"/>
          <w:sz w:val="36"/>
          <w:highlight w:val="none"/>
          <w:lang w:val="en-US" w:eastAsia="zh-CN"/>
        </w:rPr>
        <w:t xml:space="preserve">第五章  </w:t>
      </w:r>
      <w:r>
        <w:rPr>
          <w:b/>
          <w:bCs/>
          <w:color w:val="auto"/>
          <w:spacing w:val="-4"/>
          <w:sz w:val="32"/>
          <w:szCs w:val="32"/>
          <w:highlight w:val="none"/>
        </w:rPr>
        <w:t>采购需求</w:t>
      </w:r>
    </w:p>
    <w:p w14:paraId="4EF8CB31">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2025年度中小学幼儿园教师培训公共服务平台及教学教务支持服务项目采购</w:t>
      </w:r>
    </w:p>
    <w:p w14:paraId="06E03CC7">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一、目标定位</w:t>
      </w:r>
    </w:p>
    <w:p w14:paraId="638842C8">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为做好新疆师范大学各级各类在线培训的组织实施工作，现特通过竞争性</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方式，采购我校中小学幼儿园教师培训公共服务平台及教学教务支持服务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，用于支持各级各类培训项目同步、异步在线教学的组织实施工作。</w:t>
      </w:r>
    </w:p>
    <w:p w14:paraId="7D76DE1A">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二、报价要求（不满足将导致非实质性响应）</w:t>
      </w:r>
    </w:p>
    <w:p w14:paraId="456D773E">
      <w:pPr>
        <w:pageBreakBefore w:val="0"/>
        <w:kinsoku/>
        <w:wordWrap/>
        <w:topLinePunct w:val="0"/>
        <w:bidi w:val="0"/>
        <w:spacing w:line="440" w:lineRule="exact"/>
        <w:rPr>
          <w:rFonts w:hint="eastAsia" w:ascii="宋体" w:hAnsi="宋体" w:eastAsia="宋体" w:cs="宋体"/>
          <w:color w:val="auto"/>
          <w:sz w:val="24"/>
          <w:szCs w:val="24"/>
          <w:highlight w:val="none"/>
        </w:rPr>
      </w:pPr>
    </w:p>
    <w:tbl>
      <w:tblPr>
        <w:tblStyle w:val="40"/>
        <w:tblW w:w="4996" w:type="pct"/>
        <w:tblInd w:w="20" w:type="dxa"/>
        <w:tblLayout w:type="fixed"/>
        <w:tblCellMar>
          <w:top w:w="0" w:type="dxa"/>
          <w:left w:w="0" w:type="dxa"/>
          <w:bottom w:w="0" w:type="dxa"/>
          <w:right w:w="0" w:type="dxa"/>
        </w:tblCellMar>
      </w:tblPr>
      <w:tblGrid>
        <w:gridCol w:w="511"/>
        <w:gridCol w:w="1962"/>
        <w:gridCol w:w="2236"/>
        <w:gridCol w:w="1882"/>
        <w:gridCol w:w="1739"/>
      </w:tblGrid>
      <w:tr w14:paraId="519DDDBC">
        <w:trPr>
          <w:trHeight w:val="516"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328734">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799B80">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4F4D86">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收费模式</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5DE738">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C2B81">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支付时间</w:t>
            </w:r>
          </w:p>
        </w:tc>
      </w:tr>
      <w:tr w14:paraId="30FDD594">
        <w:trPr>
          <w:trHeight w:val="516"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BD909C">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9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C3FEB3">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大规模同步在线</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456357">
            <w:pPr>
              <w:pageBreakBefore w:val="0"/>
              <w:widowControl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依项目人数和工作量</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725288">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2元/人/课时</w:t>
            </w:r>
          </w:p>
        </w:tc>
        <w:tc>
          <w:tcPr>
            <w:tcW w:w="1739" w:type="dxa"/>
            <w:vMerge w:val="restart"/>
            <w:tcBorders>
              <w:left w:val="single" w:color="000000" w:sz="4" w:space="0"/>
              <w:right w:val="single" w:color="000000" w:sz="4" w:space="0"/>
            </w:tcBorders>
            <w:vAlign w:val="center"/>
          </w:tcPr>
          <w:p w14:paraId="0026E46C">
            <w:pPr>
              <w:pageBreakBefore w:val="0"/>
              <w:widowControl w:val="0"/>
              <w:kinsoku/>
              <w:wordWrap/>
              <w:topLinePunct w:val="0"/>
              <w:bidi w:val="0"/>
              <w:spacing w:line="440" w:lineRule="exact"/>
              <w:ind w:firstLine="480" w:firstLineChars="200"/>
              <w:rPr>
                <w:rFonts w:hint="eastAsia" w:ascii="宋体" w:hAnsi="宋体" w:eastAsia="宋体" w:cs="宋体"/>
                <w:color w:val="auto"/>
                <w:sz w:val="24"/>
                <w:szCs w:val="24"/>
                <w:highlight w:val="none"/>
              </w:rPr>
            </w:pPr>
          </w:p>
        </w:tc>
      </w:tr>
      <w:tr w14:paraId="48C85514">
        <w:tblPrEx>
          <w:tblCellMar>
            <w:top w:w="0" w:type="dxa"/>
            <w:left w:w="0" w:type="dxa"/>
            <w:bottom w:w="0" w:type="dxa"/>
            <w:right w:w="0" w:type="dxa"/>
          </w:tblCellMar>
        </w:tblPrEx>
        <w:trPr>
          <w:trHeight w:val="516"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7453CC">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0FD600">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同步小班化</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C1887C">
            <w:pPr>
              <w:pageBreakBefore w:val="0"/>
              <w:widowControl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依项目人数和工作量</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3B7E66">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24元/人/课时</w:t>
            </w:r>
          </w:p>
        </w:tc>
        <w:tc>
          <w:tcPr>
            <w:tcW w:w="1739" w:type="dxa"/>
            <w:vMerge w:val="continue"/>
            <w:tcBorders>
              <w:left w:val="single" w:color="000000" w:sz="4" w:space="0"/>
              <w:right w:val="single" w:color="000000" w:sz="4" w:space="0"/>
            </w:tcBorders>
            <w:vAlign w:val="center"/>
          </w:tcPr>
          <w:p w14:paraId="68E74822">
            <w:pPr>
              <w:pageBreakBefore w:val="0"/>
              <w:widowControl w:val="0"/>
              <w:kinsoku/>
              <w:wordWrap/>
              <w:topLinePunct w:val="0"/>
              <w:bidi w:val="0"/>
              <w:spacing w:line="440" w:lineRule="exact"/>
              <w:ind w:firstLine="480" w:firstLineChars="200"/>
              <w:rPr>
                <w:rFonts w:hint="eastAsia" w:ascii="宋体" w:hAnsi="宋体" w:eastAsia="宋体" w:cs="宋体"/>
                <w:color w:val="auto"/>
                <w:sz w:val="24"/>
                <w:szCs w:val="24"/>
                <w:highlight w:val="none"/>
              </w:rPr>
            </w:pPr>
          </w:p>
        </w:tc>
      </w:tr>
      <w:tr w14:paraId="53695F6E">
        <w:tblPrEx>
          <w:tblCellMar>
            <w:top w:w="0" w:type="dxa"/>
            <w:left w:w="0" w:type="dxa"/>
            <w:bottom w:w="0" w:type="dxa"/>
            <w:right w:w="0" w:type="dxa"/>
          </w:tblCellMar>
        </w:tblPrEx>
        <w:trPr>
          <w:trHeight w:val="516"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97E336">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49BE29">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异步在线</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81C821">
            <w:pPr>
              <w:pageBreakBefore w:val="0"/>
              <w:widowControl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依项目人数和工作量</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C93E85">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2元/人/课时</w:t>
            </w:r>
          </w:p>
        </w:tc>
        <w:tc>
          <w:tcPr>
            <w:tcW w:w="1739" w:type="dxa"/>
            <w:vMerge w:val="continue"/>
            <w:tcBorders>
              <w:left w:val="single" w:color="000000" w:sz="4" w:space="0"/>
              <w:right w:val="single" w:color="000000" w:sz="4" w:space="0"/>
            </w:tcBorders>
            <w:vAlign w:val="center"/>
          </w:tcPr>
          <w:p w14:paraId="0C412D7C">
            <w:pPr>
              <w:pageBreakBefore w:val="0"/>
              <w:widowControl w:val="0"/>
              <w:kinsoku/>
              <w:wordWrap/>
              <w:topLinePunct w:val="0"/>
              <w:bidi w:val="0"/>
              <w:spacing w:line="440" w:lineRule="exact"/>
              <w:ind w:firstLine="480" w:firstLineChars="200"/>
              <w:rPr>
                <w:rFonts w:hint="eastAsia" w:ascii="宋体" w:hAnsi="宋体" w:eastAsia="宋体" w:cs="宋体"/>
                <w:color w:val="auto"/>
                <w:sz w:val="24"/>
                <w:szCs w:val="24"/>
                <w:highlight w:val="none"/>
              </w:rPr>
            </w:pPr>
          </w:p>
        </w:tc>
      </w:tr>
    </w:tbl>
    <w:p w14:paraId="12CB703F">
      <w:pPr>
        <w:pageBreakBefore w:val="0"/>
        <w:kinsoku/>
        <w:wordWrap/>
        <w:topLinePunct w:val="0"/>
        <w:bidi w:val="0"/>
        <w:spacing w:line="440" w:lineRule="exact"/>
        <w:rPr>
          <w:rFonts w:hint="eastAsia" w:ascii="宋体" w:hAnsi="宋体" w:eastAsia="宋体" w:cs="宋体"/>
          <w:b/>
          <w:bCs/>
          <w:color w:val="auto"/>
          <w:sz w:val="24"/>
          <w:szCs w:val="24"/>
          <w:highlight w:val="none"/>
        </w:rPr>
      </w:pPr>
    </w:p>
    <w:p w14:paraId="094DB3BE">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三、服务期限</w:t>
      </w:r>
    </w:p>
    <w:p w14:paraId="04F53F0B">
      <w:pPr>
        <w:pageBreakBefore w:val="0"/>
        <w:kinsoku/>
        <w:wordWrap/>
        <w:topLinePunct w:val="0"/>
        <w:bidi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中标后30日内完成系统交付，并提供为期3年的服务。</w:t>
      </w:r>
    </w:p>
    <w:p w14:paraId="4F803341">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四、申请人的资格要求</w:t>
      </w:r>
    </w:p>
    <w:p w14:paraId="043B2F8A">
      <w:pPr>
        <w:pStyle w:val="416"/>
        <w:pageBreakBefore w:val="0"/>
        <w:numPr>
          <w:ilvl w:val="0"/>
          <w:numId w:val="9"/>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w:t>
      </w:r>
    </w:p>
    <w:p w14:paraId="1093D040">
      <w:pPr>
        <w:pStyle w:val="416"/>
        <w:pageBreakBefore w:val="0"/>
        <w:numPr>
          <w:ilvl w:val="0"/>
          <w:numId w:val="9"/>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被列入“信用中国”网站中“记录失信被执行人或重大税收违法案件当事人名单或政府采购严重违法失信行为”的记录名单；不处于中国政府采购网中“政府采购严重违法失信行为信息记录”的禁止参加政府采购活动期间（以</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小组于资格性审查时在上述网站查询结果为准，如上述网站查询结果均显示没有相关记录，视为没有上述不良信用记录。同时对信用信息查询记录和证据截图存档。如相关失信记录已失效，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须提供相关证明资料）。</w:t>
      </w:r>
    </w:p>
    <w:p w14:paraId="663A3F8E">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五、采购目标及内容</w:t>
      </w:r>
    </w:p>
    <w:p w14:paraId="4D7C5D2A">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为期三年的教师继续教育学分管理平台、在线研训平台、课程资源平台，培训所需全学段全学科课程、教学教务服务及网络服务软硬件设施，内容主要包括：在教育主管部门和采购人指导下，依托用户服务体系、应用业务体系、技术支撑体系和监督评价体系，服务并支撑教师研修共同体的构建，线上线下相结合教师专业发展活动，完成全年的教师继续教育项目管理和培训实施工作。</w:t>
      </w:r>
    </w:p>
    <w:p w14:paraId="2670B25A">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六、系统建设要求</w:t>
      </w:r>
    </w:p>
    <w:p w14:paraId="2884FEF1">
      <w:pPr>
        <w:pStyle w:val="3"/>
        <w:pageBreakBefore w:val="0"/>
        <w:numPr>
          <w:ilvl w:val="0"/>
          <w:numId w:val="10"/>
        </w:numPr>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教师继续教育项目管理子系统</w:t>
      </w:r>
    </w:p>
    <w:p w14:paraId="1135257E">
      <w:pPr>
        <w:pStyle w:val="16"/>
        <w:pageBreakBefore w:val="0"/>
        <w:kinsoku/>
        <w:wordWrap/>
        <w:overflowPunct w:val="0"/>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为全面贯彻落实《新时代基础教育强师计划》《中共中央、国务院关于全面深化新时代教师队伍建设改革的意见》及《</w:t>
      </w:r>
      <w:bookmarkStart w:id="6" w:name="_Toc25209"/>
      <w:bookmarkStart w:id="7" w:name="_Hlk153353357"/>
      <w:r>
        <w:rPr>
          <w:rFonts w:hint="eastAsia" w:ascii="宋体" w:hAnsi="宋体" w:eastAsia="宋体" w:cs="宋体"/>
          <w:color w:val="auto"/>
          <w:sz w:val="24"/>
          <w:szCs w:val="24"/>
          <w:highlight w:val="none"/>
        </w:rPr>
        <w:t>新疆维吾尔自治区第七个五年管理周期</w:t>
      </w:r>
      <w:bookmarkEnd w:id="6"/>
      <w:bookmarkStart w:id="8" w:name="_Toc13568"/>
      <w:r>
        <w:rPr>
          <w:rFonts w:hint="eastAsia" w:ascii="宋体" w:hAnsi="宋体" w:eastAsia="宋体" w:cs="宋体"/>
          <w:color w:val="auto"/>
          <w:sz w:val="24"/>
          <w:szCs w:val="24"/>
          <w:highlight w:val="none"/>
        </w:rPr>
        <w:t>中小学和幼儿园教师继续教育规划</w:t>
      </w:r>
      <w:bookmarkEnd w:id="8"/>
      <w:r>
        <w:rPr>
          <w:rFonts w:hint="eastAsia" w:ascii="宋体" w:hAnsi="宋体" w:eastAsia="宋体" w:cs="宋体"/>
          <w:color w:val="auto"/>
          <w:sz w:val="24"/>
          <w:szCs w:val="24"/>
          <w:highlight w:val="none"/>
        </w:rPr>
        <w:t>（2024-2028年）</w:t>
      </w:r>
      <w:bookmarkEnd w:id="7"/>
      <w:r>
        <w:rPr>
          <w:rFonts w:hint="eastAsia" w:ascii="宋体" w:hAnsi="宋体" w:eastAsia="宋体" w:cs="宋体"/>
          <w:color w:val="auto"/>
          <w:sz w:val="24"/>
          <w:szCs w:val="24"/>
          <w:highlight w:val="none"/>
        </w:rPr>
        <w:t>》“推动教师培训信息化管理系统的功能优化，将具备利用信息化手段进行培训过程管理的条件和能力作为培训机构遴选的重要指标之一，精准记录教师培训信息，对教师学习过程和效果进行综合评价，适时提供反馈和跟踪指导”的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提供的教师继续教育项目管理子系统支持自治区、市州、区县、学校和教师五级管理体系，为每个教师建立继续教育学分档案。支持培训项目从需求调研、项目设立、机构申报、专家评审、名额分配、学员报送/替换、成绩考核、学分认定的全生命周期管理。</w:t>
      </w:r>
    </w:p>
    <w:p w14:paraId="796BA269">
      <w:pPr>
        <w:pStyle w:val="3"/>
        <w:pageBreakBefore w:val="0"/>
        <w:numPr>
          <w:ilvl w:val="0"/>
          <w:numId w:val="10"/>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异步在线培训子系统</w:t>
      </w:r>
    </w:p>
    <w:p w14:paraId="31428B2F">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教育部《中小学幼儿园教师在线培训实施指南》“支持异步培训的平台要具有资源浏览、主题讨论、作业提交、小组合作、成果分享等在线活动功能，能够通过数据分析与智能推送为教师在线学习提供差异化、个性化支持，并实现全过程评价与管理”，以及《新疆维吾尔自治区第七个五年管理周期中小学和幼儿园教师继续教育规划（2024-2028年）》中“强化分层分类，实施精准培训。根据教师专业发展不同阶段制定个性化、周期性的发展规划，建设选学服务平台，教师自主选择培训项目，探索教师自主发展机制”的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提供的自主选学子系统须具备教师能力评测、课程智能推荐、自主选课学习、研修活动支持（研讨、作业、投票等）、小组工作坊研修、校本课堂实践、培训成果分享展示等功能。</w:t>
      </w:r>
    </w:p>
    <w:p w14:paraId="28674D0D">
      <w:pPr>
        <w:pStyle w:val="3"/>
        <w:pageBreakBefore w:val="0"/>
        <w:numPr>
          <w:ilvl w:val="0"/>
          <w:numId w:val="10"/>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同步在线培训子系统</w:t>
      </w:r>
    </w:p>
    <w:p w14:paraId="1E03C3C4">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教育部《中小学幼儿园教师在线培训实施指南》“同步在线培训，是指以师生实时在线为主体的培训模式，根据培训规模和内容特点等，可分为小班化和大规模两类。其中，小班化同步在线培训应突出按需定制、问题导向、任务驱动、交流互动、成果引领的特点；大规模同步在线培训应突出通识性内容为主、交互要求低、覆盖人群多的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同步在线培训子系统除了具有直播授课、录播回放、即时互动、课堂监管、并发支持等标准功能之外，还需提供小班化同步在线模块和大规模同步在线模块。小班化同步在线模块须具备分组讨论、文档协作、成员管理等功能。大规模同步在线培训模块须实现不少于5万人并发支持、直播等候室、多角色（主持人、嘉宾、观众）等功能。</w:t>
      </w:r>
    </w:p>
    <w:p w14:paraId="0B414D53">
      <w:pPr>
        <w:pStyle w:val="3"/>
        <w:pageBreakBefore w:val="0"/>
        <w:numPr>
          <w:ilvl w:val="0"/>
          <w:numId w:val="10"/>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数据分析子系统</w:t>
      </w:r>
    </w:p>
    <w:p w14:paraId="6222C8B3">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区域教师建设专业发展电子档案，建立教师基础信息数据中心，形成教师培训大数据，支持教师培训工作决策。通过教师电子档案，建立统一高效、互联互通、安全可靠的教师基础信息基础数据库。汇聚教师基础信息、培训项目过程信息、培训项目评估信息、继续教育学分信息及相关教育管理服务平台生成的教师信息，实现各级各类教师信息的“伴随式收集”，形成教师队伍大数据。实现对教师学习过程和效果进行综合评价。</w:t>
      </w:r>
    </w:p>
    <w:p w14:paraId="2E612C64">
      <w:pPr>
        <w:pStyle w:val="3"/>
        <w:pageBreakBefore w:val="0"/>
        <w:numPr>
          <w:ilvl w:val="0"/>
          <w:numId w:val="10"/>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AI驱动的教师发展支持平台</w:t>
      </w:r>
    </w:p>
    <w:p w14:paraId="60F0CFC5">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教育部等九部门关于加快推进教育数字化的意见》（教办〔2025〕3号）“全面推进智能化，促进人工智能助力教育变革。完善知识图谱，构建能力图谱，深化教育大模型应用，推动课程体系、教材体系、教学体系智能化升级，将人工智能技术融入教育教学全要素全过程。建立“人工智能+教育”安全保障制度。”</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需引入人工智能大模型，辅助实现教师画像、个性化学习推荐等核心功能。</w:t>
      </w:r>
    </w:p>
    <w:p w14:paraId="32F9E7F4">
      <w:pPr>
        <w:pStyle w:val="4"/>
        <w:pageBreakBefore w:val="0"/>
        <w:widowControl w:val="0"/>
        <w:numPr>
          <w:ilvl w:val="0"/>
          <w:numId w:val="11"/>
        </w:numPr>
        <w:tabs>
          <w:tab w:val="left" w:pos="360"/>
        </w:tabs>
        <w:kinsoku/>
        <w:wordWrap/>
        <w:topLinePunct w:val="0"/>
        <w:bidi w:val="0"/>
        <w:spacing w:before="0" w:after="0" w:line="440" w:lineRule="exact"/>
        <w:ind w:left="0" w:firstLine="0"/>
        <w:jc w:val="both"/>
        <w:rPr>
          <w:rFonts w:hint="eastAsia" w:ascii="宋体" w:hAnsi="宋体" w:eastAsia="宋体" w:cs="宋体"/>
          <w:b/>
          <w:bCs/>
          <w:color w:val="auto"/>
          <w:kern w:val="2"/>
          <w:sz w:val="24"/>
          <w:szCs w:val="24"/>
          <w:highlight w:val="none"/>
          <w14:ligatures w14:val="standardContextual"/>
        </w:rPr>
      </w:pPr>
      <w:r>
        <w:rPr>
          <w:rFonts w:hint="eastAsia" w:ascii="宋体" w:hAnsi="宋体" w:eastAsia="宋体" w:cs="宋体"/>
          <w:b/>
          <w:bCs/>
          <w:color w:val="auto"/>
          <w:kern w:val="2"/>
          <w:sz w:val="24"/>
          <w:szCs w:val="24"/>
          <w:highlight w:val="none"/>
          <w14:ligatures w14:val="standardContextual"/>
        </w:rPr>
        <w:t>AI个性化学习路径构建</w:t>
      </w:r>
    </w:p>
    <w:p w14:paraId="384444FF">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深度分析教师的学科背景、教龄、教学场景与发展目标，系统结合教师培训需求和困惑自动生成个性化教师画像，匹配学习资源与成长路径，推动从“统一培训”向“差异化培养”转变，实现因需施训、因人施教。</w:t>
      </w:r>
    </w:p>
    <w:p w14:paraId="2E17BDCF">
      <w:pPr>
        <w:pStyle w:val="4"/>
        <w:pageBreakBefore w:val="0"/>
        <w:widowControl w:val="0"/>
        <w:numPr>
          <w:ilvl w:val="0"/>
          <w:numId w:val="11"/>
        </w:numPr>
        <w:tabs>
          <w:tab w:val="left" w:pos="360"/>
        </w:tabs>
        <w:kinsoku/>
        <w:wordWrap/>
        <w:topLinePunct w:val="0"/>
        <w:bidi w:val="0"/>
        <w:spacing w:before="0" w:after="0" w:line="440" w:lineRule="exact"/>
        <w:ind w:left="0" w:firstLine="0"/>
        <w:jc w:val="both"/>
        <w:rPr>
          <w:rFonts w:hint="eastAsia" w:ascii="宋体" w:hAnsi="宋体" w:eastAsia="宋体" w:cs="宋体"/>
          <w:b/>
          <w:bCs/>
          <w:color w:val="auto"/>
          <w:kern w:val="2"/>
          <w:sz w:val="24"/>
          <w:szCs w:val="24"/>
          <w:highlight w:val="none"/>
          <w14:ligatures w14:val="standardContextual"/>
        </w:rPr>
      </w:pPr>
      <w:r>
        <w:rPr>
          <w:rFonts w:hint="eastAsia" w:ascii="宋体" w:hAnsi="宋体" w:eastAsia="宋体" w:cs="宋体"/>
          <w:b/>
          <w:bCs/>
          <w:color w:val="auto"/>
          <w:kern w:val="2"/>
          <w:sz w:val="24"/>
          <w:szCs w:val="24"/>
          <w:highlight w:val="none"/>
          <w14:ligatures w14:val="standardContextual"/>
        </w:rPr>
        <w:t>AI课程伴学平台</w:t>
      </w:r>
    </w:p>
    <w:p w14:paraId="5FD97980">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AI系统基于培训课程内容自动提炼知识要点并生成课程大纲，支持学习过程中动态追问、章节跳转、资料推荐等多种智能交互方式，构建全程陪伴式的教师自主研修环境。</w:t>
      </w:r>
    </w:p>
    <w:p w14:paraId="35171265">
      <w:pPr>
        <w:pStyle w:val="4"/>
        <w:pageBreakBefore w:val="0"/>
        <w:widowControl w:val="0"/>
        <w:numPr>
          <w:ilvl w:val="0"/>
          <w:numId w:val="11"/>
        </w:numPr>
        <w:tabs>
          <w:tab w:val="left" w:pos="360"/>
        </w:tabs>
        <w:kinsoku/>
        <w:wordWrap/>
        <w:topLinePunct w:val="0"/>
        <w:bidi w:val="0"/>
        <w:spacing w:before="0" w:after="0" w:line="440" w:lineRule="exact"/>
        <w:ind w:left="0" w:firstLine="0"/>
        <w:jc w:val="both"/>
        <w:rPr>
          <w:rFonts w:hint="eastAsia" w:ascii="宋体" w:hAnsi="宋体" w:eastAsia="宋体" w:cs="宋体"/>
          <w:b/>
          <w:bCs/>
          <w:color w:val="auto"/>
          <w:kern w:val="2"/>
          <w:sz w:val="24"/>
          <w:szCs w:val="24"/>
          <w:highlight w:val="none"/>
          <w14:ligatures w14:val="standardContextual"/>
        </w:rPr>
      </w:pPr>
      <w:r>
        <w:rPr>
          <w:rFonts w:hint="eastAsia" w:ascii="宋体" w:hAnsi="宋体" w:eastAsia="宋体" w:cs="宋体"/>
          <w:b/>
          <w:bCs/>
          <w:color w:val="auto"/>
          <w:kern w:val="2"/>
          <w:sz w:val="24"/>
          <w:szCs w:val="24"/>
          <w:highlight w:val="none"/>
          <w14:ligatures w14:val="standardContextual"/>
        </w:rPr>
        <w:t>AI智能评测系统</w:t>
      </w:r>
    </w:p>
    <w:p w14:paraId="51297FF0">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AI根据课程内容自动生成测评任务，动态评估学习效果，并针对短板环节生成个性化反馈与学习建议，推动培训内容由“结果认定”向“过程改进”转变，确保教师真正掌握核心知识。</w:t>
      </w:r>
    </w:p>
    <w:p w14:paraId="401DEC76">
      <w:pPr>
        <w:pStyle w:val="4"/>
        <w:pageBreakBefore w:val="0"/>
        <w:widowControl w:val="0"/>
        <w:numPr>
          <w:ilvl w:val="0"/>
          <w:numId w:val="11"/>
        </w:numPr>
        <w:tabs>
          <w:tab w:val="left" w:pos="360"/>
        </w:tabs>
        <w:kinsoku/>
        <w:wordWrap/>
        <w:topLinePunct w:val="0"/>
        <w:bidi w:val="0"/>
        <w:spacing w:before="0" w:after="0" w:line="440" w:lineRule="exact"/>
        <w:ind w:left="0" w:firstLine="0"/>
        <w:jc w:val="both"/>
        <w:rPr>
          <w:rFonts w:hint="eastAsia" w:ascii="宋体" w:hAnsi="宋体" w:eastAsia="宋体" w:cs="宋体"/>
          <w:b/>
          <w:bCs/>
          <w:color w:val="auto"/>
          <w:kern w:val="2"/>
          <w:sz w:val="24"/>
          <w:szCs w:val="24"/>
          <w:highlight w:val="none"/>
          <w14:ligatures w14:val="standardContextual"/>
        </w:rPr>
      </w:pPr>
      <w:r>
        <w:rPr>
          <w:rFonts w:hint="eastAsia" w:ascii="宋体" w:hAnsi="宋体" w:eastAsia="宋体" w:cs="宋体"/>
          <w:b/>
          <w:bCs/>
          <w:color w:val="auto"/>
          <w:kern w:val="2"/>
          <w:sz w:val="24"/>
          <w:szCs w:val="24"/>
          <w:highlight w:val="none"/>
          <w14:ligatures w14:val="standardContextual"/>
        </w:rPr>
        <w:t>人工智能安全保障</w:t>
      </w:r>
    </w:p>
    <w:p w14:paraId="57052F47">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模型必须采用私有化部署方式，避免数据外泄风险。同时，系统必须采用国产大模型，以确保技术自主可控，满足国家对数据安全与信息保密的合规要求。通过私有化部署的国产大模型，保障数据安全的前提下，构建更高效、智能的教师培训服务体系。</w:t>
      </w:r>
    </w:p>
    <w:p w14:paraId="20C2AB5D">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系统具体功能要求如下：</w:t>
      </w:r>
    </w:p>
    <w:tbl>
      <w:tblPr>
        <w:tblStyle w:val="4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83"/>
        <w:gridCol w:w="7129"/>
      </w:tblGrid>
      <w:tr w14:paraId="069B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114C554">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83" w:type="dxa"/>
            <w:shd w:val="clear" w:color="auto" w:fill="auto"/>
            <w:vAlign w:val="center"/>
          </w:tcPr>
          <w:p w14:paraId="64E2D8AB">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功能模块</w:t>
            </w:r>
          </w:p>
        </w:tc>
        <w:tc>
          <w:tcPr>
            <w:tcW w:w="7129" w:type="dxa"/>
            <w:shd w:val="clear" w:color="auto" w:fill="auto"/>
            <w:vAlign w:val="center"/>
          </w:tcPr>
          <w:p w14:paraId="6D9EF7F4">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功能描述</w:t>
            </w:r>
          </w:p>
        </w:tc>
      </w:tr>
      <w:tr w14:paraId="6E75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ACE3C47">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012" w:type="dxa"/>
            <w:gridSpan w:val="2"/>
            <w:shd w:val="clear" w:color="auto" w:fill="auto"/>
            <w:vAlign w:val="center"/>
          </w:tcPr>
          <w:p w14:paraId="24EB35A1">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项目管理子系统</w:t>
            </w:r>
          </w:p>
        </w:tc>
      </w:tr>
      <w:tr w14:paraId="3A8A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E5B8644">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8012" w:type="dxa"/>
            <w:gridSpan w:val="2"/>
            <w:shd w:val="clear" w:color="auto" w:fill="auto"/>
            <w:vAlign w:val="center"/>
          </w:tcPr>
          <w:p w14:paraId="383A95A0">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系统配置管理</w:t>
            </w:r>
          </w:p>
        </w:tc>
      </w:tr>
      <w:tr w14:paraId="7A93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0B64FF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83" w:type="dxa"/>
            <w:vMerge w:val="restart"/>
            <w:shd w:val="clear" w:color="auto" w:fill="auto"/>
            <w:vAlign w:val="center"/>
          </w:tcPr>
          <w:p w14:paraId="6D266FD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菜单管理</w:t>
            </w:r>
          </w:p>
        </w:tc>
        <w:tc>
          <w:tcPr>
            <w:tcW w:w="7129" w:type="dxa"/>
            <w:shd w:val="clear" w:color="auto" w:fill="auto"/>
            <w:vAlign w:val="center"/>
          </w:tcPr>
          <w:p w14:paraId="769CDB3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对各级菜单名称、层级、排序进行修改。菜单信息包括8类：</w:t>
            </w:r>
          </w:p>
        </w:tc>
      </w:tr>
      <w:tr w14:paraId="6B32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9A9022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3C398D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1CC06E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1)菜单名称：在页面前端显示的名称；</w:t>
            </w:r>
          </w:p>
        </w:tc>
      </w:tr>
      <w:tr w14:paraId="1311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B46762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92EDCC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5D8A3D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2)序号：各个菜单显示的顺序，首先按照一级菜单的序号排列，依次再按照二级、三级等序号排序；</w:t>
            </w:r>
          </w:p>
        </w:tc>
      </w:tr>
      <w:tr w14:paraId="2E06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37BA08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8C9A3E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AA16E0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3)图标：菜单的图标，大小为28*28像素，PNG格式，大小不超过300K；</w:t>
            </w:r>
          </w:p>
        </w:tc>
      </w:tr>
      <w:tr w14:paraId="621B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BE49BA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C34863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60D2A4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4)菜单分类：菜单类型分为目录和菜单两种，一个目录下可以有多个菜单；</w:t>
            </w:r>
          </w:p>
        </w:tc>
      </w:tr>
      <w:tr w14:paraId="5ED7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05C33B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C39C3C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F17CB1C">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5)是否外链：用户点击属性是“外链”，会自动打开一个外部链接；</w:t>
            </w:r>
          </w:p>
        </w:tc>
      </w:tr>
      <w:tr w14:paraId="4C05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5BC98F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F45532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194296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6)备注：菜单的功能说明；</w:t>
            </w:r>
          </w:p>
        </w:tc>
      </w:tr>
      <w:tr w14:paraId="7C93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1C03E2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71C323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FBEFA4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7)是否在菜单栏显示：设置菜单是否在前台进行显示；</w:t>
            </w:r>
          </w:p>
        </w:tc>
      </w:tr>
      <w:tr w14:paraId="102B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F0AB77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92D5F9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CB829E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8)菜单状态：新增、修改、删除；</w:t>
            </w:r>
          </w:p>
        </w:tc>
      </w:tr>
      <w:tr w14:paraId="1EA4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649ACEB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83" w:type="dxa"/>
            <w:vMerge w:val="restart"/>
            <w:shd w:val="clear" w:color="auto" w:fill="auto"/>
            <w:vAlign w:val="center"/>
          </w:tcPr>
          <w:p w14:paraId="21F992D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角色管理</w:t>
            </w:r>
          </w:p>
        </w:tc>
        <w:tc>
          <w:tcPr>
            <w:tcW w:w="7129" w:type="dxa"/>
            <w:shd w:val="clear" w:color="auto" w:fill="auto"/>
            <w:vAlign w:val="center"/>
          </w:tcPr>
          <w:p w14:paraId="7E83BAD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教学类型管理：包括系统管理员、项目管理员、培训实施管理员、专家角色。</w:t>
            </w:r>
          </w:p>
        </w:tc>
      </w:tr>
      <w:tr w14:paraId="104B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F587A0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04F354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9BB44C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角色数据权限管理：分为“全部数据权限”和“本部门及以下数据权限”</w:t>
            </w:r>
          </w:p>
        </w:tc>
      </w:tr>
      <w:tr w14:paraId="4162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F9F21B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6DD84F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B42812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角色操作管理：新建用户角色，并为该角色分配用户、配置菜单和设置数据范围。</w:t>
            </w:r>
          </w:p>
        </w:tc>
      </w:tr>
      <w:tr w14:paraId="1E09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72D00DE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83" w:type="dxa"/>
            <w:vMerge w:val="restart"/>
            <w:shd w:val="clear" w:color="auto" w:fill="auto"/>
            <w:vAlign w:val="center"/>
          </w:tcPr>
          <w:p w14:paraId="32B219C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字典管理</w:t>
            </w:r>
          </w:p>
        </w:tc>
        <w:tc>
          <w:tcPr>
            <w:tcW w:w="7129" w:type="dxa"/>
            <w:shd w:val="clear" w:color="auto" w:fill="auto"/>
            <w:vAlign w:val="center"/>
          </w:tcPr>
          <w:p w14:paraId="7592DBD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字典标准管理：根据中华人民共和国教育行业标准JY/T 1001—2012～JY/T 1007—2012建立字典表标准库</w:t>
            </w:r>
          </w:p>
        </w:tc>
      </w:tr>
      <w:tr w14:paraId="39BE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D21912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BC9E4C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B5B545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字典表编辑管理：创建字典表、删除字典表、字典表名称、字典级别、字段编码，根据父级编码和序号自动生成当前字典编码。</w:t>
            </w:r>
          </w:p>
        </w:tc>
      </w:tr>
      <w:tr w14:paraId="7141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60" w:type="dxa"/>
            <w:vMerge w:val="restart"/>
            <w:shd w:val="clear" w:color="auto" w:fill="auto"/>
            <w:vAlign w:val="center"/>
          </w:tcPr>
          <w:p w14:paraId="6ED08BC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83" w:type="dxa"/>
            <w:vMerge w:val="restart"/>
            <w:shd w:val="clear" w:color="auto" w:fill="auto"/>
            <w:vAlign w:val="center"/>
          </w:tcPr>
          <w:p w14:paraId="518FF46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▲教师信息维护权限</w:t>
            </w:r>
          </w:p>
        </w:tc>
        <w:tc>
          <w:tcPr>
            <w:tcW w:w="7129" w:type="dxa"/>
            <w:shd w:val="clear" w:color="auto" w:fill="auto"/>
            <w:vAlign w:val="center"/>
          </w:tcPr>
          <w:p w14:paraId="1A9F6DB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教师关键信息管理：根据教师基本信息，从中选择设定教师关键信息。</w:t>
            </w:r>
          </w:p>
        </w:tc>
      </w:tr>
      <w:tr w14:paraId="10E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5A98DC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4B134D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D45918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教师关键信息审核规则：设定教师关键信息修改的审核权限，信息修改审核可以设置为校级管理员审核、区县级管理员审核、地市级管理员审核、省级管理员审核、系统管理员审核。这几个角色可以多选。</w:t>
            </w:r>
          </w:p>
        </w:tc>
      </w:tr>
      <w:tr w14:paraId="5493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71E06E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5FB7E4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C27F94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教师关键信息修改申请：教师关键信息涉及基本信息、学分学时等，针对关键信息教师不可自行修改。教师修改后自动生成一个审核申请，根据教师关键信息审核规则自动分配到提前设定好的管理员。</w:t>
            </w:r>
          </w:p>
        </w:tc>
      </w:tr>
      <w:tr w14:paraId="1E26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A63ED8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69C549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66725E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教师关键信息修改审核：管理员核对教师关键信息，可以选择通过审核或者驳回。</w:t>
            </w:r>
          </w:p>
        </w:tc>
      </w:tr>
      <w:tr w14:paraId="2C4E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D7989B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AA50DD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911D61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教师关键信息修改结果通知：教师会收到关键信息审核结果提醒，包括通过审核，以及驳回申请和驳回理由。</w:t>
            </w:r>
          </w:p>
        </w:tc>
      </w:tr>
      <w:tr w14:paraId="3DC8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8F72B18">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8012" w:type="dxa"/>
            <w:gridSpan w:val="2"/>
            <w:shd w:val="clear" w:color="auto" w:fill="auto"/>
            <w:vAlign w:val="center"/>
          </w:tcPr>
          <w:p w14:paraId="4D3D2530">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培训周期及项目类型管理</w:t>
            </w:r>
          </w:p>
        </w:tc>
      </w:tr>
      <w:tr w14:paraId="0EA4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517F488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83" w:type="dxa"/>
            <w:vMerge w:val="restart"/>
            <w:shd w:val="clear" w:color="auto" w:fill="auto"/>
            <w:vAlign w:val="center"/>
          </w:tcPr>
          <w:p w14:paraId="1B0D608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培训周期管理</w:t>
            </w:r>
          </w:p>
        </w:tc>
        <w:tc>
          <w:tcPr>
            <w:tcW w:w="7129" w:type="dxa"/>
            <w:shd w:val="clear" w:color="auto" w:fill="auto"/>
            <w:vAlign w:val="center"/>
          </w:tcPr>
          <w:p w14:paraId="6B3C981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周期名称管理：例如“十三五周期”或“十四五周期”；</w:t>
            </w:r>
          </w:p>
        </w:tc>
      </w:tr>
      <w:tr w14:paraId="1DB5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F9597A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8E8B8F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30DA66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适用年份管理：培训周期的开始年份和结束年份；</w:t>
            </w:r>
          </w:p>
        </w:tc>
      </w:tr>
      <w:tr w14:paraId="548F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6CF531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AB3C32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D522CD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要求完成的学时总数：教师在当前培训周期内，必须完成的继续教育学时总数和年度学时数；</w:t>
            </w:r>
          </w:p>
        </w:tc>
      </w:tr>
      <w:tr w14:paraId="4568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6F5D3E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83" w:type="dxa"/>
            <w:shd w:val="clear" w:color="auto" w:fill="auto"/>
            <w:vAlign w:val="center"/>
          </w:tcPr>
          <w:p w14:paraId="6FD01F3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培训学分预警</w:t>
            </w:r>
          </w:p>
        </w:tc>
        <w:tc>
          <w:tcPr>
            <w:tcW w:w="7129" w:type="dxa"/>
            <w:shd w:val="clear" w:color="auto" w:fill="auto"/>
            <w:vAlign w:val="center"/>
          </w:tcPr>
          <w:p w14:paraId="1E4B2F7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配合学分管理办法，自动统计与折算学时以及提醒教师按照要求完成培训学时。包括周期名称、 适用年份、学时类型、学时标准等；</w:t>
            </w:r>
          </w:p>
        </w:tc>
      </w:tr>
      <w:tr w14:paraId="33EA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608DAB5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883" w:type="dxa"/>
            <w:vMerge w:val="restart"/>
            <w:shd w:val="clear" w:color="auto" w:fill="auto"/>
            <w:vAlign w:val="center"/>
          </w:tcPr>
          <w:p w14:paraId="35F29B0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项目类型管理</w:t>
            </w:r>
          </w:p>
        </w:tc>
        <w:tc>
          <w:tcPr>
            <w:tcW w:w="7129" w:type="dxa"/>
            <w:shd w:val="clear" w:color="auto" w:fill="auto"/>
            <w:vAlign w:val="center"/>
          </w:tcPr>
          <w:p w14:paraId="3732D38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新建一级项目类型：包括项目类型名称、适用级别（国家级项目、省级项目、市级项目、区县级项目和校本项目）、项目类型适用年度、项目类型状态（启用、停用）。（2）包括项目一级类型的新建、编辑、删除等操作。（3）支持项目一级类型批量导出；</w:t>
            </w:r>
          </w:p>
        </w:tc>
      </w:tr>
      <w:tr w14:paraId="03E9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26B000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DEC328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95C45A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（1）新建二级项目类型：在一级项目类型之下创建二级项目子类型，包含项目类型名称、项目类型层级、项目类型状态等。（2）包括项目二级类型的新建、编辑、删除等操作。（3）支持项目子类型批量导出；</w:t>
            </w:r>
          </w:p>
        </w:tc>
      </w:tr>
      <w:tr w14:paraId="4985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1F2064E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883" w:type="dxa"/>
            <w:vMerge w:val="restart"/>
            <w:shd w:val="clear" w:color="auto" w:fill="auto"/>
            <w:vAlign w:val="center"/>
          </w:tcPr>
          <w:p w14:paraId="38CABD1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学时认定管理</w:t>
            </w:r>
          </w:p>
        </w:tc>
        <w:tc>
          <w:tcPr>
            <w:tcW w:w="7129" w:type="dxa"/>
            <w:shd w:val="clear" w:color="auto" w:fill="auto"/>
            <w:vAlign w:val="center"/>
          </w:tcPr>
          <w:p w14:paraId="54C5F64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项目学时查询：可以根据项目名称、项目类型、开设年度查询所有平台内项目学时信息。</w:t>
            </w:r>
          </w:p>
        </w:tc>
      </w:tr>
      <w:tr w14:paraId="284A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9822A0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191FD4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8AE0D8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项目学时修改：选择特定项目，修改该项目对应的学时/学分类型和数量。</w:t>
            </w:r>
          </w:p>
        </w:tc>
      </w:tr>
      <w:tr w14:paraId="264E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85CF789">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8012" w:type="dxa"/>
            <w:gridSpan w:val="2"/>
            <w:shd w:val="clear" w:color="auto" w:fill="auto"/>
            <w:vAlign w:val="center"/>
          </w:tcPr>
          <w:p w14:paraId="319117E4">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管理员账号管理</w:t>
            </w:r>
          </w:p>
        </w:tc>
      </w:tr>
      <w:tr w14:paraId="0E93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23F3204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83" w:type="dxa"/>
            <w:vMerge w:val="restart"/>
            <w:shd w:val="clear" w:color="auto" w:fill="auto"/>
            <w:vAlign w:val="center"/>
          </w:tcPr>
          <w:p w14:paraId="4128EDDF">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项目管理员管理</w:t>
            </w:r>
          </w:p>
        </w:tc>
        <w:tc>
          <w:tcPr>
            <w:tcW w:w="7129" w:type="dxa"/>
            <w:shd w:val="clear" w:color="auto" w:fill="auto"/>
            <w:vAlign w:val="center"/>
          </w:tcPr>
          <w:p w14:paraId="5A3A6DC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功能说明：增删改查所辖区域各级管理员账号，可以编辑基本信息和重置密码。</w:t>
            </w:r>
          </w:p>
        </w:tc>
      </w:tr>
      <w:tr w14:paraId="2392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D2E49C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3D01C0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1D0D54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项目管理员查询：列出所有项目管理员，并且可以根据姓名、手机号、身份证号、登录账号、管理层级和账户状态等信息进行精准搜索。</w:t>
            </w:r>
          </w:p>
        </w:tc>
      </w:tr>
      <w:tr w14:paraId="3016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A4D336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EBB06E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804ED7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新建管理员账号：包括登录账号、姓名、手机号码、办公电话、职称、职务、用户状态（停用、启用）。</w:t>
            </w:r>
          </w:p>
        </w:tc>
      </w:tr>
      <w:tr w14:paraId="358A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2D2C58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AF1DA7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B55CC4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分配管理层级：分配管理员层级和所在单位，层级包括市级、区县、学校，区县级管理员需要指定区县，学校管理员需要指定具体学校。</w:t>
            </w:r>
          </w:p>
        </w:tc>
      </w:tr>
      <w:tr w14:paraId="42B6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B9795E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15E63E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D2C975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重置密码：重置项目 管理员密码，密码可以自定义。</w:t>
            </w:r>
          </w:p>
        </w:tc>
      </w:tr>
      <w:tr w14:paraId="2173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F1DC84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49A61D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1A7E7C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其他操作：项目管理账号的导出、编辑、删除。</w:t>
            </w:r>
          </w:p>
        </w:tc>
      </w:tr>
      <w:tr w14:paraId="4BCE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5D119F7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83" w:type="dxa"/>
            <w:vMerge w:val="restart"/>
            <w:shd w:val="clear" w:color="auto" w:fill="auto"/>
            <w:vAlign w:val="center"/>
          </w:tcPr>
          <w:p w14:paraId="081E7A9F">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培训专家账号管理</w:t>
            </w:r>
          </w:p>
        </w:tc>
        <w:tc>
          <w:tcPr>
            <w:tcW w:w="7129" w:type="dxa"/>
            <w:shd w:val="clear" w:color="auto" w:fill="auto"/>
            <w:vAlign w:val="center"/>
          </w:tcPr>
          <w:p w14:paraId="1452E95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功能说明：增删改查专家账号，可以编辑基本信息和重置密码。</w:t>
            </w:r>
          </w:p>
        </w:tc>
      </w:tr>
      <w:tr w14:paraId="77F0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7E9154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3E17D6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C9414D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专家账号查询：列出系统所有专家账号，以及根据姓名、手机号、身份证号、登录账号、账户状态进行精确查询。</w:t>
            </w:r>
          </w:p>
        </w:tc>
      </w:tr>
      <w:tr w14:paraId="4186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F8A306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3700CE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CAADA5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新建专家账号：包括登录账号、姓名、职称、职务、手机号码、办公电话、邮箱、工作单位、研究专长、专家简介、账号状态（停用、启用）等。</w:t>
            </w:r>
          </w:p>
        </w:tc>
      </w:tr>
      <w:tr w14:paraId="314D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A2B0C4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081DB4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0C5049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重置密码：重置专家账号密码，密码可以自定义。</w:t>
            </w:r>
          </w:p>
        </w:tc>
      </w:tr>
      <w:tr w14:paraId="2E67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E3C6B6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EF0003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8451C9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其他操作：专家管理账号的导出、编辑、删除。</w:t>
            </w:r>
          </w:p>
        </w:tc>
      </w:tr>
      <w:tr w14:paraId="78C8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7F2C3C2">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8012" w:type="dxa"/>
            <w:gridSpan w:val="2"/>
            <w:shd w:val="clear" w:color="auto" w:fill="auto"/>
            <w:vAlign w:val="center"/>
          </w:tcPr>
          <w:p w14:paraId="174CCFAE">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教师及学校账号管理</w:t>
            </w:r>
          </w:p>
        </w:tc>
      </w:tr>
      <w:tr w14:paraId="78E0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2F1DF46F">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w:t>
            </w:r>
          </w:p>
        </w:tc>
        <w:tc>
          <w:tcPr>
            <w:tcW w:w="8012" w:type="dxa"/>
            <w:gridSpan w:val="2"/>
            <w:shd w:val="clear" w:color="auto" w:fill="auto"/>
            <w:vAlign w:val="center"/>
          </w:tcPr>
          <w:p w14:paraId="2B3705A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教师数据看板</w:t>
            </w:r>
          </w:p>
        </w:tc>
      </w:tr>
      <w:tr w14:paraId="326D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AD3628E">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restart"/>
            <w:shd w:val="clear" w:color="auto" w:fill="auto"/>
            <w:vAlign w:val="center"/>
          </w:tcPr>
          <w:p w14:paraId="2A78C4B8">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主管教育行政部门和学校查询统计功能</w:t>
            </w:r>
          </w:p>
        </w:tc>
        <w:tc>
          <w:tcPr>
            <w:tcW w:w="7129" w:type="dxa"/>
            <w:shd w:val="clear" w:color="auto" w:fill="auto"/>
            <w:vAlign w:val="center"/>
          </w:tcPr>
          <w:p w14:paraId="761F863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功能说明：可以查询本地区、本校教师队伍整体情况。</w:t>
            </w:r>
          </w:p>
        </w:tc>
      </w:tr>
      <w:tr w14:paraId="46E0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CC3E5F3">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72595F4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9AA573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人员基本信息看板：包含总人数，性别分类数量和比例，年龄分层次数量和比例。</w:t>
            </w:r>
          </w:p>
        </w:tc>
      </w:tr>
      <w:tr w14:paraId="6458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569AA0E">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61AD97B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BA1AC3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学历职称看板：职称分层次数量和比例，学历分层次数量和比例。</w:t>
            </w:r>
          </w:p>
        </w:tc>
      </w:tr>
      <w:tr w14:paraId="324E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8FFBD27">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restart"/>
            <w:shd w:val="clear" w:color="auto" w:fill="auto"/>
            <w:vAlign w:val="center"/>
          </w:tcPr>
          <w:p w14:paraId="7608454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参训教师信息数据库</w:t>
            </w:r>
          </w:p>
        </w:tc>
        <w:tc>
          <w:tcPr>
            <w:tcW w:w="7129" w:type="dxa"/>
            <w:shd w:val="clear" w:color="auto" w:fill="auto"/>
            <w:vAlign w:val="center"/>
          </w:tcPr>
          <w:p w14:paraId="365692E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已有教师数据从新疆培训管理信息系统中导入，针对新入职教师和没有在新疆培训管理信息系统中注册的教师，平台采用教师自主注册、管理员审核的方式采集。</w:t>
            </w:r>
          </w:p>
        </w:tc>
      </w:tr>
      <w:tr w14:paraId="6F1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9A3B7D7">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68D0705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F71E2F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参训教师信息导入：支持新疆培训管理信息系统中导出的EXCEL数据单个或多个批量导入系统；支持导入时自动判断数据状态，不覆盖或更新系统已有信息，仅导入新增数据。</w:t>
            </w:r>
          </w:p>
        </w:tc>
      </w:tr>
      <w:tr w14:paraId="4378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7F35EDE">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7E8B5F4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3D452C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训教师所在学校信息管理：（1）支持在编单位和在岗单位信息管理：教师所在学校的基本信息，由教育局管理员或者学校管理员添加、修改、删除、转入、转出维护。（2）学校组织结构包括基本信息，联系方式，人员信息和其他信息四部分。教育局管理员能够新增或修改学校的信息。</w:t>
            </w:r>
          </w:p>
        </w:tc>
      </w:tr>
      <w:tr w14:paraId="538D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82662A3">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p>
        </w:tc>
        <w:tc>
          <w:tcPr>
            <w:tcW w:w="8012" w:type="dxa"/>
            <w:gridSpan w:val="2"/>
            <w:shd w:val="clear" w:color="auto" w:fill="auto"/>
            <w:vAlign w:val="center"/>
          </w:tcPr>
          <w:p w14:paraId="43A2B1D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教师基本信息管理</w:t>
            </w:r>
          </w:p>
        </w:tc>
      </w:tr>
      <w:tr w14:paraId="7247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F07FFBF">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70EB312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账户登录信息</w:t>
            </w:r>
          </w:p>
        </w:tc>
        <w:tc>
          <w:tcPr>
            <w:tcW w:w="7129" w:type="dxa"/>
            <w:shd w:val="clear" w:color="auto" w:fill="auto"/>
            <w:vAlign w:val="center"/>
          </w:tcPr>
          <w:p w14:paraId="09C8AAA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教师账户信息为与教师登录平台相关的关键信息，包括：身份证号、手机号、教师编号。</w:t>
            </w:r>
          </w:p>
        </w:tc>
      </w:tr>
      <w:tr w14:paraId="4618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CCE612D">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2472D1E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个人基本信息</w:t>
            </w:r>
          </w:p>
        </w:tc>
        <w:tc>
          <w:tcPr>
            <w:tcW w:w="7129" w:type="dxa"/>
            <w:shd w:val="clear" w:color="auto" w:fill="auto"/>
            <w:vAlign w:val="center"/>
          </w:tcPr>
          <w:p w14:paraId="63EAE9CC">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教师账户信息为教师个人基本信息，包括：民族、政治面貌、毕业院校、最高学历、所学专业、邮箱等。</w:t>
            </w:r>
          </w:p>
        </w:tc>
      </w:tr>
      <w:tr w14:paraId="629F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86B1C9E">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3035A6A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教育教学信息</w:t>
            </w:r>
          </w:p>
        </w:tc>
        <w:tc>
          <w:tcPr>
            <w:tcW w:w="7129" w:type="dxa"/>
            <w:shd w:val="clear" w:color="auto" w:fill="auto"/>
            <w:vAlign w:val="center"/>
          </w:tcPr>
          <w:p w14:paraId="1547129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教师账户信息为与教师教育教学相关信息，包括：职称、职务、汉语言水平、初次任教时间、编制、主要任教学段、主要任教学科、主要教学语言等。</w:t>
            </w:r>
          </w:p>
        </w:tc>
      </w:tr>
      <w:tr w14:paraId="77C5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873C1BB">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7BDBD88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培训模型信息</w:t>
            </w:r>
          </w:p>
        </w:tc>
        <w:tc>
          <w:tcPr>
            <w:tcW w:w="7129" w:type="dxa"/>
            <w:shd w:val="clear" w:color="auto" w:fill="auto"/>
            <w:vAlign w:val="center"/>
          </w:tcPr>
          <w:p w14:paraId="3C0DC83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将教师按照教师角色、培训者角色和管理者角色设计分层分类培训模型。</w:t>
            </w:r>
          </w:p>
        </w:tc>
      </w:tr>
      <w:tr w14:paraId="48E3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1DE3955">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w:t>
            </w:r>
          </w:p>
        </w:tc>
        <w:tc>
          <w:tcPr>
            <w:tcW w:w="8012" w:type="dxa"/>
            <w:gridSpan w:val="2"/>
            <w:shd w:val="clear" w:color="auto" w:fill="auto"/>
            <w:vAlign w:val="center"/>
          </w:tcPr>
          <w:p w14:paraId="454A27C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教育行政部门和学校管理</w:t>
            </w:r>
          </w:p>
        </w:tc>
      </w:tr>
      <w:tr w14:paraId="7695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95263D3">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18CC8D2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单位类型设计</w:t>
            </w:r>
          </w:p>
        </w:tc>
        <w:tc>
          <w:tcPr>
            <w:tcW w:w="7129" w:type="dxa"/>
            <w:shd w:val="clear" w:color="auto" w:fill="auto"/>
            <w:vAlign w:val="center"/>
          </w:tcPr>
          <w:p w14:paraId="7A50533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平台单位分为两类，教育行政部门和学校。市直属学校和区县教育局平级。</w:t>
            </w:r>
          </w:p>
        </w:tc>
      </w:tr>
      <w:tr w14:paraId="5C85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02BE96E">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5FA70CA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单位基本信息管理</w:t>
            </w:r>
          </w:p>
        </w:tc>
        <w:tc>
          <w:tcPr>
            <w:tcW w:w="7129" w:type="dxa"/>
            <w:shd w:val="clear" w:color="auto" w:fill="auto"/>
            <w:vAlign w:val="center"/>
          </w:tcPr>
          <w:p w14:paraId="269C7D7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单位基本信息同步于新疆教师培训管理信息系统。包括：学校标识码、单位名称、单位级别、单位性质、学校类型、城乡分布等信息。</w:t>
            </w:r>
          </w:p>
        </w:tc>
      </w:tr>
      <w:tr w14:paraId="6529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7A9043C0">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8012" w:type="dxa"/>
            <w:gridSpan w:val="2"/>
            <w:shd w:val="clear" w:color="auto" w:fill="auto"/>
            <w:vAlign w:val="center"/>
          </w:tcPr>
          <w:p w14:paraId="0B841517">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培训需求调研及满意度调查问卷功能</w:t>
            </w:r>
          </w:p>
        </w:tc>
      </w:tr>
      <w:tr w14:paraId="7BD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D19FDF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883" w:type="dxa"/>
            <w:shd w:val="clear" w:color="auto" w:fill="auto"/>
            <w:vAlign w:val="center"/>
          </w:tcPr>
          <w:p w14:paraId="392F871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单选表单</w:t>
            </w:r>
          </w:p>
        </w:tc>
        <w:tc>
          <w:tcPr>
            <w:tcW w:w="7129" w:type="dxa"/>
            <w:shd w:val="clear" w:color="auto" w:fill="auto"/>
            <w:vAlign w:val="center"/>
          </w:tcPr>
          <w:p w14:paraId="6F5DC82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单选表单是指从一组选项当中，选出一个作为正确（或较适合）的答案。在教师调查、教学测试、活动投票等多种场景，经常使用单选表单这种形式。</w:t>
            </w:r>
          </w:p>
        </w:tc>
      </w:tr>
      <w:tr w14:paraId="44B9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2814BE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554ACC7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下拉表单</w:t>
            </w:r>
          </w:p>
        </w:tc>
        <w:tc>
          <w:tcPr>
            <w:tcW w:w="7129" w:type="dxa"/>
            <w:shd w:val="clear" w:color="auto" w:fill="auto"/>
            <w:vAlign w:val="center"/>
          </w:tcPr>
          <w:p w14:paraId="3191E2D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在制作表单的过程中，有时候表单选项过多，如果全部平铺显示会造成表单排版杂乱。下拉表单可以将所有表单选项隐藏在下拉框内，下拉菜单后依次展开，让表单更加精致、美观。</w:t>
            </w:r>
          </w:p>
        </w:tc>
      </w:tr>
      <w:tr w14:paraId="39B3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00C6CD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47B85E9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多选表单</w:t>
            </w:r>
          </w:p>
        </w:tc>
        <w:tc>
          <w:tcPr>
            <w:tcW w:w="7129" w:type="dxa"/>
            <w:shd w:val="clear" w:color="auto" w:fill="auto"/>
            <w:vAlign w:val="center"/>
          </w:tcPr>
          <w:p w14:paraId="071131E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选表单是指从一组选项当中，选出多个作为正确（或较适合）的答案。在评优评先和评价督导中，常会通过多选表单考察教师在某个方面不同层次的情况，如对某个培训项目的满意情况、信息技术在课堂教学中的应用情况、需要改进的能力等。</w:t>
            </w:r>
          </w:p>
        </w:tc>
      </w:tr>
      <w:tr w14:paraId="7EDF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C4F5E5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7BE3132F">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单行文本表单</w:t>
            </w:r>
          </w:p>
        </w:tc>
        <w:tc>
          <w:tcPr>
            <w:tcW w:w="7129" w:type="dxa"/>
            <w:shd w:val="clear" w:color="auto" w:fill="auto"/>
            <w:vAlign w:val="center"/>
          </w:tcPr>
          <w:p w14:paraId="5163DB4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单行文本表单限定表单教师能够输入的最大字符数和文本验证格式。其中通过文本验证，可以让教师指定填写获奖等级、教师编号、职称职务等，防止教师乱填、误填的现象，提高表单回收的有效性。</w:t>
            </w:r>
          </w:p>
        </w:tc>
      </w:tr>
      <w:tr w14:paraId="7D72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EB4352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126940B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多行文本表单</w:t>
            </w:r>
          </w:p>
        </w:tc>
        <w:tc>
          <w:tcPr>
            <w:tcW w:w="7129" w:type="dxa"/>
            <w:shd w:val="clear" w:color="auto" w:fill="auto"/>
            <w:vAlign w:val="center"/>
          </w:tcPr>
          <w:p w14:paraId="6AE5657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表单统计的开放式问答中，多行文本表单能够让教师用自己的语言自由地发表意见，提供更多的信息。例如：“您对现在的课程有什么建议？”，只提出问题表单，不提供任何备选答案。</w:t>
            </w:r>
          </w:p>
        </w:tc>
      </w:tr>
      <w:tr w14:paraId="6729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AB65BA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60E6E71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量表表单</w:t>
            </w:r>
          </w:p>
        </w:tc>
        <w:tc>
          <w:tcPr>
            <w:tcW w:w="7129" w:type="dxa"/>
            <w:shd w:val="clear" w:color="auto" w:fill="auto"/>
            <w:vAlign w:val="center"/>
          </w:tcPr>
          <w:p w14:paraId="153D2E6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量表表单通过数字区间值选择来衡量教师的平台，选择范围从极端态度到相反的极端态度，例如从非常不满意0分到非常满意10分。不同于简单的是非表单，量表表单可用于课程评价、听课评课、课堂观察等场景。</w:t>
            </w:r>
          </w:p>
        </w:tc>
      </w:tr>
      <w:tr w14:paraId="726F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490626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221CEC8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矩阵单选表单</w:t>
            </w:r>
          </w:p>
        </w:tc>
        <w:tc>
          <w:tcPr>
            <w:tcW w:w="7129" w:type="dxa"/>
            <w:shd w:val="clear" w:color="auto" w:fill="auto"/>
            <w:vAlign w:val="center"/>
          </w:tcPr>
          <w:p w14:paraId="4AA9E2D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矩阵单选表单是将同类的多个问题表单和答案排列成一个矩阵，由表单受访者对比后进行单项选择，适用于需求调研、教师评估、教学研究等场景。</w:t>
            </w:r>
          </w:p>
        </w:tc>
      </w:tr>
      <w:tr w14:paraId="4D6C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CEF49A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12EA8BD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矩阵多选表单</w:t>
            </w:r>
          </w:p>
        </w:tc>
        <w:tc>
          <w:tcPr>
            <w:tcW w:w="7129" w:type="dxa"/>
            <w:shd w:val="clear" w:color="auto" w:fill="auto"/>
            <w:vAlign w:val="center"/>
          </w:tcPr>
          <w:p w14:paraId="4B0301E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矩阵多选表单是将同类的多个问题表单和答案排列成一个矩阵，由表单受访者对比后进行多项选择，适用于进行多维度分析及其关联因素等方面。</w:t>
            </w:r>
          </w:p>
        </w:tc>
      </w:tr>
      <w:tr w14:paraId="0205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91E639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4DE00D3F">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矩阵量表表单</w:t>
            </w:r>
          </w:p>
        </w:tc>
        <w:tc>
          <w:tcPr>
            <w:tcW w:w="7129" w:type="dxa"/>
            <w:shd w:val="clear" w:color="auto" w:fill="auto"/>
            <w:vAlign w:val="center"/>
          </w:tcPr>
          <w:p w14:paraId="2768FED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矩阵量表表单是将同类的多个问题表单和答案排列成一个矩阵，通过数字区间值进行衡量评分，适用于考核绩效、培训满意度调研等场景。</w:t>
            </w:r>
          </w:p>
        </w:tc>
      </w:tr>
      <w:tr w14:paraId="5C38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8EDE90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1A11410F">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排序表单</w:t>
            </w:r>
          </w:p>
        </w:tc>
        <w:tc>
          <w:tcPr>
            <w:tcW w:w="7129" w:type="dxa"/>
            <w:shd w:val="clear" w:color="auto" w:fill="auto"/>
            <w:vAlign w:val="center"/>
          </w:tcPr>
          <w:p w14:paraId="22F9979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排序表单要求将若干选项按照一定的标准依次排列，可以同时测查教师对多个选项的态度倾向。教师点击排序表单选项，即可实现拖动式填写。</w:t>
            </w:r>
          </w:p>
        </w:tc>
      </w:tr>
      <w:tr w14:paraId="5CEC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DE9B7C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0A3D27E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联动表单</w:t>
            </w:r>
          </w:p>
        </w:tc>
        <w:tc>
          <w:tcPr>
            <w:tcW w:w="7129" w:type="dxa"/>
            <w:shd w:val="clear" w:color="auto" w:fill="auto"/>
            <w:vAlign w:val="center"/>
          </w:tcPr>
          <w:p w14:paraId="6730F9D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联动表单可实现多级分类，因素关联分析等，例如学科、专业、大学、职称等。并且可自由编辑多级联动下拉，每级的选项关系为总分关系，即第一级的选项可以细分到第二级选项。</w:t>
            </w:r>
          </w:p>
        </w:tc>
      </w:tr>
      <w:tr w14:paraId="1EF0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788362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0F92050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附件表单</w:t>
            </w:r>
          </w:p>
        </w:tc>
        <w:tc>
          <w:tcPr>
            <w:tcW w:w="7129" w:type="dxa"/>
            <w:shd w:val="clear" w:color="auto" w:fill="auto"/>
            <w:vAlign w:val="center"/>
          </w:tcPr>
          <w:p w14:paraId="6FD6CFD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表单作为收集数据的工具，不仅局限于文字、选项，很多时候还需要收集答表单者的课堂实录、教学反思、课后反思、图片、文件等，附件表单用于收集文件数据。</w:t>
            </w:r>
          </w:p>
        </w:tc>
      </w:tr>
      <w:tr w14:paraId="7705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6CAC0A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7B4E4DF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文本描述表单</w:t>
            </w:r>
          </w:p>
        </w:tc>
        <w:tc>
          <w:tcPr>
            <w:tcW w:w="7129" w:type="dxa"/>
            <w:shd w:val="clear" w:color="auto" w:fill="auto"/>
            <w:vAlign w:val="center"/>
          </w:tcPr>
          <w:p w14:paraId="0611E18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在表单数据收集过程中，经常需要对表单进行分类标记或进一步阐述。文本描述可在表单与表单之间增加段落文字描述，让受访者能更清晰直观地了解表单内容。</w:t>
            </w:r>
          </w:p>
        </w:tc>
      </w:tr>
      <w:tr w14:paraId="4FA1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A59136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shd w:val="clear" w:color="auto" w:fill="auto"/>
            <w:vAlign w:val="center"/>
          </w:tcPr>
          <w:p w14:paraId="664AA3F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投票</w:t>
            </w:r>
          </w:p>
        </w:tc>
        <w:tc>
          <w:tcPr>
            <w:tcW w:w="7129" w:type="dxa"/>
            <w:shd w:val="clear" w:color="auto" w:fill="auto"/>
            <w:vAlign w:val="center"/>
          </w:tcPr>
          <w:p w14:paraId="58805DF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投票是一个功能设置，不是一个单独的投票表单，投票分为单选投票和多选投票两种，在腾讯表单中使用投票时直接选用单选表单，或多选表单编辑。</w:t>
            </w:r>
          </w:p>
        </w:tc>
      </w:tr>
      <w:tr w14:paraId="6FB8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DFD75F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883" w:type="dxa"/>
            <w:vMerge w:val="restart"/>
            <w:shd w:val="clear" w:color="auto" w:fill="auto"/>
            <w:vAlign w:val="center"/>
          </w:tcPr>
          <w:p w14:paraId="4FA3344F">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需求调研及满意度模板管理</w:t>
            </w:r>
          </w:p>
        </w:tc>
        <w:tc>
          <w:tcPr>
            <w:tcW w:w="7129" w:type="dxa"/>
            <w:shd w:val="clear" w:color="auto" w:fill="auto"/>
            <w:vAlign w:val="center"/>
          </w:tcPr>
          <w:p w14:paraId="431AA1A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训前调查表单模板管理：项目管理员可以创建多个训后评价表单，并将为不同类型的项目分配不同的训前调查表单。参训学员在报名培训项目时，提前填写训前调查表单。培训机构可以下载训前调查表单的内容，用于指导培训方案设计、培训目标设定、培训课程安排、课程专家及主题选择等。</w:t>
            </w:r>
          </w:p>
        </w:tc>
      </w:tr>
      <w:tr w14:paraId="7FC0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C75721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0A6C5C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8FE52E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训后评价表单模板管理：项目管理员可以创建多个训后评价表单，并将为不同类型的项目分配不同的训后评价表单。参训学员依据训后评价表单对机构的项目质量、课程安排、专家授课等进行评价评分。</w:t>
            </w:r>
          </w:p>
        </w:tc>
      </w:tr>
      <w:tr w14:paraId="1091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8FD04C1">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8012" w:type="dxa"/>
            <w:gridSpan w:val="2"/>
            <w:shd w:val="clear" w:color="auto" w:fill="auto"/>
            <w:vAlign w:val="center"/>
          </w:tcPr>
          <w:p w14:paraId="3DAC2845">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培训项目组织实施管理</w:t>
            </w:r>
          </w:p>
        </w:tc>
      </w:tr>
      <w:tr w14:paraId="417A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40F99341">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w:t>
            </w:r>
          </w:p>
        </w:tc>
        <w:tc>
          <w:tcPr>
            <w:tcW w:w="8012" w:type="dxa"/>
            <w:gridSpan w:val="2"/>
            <w:shd w:val="clear" w:color="auto" w:fill="auto"/>
            <w:vAlign w:val="center"/>
          </w:tcPr>
          <w:p w14:paraId="41930D83">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工作台</w:t>
            </w:r>
          </w:p>
        </w:tc>
      </w:tr>
      <w:tr w14:paraId="4471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9EF1DFB">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355DCC9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我的待办</w:t>
            </w:r>
          </w:p>
        </w:tc>
        <w:tc>
          <w:tcPr>
            <w:tcW w:w="7129" w:type="dxa"/>
            <w:shd w:val="clear" w:color="auto" w:fill="auto"/>
            <w:vAlign w:val="center"/>
          </w:tcPr>
          <w:p w14:paraId="6A7FD09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显示所有我需要处理工作，点击提示打开处理页面，完成工作。例如：审批、学员报送、评优评先审核、学员替换、调入调出等。</w:t>
            </w:r>
          </w:p>
        </w:tc>
      </w:tr>
      <w:tr w14:paraId="3B88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77B009F">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54D39E7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进行中的项目</w:t>
            </w:r>
          </w:p>
        </w:tc>
        <w:tc>
          <w:tcPr>
            <w:tcW w:w="7129" w:type="dxa"/>
            <w:shd w:val="clear" w:color="auto" w:fill="auto"/>
            <w:vAlign w:val="center"/>
          </w:tcPr>
          <w:p w14:paraId="557318B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统计口径为我管理教师目前可以申报的项目，包括上级部门创建开放式的项目，我创建和管理的项目以及上级部门创建计划式报名的项目（分配给我名额）。</w:t>
            </w:r>
          </w:p>
        </w:tc>
      </w:tr>
      <w:tr w14:paraId="3C2E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1A6A6A7">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41540EE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通知公告</w:t>
            </w:r>
          </w:p>
        </w:tc>
        <w:tc>
          <w:tcPr>
            <w:tcW w:w="7129" w:type="dxa"/>
            <w:shd w:val="clear" w:color="auto" w:fill="auto"/>
            <w:vAlign w:val="center"/>
          </w:tcPr>
          <w:p w14:paraId="50CBF97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显示管理员可以看到的通知和公告</w:t>
            </w:r>
          </w:p>
        </w:tc>
      </w:tr>
      <w:tr w14:paraId="502A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E817E92">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28E18F1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常用功能</w:t>
            </w:r>
          </w:p>
        </w:tc>
        <w:tc>
          <w:tcPr>
            <w:tcW w:w="7129" w:type="dxa"/>
            <w:shd w:val="clear" w:color="auto" w:fill="auto"/>
            <w:vAlign w:val="center"/>
          </w:tcPr>
          <w:p w14:paraId="703C30D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提供用户最常用功能链接，可以快速连接到功能菜单；</w:t>
            </w:r>
          </w:p>
        </w:tc>
      </w:tr>
      <w:tr w14:paraId="34DF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75B0E99">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w:t>
            </w:r>
          </w:p>
        </w:tc>
        <w:tc>
          <w:tcPr>
            <w:tcW w:w="8012" w:type="dxa"/>
            <w:gridSpan w:val="2"/>
            <w:shd w:val="clear" w:color="auto" w:fill="auto"/>
            <w:vAlign w:val="center"/>
          </w:tcPr>
          <w:p w14:paraId="4B4BC55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项目实施评估督导</w:t>
            </w:r>
          </w:p>
        </w:tc>
      </w:tr>
      <w:tr w14:paraId="6C61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0275BC6">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restart"/>
            <w:shd w:val="clear" w:color="auto" w:fill="auto"/>
            <w:vAlign w:val="center"/>
          </w:tcPr>
          <w:p w14:paraId="00F85DA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▲督导任务</w:t>
            </w:r>
          </w:p>
        </w:tc>
        <w:tc>
          <w:tcPr>
            <w:tcW w:w="7129" w:type="dxa"/>
            <w:shd w:val="clear" w:color="auto" w:fill="auto"/>
            <w:vAlign w:val="center"/>
          </w:tcPr>
          <w:p w14:paraId="532C7A6C">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创建督导任务：各级管理员可以发布针对下属县区/学校绩效考评任务，并设定资料上传的督导任务表单。</w:t>
            </w:r>
          </w:p>
        </w:tc>
      </w:tr>
      <w:tr w14:paraId="611D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061DEE6">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75B11C4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695EFD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督导任务发布：可以面向特定单位或者所有发布督导任务，设置完成时间，</w:t>
            </w:r>
          </w:p>
        </w:tc>
      </w:tr>
      <w:tr w14:paraId="517E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D1B6618">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2F288EC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1FAE70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督导材料提交：下属县区/学校按照表单要求，完成督导资料上传。</w:t>
            </w:r>
          </w:p>
        </w:tc>
      </w:tr>
      <w:tr w14:paraId="46ED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2E7FCEC">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18DEA48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05BA59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督导材料评估：市级依据提交的督导材料，对各县区进行绩效在线评估督导，填写评审意见并保存数据。</w:t>
            </w:r>
          </w:p>
        </w:tc>
      </w:tr>
      <w:tr w14:paraId="3F2E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F83A9D3">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1916D06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任务完成情况</w:t>
            </w:r>
          </w:p>
        </w:tc>
        <w:tc>
          <w:tcPr>
            <w:tcW w:w="7129" w:type="dxa"/>
            <w:shd w:val="clear" w:color="auto" w:fill="auto"/>
            <w:vAlign w:val="center"/>
          </w:tcPr>
          <w:p w14:paraId="1B44F31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对所属各区县督导任务完成情况进行汇总统计。</w:t>
            </w:r>
          </w:p>
        </w:tc>
      </w:tr>
      <w:tr w14:paraId="6DEB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66592B93">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w:t>
            </w:r>
          </w:p>
        </w:tc>
        <w:tc>
          <w:tcPr>
            <w:tcW w:w="8012" w:type="dxa"/>
            <w:gridSpan w:val="2"/>
            <w:shd w:val="clear" w:color="auto" w:fill="auto"/>
            <w:vAlign w:val="center"/>
          </w:tcPr>
          <w:p w14:paraId="05E99AF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培训项目管理</w:t>
            </w:r>
          </w:p>
        </w:tc>
      </w:tr>
      <w:tr w14:paraId="2F74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A4BAE86">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1473053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项目数据看板</w:t>
            </w:r>
          </w:p>
        </w:tc>
        <w:tc>
          <w:tcPr>
            <w:tcW w:w="7129" w:type="dxa"/>
            <w:shd w:val="clear" w:color="auto" w:fill="auto"/>
            <w:vAlign w:val="center"/>
          </w:tcPr>
          <w:p w14:paraId="1B9B4A0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制作大数据展示看板：以图表方式自动展示培训进展和成绩。包括专项培训数量、进度、培训人数、学习人数、课程满意度等数据统计和展示。</w:t>
            </w:r>
          </w:p>
        </w:tc>
      </w:tr>
      <w:tr w14:paraId="35F4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3F8E572">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1E86FA0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项目列表</w:t>
            </w:r>
          </w:p>
        </w:tc>
        <w:tc>
          <w:tcPr>
            <w:tcW w:w="7129" w:type="dxa"/>
            <w:shd w:val="clear" w:color="auto" w:fill="auto"/>
            <w:vAlign w:val="center"/>
          </w:tcPr>
          <w:p w14:paraId="3B33313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统计口径为我管理教师可以申报的项目，包括上级部门创建开放式的项目，我创建和管理的项目以及上级部门创建计划式报名的项目（分配给我名额）。</w:t>
            </w:r>
          </w:p>
        </w:tc>
      </w:tr>
      <w:tr w14:paraId="4BA8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F8EDD76">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shd w:val="clear" w:color="auto" w:fill="auto"/>
            <w:vAlign w:val="center"/>
          </w:tcPr>
          <w:p w14:paraId="76D2BC9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项目进展时间线</w:t>
            </w:r>
          </w:p>
        </w:tc>
        <w:tc>
          <w:tcPr>
            <w:tcW w:w="7129" w:type="dxa"/>
            <w:shd w:val="clear" w:color="auto" w:fill="auto"/>
            <w:vAlign w:val="center"/>
          </w:tcPr>
          <w:p w14:paraId="0D9942E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给项目显示进度轴，方便管理员查看各项目进度情况，包括项目创建、机构申报、专家评审、学员报送、培训开班、材料提交、学员结业和学分认定等；</w:t>
            </w:r>
          </w:p>
        </w:tc>
      </w:tr>
      <w:tr w14:paraId="2AF9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E3F62F5">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restart"/>
            <w:shd w:val="clear" w:color="auto" w:fill="auto"/>
            <w:vAlign w:val="center"/>
          </w:tcPr>
          <w:p w14:paraId="30C4186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项目设置</w:t>
            </w:r>
          </w:p>
        </w:tc>
        <w:tc>
          <w:tcPr>
            <w:tcW w:w="7129" w:type="dxa"/>
            <w:shd w:val="clear" w:color="auto" w:fill="auto"/>
            <w:vAlign w:val="center"/>
          </w:tcPr>
          <w:p w14:paraId="6DE951F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基本信息管理：包括项目年份、项目一级和二级类型（通过配置表和年度关联）、项目名称、培训对象（分层分类模型）、培训方式和经费标准、学时类型和数量等关键信息；</w:t>
            </w:r>
          </w:p>
        </w:tc>
      </w:tr>
      <w:tr w14:paraId="715E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02DC003">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062C1C2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5405DE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学科领域管理：管理员可以选择是否开启“制定学科领域（区域）”功能。不选择开启：则项目为全学科培训项目，不限制参训学员的学科学段；选择开启：可以指定学科领域（区域）。</w:t>
            </w:r>
          </w:p>
        </w:tc>
      </w:tr>
      <w:tr w14:paraId="7802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CD10569">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09C966F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E80A33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报管理：培训机构根据学科领域进行项目申报，按照学科领域（区域）确定中标机构和名额，市级、区县和校级根据学科领域（区域）进行学员报送；设置项目申报要求，包括机构申报起止时间和最大申报学科数量，以及是否要求培训资质，并指定培训机构；</w:t>
            </w:r>
          </w:p>
        </w:tc>
      </w:tr>
      <w:tr w14:paraId="1516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1451E86">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23B0C66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FB95C4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遴选设置：遴选方式包括两种：专家评审和公开招标。专家评审包括实名专家评审和匿名专家评审；</w:t>
            </w:r>
          </w:p>
        </w:tc>
      </w:tr>
      <w:tr w14:paraId="569F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83D6414">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563528E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06F3DB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学员预报送：项目管理员开启预报送，下级项目管理员和校级管理员可以提交所管辖可以参训教师数量，方便项目管理员了解培训需求，并且有针对性进行名额分配；</w:t>
            </w:r>
          </w:p>
        </w:tc>
      </w:tr>
      <w:tr w14:paraId="5227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903A9C6">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2C94E21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6B1E83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学员报送：设置学员报送的起止时间和报送方式。报送方式分为计划式报名和开放式报名。</w:t>
            </w:r>
          </w:p>
        </w:tc>
      </w:tr>
      <w:tr w14:paraId="340F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A4A61ED">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restart"/>
            <w:shd w:val="clear" w:color="auto" w:fill="auto"/>
            <w:vAlign w:val="center"/>
          </w:tcPr>
          <w:p w14:paraId="229BA5B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▲项目执行</w:t>
            </w:r>
          </w:p>
        </w:tc>
        <w:tc>
          <w:tcPr>
            <w:tcW w:w="7129" w:type="dxa"/>
            <w:shd w:val="clear" w:color="auto" w:fill="auto"/>
            <w:vAlign w:val="center"/>
          </w:tcPr>
          <w:p w14:paraId="4831A83C">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（1）申报评审：管理员查看各个机构项目申报书，以及确定培训机构所承担的学科领域（区域）和培训人数。</w:t>
            </w:r>
          </w:p>
        </w:tc>
      </w:tr>
      <w:tr w14:paraId="7544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2FFDF7C">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0D2D81C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5D847B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（2）名额分配：按学科领域（区域）和培训机构进行名额分配，市级可以给所管辖区县管理员分配名额，区县给所管辖学校管理员分配名额，学校管理员选择参训教师向上级报送。</w:t>
            </w:r>
          </w:p>
        </w:tc>
      </w:tr>
      <w:tr w14:paraId="5DE9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6553805">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1E52F84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00A805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（3）学员报送：根据可报送学科领域（区域）选择教师进行报送。</w:t>
            </w:r>
          </w:p>
        </w:tc>
      </w:tr>
      <w:tr w14:paraId="44F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A4AC5CC">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5193193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33A773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（4）报送审核：审核下级项目管理员报送上来的学员名单，可以越级审核。</w:t>
            </w:r>
          </w:p>
        </w:tc>
      </w:tr>
      <w:tr w14:paraId="6081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F5520C9">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7FD7C03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2F51DB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（5）开启二次报送：二次报送操作流程：首次报送剩余名额回收、设置二次报送时间、开启二次报送；回收名额进行二次分配；二次报送、审核。</w:t>
            </w:r>
          </w:p>
        </w:tc>
      </w:tr>
      <w:tr w14:paraId="7E8E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5A67238">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6D78B4E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AC18EC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（6）实施管理：浏览、查询、查看和导出各个学科领域（区域）学员名单。</w:t>
            </w:r>
          </w:p>
        </w:tc>
      </w:tr>
      <w:tr w14:paraId="7574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0577EFD">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77AF8AC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46C9A9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（7）学员替换申请：申请替换参训学员。</w:t>
            </w:r>
          </w:p>
        </w:tc>
      </w:tr>
      <w:tr w14:paraId="47C5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7A54F31">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6BDBCB9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A1F247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（8）学员替换审核：浏览、查询、审核、驳回学员替换申请。</w:t>
            </w:r>
          </w:p>
        </w:tc>
      </w:tr>
      <w:tr w14:paraId="4232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1B42F15">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487EF75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9E3C61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（9）报道及成绩登记：学员报道并登记参训成绩。</w:t>
            </w:r>
          </w:p>
        </w:tc>
      </w:tr>
      <w:tr w14:paraId="2C3D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614EE8B">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5C101F1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18591F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（10）学分登记：根据参训成绩登记学时、学分。</w:t>
            </w:r>
          </w:p>
        </w:tc>
      </w:tr>
      <w:tr w14:paraId="1DC0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2E53329">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012" w:type="dxa"/>
            <w:gridSpan w:val="2"/>
            <w:shd w:val="clear" w:color="auto" w:fill="auto"/>
            <w:vAlign w:val="center"/>
          </w:tcPr>
          <w:p w14:paraId="3DE88EF3">
            <w:pPr>
              <w:pageBreakBefore w:val="0"/>
              <w:kinsoku/>
              <w:wordWrap/>
              <w:topLinePunct w:val="0"/>
              <w:bidi w:val="0"/>
              <w:spacing w:line="44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校本级项目管理</w:t>
            </w:r>
          </w:p>
        </w:tc>
      </w:tr>
      <w:tr w14:paraId="5ABF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B3A3A0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883" w:type="dxa"/>
            <w:shd w:val="clear" w:color="auto" w:fill="auto"/>
            <w:vAlign w:val="center"/>
          </w:tcPr>
          <w:p w14:paraId="53D14136">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按年度建立完备的校本培训档案</w:t>
            </w:r>
          </w:p>
        </w:tc>
        <w:tc>
          <w:tcPr>
            <w:tcW w:w="7129" w:type="dxa"/>
            <w:shd w:val="clear" w:color="auto" w:fill="auto"/>
            <w:vAlign w:val="center"/>
          </w:tcPr>
          <w:p w14:paraId="1DBF9B92">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建立健全各校校本培训档案，进一步规范校本培训档案，注重过程性记录与反馈，更清晰地了解校本培训内容、组织及效果。包括：制定本年度分层次提出校本研修要求、构建本校特色校本研修课程体系。</w:t>
            </w:r>
          </w:p>
        </w:tc>
      </w:tr>
      <w:tr w14:paraId="1ABE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1D52A9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883" w:type="dxa"/>
            <w:shd w:val="clear" w:color="auto" w:fill="auto"/>
            <w:vAlign w:val="center"/>
          </w:tcPr>
          <w:p w14:paraId="39D03F5F">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制定可操作的校本培训计划</w:t>
            </w:r>
          </w:p>
        </w:tc>
        <w:tc>
          <w:tcPr>
            <w:tcW w:w="7129" w:type="dxa"/>
            <w:shd w:val="clear" w:color="auto" w:fill="auto"/>
            <w:vAlign w:val="center"/>
          </w:tcPr>
          <w:p w14:paraId="051BE8CC">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各校参照校本培训的计划表格，制定校本培训计划，与培训目标相关联，并进行具体细分和分解，呈现校本培训计划的可操作性，将每个学期的校本培训课程有效衔接，形成校本培训课程的连续性。</w:t>
            </w:r>
          </w:p>
        </w:tc>
      </w:tr>
      <w:tr w14:paraId="1CE4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93F5CB4">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8012" w:type="dxa"/>
            <w:gridSpan w:val="2"/>
            <w:shd w:val="clear" w:color="auto" w:fill="auto"/>
            <w:vAlign w:val="center"/>
          </w:tcPr>
          <w:p w14:paraId="2ED42D8C">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异步在线培训子系统</w:t>
            </w:r>
          </w:p>
        </w:tc>
      </w:tr>
      <w:tr w14:paraId="4D1E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78442300">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883" w:type="dxa"/>
            <w:shd w:val="clear" w:color="auto" w:fill="auto"/>
            <w:vAlign w:val="center"/>
          </w:tcPr>
          <w:p w14:paraId="68FF9FE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学习子系统首页</w:t>
            </w:r>
          </w:p>
        </w:tc>
        <w:tc>
          <w:tcPr>
            <w:tcW w:w="7129" w:type="dxa"/>
            <w:shd w:val="clear" w:color="auto" w:fill="auto"/>
            <w:vAlign w:val="center"/>
          </w:tcPr>
          <w:p w14:paraId="31A61FC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培训学习首页是各培训项目统一的展示入口和新疆维吾尔自治区教师培训特色及创新的集中展示页面。并可根据培训项目进行调整和维护。</w:t>
            </w:r>
          </w:p>
        </w:tc>
      </w:tr>
      <w:tr w14:paraId="4974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1873008F">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883" w:type="dxa"/>
            <w:vMerge w:val="restart"/>
            <w:shd w:val="clear" w:color="auto" w:fill="auto"/>
            <w:vAlign w:val="center"/>
          </w:tcPr>
          <w:p w14:paraId="0EE9286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各培训项目首页</w:t>
            </w:r>
          </w:p>
        </w:tc>
        <w:tc>
          <w:tcPr>
            <w:tcW w:w="7129" w:type="dxa"/>
            <w:shd w:val="clear" w:color="auto" w:fill="auto"/>
            <w:vAlign w:val="center"/>
          </w:tcPr>
          <w:p w14:paraId="21BF783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项目首页是单个培训项目的主页面和项目培训特色及创新的集中展示页面。项目首页是公开展示本项目信息、培训成果以及帮助服务。主要的栏目有：新闻中心、通知公告、项目简报、作品集、活动、资源分享、工作坊、统计数据等。</w:t>
            </w:r>
          </w:p>
        </w:tc>
      </w:tr>
      <w:tr w14:paraId="7BEA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E682D97">
            <w:pPr>
              <w:pageBreakBefore w:val="0"/>
              <w:kinsoku/>
              <w:wordWrap/>
              <w:topLinePunct w:val="0"/>
              <w:bidi w:val="0"/>
              <w:spacing w:line="440" w:lineRule="exact"/>
              <w:rPr>
                <w:rFonts w:hint="eastAsia" w:ascii="宋体" w:hAnsi="宋体" w:eastAsia="宋体" w:cs="宋体"/>
                <w:b/>
                <w:bCs/>
                <w:color w:val="auto"/>
                <w:sz w:val="24"/>
                <w:szCs w:val="24"/>
                <w:highlight w:val="none"/>
              </w:rPr>
            </w:pPr>
          </w:p>
        </w:tc>
        <w:tc>
          <w:tcPr>
            <w:tcW w:w="883" w:type="dxa"/>
            <w:vMerge w:val="continue"/>
            <w:vAlign w:val="center"/>
          </w:tcPr>
          <w:p w14:paraId="1DA9B10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1F8413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有选课、缴费需求的培训项目须具备缴费功能和相关页面。</w:t>
            </w:r>
          </w:p>
        </w:tc>
      </w:tr>
      <w:tr w14:paraId="2F17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74926031">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8012" w:type="dxa"/>
            <w:gridSpan w:val="2"/>
            <w:shd w:val="clear" w:color="auto" w:fill="auto"/>
            <w:vAlign w:val="center"/>
          </w:tcPr>
          <w:p w14:paraId="2E813D40">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异步在线培训功能</w:t>
            </w:r>
          </w:p>
        </w:tc>
      </w:tr>
      <w:tr w14:paraId="7462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4A516E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83" w:type="dxa"/>
            <w:shd w:val="clear" w:color="auto" w:fill="auto"/>
            <w:vAlign w:val="center"/>
          </w:tcPr>
          <w:p w14:paraId="3C6B73B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自主学习</w:t>
            </w:r>
          </w:p>
        </w:tc>
        <w:tc>
          <w:tcPr>
            <w:tcW w:w="7129" w:type="dxa"/>
            <w:shd w:val="clear" w:color="auto" w:fill="auto"/>
            <w:vAlign w:val="center"/>
          </w:tcPr>
          <w:p w14:paraId="0142A28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提供学前测评工具，并出具评测报告，根据评测报告推送课程，学员可根据推送课程进行自主选学。</w:t>
            </w:r>
          </w:p>
        </w:tc>
      </w:tr>
      <w:tr w14:paraId="7B14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88A1E1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83" w:type="dxa"/>
            <w:shd w:val="clear" w:color="auto" w:fill="auto"/>
            <w:vAlign w:val="center"/>
          </w:tcPr>
          <w:p w14:paraId="35B028C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计划制定</w:t>
            </w:r>
          </w:p>
        </w:tc>
        <w:tc>
          <w:tcPr>
            <w:tcW w:w="7129" w:type="dxa"/>
            <w:shd w:val="clear" w:color="auto" w:fill="auto"/>
            <w:vAlign w:val="center"/>
          </w:tcPr>
          <w:p w14:paraId="421A03E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学员可以通过查看本次培训的教学计划了解此次培训的安排，计划与要求。</w:t>
            </w:r>
          </w:p>
        </w:tc>
      </w:tr>
      <w:tr w14:paraId="5DC8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6732986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883" w:type="dxa"/>
            <w:shd w:val="clear" w:color="auto" w:fill="auto"/>
            <w:vAlign w:val="center"/>
          </w:tcPr>
          <w:p w14:paraId="1B0C928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课程学习</w:t>
            </w:r>
          </w:p>
        </w:tc>
        <w:tc>
          <w:tcPr>
            <w:tcW w:w="7129" w:type="dxa"/>
            <w:shd w:val="clear" w:color="auto" w:fill="auto"/>
            <w:vAlign w:val="center"/>
          </w:tcPr>
          <w:p w14:paraId="4C5E6EA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修课程围绕研修主题，聚焦共性需求，解决重难点问题；通过诊断评测工具对学员进行诊断分析,根据分析报告,系统会推送课程,学员根据课程自主选择课程。通过观看视频，记录笔记，提问答疑，作业评测，研修社区活动功能提高学员的积极性。</w:t>
            </w:r>
          </w:p>
        </w:tc>
      </w:tr>
      <w:tr w14:paraId="4034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0142BE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883" w:type="dxa"/>
            <w:shd w:val="clear" w:color="auto" w:fill="auto"/>
            <w:vAlign w:val="center"/>
          </w:tcPr>
          <w:p w14:paraId="20E40DF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班级研讨</w:t>
            </w:r>
          </w:p>
        </w:tc>
        <w:tc>
          <w:tcPr>
            <w:tcW w:w="7129" w:type="dxa"/>
            <w:shd w:val="clear" w:color="auto" w:fill="auto"/>
            <w:vAlign w:val="center"/>
          </w:tcPr>
          <w:p w14:paraId="67F86B2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通过班级内部的研讨组，与班级内部学员进行互动交流，增进沟通。</w:t>
            </w:r>
          </w:p>
        </w:tc>
      </w:tr>
      <w:tr w14:paraId="0D5E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8E4394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883" w:type="dxa"/>
            <w:shd w:val="clear" w:color="auto" w:fill="auto"/>
            <w:vAlign w:val="center"/>
          </w:tcPr>
          <w:p w14:paraId="76761F2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日志发布</w:t>
            </w:r>
          </w:p>
        </w:tc>
        <w:tc>
          <w:tcPr>
            <w:tcW w:w="7129" w:type="dxa"/>
            <w:shd w:val="clear" w:color="auto" w:fill="auto"/>
            <w:vAlign w:val="center"/>
          </w:tcPr>
          <w:p w14:paraId="2C95E42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学员可以自由分享学习心得日志，通过评论，收藏等功能，提高互动性，激发学员的学习兴趣。</w:t>
            </w:r>
          </w:p>
        </w:tc>
      </w:tr>
      <w:tr w14:paraId="2B9B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780F540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883" w:type="dxa"/>
            <w:shd w:val="clear" w:color="auto" w:fill="auto"/>
            <w:vAlign w:val="center"/>
          </w:tcPr>
          <w:p w14:paraId="7F18170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进度反馈</w:t>
            </w:r>
          </w:p>
        </w:tc>
        <w:tc>
          <w:tcPr>
            <w:tcW w:w="7129" w:type="dxa"/>
            <w:shd w:val="clear" w:color="auto" w:fill="auto"/>
            <w:vAlign w:val="center"/>
          </w:tcPr>
          <w:p w14:paraId="5A37D96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实时统计学员的学习数据，包括学习成绩与进度，让学员清晰地了解自己当前的学习情况，合理地安排自己的学习时间。</w:t>
            </w:r>
          </w:p>
        </w:tc>
      </w:tr>
      <w:tr w14:paraId="023E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09FFC7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883" w:type="dxa"/>
            <w:shd w:val="clear" w:color="auto" w:fill="auto"/>
            <w:vAlign w:val="center"/>
          </w:tcPr>
          <w:p w14:paraId="14A4A2F8">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交流互动</w:t>
            </w:r>
          </w:p>
        </w:tc>
        <w:tc>
          <w:tcPr>
            <w:tcW w:w="7129" w:type="dxa"/>
            <w:shd w:val="clear" w:color="auto" w:fill="auto"/>
            <w:vAlign w:val="center"/>
          </w:tcPr>
          <w:p w14:paraId="0B0CB9B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通过站内短信，通知，关注，评论等交流沟通方式，使学员与专家，学员与学员，学员与老师进行沟通及时获取通知信息，并解决出现的问题。</w:t>
            </w:r>
          </w:p>
        </w:tc>
      </w:tr>
      <w:tr w14:paraId="76A4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5F8B37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883" w:type="dxa"/>
            <w:shd w:val="clear" w:color="auto" w:fill="auto"/>
            <w:vAlign w:val="center"/>
          </w:tcPr>
          <w:p w14:paraId="210A758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资源分享</w:t>
            </w:r>
          </w:p>
        </w:tc>
        <w:tc>
          <w:tcPr>
            <w:tcW w:w="7129" w:type="dxa"/>
            <w:shd w:val="clear" w:color="auto" w:fill="auto"/>
            <w:vAlign w:val="center"/>
          </w:tcPr>
          <w:p w14:paraId="294C7EB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学员可以分类存储并通过社区资源分享机制分享自己的学习心得，并可以在资源中心下载收藏自己所需的资源。</w:t>
            </w:r>
          </w:p>
        </w:tc>
      </w:tr>
      <w:tr w14:paraId="0D21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2E0A3F9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883" w:type="dxa"/>
            <w:shd w:val="clear" w:color="auto" w:fill="auto"/>
            <w:vAlign w:val="center"/>
          </w:tcPr>
          <w:p w14:paraId="5A371F0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行为记录</w:t>
            </w:r>
          </w:p>
        </w:tc>
        <w:tc>
          <w:tcPr>
            <w:tcW w:w="7129" w:type="dxa"/>
            <w:shd w:val="clear" w:color="auto" w:fill="auto"/>
            <w:vAlign w:val="center"/>
          </w:tcPr>
          <w:p w14:paraId="0FAD79A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平台永久保留教师在平台上的所有研修学习数据，包括参加过的研修项目、加入的工作坊、发表的日志、发表的话题、发起的问答、上传过的资源、提交的作业等。</w:t>
            </w:r>
          </w:p>
        </w:tc>
      </w:tr>
      <w:tr w14:paraId="19DD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613E6B3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83" w:type="dxa"/>
            <w:shd w:val="clear" w:color="auto" w:fill="auto"/>
            <w:vAlign w:val="center"/>
          </w:tcPr>
          <w:p w14:paraId="32A3EF0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提供支持相关评价系统</w:t>
            </w:r>
          </w:p>
        </w:tc>
        <w:tc>
          <w:tcPr>
            <w:tcW w:w="7129" w:type="dxa"/>
            <w:shd w:val="clear" w:color="auto" w:fill="auto"/>
            <w:vAlign w:val="center"/>
          </w:tcPr>
          <w:p w14:paraId="5615B56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学员的评价分为项目任务评价和活跃度评价。项目任务评价为项目对学员项目参训要求的考核，包括课程学习完成情况、作业完成情况、考试完成情况等。活跃度评价是对学员参训积极性的评价，包括发帖数量、回复话题数量、提交资源数量等。</w:t>
            </w:r>
          </w:p>
        </w:tc>
      </w:tr>
      <w:tr w14:paraId="690C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C4A889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883" w:type="dxa"/>
            <w:shd w:val="clear" w:color="auto" w:fill="auto"/>
            <w:vAlign w:val="center"/>
          </w:tcPr>
          <w:p w14:paraId="3267CFC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w:t>
            </w:r>
          </w:p>
        </w:tc>
        <w:tc>
          <w:tcPr>
            <w:tcW w:w="7129" w:type="dxa"/>
            <w:shd w:val="clear" w:color="auto" w:fill="auto"/>
            <w:vAlign w:val="center"/>
          </w:tcPr>
          <w:p w14:paraId="539A7F2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平台移动端通过微信小程序实现，不需要用户额外下载安装APP，支持微信扫码登录平台。微信小程序扫码学习。</w:t>
            </w:r>
          </w:p>
        </w:tc>
      </w:tr>
      <w:tr w14:paraId="0300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272FFAA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883" w:type="dxa"/>
            <w:vMerge w:val="restart"/>
            <w:shd w:val="clear" w:color="auto" w:fill="auto"/>
            <w:vAlign w:val="center"/>
          </w:tcPr>
          <w:p w14:paraId="76AED38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▲工作坊研修活动工具</w:t>
            </w:r>
          </w:p>
        </w:tc>
        <w:tc>
          <w:tcPr>
            <w:tcW w:w="7129" w:type="dxa"/>
            <w:shd w:val="clear" w:color="auto" w:fill="auto"/>
            <w:vAlign w:val="center"/>
          </w:tcPr>
          <w:p w14:paraId="2BF577C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视频学习：系统支持多种主流视频格式上传视频资源，不限视频时长、永久储存，学员可以使用电脑和微信小程序随时随地学习。</w:t>
            </w:r>
          </w:p>
        </w:tc>
      </w:tr>
      <w:tr w14:paraId="0BC7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D12ECB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A0FAEB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6ADFCC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文档学习：系统支持Word，Excel，PPT，PDF等多种主流文档格式上传文档资源，并且自动转化为pdf格式文档，永久储存，一键分享，学员可以使用电脑和微信小程序随时随地学习。</w:t>
            </w:r>
          </w:p>
        </w:tc>
      </w:tr>
      <w:tr w14:paraId="5A0C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9A6B15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AEE801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AB4ED9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听评课(现场)：讲师为现场听评课设置评价量表，可以自定义量表，也可以使用系统量表、区级量表、校级量表。并且平台也会提供量表模板、训前调查模板、训后调查模板、活动设计模板等等。</w:t>
            </w:r>
          </w:p>
        </w:tc>
      </w:tr>
      <w:tr w14:paraId="2AD6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A84455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F66030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78E581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听评课(录像)：讲师为录像听评课设置评价量表，可以自定义量表，也可以使用系统量表、区级量表、校级量表。并且平台也会提供量表模板、训前调查模板、训后调查模板、活动设计模板等等。</w:t>
            </w:r>
          </w:p>
        </w:tc>
      </w:tr>
      <w:tr w14:paraId="4837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9845E0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6179F3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343B9B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教案评价：讲师为教案设置评价量表，可以自定义量表，也可以使用系统量表、区级量表、校级量表。并且平台也会提供量表模板、训前调查模板、训后调查模板、活动设计模板等等。</w:t>
            </w:r>
          </w:p>
        </w:tc>
      </w:tr>
      <w:tr w14:paraId="340C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5C3921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AC8181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950990C">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问卷：讲师可以设置单选题、多选题、开放式、数值型等多种题型。问卷的完成情况可以一键下载，问卷结果一目了然，并且可以实时大屏幕展示。</w:t>
            </w:r>
          </w:p>
        </w:tc>
      </w:tr>
      <w:tr w14:paraId="5D33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484427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0F75E9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CF5CFD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签到：学员通过扫描二维码进行签到，并在学员签到时收集学员的基本信息。支持防作弊签到和签到头像实时上墙。</w:t>
            </w:r>
          </w:p>
        </w:tc>
      </w:tr>
      <w:tr w14:paraId="43A9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838942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D976D5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54B452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提问：讲师可以设置是否允许学员间相互回复以及未发言的学员是否允许查看其他人的发言。并且可以通过置顶、设置为精华发言、删除等操作对学员发言进行管理。</w:t>
            </w:r>
          </w:p>
        </w:tc>
      </w:tr>
      <w:tr w14:paraId="3457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11C8D7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F6C090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EA3935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讨论：讲师可以设置是否允许学员间相互回复，并且可以通过置顶、设置为精华发言、删除等操作对学员发言进行管理。</w:t>
            </w:r>
          </w:p>
        </w:tc>
      </w:tr>
      <w:tr w14:paraId="5EEF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A96AD2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17E2DC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0AE048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拍照：培训现场的白板纸拍照即可立即上墙，同时讲师可以通过拍照收集学员的作业，学员彼此间可以点赞。讲师可以设置学员最少上传图片的数量。</w:t>
            </w:r>
          </w:p>
        </w:tc>
      </w:tr>
      <w:tr w14:paraId="396B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858FB2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8A6BEA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FED308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作业：讲师可以布置视频、文档、图文等多种格式作业，并且支持任意作业格式组合。</w:t>
            </w:r>
          </w:p>
        </w:tc>
      </w:tr>
      <w:tr w14:paraId="549E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14:paraId="79C50EC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7D53E5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AC64DAC">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专家授课：提供同步在线直播，支持直播授课、录播回放、即时视频及语音互动、即时文字互动、课堂监督/公告、课堂监督/签到、课堂监督/答题、课堂监督/问卷功能。</w:t>
            </w:r>
          </w:p>
        </w:tc>
      </w:tr>
      <w:tr w14:paraId="3DCA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98B705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561A47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DEED0B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课程资源：系统提供3000+研训课程资源，讲师可以将优质的课程资源引入到自己的活动中，作为活动学习内容的一部分。</w:t>
            </w:r>
          </w:p>
        </w:tc>
      </w:tr>
      <w:tr w14:paraId="2FC7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17E74AD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p>
        </w:tc>
        <w:tc>
          <w:tcPr>
            <w:tcW w:w="883" w:type="dxa"/>
            <w:vMerge w:val="restart"/>
            <w:shd w:val="clear" w:color="auto" w:fill="auto"/>
            <w:vAlign w:val="center"/>
          </w:tcPr>
          <w:p w14:paraId="1F2F858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▲工作坊活动分享管理</w:t>
            </w:r>
          </w:p>
        </w:tc>
        <w:tc>
          <w:tcPr>
            <w:tcW w:w="7129" w:type="dxa"/>
            <w:shd w:val="clear" w:color="auto" w:fill="auto"/>
            <w:vAlign w:val="center"/>
          </w:tcPr>
          <w:p w14:paraId="7D22814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链接分享：系统为每个活动生成专属链接。管理员可以将链接发送给学员，学员通过访问链接即可申请参加活动。</w:t>
            </w:r>
          </w:p>
        </w:tc>
      </w:tr>
      <w:tr w14:paraId="1CD5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157C94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FD2733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79B534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二维码分享：系统为每个活动生成专属二维码，并且将二维码放在多种风格海报中，供管理员选择下载。管理员将海报发送给学员，学员通过微信扫描二维码即可申请参加活动。</w:t>
            </w:r>
          </w:p>
        </w:tc>
      </w:tr>
      <w:tr w14:paraId="1EC9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50E33C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CE5CA9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698CBA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访问码分享：系统为每个活动生成专属访问码。管理员可以将访问码发送给学员，学员通过在电脑端和微信小程序中输入访问码即可申请参加活动。</w:t>
            </w:r>
          </w:p>
        </w:tc>
      </w:tr>
      <w:tr w14:paraId="0B3B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3D14F50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83" w:type="dxa"/>
            <w:vMerge w:val="restart"/>
            <w:shd w:val="clear" w:color="auto" w:fill="auto"/>
            <w:vAlign w:val="center"/>
          </w:tcPr>
          <w:p w14:paraId="6809F83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▲工作坊研修任务管理</w:t>
            </w:r>
          </w:p>
        </w:tc>
        <w:tc>
          <w:tcPr>
            <w:tcW w:w="7129" w:type="dxa"/>
            <w:shd w:val="clear" w:color="auto" w:fill="auto"/>
            <w:vAlign w:val="center"/>
          </w:tcPr>
          <w:p w14:paraId="6183756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分配活动：讲师发布课程内容时，可以按照指定班级或指定学员分配课程，并可以设置任务截止时间，分配后，指定班级的学员会收到相应的学习任务。</w:t>
            </w:r>
          </w:p>
        </w:tc>
      </w:tr>
      <w:tr w14:paraId="68BC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94502C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788C23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48FB91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撤回任务：系统支持讲师撤回分配给学员学习任务。</w:t>
            </w:r>
          </w:p>
        </w:tc>
      </w:tr>
      <w:tr w14:paraId="7569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704D378">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883" w:type="dxa"/>
            <w:shd w:val="clear" w:color="auto" w:fill="auto"/>
            <w:vAlign w:val="center"/>
          </w:tcPr>
          <w:p w14:paraId="2F314EF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自主选学</w:t>
            </w:r>
          </w:p>
        </w:tc>
        <w:tc>
          <w:tcPr>
            <w:tcW w:w="7129" w:type="dxa"/>
            <w:shd w:val="clear" w:color="auto" w:fill="auto"/>
            <w:vAlign w:val="center"/>
          </w:tcPr>
          <w:p w14:paraId="11AEAE8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说明：教师专业发展指数体系设计时充分考虑教师专业发展的特点，确定教师专业发展能力项指标和教师培训目标，开发用于教师自我诊断的“发展水平级差表”，并配套教师专业发展水平相对应的培训课程。包括模型名称、能力维度、能力领域、核心能力、核心能力描述、能力级差表、诊断工具、研修主题、研修专题等。</w:t>
            </w:r>
          </w:p>
        </w:tc>
      </w:tr>
      <w:tr w14:paraId="2E80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5CE636B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883" w:type="dxa"/>
            <w:vMerge w:val="restart"/>
            <w:shd w:val="clear" w:color="auto" w:fill="auto"/>
            <w:vAlign w:val="center"/>
          </w:tcPr>
          <w:p w14:paraId="06CCE56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能力模型设置</w:t>
            </w:r>
          </w:p>
        </w:tc>
        <w:tc>
          <w:tcPr>
            <w:tcW w:w="7129" w:type="dxa"/>
            <w:shd w:val="clear" w:color="auto" w:fill="auto"/>
            <w:vAlign w:val="center"/>
          </w:tcPr>
          <w:p w14:paraId="7D89E76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能力模型结构设计：能力模型包括四级，分为能力框架名称、二级能力栈、能力族、核心能力项。</w:t>
            </w:r>
          </w:p>
        </w:tc>
      </w:tr>
      <w:tr w14:paraId="7795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606EF7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31D863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EB1D71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查询能力模型：列出系统所有能力模型，并且根据关键字进行搜索关键能力。</w:t>
            </w:r>
          </w:p>
        </w:tc>
      </w:tr>
      <w:tr w14:paraId="0E7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59A111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28F02C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369D76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新建能力框架：包括框架名称、框架描述、解决问题等信息。</w:t>
            </w:r>
          </w:p>
        </w:tc>
      </w:tr>
      <w:tr w14:paraId="7601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529DDD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230F7F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BA6B88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新建能力栈：能力栈是多个能力族的集合。在能力框架下添加能力栈，包括能力栈名称、能力栈描述、能力栈编号等信息。</w:t>
            </w:r>
          </w:p>
        </w:tc>
      </w:tr>
      <w:tr w14:paraId="2FA2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672BB6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A8C21A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CF2F4B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新建能力族：能力族是多个核心能力的集合。在能力栈下添加多个能力族，包括能力族名称、能力族描述、能力族编号等信息。</w:t>
            </w:r>
          </w:p>
        </w:tc>
      </w:tr>
      <w:tr w14:paraId="2109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93D47A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EF2B92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0B5945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新建核心能力：核心能力包括能力概要、能力描述、培训目标、实践建议、评价标准、学习资源等内容。</w:t>
            </w:r>
          </w:p>
        </w:tc>
      </w:tr>
      <w:tr w14:paraId="002A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34F2A0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F0CBEF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707C55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其他操作：能力模型的导出、编辑、删除。</w:t>
            </w:r>
          </w:p>
        </w:tc>
      </w:tr>
      <w:tr w14:paraId="6DB3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A5CC55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40CACD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54EDE4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编辑发布《教师培训课程指导标准》《学科教学关键问题》《信息技术能力提升2.0（中小学）》《信息技术能力提升2.0（幼儿园）》四个能力模型。</w:t>
            </w:r>
          </w:p>
        </w:tc>
      </w:tr>
      <w:tr w14:paraId="56AD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19EB1A2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883" w:type="dxa"/>
            <w:vMerge w:val="restart"/>
            <w:shd w:val="clear" w:color="auto" w:fill="auto"/>
            <w:vAlign w:val="center"/>
          </w:tcPr>
          <w:p w14:paraId="6B57B61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能力级差表设计</w:t>
            </w:r>
          </w:p>
        </w:tc>
        <w:tc>
          <w:tcPr>
            <w:tcW w:w="7129" w:type="dxa"/>
            <w:shd w:val="clear" w:color="auto" w:fill="auto"/>
            <w:vAlign w:val="center"/>
          </w:tcPr>
          <w:p w14:paraId="1EF2763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查询浏览能力极差表：浏览所有核心能力的能力极差表，并可以根据能力名称进行精准搜索。</w:t>
            </w:r>
          </w:p>
        </w:tc>
      </w:tr>
      <w:tr w14:paraId="49B0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7F36B0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05E03E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1C7666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能力级差表：为每个核心能力设置能力极差表，用于诊断教师的核心能力水平。包括培训目标、一级水平名称/描述/诊断问卷、一级水平名称/描述/诊断问卷、三级水平名称/描述/诊断问卷、四级水平名称/描述/诊断问卷。</w:t>
            </w:r>
          </w:p>
        </w:tc>
      </w:tr>
      <w:tr w14:paraId="7C1B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099FE0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EB26A9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DB10BB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其他操作：能力极差表的导出、编辑、删除。</w:t>
            </w:r>
          </w:p>
        </w:tc>
      </w:tr>
      <w:tr w14:paraId="46AE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63D7D2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FF7687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17027A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编辑发布《教师培训课程指导标准》《学科教学关键问题》《信息技术能力提升2.0（中小学）》《信息技术能力提升2.0（幼儿园）》四个能力模型的不少于300个核心能力级差表。</w:t>
            </w:r>
          </w:p>
        </w:tc>
      </w:tr>
      <w:tr w14:paraId="0AD5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FFC444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BD5185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913775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诊断工具开发：PC端和手机端。教师可以根据能力框架浏览查询所有核心能力，当教师选择核心能力后，依据能力极差表，生成测试问卷，根据教师答题情况确定教师当前能力的等级。帮助教师进行自我诊断，较直观地衡量自己教学能力的现有水平，从而自觉地感知自身能力与培训目标的“差距”，激发主动培训的内在需求。</w:t>
            </w:r>
          </w:p>
        </w:tc>
      </w:tr>
      <w:tr w14:paraId="339C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4377641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883" w:type="dxa"/>
            <w:vMerge w:val="restart"/>
            <w:shd w:val="clear" w:color="auto" w:fill="auto"/>
            <w:vAlign w:val="center"/>
          </w:tcPr>
          <w:p w14:paraId="56475318">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针对性培训课程设计</w:t>
            </w:r>
          </w:p>
        </w:tc>
        <w:tc>
          <w:tcPr>
            <w:tcW w:w="7129" w:type="dxa"/>
            <w:shd w:val="clear" w:color="auto" w:fill="auto"/>
            <w:vAlign w:val="center"/>
          </w:tcPr>
          <w:p w14:paraId="094B94EA">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培训课程浏览：浏览平台所有课程以及课程针对的能力水平。</w:t>
            </w:r>
          </w:p>
        </w:tc>
      </w:tr>
      <w:tr w14:paraId="228B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A320BE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D0086D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8410C9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新建针对性培训课程主题设计：课程基于培训目标和发展水平诊断设计。其结构与培训目标一致，以二级指标为基本单位，每一个二级指标下设若干个研修主题。</w:t>
            </w:r>
          </w:p>
        </w:tc>
      </w:tr>
      <w:tr w14:paraId="075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D3DADA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23B05E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D5E57E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培训课程专题：每个研修主题下设若干个形式多样的专题，包括专题讲座、经验分享、案例分析、专题研究等。不同专题的课程适合不同水平教师的提升需求，教师通过发展水平诊断确定自己某项能力的专业发展水平后，可以选择相应的专题进行学习。教师培训机构和学校也可根据学员的专业发展水平选择相应的专题组织培训，以此提高培训的针对性和实效性。</w:t>
            </w:r>
          </w:p>
        </w:tc>
      </w:tr>
      <w:tr w14:paraId="6841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56E354F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883" w:type="dxa"/>
            <w:vMerge w:val="restart"/>
            <w:shd w:val="clear" w:color="auto" w:fill="auto"/>
            <w:vAlign w:val="center"/>
          </w:tcPr>
          <w:p w14:paraId="6A3FEA3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自主选学批次设置</w:t>
            </w:r>
          </w:p>
        </w:tc>
        <w:tc>
          <w:tcPr>
            <w:tcW w:w="7129" w:type="dxa"/>
            <w:shd w:val="clear" w:color="auto" w:fill="auto"/>
            <w:vAlign w:val="center"/>
          </w:tcPr>
          <w:p w14:paraId="310A03D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自主选学批次查询：浏览平台所有历史自主选学批次，以及起止时间和选学要求等。</w:t>
            </w:r>
          </w:p>
        </w:tc>
      </w:tr>
      <w:tr w14:paraId="07FD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0B5A54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39335F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1893685">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创建自主选学批次：设定自主选学批次名称、开始结束时间、考核要求等信息。</w:t>
            </w:r>
          </w:p>
        </w:tc>
      </w:tr>
      <w:tr w14:paraId="5402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AEF502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9E1ABF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18FC84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必修内容设计：根据能力框架，选择若干核心能力，并设置必修内容学习要求。必修内容为所有教师必须完成的内容。</w:t>
            </w:r>
          </w:p>
        </w:tc>
      </w:tr>
      <w:tr w14:paraId="32B0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13B8D3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4A51E9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D94709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选修内容设计：根据能力框架，选择若干核心能力，并设置必修内容学习要求。选修内容为所有教师可选完成的内容。</w:t>
            </w:r>
          </w:p>
        </w:tc>
      </w:tr>
      <w:tr w14:paraId="7C8E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99FC41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131683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F76D32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自主选学考核要求设计：设置必修内容考核要求和选修内容考核要求，学员在完成必修内容，并且选修内容达标后，自动获得培训学分。</w:t>
            </w:r>
          </w:p>
        </w:tc>
      </w:tr>
      <w:tr w14:paraId="1044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C8806D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97B33A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6798DD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自主选学批次发布：根据自主选学批次自动生产选学项目编号。并将编号分配给所有培训课程；批次发布后，教师方可在前台看见自主选学活动。</w:t>
            </w:r>
          </w:p>
        </w:tc>
      </w:tr>
      <w:tr w14:paraId="3505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2D6393F7">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8012" w:type="dxa"/>
            <w:gridSpan w:val="2"/>
            <w:shd w:val="clear" w:color="auto" w:fill="auto"/>
            <w:vAlign w:val="center"/>
          </w:tcPr>
          <w:p w14:paraId="603038F4">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培训成果分享展示</w:t>
            </w:r>
          </w:p>
        </w:tc>
      </w:tr>
      <w:tr w14:paraId="33B8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CA6107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883" w:type="dxa"/>
            <w:shd w:val="clear" w:color="auto" w:fill="auto"/>
            <w:vAlign w:val="center"/>
          </w:tcPr>
          <w:p w14:paraId="49D2130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活动计划管理</w:t>
            </w:r>
          </w:p>
        </w:tc>
        <w:tc>
          <w:tcPr>
            <w:tcW w:w="7129" w:type="dxa"/>
            <w:shd w:val="clear" w:color="auto" w:fill="auto"/>
            <w:vAlign w:val="center"/>
          </w:tcPr>
          <w:p w14:paraId="1B30A1B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展示活动面对对象、时间计划、展示材料类型及说明等。</w:t>
            </w:r>
          </w:p>
        </w:tc>
      </w:tr>
      <w:tr w14:paraId="7A17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A8A029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883" w:type="dxa"/>
            <w:shd w:val="clear" w:color="auto" w:fill="auto"/>
            <w:vAlign w:val="center"/>
          </w:tcPr>
          <w:p w14:paraId="5B91284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教师展示材料申报</w:t>
            </w:r>
          </w:p>
        </w:tc>
        <w:tc>
          <w:tcPr>
            <w:tcW w:w="7129" w:type="dxa"/>
            <w:shd w:val="clear" w:color="auto" w:fill="auto"/>
            <w:vAlign w:val="center"/>
          </w:tcPr>
          <w:p w14:paraId="6AC3F194">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展示活动发布、填写问卷、教师报名、展示材料在线提交。</w:t>
            </w:r>
          </w:p>
        </w:tc>
      </w:tr>
      <w:tr w14:paraId="740F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7A1F1CC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p>
        </w:tc>
        <w:tc>
          <w:tcPr>
            <w:tcW w:w="883" w:type="dxa"/>
            <w:shd w:val="clear" w:color="auto" w:fill="auto"/>
            <w:vAlign w:val="center"/>
          </w:tcPr>
          <w:p w14:paraId="169F764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学科专家评审</w:t>
            </w:r>
          </w:p>
        </w:tc>
        <w:tc>
          <w:tcPr>
            <w:tcW w:w="7129" w:type="dxa"/>
            <w:shd w:val="clear" w:color="auto" w:fill="auto"/>
            <w:vAlign w:val="center"/>
          </w:tcPr>
          <w:p w14:paraId="7E894AF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专家评审任务分配、专家在线评审。</w:t>
            </w:r>
          </w:p>
        </w:tc>
      </w:tr>
      <w:tr w14:paraId="7188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7F22455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p>
        </w:tc>
        <w:tc>
          <w:tcPr>
            <w:tcW w:w="883" w:type="dxa"/>
            <w:shd w:val="clear" w:color="auto" w:fill="auto"/>
            <w:vAlign w:val="center"/>
          </w:tcPr>
          <w:p w14:paraId="60CB08D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成绩查询与作品展示</w:t>
            </w:r>
          </w:p>
        </w:tc>
        <w:tc>
          <w:tcPr>
            <w:tcW w:w="7129" w:type="dxa"/>
            <w:shd w:val="clear" w:color="auto" w:fill="auto"/>
            <w:vAlign w:val="center"/>
          </w:tcPr>
          <w:p w14:paraId="3F8E6D49">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学员成绩查询、获奖等级及作品展示。</w:t>
            </w:r>
          </w:p>
        </w:tc>
      </w:tr>
      <w:tr w14:paraId="5A34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A6EB2E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p>
        </w:tc>
        <w:tc>
          <w:tcPr>
            <w:tcW w:w="883" w:type="dxa"/>
            <w:shd w:val="clear" w:color="auto" w:fill="auto"/>
            <w:vAlign w:val="center"/>
          </w:tcPr>
          <w:p w14:paraId="53D0E269">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教学风采展示</w:t>
            </w:r>
          </w:p>
        </w:tc>
        <w:tc>
          <w:tcPr>
            <w:tcW w:w="7129" w:type="dxa"/>
            <w:shd w:val="clear" w:color="auto" w:fill="auto"/>
            <w:vAlign w:val="center"/>
          </w:tcPr>
          <w:p w14:paraId="0F8AC857">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根据获奖作品及获奖教师展示，支持按照学科、学段、区域等组合查询。</w:t>
            </w:r>
          </w:p>
        </w:tc>
      </w:tr>
      <w:tr w14:paraId="250D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260E3433">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8012" w:type="dxa"/>
            <w:gridSpan w:val="2"/>
            <w:shd w:val="clear" w:color="auto" w:fill="auto"/>
            <w:vAlign w:val="center"/>
          </w:tcPr>
          <w:p w14:paraId="09F55D6D">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校本实践应用平台</w:t>
            </w:r>
          </w:p>
        </w:tc>
      </w:tr>
      <w:tr w14:paraId="594B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1D18E1E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83" w:type="dxa"/>
            <w:vMerge w:val="restart"/>
            <w:shd w:val="clear" w:color="auto" w:fill="auto"/>
            <w:vAlign w:val="center"/>
          </w:tcPr>
          <w:p w14:paraId="5E9EEA0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▲课堂观察活动流程</w:t>
            </w:r>
          </w:p>
        </w:tc>
        <w:tc>
          <w:tcPr>
            <w:tcW w:w="7129" w:type="dxa"/>
            <w:shd w:val="clear" w:color="auto" w:fill="auto"/>
            <w:vAlign w:val="center"/>
          </w:tcPr>
          <w:p w14:paraId="1185E91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普通教师发起自己作为主讲教师的课堂观察活动，并选择观评人员和评价维度。</w:t>
            </w:r>
          </w:p>
        </w:tc>
      </w:tr>
      <w:tr w14:paraId="6D36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C32793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761AC3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917B2E3">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校管理员/教研组长可以发起听评课活动，并指定授课者和观评人员，以及课堂观察量表。</w:t>
            </w:r>
          </w:p>
        </w:tc>
      </w:tr>
      <w:tr w14:paraId="0F80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D3AEAF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855AE1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A03D14A">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听评课活动包括四个环节：课程信息及背景介绍、执教教师说课、确定观察维度及观察者和上传课堂录像。</w:t>
            </w:r>
          </w:p>
        </w:tc>
      </w:tr>
      <w:tr w14:paraId="2C02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D65184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A6127D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C427152">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课程信息及背景介绍包括：授课教师基本信息、课程基本信息、课程教材版本、课程单元、授课地点、授课时间、背景介绍、课程附件等。</w:t>
            </w:r>
          </w:p>
        </w:tc>
      </w:tr>
      <w:tr w14:paraId="2924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9A6327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7EA7A1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9597D32">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执教教师说课：包括课标分析、教材分析、学情分析、教学目标分析、教学策略分析和创新与困惑。</w:t>
            </w:r>
          </w:p>
        </w:tc>
      </w:tr>
      <w:tr w14:paraId="5DB3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33247D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AFB048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AE8BD4E">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确定观察维度及观察者：选择观察量表，并且针对观察量表中的每一个维度可以分配不同的观课人员。一个课程可以选择多个观察量表。</w:t>
            </w:r>
          </w:p>
        </w:tc>
      </w:tr>
      <w:tr w14:paraId="313F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DFE7FA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7753D8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7C665E5">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上传课堂录像：支持教师自己上传已经准备好的课堂实录，课堂实录上传后自动添加到个人课程资源库中。或者从个人课程资源库中选择已有的课程实录。</w:t>
            </w:r>
          </w:p>
        </w:tc>
      </w:tr>
      <w:tr w14:paraId="6C40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78A9DEE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883" w:type="dxa"/>
            <w:vMerge w:val="restart"/>
            <w:shd w:val="clear" w:color="auto" w:fill="auto"/>
            <w:vAlign w:val="center"/>
          </w:tcPr>
          <w:p w14:paraId="27DA4D4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▲课堂观察及评价</w:t>
            </w:r>
          </w:p>
        </w:tc>
        <w:tc>
          <w:tcPr>
            <w:tcW w:w="7129" w:type="dxa"/>
            <w:shd w:val="clear" w:color="auto" w:fill="auto"/>
            <w:vAlign w:val="center"/>
          </w:tcPr>
          <w:p w14:paraId="7CD4013F">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观评人员基于分配的观察维度进行课堂观察。</w:t>
            </w:r>
          </w:p>
        </w:tc>
      </w:tr>
      <w:tr w14:paraId="1DA1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C2985C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FFEB3F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94A9778">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观评人员对于出现的教学行为特征进行标记，针对每一个标记可以添加评论，同时可以选择赞同/不赞同该行为，或者收藏该行为特征。</w:t>
            </w:r>
          </w:p>
        </w:tc>
      </w:tr>
      <w:tr w14:paraId="71BD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E482C0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1CD61C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F2DF933">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平台根据观评人员的标记自动生成数据观察报告，个人观察报告包括课程基本信息、课程整体分析、课程定量分析、课程定性分析、课程教学节奏分析，以及教学行为特征分析。</w:t>
            </w:r>
          </w:p>
        </w:tc>
      </w:tr>
      <w:tr w14:paraId="5EAF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B4B9B9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E9BE98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E5A064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观评人员依据数据观察报告，可以对课堂的主要优点、主要偏差和矫正意见进行说明。</w:t>
            </w:r>
          </w:p>
        </w:tc>
      </w:tr>
      <w:tr w14:paraId="4F43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169CDD7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883" w:type="dxa"/>
            <w:vMerge w:val="restart"/>
            <w:shd w:val="clear" w:color="auto" w:fill="auto"/>
            <w:vAlign w:val="center"/>
          </w:tcPr>
          <w:p w14:paraId="1AE956D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教学行为档案</w:t>
            </w:r>
          </w:p>
        </w:tc>
        <w:tc>
          <w:tcPr>
            <w:tcW w:w="7129" w:type="dxa"/>
            <w:shd w:val="clear" w:color="auto" w:fill="auto"/>
            <w:vAlign w:val="center"/>
          </w:tcPr>
          <w:p w14:paraId="04B5D89E">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针对授课者/观察者可以针对教学行为特征进行收藏并标记收藏说明，收藏的教学行为特征自动添加到教学行为档案库中。</w:t>
            </w:r>
          </w:p>
        </w:tc>
      </w:tr>
      <w:tr w14:paraId="0105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976747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05E4D2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CC37251">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用户选择收藏的教学行为特征，自动播放该教学行为视频片段及评价，便于用户学习和反思。</w:t>
            </w:r>
          </w:p>
        </w:tc>
      </w:tr>
      <w:tr w14:paraId="68CC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470F909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883" w:type="dxa"/>
            <w:vMerge w:val="restart"/>
            <w:shd w:val="clear" w:color="auto" w:fill="auto"/>
            <w:vAlign w:val="center"/>
          </w:tcPr>
          <w:p w14:paraId="3B2B7E0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用户分析</w:t>
            </w:r>
          </w:p>
        </w:tc>
        <w:tc>
          <w:tcPr>
            <w:tcW w:w="7129" w:type="dxa"/>
            <w:shd w:val="clear" w:color="auto" w:fill="auto"/>
            <w:vAlign w:val="center"/>
          </w:tcPr>
          <w:p w14:paraId="0E8D9654">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个人成长历程：包括授课统计分析和评课统计分析。</w:t>
            </w:r>
          </w:p>
        </w:tc>
      </w:tr>
      <w:tr w14:paraId="2841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1833F9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32A890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1D8765D">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对比分析：支持同课异构和同课异评。可以实现个人评价与集体评价的对比分析，以及不同观察者之间的对比分析。</w:t>
            </w:r>
          </w:p>
        </w:tc>
      </w:tr>
      <w:tr w14:paraId="34A2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8EE009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D9AD9C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8A2B264">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共同体分析：学习共同体的授课情况统计分析和评课情况统计分析。</w:t>
            </w:r>
          </w:p>
        </w:tc>
      </w:tr>
      <w:tr w14:paraId="5836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7E8312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1B1AB5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806CEBF">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教研组分析：教研组的授课情况统计分析和评课情况统计分析。</w:t>
            </w:r>
          </w:p>
        </w:tc>
      </w:tr>
      <w:tr w14:paraId="2E04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36850D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3F1A43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835AB9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学校分析：学校的授课情况统计分析和评课情况统计分析。</w:t>
            </w:r>
          </w:p>
        </w:tc>
      </w:tr>
      <w:tr w14:paraId="42C3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8AD411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c>
          <w:tcPr>
            <w:tcW w:w="883" w:type="dxa"/>
            <w:vMerge w:val="restart"/>
            <w:shd w:val="clear" w:color="auto" w:fill="auto"/>
            <w:vAlign w:val="center"/>
          </w:tcPr>
          <w:p w14:paraId="79A6B61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▲量表管理</w:t>
            </w:r>
          </w:p>
        </w:tc>
        <w:tc>
          <w:tcPr>
            <w:tcW w:w="7129" w:type="dxa"/>
            <w:shd w:val="clear" w:color="auto" w:fill="auto"/>
            <w:vAlign w:val="center"/>
          </w:tcPr>
          <w:p w14:paraId="0BA48D0A">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量表管理支持系统量表、区级量表、校级量表和个人量表。</w:t>
            </w:r>
          </w:p>
        </w:tc>
      </w:tr>
      <w:tr w14:paraId="444A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F872F4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02E0CD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1B0521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系统量表：系统默认自带的评价量表，评价量表需来源于公开发表和权威专家，供区域、学校和教师借鉴和使用。</w:t>
            </w:r>
          </w:p>
        </w:tc>
      </w:tr>
      <w:tr w14:paraId="765B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9D50EF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DAB6AB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42B25F0">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区级量表：由区域管理员根据区域实际情况和区域课堂评价要求发布的观察量表，区域内的教师可以借鉴和使用。</w:t>
            </w:r>
          </w:p>
        </w:tc>
      </w:tr>
      <w:tr w14:paraId="6F62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21E44F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E48713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C2B9795">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校级量表：由校级管理员根据学校实际情况和办学特色及课堂评价要求发布的观察量表，学校内教师可以借鉴和使用。</w:t>
            </w:r>
          </w:p>
        </w:tc>
      </w:tr>
      <w:tr w14:paraId="3D05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1E0CBD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7F9757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81D0996">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个人量表：由个人自己创建的符合个人实际需要的评价量表。</w:t>
            </w:r>
          </w:p>
        </w:tc>
      </w:tr>
      <w:tr w14:paraId="5BD9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B5C5D9B">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p>
        </w:tc>
        <w:tc>
          <w:tcPr>
            <w:tcW w:w="8012" w:type="dxa"/>
            <w:gridSpan w:val="2"/>
            <w:shd w:val="clear" w:color="auto" w:fill="auto"/>
            <w:vAlign w:val="center"/>
          </w:tcPr>
          <w:p w14:paraId="417FB895">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同步在线培训子系统</w:t>
            </w:r>
          </w:p>
        </w:tc>
      </w:tr>
      <w:tr w14:paraId="5A08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shd w:val="clear" w:color="auto" w:fill="auto"/>
            <w:vAlign w:val="center"/>
          </w:tcPr>
          <w:p w14:paraId="309E631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3" w:type="dxa"/>
            <w:shd w:val="clear" w:color="auto" w:fill="auto"/>
            <w:vAlign w:val="center"/>
          </w:tcPr>
          <w:p w14:paraId="474B5A6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系统要求</w:t>
            </w:r>
          </w:p>
        </w:tc>
        <w:tc>
          <w:tcPr>
            <w:tcW w:w="7129" w:type="dxa"/>
            <w:shd w:val="clear" w:color="auto" w:fill="auto"/>
            <w:vAlign w:val="center"/>
          </w:tcPr>
          <w:p w14:paraId="30D798A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基于公有云服务，客户端支持Windows、macOS、Android、iOS、微信小程序。</w:t>
            </w:r>
          </w:p>
        </w:tc>
      </w:tr>
      <w:tr w14:paraId="0D00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022E359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83" w:type="dxa"/>
            <w:vMerge w:val="restart"/>
            <w:shd w:val="clear" w:color="auto" w:fill="auto"/>
            <w:vAlign w:val="center"/>
          </w:tcPr>
          <w:p w14:paraId="41CA690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直播/录制</w:t>
            </w:r>
          </w:p>
        </w:tc>
        <w:tc>
          <w:tcPr>
            <w:tcW w:w="7129" w:type="dxa"/>
            <w:shd w:val="clear" w:color="auto" w:fill="auto"/>
            <w:vAlign w:val="center"/>
          </w:tcPr>
          <w:p w14:paraId="0D2CDBFD">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支持自定义rtmp、视频号推流（提供截图证明）。</w:t>
            </w:r>
          </w:p>
        </w:tc>
      </w:tr>
      <w:tr w14:paraId="5114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B20DEB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70D357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0C8593C">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支持会议高清录制功能，支持本地/云端录制，主持人可设置录制权限（提供截图证明），云录制空间无限制。</w:t>
            </w:r>
          </w:p>
        </w:tc>
      </w:tr>
      <w:tr w14:paraId="4D1B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1495AF2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83" w:type="dxa"/>
            <w:vMerge w:val="restart"/>
            <w:shd w:val="clear" w:color="auto" w:fill="auto"/>
            <w:vAlign w:val="center"/>
          </w:tcPr>
          <w:p w14:paraId="4D6E33A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视频要求</w:t>
            </w:r>
          </w:p>
        </w:tc>
        <w:tc>
          <w:tcPr>
            <w:tcW w:w="7129" w:type="dxa"/>
            <w:shd w:val="clear" w:color="auto" w:fill="auto"/>
            <w:vAlign w:val="center"/>
          </w:tcPr>
          <w:p w14:paraId="17C07380">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主流最高支持1920*1080、1280*720等主流格式，共享桌面最高支持2560*1440分辨率）并向下兼容标清格式。</w:t>
            </w:r>
          </w:p>
        </w:tc>
      </w:tr>
      <w:tr w14:paraId="42C5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850FA7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5A4F19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3D4B8DE">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支持视频降噪，使画面更清晰（需提供软件截图）。</w:t>
            </w:r>
          </w:p>
        </w:tc>
      </w:tr>
      <w:tr w14:paraId="73FB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D38DCA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975DCC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9A32CD6">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支持视频镜像（需提供软件截图）。</w:t>
            </w:r>
          </w:p>
        </w:tc>
      </w:tr>
      <w:tr w14:paraId="08E4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015C62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E5F21F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2A757ED">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支持虚拟背景，背景可替换为图片，支持自定义（需提供软件截图）。</w:t>
            </w:r>
          </w:p>
        </w:tc>
      </w:tr>
      <w:tr w14:paraId="3FDE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14BF69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A3FB3A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8DCF63A">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不显示没有打开视频的参会者，保持画面一致性。</w:t>
            </w:r>
          </w:p>
        </w:tc>
      </w:tr>
      <w:tr w14:paraId="568F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02AC2E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3843DB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3412E03">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支持较暗环境下手动设置提升亮度（需提供软件截图）。</w:t>
            </w:r>
          </w:p>
        </w:tc>
      </w:tr>
      <w:tr w14:paraId="4E1E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7CC31F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FA6CC3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CF640BD">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支持30种以上人像美颜与滤镜效果，有开关控制（需提供软件截图）。</w:t>
            </w:r>
          </w:p>
        </w:tc>
      </w:tr>
      <w:tr w14:paraId="6AD2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E74D05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269B66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C887A8C">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支持人像叠加功能，可在分享双流内容时，实现人物与双流的叠加效果，提高培训互动性（需提供软件截图）。</w:t>
            </w:r>
          </w:p>
        </w:tc>
      </w:tr>
      <w:tr w14:paraId="5149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62A0BF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61AD8E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F00EB25">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支持动态虚拟背景设置，背景可替换为视频，支持自定义（需提供软件截图）。</w:t>
            </w:r>
          </w:p>
        </w:tc>
      </w:tr>
      <w:tr w14:paraId="606A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155C55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28192A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FE49D0F">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支持眼神接触，修正视线的焦点。使得用户在非注视镜头时，视频画面中的视线也可以保持专注。（提供权威机构检测报告以及功能截图）。</w:t>
            </w:r>
          </w:p>
        </w:tc>
      </w:tr>
      <w:tr w14:paraId="59D8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65B586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95AF35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135D92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支持同框模式，可把多个与会者视频图像放到同一背景中。（需提供软件截图）。</w:t>
            </w:r>
          </w:p>
        </w:tc>
      </w:tr>
      <w:tr w14:paraId="05BF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5B513F0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83" w:type="dxa"/>
            <w:vMerge w:val="restart"/>
            <w:shd w:val="clear" w:color="auto" w:fill="auto"/>
            <w:vAlign w:val="center"/>
          </w:tcPr>
          <w:p w14:paraId="56EB33D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音频要求</w:t>
            </w:r>
          </w:p>
        </w:tc>
        <w:tc>
          <w:tcPr>
            <w:tcW w:w="7129" w:type="dxa"/>
            <w:shd w:val="clear" w:color="auto" w:fill="auto"/>
            <w:vAlign w:val="center"/>
          </w:tcPr>
          <w:p w14:paraId="1830086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软件客户端支持音频降噪，可有效降低周边杂声对会议的干扰，降噪能力可手动调节（需提供软件截图）。</w:t>
            </w:r>
          </w:p>
        </w:tc>
      </w:tr>
      <w:tr w14:paraId="4E99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AE165C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40AF13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2D3B37A">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支持基于声纹的个性化语音增强，针对性增强主讲人的声音,抑制其他人声的干扰。</w:t>
            </w:r>
          </w:p>
        </w:tc>
      </w:tr>
      <w:tr w14:paraId="4F5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334ADE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701669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BC9949D">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支持自动检测回声，并自动静音（提供权威机构检测报告）。</w:t>
            </w:r>
          </w:p>
        </w:tc>
      </w:tr>
      <w:tr w14:paraId="59D1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5860F3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303C75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30249B1">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通话过程中，支持静音提醒，支持快捷键解除静音（需提供软件截图）。</w:t>
            </w:r>
          </w:p>
        </w:tc>
      </w:tr>
      <w:tr w14:paraId="6559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FEF5A2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C63B8C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8B4A63A">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支持音量自动调节，自动监测满足不同环境对音量大小的需要。</w:t>
            </w:r>
          </w:p>
        </w:tc>
      </w:tr>
      <w:tr w14:paraId="6C60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FA199D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596EC8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9FCA558">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支持音乐模式，背景音乐更加清晰流畅，适用于将音乐作为主要音频输入类型的场景。支持自动检测音乐并提醒开启（提供权威机构检测报告）。</w:t>
            </w:r>
          </w:p>
        </w:tc>
      </w:tr>
      <w:tr w14:paraId="72E8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405B15E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3" w:type="dxa"/>
            <w:vMerge w:val="restart"/>
            <w:shd w:val="clear" w:color="auto" w:fill="auto"/>
            <w:vAlign w:val="center"/>
          </w:tcPr>
          <w:p w14:paraId="0164BA28">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共享要求</w:t>
            </w:r>
          </w:p>
        </w:tc>
        <w:tc>
          <w:tcPr>
            <w:tcW w:w="7129" w:type="dxa"/>
            <w:shd w:val="clear" w:color="auto" w:fill="auto"/>
            <w:vAlign w:val="center"/>
          </w:tcPr>
          <w:p w14:paraId="10464595">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会议中支持电脑（Windows、macOS）和手机（iOS、Android）通过网络的方式共享内容。</w:t>
            </w:r>
          </w:p>
        </w:tc>
      </w:tr>
      <w:tr w14:paraId="257F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07A27A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94FF01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ABA3B3C">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屏幕共享支持共享整个桌面、某一个应用窗口，或是电子白板（需提供软件截图）。</w:t>
            </w:r>
          </w:p>
        </w:tc>
      </w:tr>
      <w:tr w14:paraId="28DD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AC65AE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69B18C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7126C9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屏幕共享支持共享电脑的外接视频源和部分屏幕区域（需提供软件截图）。</w:t>
            </w:r>
          </w:p>
        </w:tc>
      </w:tr>
      <w:tr w14:paraId="512B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3A5033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C79272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EE0CD2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windows电脑支持双屏显示，分别显示图像和共享内容（提供权威架构检测报告）。</w:t>
            </w:r>
          </w:p>
        </w:tc>
      </w:tr>
      <w:tr w14:paraId="1A8B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FCD410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044368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3EBDD0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支持共享桌面时能同步共享声音（需提供软件截图）。</w:t>
            </w:r>
          </w:p>
        </w:tc>
      </w:tr>
      <w:tr w14:paraId="2FA5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765B64C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83" w:type="dxa"/>
            <w:vMerge w:val="restart"/>
            <w:shd w:val="clear" w:color="auto" w:fill="auto"/>
            <w:vAlign w:val="center"/>
          </w:tcPr>
          <w:p w14:paraId="2B350E7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小班化同步在线功能要求</w:t>
            </w:r>
          </w:p>
        </w:tc>
        <w:tc>
          <w:tcPr>
            <w:tcW w:w="7129" w:type="dxa"/>
            <w:shd w:val="clear" w:color="auto" w:fill="auto"/>
            <w:vAlign w:val="center"/>
          </w:tcPr>
          <w:p w14:paraId="2D79AB1A">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小班化同步在线培训突出按需定制、问题导向、任务驱动、交流互动、成果引领的特点：</w:t>
            </w:r>
          </w:p>
        </w:tc>
      </w:tr>
      <w:tr w14:paraId="6575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5FD6E59">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67EF37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F4E2F36">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支持设置主持人密钥，会中成员可借助该密钥成为主持人角色进行会议管理（需提供软件截图）。</w:t>
            </w:r>
          </w:p>
        </w:tc>
      </w:tr>
      <w:tr w14:paraId="643D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9EF412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6AA49FC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893AC14">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支持设置最大50个讨论组进行沟通探讨，小组之间讨论互不干扰。</w:t>
            </w:r>
          </w:p>
        </w:tc>
      </w:tr>
      <w:tr w14:paraId="0B5B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0B1961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7D730F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57E5A4E">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支持会中主动邀请成员，成员手机收到后响铃通知（需提供软件截图）。</w:t>
            </w:r>
          </w:p>
        </w:tc>
      </w:tr>
      <w:tr w14:paraId="4365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9F48FE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64211E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FB6659F">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会中支持发起签到任务，成员即可收到提示进行签到，签到结束后，主持人可以查看签到数据并进行导出。</w:t>
            </w:r>
          </w:p>
        </w:tc>
      </w:tr>
      <w:tr w14:paraId="5F94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4D0D5C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AA56D4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75F56E0">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软件客户端支持演讲者视图、宫格视图切换（需提供软件截图）。</w:t>
            </w:r>
          </w:p>
        </w:tc>
      </w:tr>
      <w:tr w14:paraId="7E1B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5DEACA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A91A94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117EE3F">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支持多画面显示，最大支持30分屏（需提供软件截图）。</w:t>
            </w:r>
          </w:p>
        </w:tc>
      </w:tr>
      <w:tr w14:paraId="5CEE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967352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76DC83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9A5E92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客户端支持主持人会中修改成员名字（提供软件截图）。</w:t>
            </w:r>
          </w:p>
        </w:tc>
      </w:tr>
      <w:tr w14:paraId="53E2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B06220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55375C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DDA1EF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移动客户端会议信息支持通过微信、短信、邮件等方式进行会议邀请。</w:t>
            </w:r>
          </w:p>
        </w:tc>
      </w:tr>
      <w:tr w14:paraId="1519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5D5E93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A6176F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81CD4B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软件客户端支持预约会议室设备，预约的会议室设备支持显示邀约信息以及一键入会（提供软件截图）。</w:t>
            </w:r>
          </w:p>
        </w:tc>
      </w:tr>
      <w:tr w14:paraId="2F22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725336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930B4B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C922F05">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支持个人固定会议号及随机会议号，满足不同的接入场景（提供软件截图）。</w:t>
            </w:r>
          </w:p>
        </w:tc>
      </w:tr>
      <w:tr w14:paraId="3A7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D3E5D9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C9A764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CB94423">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支持在会议中进行文档协作，支持xls、word、ppt、pdf格式，可供多人同时在线编辑，文档保存在可信云云端。（需提供软件截图）。</w:t>
            </w:r>
          </w:p>
        </w:tc>
      </w:tr>
      <w:tr w14:paraId="00F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D969BC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5E3BAF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C87CDF2">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支持PC、手机主流浏览器链接跳转入会，支持微信内置浏览器直接跳转入会，无需切换浏览器。</w:t>
            </w:r>
          </w:p>
        </w:tc>
      </w:tr>
      <w:tr w14:paraId="4038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7F6BA6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F5A93F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0EAF153">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支持同声传译，客户端可自定义不同语种传译员，用户入会后，可以自主选择收听不同的传译语言（提供软件截图）。</w:t>
            </w:r>
          </w:p>
        </w:tc>
      </w:tr>
      <w:tr w14:paraId="66F5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F85A0F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47D912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0375CF1">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客户端支持网络检测，通过网络检测可查询：网络权限，网络连接情况，服务器连接情况，域名解析耗时，连接耗时（提供权威机构检测报告）。</w:t>
            </w:r>
          </w:p>
        </w:tc>
      </w:tr>
      <w:tr w14:paraId="3969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6B4F6EE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83" w:type="dxa"/>
            <w:vMerge w:val="restart"/>
            <w:shd w:val="clear" w:color="auto" w:fill="auto"/>
            <w:vAlign w:val="center"/>
          </w:tcPr>
          <w:p w14:paraId="615E743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大规模同步在线功能需求</w:t>
            </w:r>
          </w:p>
        </w:tc>
        <w:tc>
          <w:tcPr>
            <w:tcW w:w="7129" w:type="dxa"/>
            <w:shd w:val="clear" w:color="auto" w:fill="auto"/>
            <w:vAlign w:val="center"/>
          </w:tcPr>
          <w:p w14:paraId="7F9CB21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大规模同步在线培训应突出通识性内容为主、交互要求低、覆盖人群多的特点。</w:t>
            </w:r>
          </w:p>
        </w:tc>
      </w:tr>
      <w:tr w14:paraId="2662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B944BB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329A20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F395AEF">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大规模同步在线培训可支持至少50000人同步在线收看</w:t>
            </w:r>
          </w:p>
        </w:tc>
      </w:tr>
      <w:tr w14:paraId="16D9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FE6E3D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7C05AF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96EB316">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大规模同步在线培训功能支持主持人、嘉宾、观众三种角色。嘉宾和观众角色可切换。（提供软件截图证明）。</w:t>
            </w:r>
          </w:p>
        </w:tc>
      </w:tr>
      <w:tr w14:paraId="255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3F3008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3C69037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3B65800">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大规模同步在线培训功能支持会前准备模式（提供软件截图证明）。</w:t>
            </w:r>
          </w:p>
        </w:tc>
      </w:tr>
      <w:tr w14:paraId="6674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7F1B9A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F6AF01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489685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支持设置主持人密钥，会中成员可借助该密钥成为主持人角色进行会议管理（需提供软件截图）</w:t>
            </w:r>
          </w:p>
        </w:tc>
      </w:tr>
      <w:tr w14:paraId="71F9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22E25D1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83" w:type="dxa"/>
            <w:vMerge w:val="restart"/>
            <w:shd w:val="clear" w:color="auto" w:fill="auto"/>
            <w:vAlign w:val="center"/>
          </w:tcPr>
          <w:p w14:paraId="611AB2D8">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安全要求</w:t>
            </w:r>
          </w:p>
        </w:tc>
        <w:tc>
          <w:tcPr>
            <w:tcW w:w="7129" w:type="dxa"/>
            <w:shd w:val="clear" w:color="auto" w:fill="auto"/>
            <w:vAlign w:val="center"/>
          </w:tcPr>
          <w:p w14:paraId="584BE0BC">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会议创建者拥有主持人权限，有权移交及回收主持人权限，支持联席主持人（提供软件截图）。</w:t>
            </w:r>
          </w:p>
        </w:tc>
      </w:tr>
      <w:tr w14:paraId="461C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7A7E03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E50CAE2">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C842F73">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共享内容时支持对内容设置单排和多排水印，以保障信息安全（提供软件截图）。</w:t>
            </w:r>
          </w:p>
        </w:tc>
      </w:tr>
      <w:tr w14:paraId="7427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1738EB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936EF8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B8EE65B">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支持高强度密码策略，支持密码防刷策略，重复多次密码输入错误后账号锁定。</w:t>
            </w:r>
          </w:p>
        </w:tc>
      </w:tr>
      <w:tr w14:paraId="288B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3C45CD1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CDA8A1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6F10CF8">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支持等候室功能，参会人员需主持人确认后方可进入会议（提供软件截图证明）。</w:t>
            </w:r>
          </w:p>
        </w:tc>
      </w:tr>
      <w:tr w14:paraId="794E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41A7A7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6D8503E">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38B126C">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支持嘉宾功能，嘉宾无需等候、输入会议密码直接入会。</w:t>
            </w:r>
          </w:p>
        </w:tc>
      </w:tr>
      <w:tr w14:paraId="66F1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392F26C">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76AFD9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6E8E5F7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可以根据角色设置不同的操作权限，可以根据需要设置多名联席主持人（需提供软件界面截图）。</w:t>
            </w:r>
          </w:p>
        </w:tc>
      </w:tr>
      <w:tr w14:paraId="4A48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38FAF6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4A4A0DB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5FDF264">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支持企业成员入会限制能力，非企业成员无法入会（提供软件截图）。</w:t>
            </w:r>
          </w:p>
        </w:tc>
      </w:tr>
      <w:tr w14:paraId="4FA8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5E6C639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83" w:type="dxa"/>
            <w:vMerge w:val="restart"/>
            <w:shd w:val="clear" w:color="auto" w:fill="auto"/>
            <w:vAlign w:val="center"/>
          </w:tcPr>
          <w:p w14:paraId="7F3499F9">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协作要求</w:t>
            </w:r>
          </w:p>
        </w:tc>
        <w:tc>
          <w:tcPr>
            <w:tcW w:w="7129" w:type="dxa"/>
            <w:shd w:val="clear" w:color="auto" w:fill="auto"/>
            <w:vAlign w:val="center"/>
          </w:tcPr>
          <w:p w14:paraId="2003DFAB">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桌面可发起共享屏幕、特定程序和白板，支持互动批注以及权限控制，支持对标注内容进行保存。</w:t>
            </w:r>
          </w:p>
        </w:tc>
      </w:tr>
      <w:tr w14:paraId="4629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98A6C3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E65199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792CF5B">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移动端可发起共享白板或共享屏幕。</w:t>
            </w:r>
          </w:p>
        </w:tc>
      </w:tr>
      <w:tr w14:paraId="4211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584FC4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9CFE194">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70DA8CE">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支持个人笔记功能，支持会中随时记录想法的功能，可截屏，跟随会议自动保存，会后可查找历史会议查阅（提供软件截图）。</w:t>
            </w:r>
          </w:p>
        </w:tc>
      </w:tr>
      <w:tr w14:paraId="21A3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4063E42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5333EF66">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0A741059">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电脑端支持超声波投屏，无需手动输入投屏码即可快捷连接Rooms进行无线投屏(提供软件截图)。</w:t>
            </w:r>
          </w:p>
        </w:tc>
      </w:tr>
      <w:tr w14:paraId="4EF3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255DB21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68588A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1BD82AEA">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支持发起在线投票，满足会议互动、决策等多场景需求（提供软件截图）。</w:t>
            </w:r>
          </w:p>
        </w:tc>
      </w:tr>
      <w:tr w14:paraId="0E69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C86122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E72760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8278014">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支持在共享屏幕过程中，其他与会者控制共享屏幕人员的电脑桌面。</w:t>
            </w:r>
          </w:p>
        </w:tc>
      </w:tr>
      <w:tr w14:paraId="4EBB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79613FE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83" w:type="dxa"/>
            <w:vMerge w:val="restart"/>
            <w:shd w:val="clear" w:color="auto" w:fill="auto"/>
            <w:vAlign w:val="center"/>
          </w:tcPr>
          <w:p w14:paraId="22DE6D7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对接要求</w:t>
            </w:r>
          </w:p>
        </w:tc>
        <w:tc>
          <w:tcPr>
            <w:tcW w:w="7129" w:type="dxa"/>
            <w:shd w:val="clear" w:color="auto" w:fill="auto"/>
            <w:vAlign w:val="center"/>
          </w:tcPr>
          <w:p w14:paraId="4A197C1D">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PC/手机软件客户端支持微信登录（提供软件截图证明）。</w:t>
            </w:r>
          </w:p>
        </w:tc>
      </w:tr>
      <w:tr w14:paraId="0386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026882A0">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E67EC05">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73D668FD">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支持SSO登录，可通过培训平台直接跳转登录。</w:t>
            </w:r>
          </w:p>
        </w:tc>
      </w:tr>
      <w:tr w14:paraId="4F1E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D1C05F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71CD881">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48AA7A32">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教师在直播平台的参训记录，可以同步到培训平台，并根据考核规则自动计算培训成绩。</w:t>
            </w:r>
          </w:p>
        </w:tc>
      </w:tr>
      <w:tr w14:paraId="7AD5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restart"/>
            <w:shd w:val="clear" w:color="auto" w:fill="auto"/>
            <w:vAlign w:val="center"/>
          </w:tcPr>
          <w:p w14:paraId="65CEA12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83" w:type="dxa"/>
            <w:vMerge w:val="restart"/>
            <w:shd w:val="clear" w:color="auto" w:fill="auto"/>
            <w:vAlign w:val="center"/>
          </w:tcPr>
          <w:p w14:paraId="430904A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AI智能工具</w:t>
            </w:r>
          </w:p>
        </w:tc>
        <w:tc>
          <w:tcPr>
            <w:tcW w:w="7129" w:type="dxa"/>
            <w:shd w:val="clear" w:color="auto" w:fill="auto"/>
            <w:vAlign w:val="center"/>
          </w:tcPr>
          <w:p w14:paraId="4C051A78">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支持实时辅助字幕，实时将音频转译为文字,沟通无阻，提供更佳的体验（需提供软件截图）。</w:t>
            </w:r>
          </w:p>
        </w:tc>
      </w:tr>
      <w:tr w14:paraId="7B6E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614DB413">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7D0229EB">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570F2796">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支持实时转写功能，自动将会议语音内容转变为文字纪要，帮助快速掌握会议内容（需提供软件截图）。</w:t>
            </w:r>
          </w:p>
        </w:tc>
      </w:tr>
      <w:tr w14:paraId="60F7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5BE6513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2DC6B048">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A6572F4">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支持自动会议纪要，云录制内容支持自动语音转文字（提供软件截图）。</w:t>
            </w:r>
          </w:p>
        </w:tc>
      </w:tr>
      <w:tr w14:paraId="243D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1CCD994F">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167F2E2A">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281AB928">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提供AI小助手，根据直播培训内容自动回答教师关于本次直播培训内容的问题（提供软件截图）。</w:t>
            </w:r>
          </w:p>
        </w:tc>
      </w:tr>
      <w:tr w14:paraId="5E2B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vMerge w:val="continue"/>
            <w:vAlign w:val="center"/>
          </w:tcPr>
          <w:p w14:paraId="78B9A807">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883" w:type="dxa"/>
            <w:vMerge w:val="continue"/>
            <w:vAlign w:val="center"/>
          </w:tcPr>
          <w:p w14:paraId="05701F3D">
            <w:pPr>
              <w:pageBreakBefore w:val="0"/>
              <w:kinsoku/>
              <w:wordWrap/>
              <w:topLinePunct w:val="0"/>
              <w:bidi w:val="0"/>
              <w:spacing w:line="440" w:lineRule="exact"/>
              <w:rPr>
                <w:rFonts w:hint="eastAsia" w:ascii="宋体" w:hAnsi="宋体" w:eastAsia="宋体" w:cs="宋体"/>
                <w:color w:val="auto"/>
                <w:sz w:val="24"/>
                <w:szCs w:val="24"/>
                <w:highlight w:val="none"/>
              </w:rPr>
            </w:pPr>
          </w:p>
        </w:tc>
        <w:tc>
          <w:tcPr>
            <w:tcW w:w="7129" w:type="dxa"/>
            <w:shd w:val="clear" w:color="auto" w:fill="auto"/>
            <w:vAlign w:val="center"/>
          </w:tcPr>
          <w:p w14:paraId="396B230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支持在自动会议纪要中通过搜索关键字直接转到视频对应位置（提供软件截图）。</w:t>
            </w:r>
          </w:p>
        </w:tc>
      </w:tr>
      <w:tr w14:paraId="6CBA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B02219C">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p>
        </w:tc>
        <w:tc>
          <w:tcPr>
            <w:tcW w:w="8012" w:type="dxa"/>
            <w:gridSpan w:val="2"/>
            <w:shd w:val="clear" w:color="auto" w:fill="auto"/>
            <w:vAlign w:val="center"/>
          </w:tcPr>
          <w:p w14:paraId="2BD02F7F">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数据分析子系统</w:t>
            </w:r>
          </w:p>
        </w:tc>
      </w:tr>
      <w:tr w14:paraId="604D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79A976D">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8012" w:type="dxa"/>
            <w:gridSpan w:val="2"/>
            <w:shd w:val="clear" w:color="auto" w:fill="auto"/>
            <w:vAlign w:val="center"/>
          </w:tcPr>
          <w:p w14:paraId="60B02376">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项目数据分析</w:t>
            </w:r>
          </w:p>
        </w:tc>
      </w:tr>
      <w:tr w14:paraId="258B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12F964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83" w:type="dxa"/>
            <w:shd w:val="clear" w:color="auto" w:fill="auto"/>
            <w:vAlign w:val="center"/>
          </w:tcPr>
          <w:p w14:paraId="69A5938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项目数据分类</w:t>
            </w:r>
          </w:p>
        </w:tc>
        <w:tc>
          <w:tcPr>
            <w:tcW w:w="7129" w:type="dxa"/>
            <w:shd w:val="clear" w:color="auto" w:fill="auto"/>
            <w:vAlign w:val="center"/>
          </w:tcPr>
          <w:p w14:paraId="1018E16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指标分为通用型指标和分项目特色指标。通用型指标：所有项目相同，主要为项目总体推进情况、培训完成情况、经费预算等体现共性的数据；特色型指标：根据不同项目类型，设立的体现项目特色、培训目标、教师反馈的个性化数据。</w:t>
            </w:r>
          </w:p>
        </w:tc>
      </w:tr>
      <w:tr w14:paraId="69DA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66C1C0C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83" w:type="dxa"/>
            <w:shd w:val="clear" w:color="auto" w:fill="auto"/>
            <w:vAlign w:val="center"/>
          </w:tcPr>
          <w:p w14:paraId="320D34E9">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大屏幕数据展示系统</w:t>
            </w:r>
          </w:p>
        </w:tc>
        <w:tc>
          <w:tcPr>
            <w:tcW w:w="7129" w:type="dxa"/>
            <w:shd w:val="clear" w:color="auto" w:fill="auto"/>
            <w:vAlign w:val="center"/>
          </w:tcPr>
          <w:p w14:paraId="3FB3A55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将培训数据通过各种可视化手段，进行展现，通过大屏幕可以清晰直观了解培训情况。</w:t>
            </w:r>
          </w:p>
        </w:tc>
      </w:tr>
      <w:tr w14:paraId="41E7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63E02D4">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8012" w:type="dxa"/>
            <w:gridSpan w:val="2"/>
            <w:shd w:val="clear" w:color="auto" w:fill="auto"/>
            <w:vAlign w:val="center"/>
          </w:tcPr>
          <w:p w14:paraId="13FF3D82">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数据深度分析系统</w:t>
            </w:r>
          </w:p>
        </w:tc>
      </w:tr>
      <w:tr w14:paraId="2C0E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65EB05B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83" w:type="dxa"/>
            <w:shd w:val="clear" w:color="auto" w:fill="auto"/>
            <w:vAlign w:val="center"/>
          </w:tcPr>
          <w:p w14:paraId="0447B5DF">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项目进展情况图</w:t>
            </w:r>
          </w:p>
        </w:tc>
        <w:tc>
          <w:tcPr>
            <w:tcW w:w="7129" w:type="dxa"/>
            <w:shd w:val="clear" w:color="auto" w:fill="auto"/>
            <w:vAlign w:val="center"/>
          </w:tcPr>
          <w:p w14:paraId="4E18E4C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按照项目开始日期排序图形化展示各项目进展状态，方便使用者掌握各项目进展情况。</w:t>
            </w:r>
          </w:p>
        </w:tc>
      </w:tr>
      <w:tr w14:paraId="26D5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925AD4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83" w:type="dxa"/>
            <w:shd w:val="clear" w:color="auto" w:fill="auto"/>
            <w:vAlign w:val="center"/>
          </w:tcPr>
          <w:p w14:paraId="45747F70">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课程统计分析</w:t>
            </w:r>
          </w:p>
        </w:tc>
        <w:tc>
          <w:tcPr>
            <w:tcW w:w="7129" w:type="dxa"/>
            <w:shd w:val="clear" w:color="auto" w:fill="auto"/>
            <w:vAlign w:val="center"/>
          </w:tcPr>
          <w:p w14:paraId="2149C9F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课程统计分析包括课程满意度评价、教师选课情况、人气课程排行榜等。统计数据还可以按照学科、学段、项目进行筛选。</w:t>
            </w:r>
          </w:p>
        </w:tc>
      </w:tr>
      <w:tr w14:paraId="5B1E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AA86176">
            <w:pPr>
              <w:pageBreakBefore w:val="0"/>
              <w:kinsoku/>
              <w:wordWrap/>
              <w:topLinePunct w:val="0"/>
              <w:bidi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3</w:t>
            </w:r>
          </w:p>
        </w:tc>
        <w:tc>
          <w:tcPr>
            <w:tcW w:w="883" w:type="dxa"/>
            <w:shd w:val="clear" w:color="auto" w:fill="auto"/>
            <w:vAlign w:val="center"/>
          </w:tcPr>
          <w:p w14:paraId="38AFC2C9">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学员学习情况统计分析</w:t>
            </w:r>
          </w:p>
        </w:tc>
        <w:tc>
          <w:tcPr>
            <w:tcW w:w="7129" w:type="dxa"/>
            <w:shd w:val="clear" w:color="auto" w:fill="auto"/>
            <w:vAlign w:val="center"/>
          </w:tcPr>
          <w:p w14:paraId="49D0677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可以统计培训项目整体培训人次、登录人数、学习人数、合格人数等，并且可按照项目进行分解。通过饼状体展示项目各分数段人员分布情况，便于项目管理员进行督学和导学。综合参与话题研讨、问答，以及关注行为，发现项目中的比较活跃的学员。</w:t>
            </w:r>
          </w:p>
        </w:tc>
      </w:tr>
      <w:tr w14:paraId="3880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3A0483A">
            <w:pPr>
              <w:pageBreakBefore w:val="0"/>
              <w:kinsoku/>
              <w:wordWrap/>
              <w:topLinePunct w:val="0"/>
              <w:bidi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4</w:t>
            </w:r>
          </w:p>
        </w:tc>
        <w:tc>
          <w:tcPr>
            <w:tcW w:w="883" w:type="dxa"/>
            <w:shd w:val="clear" w:color="auto" w:fill="auto"/>
            <w:vAlign w:val="center"/>
          </w:tcPr>
          <w:p w14:paraId="26FFBB1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学习活动监测</w:t>
            </w:r>
          </w:p>
        </w:tc>
        <w:tc>
          <w:tcPr>
            <w:tcW w:w="7129" w:type="dxa"/>
            <w:shd w:val="clear" w:color="auto" w:fill="auto"/>
            <w:vAlign w:val="center"/>
          </w:tcPr>
          <w:p w14:paraId="3BB8B838">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统计最近七天在线时段学习人数分布、学习人数趋势、学习时长趋势、日均学习时长、人均学习时长等。</w:t>
            </w:r>
          </w:p>
        </w:tc>
      </w:tr>
      <w:tr w14:paraId="5660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267AE841">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8012" w:type="dxa"/>
            <w:gridSpan w:val="2"/>
            <w:shd w:val="clear" w:color="auto" w:fill="auto"/>
            <w:vAlign w:val="center"/>
          </w:tcPr>
          <w:p w14:paraId="542CD124">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教师教学能力画像</w:t>
            </w:r>
          </w:p>
        </w:tc>
      </w:tr>
      <w:tr w14:paraId="0F8C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30BA1D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83" w:type="dxa"/>
            <w:shd w:val="clear" w:color="auto" w:fill="auto"/>
            <w:vAlign w:val="center"/>
          </w:tcPr>
          <w:p w14:paraId="304C622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学科教学能力画像</w:t>
            </w:r>
          </w:p>
        </w:tc>
        <w:tc>
          <w:tcPr>
            <w:tcW w:w="7129" w:type="dxa"/>
            <w:shd w:val="clear" w:color="auto" w:fill="auto"/>
            <w:vAlign w:val="center"/>
          </w:tcPr>
          <w:p w14:paraId="7D5DB8E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依据教师专业发展指数体系确定的教师专业发展能力项指标和教师培训目标，根据教师自我诊断 “发展水平级差表” 的诊断结果，按照学科教学核心能力对教师教学能力进行画像。目前设计有小学语文、小学数学、初中语文、初中数学、高中化学，共计五个学科，不少于158个角度展示教师教学能力画像。</w:t>
            </w:r>
          </w:p>
        </w:tc>
      </w:tr>
      <w:tr w14:paraId="33FF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C8BBD2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83" w:type="dxa"/>
            <w:shd w:val="clear" w:color="auto" w:fill="auto"/>
            <w:vAlign w:val="center"/>
          </w:tcPr>
          <w:p w14:paraId="67E4297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班级管理能力画像</w:t>
            </w:r>
          </w:p>
        </w:tc>
        <w:tc>
          <w:tcPr>
            <w:tcW w:w="7129" w:type="dxa"/>
            <w:shd w:val="clear" w:color="auto" w:fill="auto"/>
            <w:vAlign w:val="center"/>
          </w:tcPr>
          <w:p w14:paraId="371822E2">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班级管理能力指标的确定以班主任班级管理工作的核心内容为依据，主要参考《小学教师专业标准（试行）》《中学教师专业标准（试行）》《中小学班主任工作规定》的核心内容，以及国际比较研究、大样本调研数据。义务教育小学段和初中段的一级指标相同，指向班级管理工作的核心内容，主要包括：班集体建设、班级活动组织、学生发展指导、综合素质评价、沟通与合作。二级指标为相应一级指标下的班级管理核心能力项，小学划分为不少于22个二级指标，初中划分为不少于23个二级指标，展示教师班级管理能力画像。</w:t>
            </w:r>
          </w:p>
        </w:tc>
      </w:tr>
      <w:tr w14:paraId="6E87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B577C9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883" w:type="dxa"/>
            <w:shd w:val="clear" w:color="auto" w:fill="auto"/>
            <w:vAlign w:val="center"/>
          </w:tcPr>
          <w:p w14:paraId="4654526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专业发展能力画像</w:t>
            </w:r>
          </w:p>
        </w:tc>
        <w:tc>
          <w:tcPr>
            <w:tcW w:w="7129" w:type="dxa"/>
            <w:shd w:val="clear" w:color="auto" w:fill="auto"/>
            <w:vAlign w:val="center"/>
          </w:tcPr>
          <w:p w14:paraId="2BEAECB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学教师专业发展能力指标的确定，主要参考《小学教师专业标准（试行）》《中学教师专业标准（试行）》《教师教育课程标准（试行）》，根据教师专业发展一般规律和实践逻辑，把中小学教师专业发展划分为“专业发展规划”“专业知识学习”“专业实践研修”三个领域（一级指标）。每个领域划分为若干个核心能力项（二级指标）。“专业发展规划”下设专业发展理解、专业发展实施和专业发展评价三个核心能力项；“专业知识学习”下设教育知识运用、文化知识学习和信息素养提升三个核心能力项（学科知识、师德修养和班级管理等方面的相关知识已分别在专门的培训课程指导标准中详细说明）；“专业实践研修”下设自主专业反思、同伴合作发展和集中专题研习三个核心能力项。从9个维度展示教师专业发展能力画像。</w:t>
            </w:r>
          </w:p>
        </w:tc>
      </w:tr>
      <w:tr w14:paraId="04B9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B47C466">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p>
        </w:tc>
        <w:tc>
          <w:tcPr>
            <w:tcW w:w="8012" w:type="dxa"/>
            <w:gridSpan w:val="2"/>
            <w:shd w:val="clear" w:color="auto" w:fill="auto"/>
            <w:vAlign w:val="center"/>
          </w:tcPr>
          <w:p w14:paraId="6B465864">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AI驱动的教师发展支持平台</w:t>
            </w:r>
          </w:p>
        </w:tc>
      </w:tr>
      <w:tr w14:paraId="4D68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69911D7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12" w:type="dxa"/>
            <w:gridSpan w:val="2"/>
            <w:shd w:val="clear" w:color="auto" w:fill="auto"/>
            <w:vAlign w:val="center"/>
          </w:tcPr>
          <w:p w14:paraId="7F251A20">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▲AI教师研修智能体</w:t>
            </w:r>
          </w:p>
        </w:tc>
      </w:tr>
      <w:tr w14:paraId="19C3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1EDCD3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83" w:type="dxa"/>
            <w:shd w:val="clear" w:color="auto" w:fill="auto"/>
            <w:vAlign w:val="center"/>
          </w:tcPr>
          <w:p w14:paraId="0AE67792">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智能问答</w:t>
            </w:r>
          </w:p>
        </w:tc>
        <w:tc>
          <w:tcPr>
            <w:tcW w:w="7129" w:type="dxa"/>
            <w:shd w:val="clear" w:color="auto" w:fill="auto"/>
            <w:vAlign w:val="center"/>
          </w:tcPr>
          <w:p w14:paraId="4685E58B">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教师通过自然语言输入问题，AI基于课程资料、知识库和外部资源进行智能应答，并支持多轮追问与智能跳转。</w:t>
            </w:r>
          </w:p>
        </w:tc>
      </w:tr>
      <w:tr w14:paraId="58A3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4698D37">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012" w:type="dxa"/>
            <w:gridSpan w:val="2"/>
            <w:shd w:val="clear" w:color="auto" w:fill="auto"/>
            <w:vAlign w:val="center"/>
          </w:tcPr>
          <w:p w14:paraId="505B4641">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▲AI个性化学习路径构建</w:t>
            </w:r>
          </w:p>
        </w:tc>
      </w:tr>
      <w:tr w14:paraId="31A9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0217B92D">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83" w:type="dxa"/>
            <w:shd w:val="clear" w:color="auto" w:fill="auto"/>
            <w:vAlign w:val="center"/>
          </w:tcPr>
          <w:p w14:paraId="6327B31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教师画像构建</w:t>
            </w:r>
          </w:p>
        </w:tc>
        <w:tc>
          <w:tcPr>
            <w:tcW w:w="7129" w:type="dxa"/>
            <w:shd w:val="clear" w:color="auto" w:fill="auto"/>
            <w:vAlign w:val="center"/>
          </w:tcPr>
          <w:p w14:paraId="050F291F">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通过分析教师的学科背景、教龄、职称、培训记录等信息，自动生成教师画像用于学习路径推荐。</w:t>
            </w:r>
          </w:p>
        </w:tc>
      </w:tr>
      <w:tr w14:paraId="2E0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4872F46">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83" w:type="dxa"/>
            <w:shd w:val="clear" w:color="auto" w:fill="auto"/>
            <w:vAlign w:val="center"/>
          </w:tcPr>
          <w:p w14:paraId="112D5AE9">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自定义学习目标输入</w:t>
            </w:r>
          </w:p>
        </w:tc>
        <w:tc>
          <w:tcPr>
            <w:tcW w:w="7129" w:type="dxa"/>
            <w:shd w:val="clear" w:color="auto" w:fill="auto"/>
            <w:vAlign w:val="center"/>
          </w:tcPr>
          <w:p w14:paraId="14056541">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支持教师自主设置学习目标、发展方向和面临的需求和困惑等，系统自动关联资源与路径，满足个性发展需求。</w:t>
            </w:r>
          </w:p>
        </w:tc>
      </w:tr>
      <w:tr w14:paraId="61D5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5D8FD6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883" w:type="dxa"/>
            <w:shd w:val="clear" w:color="auto" w:fill="auto"/>
            <w:vAlign w:val="center"/>
          </w:tcPr>
          <w:p w14:paraId="007D5D6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个性化学习路径推荐</w:t>
            </w:r>
          </w:p>
        </w:tc>
        <w:tc>
          <w:tcPr>
            <w:tcW w:w="7129" w:type="dxa"/>
            <w:shd w:val="clear" w:color="auto" w:fill="auto"/>
            <w:vAlign w:val="center"/>
          </w:tcPr>
          <w:p w14:paraId="64746F1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基于教师画像和职业发展目标，智能规划推荐课程内容、培训计划与资源路径，构建差异化成长方案。</w:t>
            </w:r>
          </w:p>
        </w:tc>
      </w:tr>
      <w:tr w14:paraId="0499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A67C24B">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883" w:type="dxa"/>
            <w:shd w:val="clear" w:color="auto" w:fill="auto"/>
            <w:vAlign w:val="center"/>
          </w:tcPr>
          <w:p w14:paraId="5995997A">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自主调整学习内容</w:t>
            </w:r>
          </w:p>
        </w:tc>
        <w:tc>
          <w:tcPr>
            <w:tcW w:w="7129" w:type="dxa"/>
            <w:shd w:val="clear" w:color="auto" w:fill="auto"/>
            <w:vAlign w:val="center"/>
          </w:tcPr>
          <w:p w14:paraId="5B2DBC2E">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教师在参考平台智能推荐的个性化学习路径与资源后，如对推荐结果不满意，可自主调整学习内容、顺序或替换培训资源，以更贴合自身专业发展方向与成长需求。</w:t>
            </w:r>
          </w:p>
        </w:tc>
      </w:tr>
      <w:tr w14:paraId="0310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7DF757BC">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012" w:type="dxa"/>
            <w:gridSpan w:val="2"/>
            <w:shd w:val="clear" w:color="auto" w:fill="auto"/>
            <w:vAlign w:val="center"/>
          </w:tcPr>
          <w:p w14:paraId="14EDD4FD">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▲AI课程伴学平台</w:t>
            </w:r>
          </w:p>
        </w:tc>
      </w:tr>
      <w:tr w14:paraId="66FA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32D5049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883" w:type="dxa"/>
            <w:shd w:val="clear" w:color="auto" w:fill="auto"/>
            <w:vAlign w:val="center"/>
          </w:tcPr>
          <w:p w14:paraId="311CEF7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智能课程摘要与大纲生成</w:t>
            </w:r>
          </w:p>
        </w:tc>
        <w:tc>
          <w:tcPr>
            <w:tcW w:w="7129" w:type="dxa"/>
            <w:shd w:val="clear" w:color="auto" w:fill="auto"/>
            <w:vAlign w:val="center"/>
          </w:tcPr>
          <w:p w14:paraId="3E1C83D3">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系统自动分析课程内容，生成知识提要与课程结构图，帮助教师快速掌握课程脉络。</w:t>
            </w:r>
          </w:p>
        </w:tc>
      </w:tr>
      <w:tr w14:paraId="68B7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2011DEE4">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883" w:type="dxa"/>
            <w:shd w:val="clear" w:color="auto" w:fill="auto"/>
            <w:vAlign w:val="center"/>
          </w:tcPr>
          <w:p w14:paraId="68A08F77">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智能化考核</w:t>
            </w:r>
          </w:p>
        </w:tc>
        <w:tc>
          <w:tcPr>
            <w:tcW w:w="7129" w:type="dxa"/>
            <w:shd w:val="clear" w:color="auto" w:fill="auto"/>
            <w:vAlign w:val="center"/>
          </w:tcPr>
          <w:p w14:paraId="72ACC2BC">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学习的考核标准不再依赖于视频播放完成度，而是由系统根据教师在学习过程中的答题表现判断其是否真正掌握核心知识点，科学反映学习实效，支持灵活认证与个性化提升。由AI根据课程内容进行随机提问，学员进行回答，如果该问题有疑惑，可定位至相关知识点所在的位置。</w:t>
            </w:r>
          </w:p>
        </w:tc>
      </w:tr>
      <w:tr w14:paraId="5699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68616F5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883" w:type="dxa"/>
            <w:shd w:val="clear" w:color="auto" w:fill="auto"/>
            <w:vAlign w:val="center"/>
          </w:tcPr>
          <w:p w14:paraId="7CF90E5B">
            <w:pPr>
              <w:pageBreakBefore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提供AI助手</w:t>
            </w:r>
          </w:p>
        </w:tc>
        <w:tc>
          <w:tcPr>
            <w:tcW w:w="7129" w:type="dxa"/>
            <w:shd w:val="clear" w:color="auto" w:fill="auto"/>
            <w:vAlign w:val="center"/>
          </w:tcPr>
          <w:p w14:paraId="79A8AA46">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学员在学习过程中，如果遇到了困难，可以与AI助手进行互动交流。</w:t>
            </w:r>
          </w:p>
        </w:tc>
      </w:tr>
      <w:tr w14:paraId="1CEF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6432B3FA">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p>
        </w:tc>
        <w:tc>
          <w:tcPr>
            <w:tcW w:w="8012" w:type="dxa"/>
            <w:gridSpan w:val="2"/>
            <w:shd w:val="clear" w:color="auto" w:fill="auto"/>
            <w:vAlign w:val="center"/>
          </w:tcPr>
          <w:p w14:paraId="082F62D4">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数据对接服务子系统</w:t>
            </w:r>
          </w:p>
        </w:tc>
      </w:tr>
      <w:tr w14:paraId="587D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19CAC747">
            <w:pPr>
              <w:pageBreakBefore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8012" w:type="dxa"/>
            <w:gridSpan w:val="2"/>
            <w:shd w:val="clear" w:color="auto" w:fill="auto"/>
            <w:vAlign w:val="center"/>
          </w:tcPr>
          <w:p w14:paraId="134BA81E">
            <w:pPr>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省平台数据对接</w:t>
            </w:r>
          </w:p>
        </w:tc>
      </w:tr>
      <w:tr w14:paraId="249A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56F3298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83" w:type="dxa"/>
            <w:shd w:val="clear" w:color="auto" w:fill="auto"/>
            <w:vAlign w:val="center"/>
          </w:tcPr>
          <w:p w14:paraId="498CBEC3">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用户对接</w:t>
            </w:r>
          </w:p>
        </w:tc>
        <w:tc>
          <w:tcPr>
            <w:tcW w:w="7129" w:type="dxa"/>
            <w:shd w:val="clear" w:color="auto" w:fill="auto"/>
            <w:vAlign w:val="center"/>
          </w:tcPr>
          <w:p w14:paraId="377F2AD0">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同步自治区教师培训管理信息系统中的学员数据、学校数据。</w:t>
            </w:r>
          </w:p>
        </w:tc>
      </w:tr>
      <w:tr w14:paraId="7914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4C397D08">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83" w:type="dxa"/>
            <w:shd w:val="clear" w:color="auto" w:fill="auto"/>
            <w:vAlign w:val="center"/>
          </w:tcPr>
          <w:p w14:paraId="547E7811">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项目对接</w:t>
            </w:r>
          </w:p>
        </w:tc>
        <w:tc>
          <w:tcPr>
            <w:tcW w:w="7129" w:type="dxa"/>
            <w:shd w:val="clear" w:color="auto" w:fill="auto"/>
            <w:vAlign w:val="center"/>
          </w:tcPr>
          <w:p w14:paraId="12D10E0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能够同步接收自治区培训管理平台中创建的国培和区培的任务。</w:t>
            </w:r>
          </w:p>
        </w:tc>
      </w:tr>
      <w:tr w14:paraId="61DC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0" w:type="dxa"/>
            <w:shd w:val="clear" w:color="auto" w:fill="auto"/>
            <w:vAlign w:val="center"/>
          </w:tcPr>
          <w:p w14:paraId="2F4D769E">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83" w:type="dxa"/>
            <w:shd w:val="clear" w:color="auto" w:fill="auto"/>
            <w:vAlign w:val="center"/>
          </w:tcPr>
          <w:p w14:paraId="49CC5D25">
            <w:pPr>
              <w:pageBreakBefore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数据回传</w:t>
            </w:r>
          </w:p>
        </w:tc>
        <w:tc>
          <w:tcPr>
            <w:tcW w:w="7129" w:type="dxa"/>
            <w:shd w:val="clear" w:color="auto" w:fill="auto"/>
            <w:vAlign w:val="center"/>
          </w:tcPr>
          <w:p w14:paraId="401E34CD">
            <w:pPr>
              <w:pageBreakBefore w:val="0"/>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实现培训学情、机构执行、学时学分等项目相关执行数据回传至自治区培训管理信息系统</w:t>
            </w:r>
          </w:p>
        </w:tc>
      </w:tr>
    </w:tbl>
    <w:p w14:paraId="7A708E5C">
      <w:pPr>
        <w:pageBreakBefore w:val="0"/>
        <w:kinsoku/>
        <w:wordWrap/>
        <w:topLinePunct w:val="0"/>
        <w:bidi w:val="0"/>
        <w:spacing w:before="100" w:beforeAutospacing="1" w:line="440" w:lineRule="exact"/>
        <w:ind w:firstLine="480" w:firstLineChars="200"/>
        <w:rPr>
          <w:rFonts w:hint="eastAsia" w:ascii="宋体" w:hAnsi="宋体" w:eastAsia="宋体" w:cs="宋体"/>
          <w:color w:val="auto"/>
          <w:sz w:val="24"/>
          <w:szCs w:val="24"/>
          <w:highlight w:val="none"/>
        </w:rPr>
      </w:pPr>
    </w:p>
    <w:p w14:paraId="7F43D88B">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七、课程内容要求</w:t>
      </w:r>
    </w:p>
    <w:p w14:paraId="38BCBB3B">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bookmarkStart w:id="9" w:name="OLE_LINK4"/>
      <w:r>
        <w:rPr>
          <w:rFonts w:hint="eastAsia" w:ascii="宋体" w:hAnsi="宋体" w:eastAsia="宋体" w:cs="宋体"/>
          <w:color w:val="auto"/>
          <w:sz w:val="24"/>
          <w:szCs w:val="24"/>
          <w:highlight w:val="none"/>
        </w:rPr>
        <w:t>根据采购人需求，</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应提供丰富的课程资源以实现服务的目标和质量，应覆盖中、小、幼、中职各学科各学段，满足分层、分类、分岗培训需求。详见《附件一：中小学幼儿园教师培训课程表》。并提供课程链接进行现场演示。以学校对中标</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的课程目录匹配率进行实际验收验证情况为准，如匹配率小于95%，则以虚假响应处理，学校有权追究中标</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法律责任。（投标文件中</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提供加盖投标人公章的书面承诺书，格式自拟）</w:t>
      </w:r>
    </w:p>
    <w:p w14:paraId="2BF1B798">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为确保选用课程资源版权的合法性，培训方案中各门完整课程资源包括拥有版权或使用权的视频、配套资料（投标文件中</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提供加盖投标人公章的书面承诺书，格式自拟）。中标人确保所提供培训课程的使用权及二次开发编辑的权力，并对课程内容及其版权负责，由课程引起的产权纠纷，由中标人自行负责，采购人不承担任何责任，并有权追究中标人的责任，采购人在合作期内对中标人提供的课程具有使用权，可对课程进行改造、重组和再建设。</w:t>
      </w:r>
    </w:p>
    <w:p w14:paraId="22495D09">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教育部《新时代基础教育强师计划》通知要求及《普通高等学校学历继续教育人才培养方案编制工作指南》文件要求，“搭建教师培训与学历教育衔接的‘立交桥’。支持在职教师学习深造，提升学历。”同时，为解决“所学非所教”（即所学专业与实际从事的教学科目不匹配）的教师专业知识影响备课深度及压力问题，根据跨学科任教教师培训内容课程需求和当地教育教学需要，提供相关课程，详见《附件二：所学非所教及学历课程》。</w:t>
      </w:r>
    </w:p>
    <w:bookmarkEnd w:id="9"/>
    <w:p w14:paraId="1065D614">
      <w:pPr>
        <w:pStyle w:val="4"/>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（一）课程资源要求</w:t>
      </w:r>
    </w:p>
    <w:p w14:paraId="66D981D9">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有明确的学习对象和基础要求说明，课程内容结合实际教学需要，以系统性、完整性为基本要求，注重课程资源的适用性和易用性。</w:t>
      </w:r>
    </w:p>
    <w:p w14:paraId="415744AA">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能运用多种策略激发学习动机，有效地引起和维持学习者的注意和兴趣。促进思维，培养能力。</w:t>
      </w:r>
    </w:p>
    <w:p w14:paraId="0E095E4B">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课件的知识组织结构符合本门课程的内在逻辑体系和学习者的认知规律。</w:t>
      </w:r>
    </w:p>
    <w:p w14:paraId="2FE9AE94">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课件中利用网络特性，设计有效的交互活动；包括互动讨论、网上练习等。</w:t>
      </w:r>
    </w:p>
    <w:p w14:paraId="1E982357">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坚定正确的政治立场，教学内容符合课程思政要求，内容健康、正确，无科学性错误；</w:t>
      </w:r>
    </w:p>
    <w:p w14:paraId="4D9070B5">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主讲教师具有良好的师德师风，教学能力强，网络教学经验丰富，教学特色鲜明；</w:t>
      </w:r>
    </w:p>
    <w:p w14:paraId="043D9549">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文字、符号、单位和公式符合国家标准，标准包括国家关于出版物的标准、学科专业标准等；</w:t>
      </w:r>
    </w:p>
    <w:p w14:paraId="4994CEE3">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教学内容覆盖教学基本要求，知识点覆盖面达到了课程定位的要求；</w:t>
      </w:r>
    </w:p>
    <w:p w14:paraId="6CD1AB3C">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提供与知识点相关的丰富的资源链接，资源表现形式多样；</w:t>
      </w:r>
    </w:p>
    <w:p w14:paraId="42A315A8">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学科课程所用教材须符合教育部颁布的学科课程标准。</w:t>
      </w:r>
    </w:p>
    <w:p w14:paraId="1B28871B">
      <w:pPr>
        <w:pStyle w:val="4"/>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（二）意识形态要求</w:t>
      </w:r>
    </w:p>
    <w:p w14:paraId="7CD3DD2A">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无损害中央权威、违背党的路线方针政策；</w:t>
      </w:r>
    </w:p>
    <w:p w14:paraId="66D88399">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无损害国家利益、社会公共利益，或违背社会公序良俗；</w:t>
      </w:r>
    </w:p>
    <w:p w14:paraId="1B3D81A4">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无散布虚假信息、不良信息；</w:t>
      </w:r>
    </w:p>
    <w:p w14:paraId="21A32A20">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无丑化党和国家形象，或者诋毁、污蔑党和国家领导人、英雄模范，或者歪曲党的历史、中华人民共和国历史、人民军队历史；</w:t>
      </w:r>
    </w:p>
    <w:p w14:paraId="0B93D449">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无宣扬不良“饭圈文化”等影响学员价值观；</w:t>
      </w:r>
    </w:p>
    <w:p w14:paraId="4143B303">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无法律法规禁止的情形；</w:t>
      </w:r>
    </w:p>
    <w:p w14:paraId="5D37404C">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不存在宗教渗透问题。</w:t>
      </w:r>
    </w:p>
    <w:p w14:paraId="2BAA8505">
      <w:pPr>
        <w:pStyle w:val="4"/>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（三）授课专家要求</w:t>
      </w:r>
    </w:p>
    <w:p w14:paraId="47BDC963">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热爱党和国家的教育事业，态度端正，工作认真。</w:t>
      </w:r>
    </w:p>
    <w:p w14:paraId="56E3BA1F">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相关学科，中小学基层教师、教研员和熟悉中小学幼儿园教育实践的高校专家；</w:t>
      </w:r>
    </w:p>
    <w:p w14:paraId="79682B53">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具有相关学科副高以上职称；</w:t>
      </w:r>
    </w:p>
    <w:p w14:paraId="2C52F6DB">
      <w:pPr>
        <w:pStyle w:val="137"/>
        <w:pageBreakBefore w:val="0"/>
        <w:numPr>
          <w:ilvl w:val="2"/>
          <w:numId w:val="12"/>
        </w:numPr>
        <w:tabs>
          <w:tab w:val="left" w:pos="0"/>
        </w:tabs>
        <w:kinsoku/>
        <w:wordWrap/>
        <w:topLinePunct w:val="0"/>
        <w:bidi w:val="0"/>
        <w:spacing w:line="440" w:lineRule="exact"/>
        <w:ind w:lef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具有五年以上教学工作经验，具有中小学网络培训经验。</w:t>
      </w:r>
    </w:p>
    <w:p w14:paraId="05D4F206">
      <w:pPr>
        <w:pStyle w:val="4"/>
        <w:pageBreakBefore w:val="0"/>
        <w:kinsoku/>
        <w:wordWrap/>
        <w:topLinePunct w:val="0"/>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（四）建课时间要求</w:t>
      </w:r>
    </w:p>
    <w:p w14:paraId="55558813">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间提供的全部课程，建课时间要求必须在两年内，课程资源中涉及引用课例的，引用课例时间必须在两年内，以课程申报时间为准，比如2022年5月1日申报的课程，要求建课时间或引用课例时间必须在2020年5月1日之后，以此类推，需提供承诺函。</w:t>
      </w:r>
    </w:p>
    <w:p w14:paraId="2C98B87D">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八、运营服务要求</w:t>
      </w:r>
    </w:p>
    <w:p w14:paraId="7DBD132F">
      <w:pPr>
        <w:pStyle w:val="3"/>
        <w:pageBreakBefore w:val="0"/>
        <w:numPr>
          <w:ilvl w:val="0"/>
          <w:numId w:val="13"/>
        </w:numPr>
        <w:kinsoku/>
        <w:wordWrap/>
        <w:topLinePunct w:val="0"/>
        <w:bidi w:val="0"/>
        <w:spacing w:before="0" w:after="0" w:line="440" w:lineRule="exact"/>
        <w:rPr>
          <w:rFonts w:hint="eastAsia" w:ascii="宋体" w:hAnsi="宋体" w:eastAsia="宋体" w:cs="宋体"/>
          <w:b/>
          <w:bCs/>
          <w:color w:val="auto"/>
          <w:sz w:val="24"/>
          <w:szCs w:val="24"/>
          <w:highlight w:val="none"/>
        </w:rPr>
      </w:pPr>
      <w:bookmarkStart w:id="10" w:name="3051-1513671288870"/>
      <w:bookmarkEnd w:id="10"/>
      <w:bookmarkStart w:id="11" w:name="2311-1513671288870"/>
      <w:bookmarkEnd w:id="11"/>
      <w:bookmarkStart w:id="12" w:name="7944-1513671288870"/>
      <w:bookmarkEnd w:id="12"/>
      <w:r>
        <w:rPr>
          <w:rFonts w:hint="eastAsia" w:ascii="宋体" w:hAnsi="宋体" w:eastAsia="宋体" w:cs="宋体"/>
          <w:b/>
          <w:bCs/>
          <w:color w:val="auto"/>
          <w:sz w:val="24"/>
          <w:szCs w:val="24"/>
          <w:highlight w:val="none"/>
        </w:rPr>
        <w:t>客户服务</w:t>
      </w:r>
    </w:p>
    <w:p w14:paraId="733EBF93">
      <w:pPr>
        <w:pageBreakBefore w:val="0"/>
        <w:widowControl w:val="0"/>
        <w:kinsoku/>
        <w:wordWrap/>
        <w:topLinePunct w:val="0"/>
        <w:bidi w:val="0"/>
        <w:spacing w:line="440" w:lineRule="exact"/>
        <w:ind w:right="-108" w:rightChars="-4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1.服务说明</w:t>
      </w:r>
    </w:p>
    <w:p w14:paraId="6BE86FEE">
      <w:pPr>
        <w:pageBreakBefore w:val="0"/>
        <w:widowControl w:val="0"/>
        <w:kinsoku/>
        <w:wordWrap/>
        <w:topLinePunct w:val="0"/>
        <w:bidi w:val="0"/>
        <w:spacing w:line="440" w:lineRule="exact"/>
        <w:ind w:right="-108" w:rightChars="-4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服务对象提供采购人指定的热线电话服务、人工客服咨询和网上在线咨询服务和辅导教师团队，每周定期更新维护知识库。投标人需提供承诺函，格式自拟。客服团队服务内容涵盖教育咨询、业务设计、用户组织、教学实施及管理等服务，为项目的稳定运行提供稳定、有效的服务支持。</w:t>
      </w:r>
    </w:p>
    <w:p w14:paraId="49AE7E37">
      <w:pPr>
        <w:pageBreakBefore w:val="0"/>
        <w:widowControl w:val="0"/>
        <w:kinsoku/>
        <w:wordWrap/>
        <w:topLinePunct w:val="0"/>
        <w:bidi w:val="0"/>
        <w:spacing w:line="440" w:lineRule="exact"/>
        <w:ind w:right="-108" w:rightChars="-4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w:t>
      </w:r>
    </w:p>
    <w:p w14:paraId="4407BA8E">
      <w:pPr>
        <w:pStyle w:val="137"/>
        <w:pageBreakBefore w:val="0"/>
        <w:widowControl w:val="0"/>
        <w:kinsoku/>
        <w:wordWrap/>
        <w:topLinePunct w:val="0"/>
        <w:bidi w:val="0"/>
        <w:spacing w:line="440" w:lineRule="exact"/>
        <w:ind w:left="-108" w:right="-108" w:rightChars="-45" w:firstLine="480" w:firstLineChars="200"/>
        <w:contextualSpacing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不少于8座席的热线电话服务。客服热线要求满足不少于10条并线服务，网上咨询提供7*24小时留言。客服人员应包括一般客服、客服专员和质检专员，要求具备2年或以上客服经验，熟悉新疆维吾尔自治区继续教育政策优先。</w:t>
      </w:r>
    </w:p>
    <w:p w14:paraId="4A83696F">
      <w:pPr>
        <w:pStyle w:val="137"/>
        <w:pageBreakBefore w:val="0"/>
        <w:widowControl w:val="0"/>
        <w:kinsoku/>
        <w:wordWrap/>
        <w:topLinePunct w:val="0"/>
        <w:bidi w:val="0"/>
        <w:spacing w:line="440" w:lineRule="exact"/>
        <w:ind w:left="-108" w:right="-108" w:rightChars="-45" w:firstLine="480" w:firstLineChars="200"/>
        <w:contextualSpacing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专兼职专家团队。每个学段学科的团队专家不少于2人，总数不少于86人。辅导教师在培训开始前承担课程审读的任务，在培训实施期间承担为学员解答学科方面问题的任务。辅导教师需要满足以下条件：</w:t>
      </w:r>
    </w:p>
    <w:p w14:paraId="2E7092EE">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1）热爱党和国家的教育事业，态度端正，工作认真；</w:t>
      </w:r>
    </w:p>
    <w:p w14:paraId="2FC17281">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2）相关学科，中小学基层教师、教研员和熟悉中小学幼儿园教育实践的高校专家；</w:t>
      </w:r>
    </w:p>
    <w:p w14:paraId="2B5281A0">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3）具有相关学科副高以上职称（须提供职称证明）；</w:t>
      </w:r>
    </w:p>
    <w:p w14:paraId="3FF40625">
      <w:pPr>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4）具有五年以上教学工作经验，具有中小学网络培训经验。</w:t>
      </w:r>
    </w:p>
    <w:p w14:paraId="69416436">
      <w:pPr>
        <w:pStyle w:val="3"/>
        <w:pageBreakBefore w:val="0"/>
        <w:numPr>
          <w:ilvl w:val="0"/>
          <w:numId w:val="13"/>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内容运营服务</w:t>
      </w:r>
    </w:p>
    <w:p w14:paraId="3B1A97EF">
      <w:pPr>
        <w:pageBreakBefore w:val="0"/>
        <w:widowControl w:val="0"/>
        <w:kinsoku/>
        <w:wordWrap/>
        <w:topLinePunct w:val="0"/>
        <w:bidi w:val="0"/>
        <w:spacing w:line="440" w:lineRule="exact"/>
        <w:ind w:right="-108" w:rightChars="-4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1.培训视频的上线编辑及发布服务</w:t>
      </w:r>
    </w:p>
    <w:p w14:paraId="5EB927B0">
      <w:pPr>
        <w:pageBreakBefore w:val="0"/>
        <w:kinsoku/>
        <w:wordWrap/>
        <w:topLinePunct w:val="0"/>
        <w:bidi w:val="0"/>
        <w:spacing w:line="440" w:lineRule="exact"/>
        <w:ind w:right="-108" w:rightChars="-4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培训需求进行培训视频、课程素材的测试、梳理、上传，包括培训视频、拓展资源、配套材料、问题弹窗、教师简介、课程简介等的上传;协助课程资源评审运营相关工作，提供培训课程与培训管理平台的挂接，保障正常使用。课件资源测试和上线：按照资源建设的整体要求，结合专家对资源的评审意见进行修改、完善和测试、上线。对现有课程要求完成全部知识点的打标签服务，在资源管理平台上建立知识点标签库。</w:t>
      </w:r>
    </w:p>
    <w:p w14:paraId="102BF78F">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2.课程上线自动巡检服务</w:t>
      </w:r>
    </w:p>
    <w:p w14:paraId="18D06839">
      <w:pPr>
        <w:pageBreakBefore w:val="0"/>
        <w:kinsoku/>
        <w:wordWrap/>
        <w:topLinePunct w:val="0"/>
        <w:bidi w:val="0"/>
        <w:spacing w:line="440" w:lineRule="exact"/>
        <w:ind w:right="-108" w:rightChars="-4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资源巡检内容：检查上线的课程资源是否能够正常访问等。巡检工具应能够自动生成巡检报告，内容应包含巡检的基本信息和巡检结果。要求培训开始前必须完成课程资源巡检，培训期间每周巡检频率不少于1次。</w:t>
      </w:r>
    </w:p>
    <w:p w14:paraId="73E471EF">
      <w:pPr>
        <w:pStyle w:val="3"/>
        <w:pageBreakBefore w:val="0"/>
        <w:numPr>
          <w:ilvl w:val="0"/>
          <w:numId w:val="13"/>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活动运营服务</w:t>
      </w:r>
    </w:p>
    <w:p w14:paraId="331045CF">
      <w:pPr>
        <w:pageBreakBefore w:val="0"/>
        <w:widowControl w:val="0"/>
        <w:kinsoku/>
        <w:wordWrap/>
        <w:topLinePunct w:val="0"/>
        <w:bidi w:val="0"/>
        <w:spacing w:line="440" w:lineRule="exact"/>
        <w:ind w:right="-108" w:rightChars="-4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1.培训前运营支持服务</w:t>
      </w:r>
    </w:p>
    <w:p w14:paraId="55695588">
      <w:pPr>
        <w:pageBreakBefore w:val="0"/>
        <w:kinsoku/>
        <w:wordWrap/>
        <w:topLinePunct w:val="0"/>
        <w:bidi w:val="0"/>
        <w:spacing w:line="440" w:lineRule="exact"/>
        <w:ind w:right="-108" w:rightChars="-4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前制定培训计划及实施方案，协助做好选课报名工作，拟好培训通知，设置培训报名、选课、缴费、开课等起始时间。协助甲方开展每期培训的收费工作，包括选课数据核对、缴费通知书导入等工作。协助确定开设的课程清单，培训前撰写并提供操作指引，提供培训课程与培训管理平台与学习平台的挂接、课程上线开课操作，为学员进行分班、辅导教师分配等教学教务支撑工作。</w:t>
      </w:r>
    </w:p>
    <w:p w14:paraId="6996B34C">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2.培训中运营支持服务</w:t>
      </w:r>
    </w:p>
    <w:p w14:paraId="3E58E069">
      <w:pPr>
        <w:pageBreakBefore w:val="0"/>
        <w:kinsoku/>
        <w:wordWrap/>
        <w:topLinePunct w:val="0"/>
        <w:bidi w:val="0"/>
        <w:spacing w:line="440" w:lineRule="exact"/>
        <w:ind w:right="-108" w:rightChars="-4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及时响应并做好每期培训开展过程中学员所反馈的报名、缴费、培训课程使用的相关问题以及学员关于课程成绩相关等问题的咨询与解答工作。</w:t>
      </w:r>
    </w:p>
    <w:p w14:paraId="4D490CDA">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3.培训后运营支持服务</w:t>
      </w:r>
    </w:p>
    <w:p w14:paraId="0967A233">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培训完成后，为每门培训课程的参训学员进行学员成绩的登记，为辅导教师登记辅导学时。对当期参训学员关于培训课程与辅导教师的问卷调查反馈进行数据统计、整理和分析。</w:t>
      </w:r>
    </w:p>
    <w:p w14:paraId="44DF7E80">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4.竞赛活动、自主选学等各类教师培训运营服务</w:t>
      </w:r>
    </w:p>
    <w:p w14:paraId="7E491FEF">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协助在线的培训平台发布相关资讯、公文通知，对培训课程进行设置及上线，课程涵盖不同学时、不同学科领域，满足教师多样化的学习需求。教师可依据自身专业发展需求，自主选择感兴趣的课程进行学习，平台将推荐课程，助力教师高效选学。参训教师按学习进度安排自主学习视频课程、浏览相关学习资料、共享优质教育教学资源等，培训过程中，对教师遇到的问题提供解决方案及督促学习，培训结束后，提供教师学时完成数据，以支撑教师及时完成继续教育任务。</w:t>
      </w:r>
    </w:p>
    <w:p w14:paraId="565B21D0">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需根据采购人开展的各项在线培训项目，完成在新疆师范大学在线平台的各个项目的教学部署及配置工作；由于在线培训存在学时的不确定性，中标人需无条件配合采购人完成在线对应的在线培训工作的所有运营及必要服务工作。</w:t>
      </w:r>
    </w:p>
    <w:p w14:paraId="19DE69AC">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学员在培训过程中遇到的操作给予指引，及时响应并做好竞赛开展过程中竞赛参与者所反馈的相关问题以及参赛者关于作品、竞赛结果等问题的咨询与解答工作。协助解决参赛者遇到相关问题，比如链接打不开、附件无法上传、视频无法播放、讨论活动无法参与等，必要时为学员提供远程协助等。</w:t>
      </w:r>
    </w:p>
    <w:p w14:paraId="0078C520">
      <w:pPr>
        <w:pStyle w:val="3"/>
        <w:pageBreakBefore w:val="0"/>
        <w:numPr>
          <w:ilvl w:val="0"/>
          <w:numId w:val="13"/>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用户管理和运营服务</w:t>
      </w:r>
    </w:p>
    <w:p w14:paraId="7A144092">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1.用户管理服务</w:t>
      </w:r>
    </w:p>
    <w:p w14:paraId="360746EE">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协助梳理平台角色权限列表清单，当平台角色权限发生变更时，及时更新，并每月定期提供清单。</w:t>
      </w:r>
    </w:p>
    <w:p w14:paraId="2BB9E1A2">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用户实际需求，根据用户类型和角色划分权限，将不同的功能和操作权限分配给用户，确保用户能够正常访问和使用平台的功能，同时防止未经授权的用户非法操作。每季度定期梳理平台上超六个月没有登录的用户账号清单，与采购人确认，及时更新账号状态，确保平台、用户数据安全性。涉及新教师入职、教师离职、岗位调动，需及时更新教师档案、权限，并向用户通报变更。</w:t>
      </w:r>
    </w:p>
    <w:p w14:paraId="78ED884D">
      <w:pPr>
        <w:pStyle w:val="137"/>
        <w:pageBreakBefore w:val="0"/>
        <w:widowControl w:val="0"/>
        <w:kinsoku/>
        <w:wordWrap/>
        <w:topLinePunct w:val="0"/>
        <w:bidi w:val="0"/>
        <w:spacing w:line="440" w:lineRule="exact"/>
        <w:ind w:left="466" w:leftChars="194"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2.用户运营服务</w:t>
      </w:r>
    </w:p>
    <w:p w14:paraId="3E7842FC">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通过人工客服服务和智能化客服服务，建立包括电话服务热线、网上在线或留言咨询等多种手段相结合的用户咨询和反馈渠道，为学员提供教师继续教育各类业务咨询和平台操作的指引服务，负责学员的维护与答疑，挖掘需求，提升学员满意度。</w:t>
      </w:r>
    </w:p>
    <w:p w14:paraId="398A1EB8">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3.用户培训和支持</w:t>
      </w:r>
    </w:p>
    <w:p w14:paraId="315E0F25">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专业的用户培训和技术支持，帮助用户更好地使用平台功能。根据实际提供线下或者线上培训。培训前要求制定并提交方案和计划、培训材料、相关操作指引等材料，培训过程要求有负责人和技术人员全程跟进，培训过程要进行录制，培训结束后提供培训过程材料，包括培训签到表、用户问题清单、培训视频等相关材料。</w:t>
      </w:r>
    </w:p>
    <w:p w14:paraId="0CDCCA84">
      <w:pPr>
        <w:pStyle w:val="3"/>
        <w:pageBreakBefore w:val="0"/>
        <w:numPr>
          <w:ilvl w:val="0"/>
          <w:numId w:val="13"/>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社区运营服务</w:t>
      </w:r>
    </w:p>
    <w:p w14:paraId="08589A4C">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1.协助建立网络工作室或研修社区</w:t>
      </w:r>
    </w:p>
    <w:p w14:paraId="31AE7159">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人员需收集工作室主持人候选名单及其所在单位、职称、学科学段、研究方向等信息并联系候选主持人确定最终名单，将其按照模板整理，导入工作室生成工作室主页。抽查部分主持人，登录其主持人的工作台及其个人中心，可查工作室是否已搭建成功、平台功能、链接跳转是否流畅。</w:t>
      </w:r>
    </w:p>
    <w:p w14:paraId="2BBC2ABB">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2.成员报名遴选支持</w:t>
      </w:r>
    </w:p>
    <w:p w14:paraId="6CC019FA">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作室成员报名遴选期间，解决报名人员和工作室主持人的业务咨询、平台操作咨询问题，如超出报名遴选时间，报名人员在线下已获得主持人及主管单位的审核通过，运营人员在不开放平台整体报名时间的情况下，通过运营功能为其添加至对应的工作室。</w:t>
      </w:r>
    </w:p>
    <w:p w14:paraId="0D39D784">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3.网络研修活动和工作室评价支持</w:t>
      </w:r>
    </w:p>
    <w:p w14:paraId="2DD2AA26">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研修活动和工作室评价期间，主持人需要对照评价指标在平台上开设线上线下研修活动、上传研修成果，运营人员定期为主管单位整理所有工作室的研修成果情况表，为采购人督促主持人开展研修工作、决定是否延长评价时间、对工作室开展评价等提供依据。</w:t>
      </w:r>
    </w:p>
    <w:p w14:paraId="4BE2B255">
      <w:pPr>
        <w:pStyle w:val="3"/>
        <w:pageBreakBefore w:val="0"/>
        <w:numPr>
          <w:ilvl w:val="0"/>
          <w:numId w:val="13"/>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学时运营服务</w:t>
      </w:r>
    </w:p>
    <w:p w14:paraId="52E03B2C">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1.提供各项培训活动每周的学情数据。</w:t>
      </w:r>
    </w:p>
    <w:p w14:paraId="789C996E">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2.提供学时登记服务，学员参加的各项培训活动所获得的学时需及时准确登记到平台中。</w:t>
      </w:r>
    </w:p>
    <w:p w14:paraId="2AB71044">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3.提供学时协助审核服务，协助管理员对学员学时数据进行审核，确保数据真实性和准确性，必要时可以通过技术手段实现对学时数据的纠正。</w:t>
      </w:r>
    </w:p>
    <w:p w14:paraId="184EBC19">
      <w:pPr>
        <w:pStyle w:val="3"/>
        <w:pageBreakBefore w:val="0"/>
        <w:numPr>
          <w:ilvl w:val="0"/>
          <w:numId w:val="13"/>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数据运营服务</w:t>
      </w:r>
    </w:p>
    <w:p w14:paraId="539B0AC2">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根据平台现有数据通过数据分析、数据挖掘，把隐藏在海量数据中的信息提炼出来，作为教师继续教育发展的依据，供采购人使用。</w:t>
      </w:r>
    </w:p>
    <w:p w14:paraId="5F6B1A2A">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协助开展每期培训的收费工作，包括选课数据核对、缴费通知书导入等工作，并协助进行每期报名选课数据的整理与统计工作，包括当期报读总人数、缴费总额的统计与整理。</w:t>
      </w:r>
    </w:p>
    <w:p w14:paraId="2AD7B96A">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每期教师继续教育报名所产生的报名数据进行数据备份与管理，包括对每期培训选课报名所产生的“所属区域、工作单位、任教学段任教学科、手机号、身份证号、姓名、课程名称、学时、是否缴费等”信息进行维护。</w:t>
      </w:r>
    </w:p>
    <w:p w14:paraId="469DAC50">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培训进行培训数据统计和分析，包含对每期学员的培训参训率、学习率、合格率、培训过程中的作业提交率、学习任务完成情况、学习成果数、课程资源数据统计与分析等数据进行统计分析和可视化数据呈现，对辅导教师的作业批改情况、讨论回复情况等数据进行统计分析和可视化数据呈现，并形成该项目培训实施情况统计报表，分类阐述培训总体实施情况、学员学习情况、辅导教师工作情况等。</w:t>
      </w:r>
    </w:p>
    <w:p w14:paraId="4E68749E">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p>
    <w:p w14:paraId="17B5BA52">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九、运维服务要求</w:t>
      </w:r>
    </w:p>
    <w:p w14:paraId="568E3743">
      <w:pPr>
        <w:pageBreakBefore w:val="0"/>
        <w:kinsoku/>
        <w:wordWrap/>
        <w:topLinePunct w:val="0"/>
        <w:bidi w:val="0"/>
        <w:spacing w:line="440" w:lineRule="exact"/>
        <w:rPr>
          <w:rFonts w:hint="eastAsia" w:ascii="宋体" w:hAnsi="宋体" w:eastAsia="宋体" w:cs="宋体"/>
          <w:color w:val="auto"/>
          <w:sz w:val="24"/>
          <w:szCs w:val="24"/>
          <w:highlight w:val="none"/>
        </w:rPr>
      </w:pPr>
    </w:p>
    <w:p w14:paraId="66BBB5CB">
      <w:pPr>
        <w:pStyle w:val="3"/>
        <w:pageBreakBefore w:val="0"/>
        <w:numPr>
          <w:ilvl w:val="0"/>
          <w:numId w:val="14"/>
        </w:numPr>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系统运维服务</w:t>
      </w:r>
    </w:p>
    <w:p w14:paraId="54CCC23D">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负责平台底层技术设施的稳定运行和性能优化，确保平台的硬件、操作系统、网络和中间件的正常运转。服务包括日常监控、资源优化、故障处理和容灾能力提升等内容。</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需提供7×24小时实时监控服务，覆盖服务器性能、网络流量、磁盘使用情况等关键指标，能够快速定位并修复问题。此外，服务商需制定硬件扩容和系统优化计划，确保平台具备动态扩展能力，以应对20万用户高并发访问的需求。</w:t>
      </w:r>
    </w:p>
    <w:p w14:paraId="2D436B18">
      <w:pPr>
        <w:pStyle w:val="3"/>
        <w:pageBreakBefore w:val="0"/>
        <w:numPr>
          <w:ilvl w:val="0"/>
          <w:numId w:val="14"/>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数据迁移服务</w:t>
      </w:r>
    </w:p>
    <w:p w14:paraId="30F9212F">
      <w:pPr>
        <w:pageBreakBefore w:val="0"/>
        <w:tabs>
          <w:tab w:val="left" w:pos="420"/>
        </w:tabs>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系统需整合中小学教师培训管理系统中的历史数据，需提供历史数据ETL抽取工具，历史数据清洗工具，数据迁移及校验服务，使原有历史数据在新的系统一体化呈现。</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须在30日内完成项目管理平台上线以及全部数据迁移工作，并确保迁移后的数据完整性和准确性。</w:t>
      </w:r>
    </w:p>
    <w:p w14:paraId="5CAA1F2E">
      <w:pPr>
        <w:pStyle w:val="3"/>
        <w:pageBreakBefore w:val="0"/>
        <w:numPr>
          <w:ilvl w:val="0"/>
          <w:numId w:val="14"/>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安全运营服务</w:t>
      </w:r>
    </w:p>
    <w:p w14:paraId="7CB3EE84">
      <w:pPr>
        <w:pStyle w:val="416"/>
        <w:pageBreakBefore w:val="0"/>
        <w:numPr>
          <w:ilvl w:val="0"/>
          <w:numId w:val="15"/>
        </w:numPr>
        <w:kinsoku/>
        <w:wordWrap/>
        <w:topLinePunct w:val="0"/>
        <w:bidi w:val="0"/>
        <w:spacing w:line="440" w:lineRule="exact"/>
        <w:ind w:left="0" w:firstLine="607" w:firstLineChars="2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建设应符合国家相关政策及技术规范，保障数据和信息安全。数据应严密保护、按层级开放、有序共享的机制，要根据数据信息的敏感程度对数据进行分类、分级权限管理；对各类数据要使用数据标签明确，创建数据、应用数据、传输数据和销毁数据等各类数据应使用数据标签在技术上和操作上规范操作要求。数据管理要实现数据全量和增量的备份机制，自动和手动备份机制。</w:t>
      </w:r>
    </w:p>
    <w:p w14:paraId="1DD23338">
      <w:pPr>
        <w:pStyle w:val="416"/>
        <w:pageBreakBefore w:val="0"/>
        <w:numPr>
          <w:ilvl w:val="0"/>
          <w:numId w:val="15"/>
        </w:numPr>
        <w:kinsoku/>
        <w:wordWrap/>
        <w:topLinePunct w:val="0"/>
        <w:bidi w:val="0"/>
        <w:spacing w:line="440" w:lineRule="exact"/>
        <w:ind w:left="0" w:firstLine="607" w:firstLineChars="2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系统应采取全面的安全保护措施，要具备防备病毒感染、防备黑客攻击的安全措施，同时具有高度的安全性和保密性，在防范雷击、过载、断电和人为破坏方面要有具体防范措施和故障应急措施。</w:t>
      </w:r>
    </w:p>
    <w:p w14:paraId="2403A929">
      <w:pPr>
        <w:pStyle w:val="416"/>
        <w:pageBreakBefore w:val="0"/>
        <w:numPr>
          <w:ilvl w:val="0"/>
          <w:numId w:val="15"/>
        </w:numPr>
        <w:kinsoku/>
        <w:wordWrap/>
        <w:topLinePunct w:val="0"/>
        <w:bidi w:val="0"/>
        <w:spacing w:line="440" w:lineRule="exact"/>
        <w:ind w:left="0" w:firstLine="607" w:firstLineChars="2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要按照国家三级安全等级保护相关标准要求开发建设，对接入系统的设备和用户，进行严格的接入认证，保证接入的安全性。系统要支持关键设备、关键数据、关键程序模块采取备份、冗余措施，要有容错和系统恢复能力，保证系统长期安全运行。</w:t>
      </w:r>
    </w:p>
    <w:p w14:paraId="7E4A365E">
      <w:pPr>
        <w:pStyle w:val="416"/>
        <w:pageBreakBefore w:val="0"/>
        <w:numPr>
          <w:ilvl w:val="0"/>
          <w:numId w:val="15"/>
        </w:numPr>
        <w:kinsoku/>
        <w:wordWrap/>
        <w:topLinePunct w:val="0"/>
        <w:bidi w:val="0"/>
        <w:spacing w:line="440" w:lineRule="exact"/>
        <w:ind w:left="0" w:firstLine="607" w:firstLineChars="2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保障意识形态安全工作方案，建立意识形态工作保障方案及应急预案。及时快速识别色情、暴恐、旗帜标识、政治人物识别、公众人物识别、广告检测、恶心图像识别、不良场景识别和自动屏蔽敏感字、词、语句等，平台运行过程中提供可量化的意识形态工作相关记录或报表。</w:t>
      </w:r>
    </w:p>
    <w:p w14:paraId="0D16A483">
      <w:pPr>
        <w:pStyle w:val="137"/>
        <w:pageBreakBefore w:val="0"/>
        <w:widowControl w:val="0"/>
        <w:kinsoku/>
        <w:wordWrap/>
        <w:topLinePunct w:val="0"/>
        <w:bidi w:val="0"/>
        <w:spacing w:line="440" w:lineRule="exact"/>
        <w:ind w:left="560" w:right="-108" w:rightChars="-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5.安全治理</w:t>
      </w:r>
    </w:p>
    <w:p w14:paraId="3441DD1A">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数据导入导出：要求平台数据导出要经过审批，敏感数据要点对点传输（即：发起者与数据处理者直接加密传输）。</w:t>
      </w:r>
    </w:p>
    <w:p w14:paraId="4EA09E72">
      <w:pPr>
        <w:pageBreakBefore w:val="0"/>
        <w:widowControl w:val="0"/>
        <w:kinsoku/>
        <w:wordWrap/>
        <w:topLinePunct w:val="0"/>
        <w:bidi w:val="0"/>
        <w:spacing w:line="440" w:lineRule="exact"/>
        <w:ind w:right="-108" w:rightChars="-4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6.人工巡检</w:t>
      </w:r>
    </w:p>
    <w:p w14:paraId="41CBC171">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服务人员每天对网站群及性能巡检，主要对网站可用性、信息更新情况、信息质量进行巡检。重点是对信息的准确性、真实性和权威性进行巡检，要求所发布的信息，要真实可靠，杜绝弄虚作假、无中生有；严禁不按信息发布程序要求发布信息而造成不良影响。</w:t>
      </w:r>
    </w:p>
    <w:p w14:paraId="40C8D542">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发现网站网页无法打开、网页信息出现乱码等方面技术、安全问题，立即向运维技术支持团队反映，并跟进处理结果，确保网站及时恢复正常运转。</w:t>
      </w:r>
    </w:p>
    <w:p w14:paraId="73AA0A35">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发现意识形态领域问题，立即实施应急响应服务，将问题截图并通知应用系统维护团队立刻停机，向上级汇报事态。问题处理后，将问题处理过程、结果形成书面报告发布并存档。巡检过程要求有截图记录。</w:t>
      </w:r>
    </w:p>
    <w:p w14:paraId="5D568D29">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针对培训过程中各环节的重要操作开展前进行功能巡检，比如检查辅导教师操作功能、遴选活动操作功能等。</w:t>
      </w:r>
    </w:p>
    <w:p w14:paraId="64922617">
      <w:pPr>
        <w:pageBreakBefore w:val="0"/>
        <w:widowControl w:val="0"/>
        <w:kinsoku/>
        <w:wordWrap/>
        <w:topLinePunct w:val="0"/>
        <w:bidi w:val="0"/>
        <w:spacing w:line="440" w:lineRule="exact"/>
        <w:ind w:right="-108" w:rightChars="-45"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7.提供业务状况监测服务</w:t>
      </w:r>
    </w:p>
    <w:p w14:paraId="6160B690">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对平台业务状况进行监测，主要包括：对选课流程、学习流程课程申报流程在系统多方面信息系统项业务和流程的监测和分析，了解信息的业务和流程的运行情况和性能表现，及时发现和解决可能存在的问题。</w:t>
      </w:r>
    </w:p>
    <w:p w14:paraId="6B9AD83B">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业务性能分析：对系统主要业务流程进行性能分析，包括响应时间、处理能力、资源利用率等指标的监测和分析。</w:t>
      </w:r>
    </w:p>
    <w:p w14:paraId="7C847F7D">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选课流程监测：监测教师选课的整个流程，包括选课时间、选课人数、选课结果等。通过监测选课系统的性能和稳定性，及时发现如：系统崩溃、选课冲突并通知运维人员进行维护等。</w:t>
      </w:r>
    </w:p>
    <w:p w14:paraId="597A3EE5">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习流程监测：监测教师继续教育的学习流程，包括访问情况、网络课程和资源的使用情况、教研活动的参与情况等。通过监测学习系统的访问速度、学习资源的可用性等指标，及时发现并解决学习过程中可能出现的问题，如系统延迟、学习资源失效等。</w:t>
      </w:r>
    </w:p>
    <w:p w14:paraId="41494599">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申报流程监测：系统可以监测教师或教师用户提交课程申报的流程，包括申报材料的上传、审核流程的处理、申报结果的反馈等。并对学校、教师提交的课程整体情况如数量、频率、审核不通过率等进行统计分析并给出监测报告。</w:t>
      </w:r>
    </w:p>
    <w:p w14:paraId="32FFDC52">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与告警：系统可以生成各教师用户和学校业务监测报告，包括学习状况、教学指标、问题分析和建议的改进措施。同时，在教师使用系统业务时出现异常或重大问题时，系统可以发送实时告警，以便及时采取相应的应对措施。</w:t>
      </w:r>
    </w:p>
    <w:p w14:paraId="1CB3F22F">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信息系统业务状况监测功能：系统管理员可以通过一个综合展示页面及时了解和掌握系统的各项业务情况。</w:t>
      </w:r>
    </w:p>
    <w:p w14:paraId="3E5EB7FC">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流程监测：监测和跟踪系统各项业务流程的状态和进展，包括在线学习、选课管理业务等。通过实时监测业务流程的执行情况，可以及时发现潜在的使用峰值、系统延迟或潜在的BUG错误，并采取相应的措施进行优化和改进。</w:t>
      </w:r>
    </w:p>
    <w:p w14:paraId="52C52041">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数据质量监测：监测和评估数据的质量，包括数据完整性、准确性、一致性等。通过对数据进行实时监测和分析，可以发现数据质量问题，如重复数据、缺失数据等，并通知维护人员核实及处理。</w:t>
      </w:r>
    </w:p>
    <w:p w14:paraId="6F73320E">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异常检测和告警：监测业务流程中的异常情况，并及时发出告警。系统管理员根据告警内容采取措施解决问题，避免对业务造成影响。</w:t>
      </w:r>
    </w:p>
    <w:p w14:paraId="0DDD3780">
      <w:pPr>
        <w:pageBreakBefore w:val="0"/>
        <w:widowControl w:val="0"/>
        <w:kinsoku/>
        <w:wordWrap/>
        <w:topLinePunct w:val="0"/>
        <w:bidi w:val="0"/>
        <w:spacing w:line="440" w:lineRule="exact"/>
        <w:ind w:right="-108" w:rightChars="-45" w:firstLine="484" w:firstLineChars="20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报告和分析：每周提供以上巡检的详细的监测报告和分析结果，报告和分析结果可以帮助采购人了解业务状况、发现潜在问题，并制定相应的升级和改进需求。</w:t>
      </w:r>
    </w:p>
    <w:p w14:paraId="6DB57625">
      <w:pPr>
        <w:pStyle w:val="3"/>
        <w:pageBreakBefore w:val="0"/>
        <w:numPr>
          <w:ilvl w:val="0"/>
          <w:numId w:val="14"/>
        </w:numPr>
        <w:kinsoku/>
        <w:wordWrap/>
        <w:topLinePunct w:val="0"/>
        <w:bidi w:val="0"/>
        <w:spacing w:before="0" w:after="0" w:line="440" w:lineRule="exact"/>
        <w:ind w:left="0" w:firstLine="0"/>
        <w:rPr>
          <w:rFonts w:hint="eastAsia" w:ascii="宋体" w:hAnsi="宋体" w:eastAsia="宋体" w:cs="宋体"/>
          <w:b/>
          <w:bCs/>
          <w:color w:val="auto"/>
          <w:sz w:val="24"/>
          <w:szCs w:val="24"/>
          <w:highlight w:val="none"/>
        </w:rPr>
      </w:pPr>
      <w:bookmarkStart w:id="13" w:name="OLE_LINK3"/>
      <w:r>
        <w:rPr>
          <w:rFonts w:hint="eastAsia" w:ascii="宋体" w:hAnsi="宋体" w:eastAsia="宋体" w:cs="宋体"/>
          <w:b/>
          <w:bCs/>
          <w:color w:val="auto"/>
          <w:sz w:val="24"/>
          <w:szCs w:val="24"/>
          <w:highlight w:val="none"/>
        </w:rPr>
        <w:t>其他要求</w:t>
      </w:r>
    </w:p>
    <w:bookmarkEnd w:id="13"/>
    <w:p w14:paraId="658269CB">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1.合作履行期内，本次采购服务所需的“教师专业发展培训公共服务平台”线上运营所需的服务器、带宽等网络服务支撑资源将全部由成交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负责（提供承诺函）。</w:t>
      </w:r>
    </w:p>
    <w:p w14:paraId="5721706E">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除本招标采购需求约定的内容外，中标单位进场后还需要根据采购单位使用部门的实际需求对平台功能进行优化调整（不少于30人月/年），以符合国家及教育主管部门最新政策和法规要求，以及提升参训教师使用体验（提供承诺函）。</w:t>
      </w:r>
    </w:p>
    <w:p w14:paraId="436C1CE3">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3.本次招标服务期满后,平台的知识产权归采购人所有。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承诺无偿将系统及源代码移交给采购人，并协助申请软件著作权。投标人须确保系统移交前后无差别、全部功能正常可用（提供承诺函）。</w:t>
      </w:r>
    </w:p>
    <w:p w14:paraId="7D388100">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4.提供的课程资源必须符合采购方在线培训平台系统相关要求，课程以及配套学习资料须通过线下方式拷贝给采购方，以便采购方对课程资源进行审读和存档。（提供承诺函）。</w:t>
      </w:r>
    </w:p>
    <w:p w14:paraId="26ED8DE1">
      <w:pPr>
        <w:pStyle w:val="416"/>
        <w:pageBreakBefore w:val="0"/>
        <w:kinsoku/>
        <w:wordWrap/>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5.所投入本项目的服务平台具备国家信息安全等级保护三级（或以上）认证。（提供相应材料）</w:t>
      </w:r>
    </w:p>
    <w:p w14:paraId="16BDF9C2">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十、硬件服务器、网络和大模型要求</w:t>
      </w:r>
    </w:p>
    <w:p w14:paraId="11233B68">
      <w:pPr>
        <w:pStyle w:val="416"/>
        <w:pageBreakBefore w:val="0"/>
        <w:kinsoku/>
        <w:wordWrap/>
        <w:topLinePunct w:val="0"/>
        <w:bidi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应充分考虑6万人同时在线培训的业务需求，合理配置硬件服务器、网络带宽及大模型资源，确保系统在高并发场景下稳定运行、流畅服务、智能响应。</w:t>
      </w:r>
    </w:p>
    <w:p w14:paraId="0FAAB38A">
      <w:pPr>
        <w:pStyle w:val="3"/>
        <w:pageBreakBefore w:val="0"/>
        <w:numPr>
          <w:ilvl w:val="0"/>
          <w:numId w:val="16"/>
        </w:numPr>
        <w:tabs>
          <w:tab w:val="left" w:pos="720"/>
        </w:tabs>
        <w:kinsoku/>
        <w:wordWrap/>
        <w:topLinePunct w:val="0"/>
        <w:bidi w:val="0"/>
        <w:spacing w:before="0" w:after="0" w:line="440" w:lineRule="exact"/>
        <w:ind w:left="720" w:hanging="3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硬件服务器</w:t>
      </w:r>
    </w:p>
    <w:p w14:paraId="22B675CC">
      <w:pPr>
        <w:pStyle w:val="416"/>
        <w:pageBreakBefore w:val="0"/>
        <w:kinsoku/>
        <w:wordWrap/>
        <w:topLinePunct w:val="0"/>
        <w:bidi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为满足6万人同时在线学习的视频播放、用户交互、身份认证、日志记录等业务需求，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应提供具备高并发处理能力的服务器集群，建议配置如下：</w:t>
      </w:r>
    </w:p>
    <w:p w14:paraId="4CD1E395">
      <w:pPr>
        <w:pStyle w:val="416"/>
        <w:pageBreakBefore w:val="0"/>
        <w:numPr>
          <w:ilvl w:val="0"/>
          <w:numId w:val="17"/>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视频流媒体服务器：不少于50 台 4核8G或以上服务器（支持GPU转码可加分）。</w:t>
      </w:r>
    </w:p>
    <w:p w14:paraId="2B14A81E">
      <w:pPr>
        <w:pStyle w:val="416"/>
        <w:pageBreakBefore w:val="0"/>
        <w:numPr>
          <w:ilvl w:val="0"/>
          <w:numId w:val="17"/>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用户服务与控制节点服务器：不少于 10 台 8核16G服务器，具备高I/O能力。</w:t>
      </w:r>
    </w:p>
    <w:p w14:paraId="52824A55">
      <w:pPr>
        <w:pStyle w:val="416"/>
        <w:pageBreakBefore w:val="0"/>
        <w:numPr>
          <w:ilvl w:val="0"/>
          <w:numId w:val="17"/>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数据库与存储服务器：至少 2 套主备部署的高性能数据库服务器（16核32G以上，SSD存储）。</w:t>
      </w:r>
    </w:p>
    <w:p w14:paraId="6B6A8B00">
      <w:pPr>
        <w:pStyle w:val="416"/>
        <w:pageBreakBefore w:val="0"/>
        <w:numPr>
          <w:ilvl w:val="0"/>
          <w:numId w:val="17"/>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日志与监控服务器：配备2台日志收集与展示服务器，支持 ELK、Prometheus 等组件。</w:t>
      </w:r>
    </w:p>
    <w:p w14:paraId="71635CF5">
      <w:pPr>
        <w:pStyle w:val="3"/>
        <w:pageBreakBefore w:val="0"/>
        <w:numPr>
          <w:ilvl w:val="0"/>
          <w:numId w:val="16"/>
        </w:numPr>
        <w:tabs>
          <w:tab w:val="left" w:pos="720"/>
        </w:tabs>
        <w:kinsoku/>
        <w:wordWrap/>
        <w:topLinePunct w:val="0"/>
        <w:bidi w:val="0"/>
        <w:spacing w:before="0" w:after="0" w:line="440" w:lineRule="exact"/>
        <w:ind w:left="720" w:hanging="3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网络带宽资源</w:t>
      </w:r>
    </w:p>
    <w:p w14:paraId="0BF21AAB">
      <w:pPr>
        <w:pStyle w:val="416"/>
        <w:pageBreakBefore w:val="0"/>
        <w:kinsoku/>
        <w:wordWrap/>
        <w:topLinePunct w:val="0"/>
        <w:bidi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为保障6万人同时高清视频播放的顺畅体验，平台须具备充足的出口带宽资源，并结合CDN加速优化访问体验。</w:t>
      </w:r>
    </w:p>
    <w:p w14:paraId="61F5C8BE">
      <w:pPr>
        <w:pStyle w:val="416"/>
        <w:pageBreakBefore w:val="0"/>
        <w:numPr>
          <w:ilvl w:val="0"/>
          <w:numId w:val="18"/>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并发视频播放码率估算</w:t>
      </w:r>
    </w:p>
    <w:p w14:paraId="2D230AD3">
      <w:pPr>
        <w:pStyle w:val="416"/>
        <w:pageBreakBefore w:val="0"/>
        <w:numPr>
          <w:ilvl w:val="0"/>
          <w:numId w:val="19"/>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标准清晰度视频播放按 1.5 Mbps / 用户估算</w:t>
      </w:r>
    </w:p>
    <w:p w14:paraId="34630669">
      <w:pPr>
        <w:pStyle w:val="416"/>
        <w:pageBreakBefore w:val="0"/>
        <w:numPr>
          <w:ilvl w:val="0"/>
          <w:numId w:val="19"/>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总带宽需求：1.5 Mbps × 60,000 = 900,000 Mbps = 90 Gbps</w:t>
      </w:r>
    </w:p>
    <w:p w14:paraId="55F9C81B">
      <w:pPr>
        <w:pStyle w:val="416"/>
        <w:pageBreakBefore w:val="0"/>
        <w:numPr>
          <w:ilvl w:val="0"/>
          <w:numId w:val="18"/>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带宽配置要求</w:t>
      </w:r>
    </w:p>
    <w:p w14:paraId="6A7E851B">
      <w:pPr>
        <w:pStyle w:val="416"/>
        <w:pageBreakBefore w:val="0"/>
        <w:numPr>
          <w:ilvl w:val="0"/>
          <w:numId w:val="19"/>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出口带宽不低于 90 Gbps</w:t>
      </w:r>
    </w:p>
    <w:p w14:paraId="12C539B9">
      <w:pPr>
        <w:pStyle w:val="416"/>
        <w:pageBreakBefore w:val="0"/>
        <w:numPr>
          <w:ilvl w:val="0"/>
          <w:numId w:val="19"/>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保证关键时段带宽不拥塞，支持带宽弹性扩容能力</w:t>
      </w:r>
    </w:p>
    <w:p w14:paraId="33442AAD">
      <w:pPr>
        <w:pStyle w:val="3"/>
        <w:pageBreakBefore w:val="0"/>
        <w:numPr>
          <w:ilvl w:val="0"/>
          <w:numId w:val="16"/>
        </w:numPr>
        <w:tabs>
          <w:tab w:val="left" w:pos="720"/>
        </w:tabs>
        <w:kinsoku/>
        <w:wordWrap/>
        <w:topLinePunct w:val="0"/>
        <w:bidi w:val="0"/>
        <w:spacing w:before="0" w:after="0" w:line="440" w:lineRule="exact"/>
        <w:ind w:left="720" w:hanging="3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大模型</w:t>
      </w:r>
    </w:p>
    <w:p w14:paraId="5925F8BA">
      <w:pPr>
        <w:pStyle w:val="416"/>
        <w:pageBreakBefore w:val="0"/>
        <w:kinsoku/>
        <w:wordWrap/>
        <w:topLinePunct w:val="0"/>
        <w:bidi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为支持智能教辅、个性化推荐、智能问答与学习路径优化等AI能力，大模型须具备本地化部署与高并发响应能力：</w:t>
      </w:r>
    </w:p>
    <w:p w14:paraId="20C3D528">
      <w:pPr>
        <w:pStyle w:val="416"/>
        <w:pageBreakBefore w:val="0"/>
        <w:numPr>
          <w:ilvl w:val="0"/>
          <w:numId w:val="20"/>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部署方式</w:t>
      </w:r>
    </w:p>
    <w:p w14:paraId="13D5345A">
      <w:pPr>
        <w:pStyle w:val="416"/>
        <w:pageBreakBefore w:val="0"/>
        <w:numPr>
          <w:ilvl w:val="0"/>
          <w:numId w:val="21"/>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采用国产大模型本地私有化部署，确保数据不出平台、模型可控可管</w:t>
      </w:r>
    </w:p>
    <w:p w14:paraId="75462BD8">
      <w:pPr>
        <w:pStyle w:val="416"/>
        <w:pageBreakBefore w:val="0"/>
        <w:numPr>
          <w:ilvl w:val="0"/>
          <w:numId w:val="21"/>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支持如“DeepSeek”“通义千问”等主流国产大模型</w:t>
      </w:r>
    </w:p>
    <w:p w14:paraId="200D04CB">
      <w:pPr>
        <w:pStyle w:val="416"/>
        <w:pageBreakBefore w:val="0"/>
        <w:numPr>
          <w:ilvl w:val="0"/>
          <w:numId w:val="20"/>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资源配置建议</w:t>
      </w:r>
    </w:p>
    <w:p w14:paraId="2E7D94DF">
      <w:pPr>
        <w:pStyle w:val="416"/>
        <w:pageBreakBefore w:val="0"/>
        <w:numPr>
          <w:ilvl w:val="0"/>
          <w:numId w:val="22"/>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推理服务器：不少于 8 台 GPU服务器（建议配置 A100 或国产昇腾910，48–80G显存）</w:t>
      </w:r>
    </w:p>
    <w:p w14:paraId="22C50089">
      <w:pPr>
        <w:pStyle w:val="416"/>
        <w:pageBreakBefore w:val="0"/>
        <w:numPr>
          <w:ilvl w:val="0"/>
          <w:numId w:val="22"/>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并发处理能力：可支撑不少于 3000 并发请求，平均响应时间 ≤ 1 秒</w:t>
      </w:r>
    </w:p>
    <w:p w14:paraId="7AB25338">
      <w:pPr>
        <w:pStyle w:val="416"/>
        <w:pageBreakBefore w:val="0"/>
        <w:numPr>
          <w:ilvl w:val="0"/>
          <w:numId w:val="22"/>
        </w:numPr>
        <w:kinsoku/>
        <w:wordWrap/>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支持与教师画像系统、课程资源系统深度集成，实现动态问答、推荐、智能生成任务</w:t>
      </w:r>
    </w:p>
    <w:p w14:paraId="262F882D">
      <w:pPr>
        <w:pStyle w:val="416"/>
        <w:pageBreakBefore w:val="0"/>
        <w:kinsoku/>
        <w:wordWrap/>
        <w:topLinePunct w:val="0"/>
        <w:bidi w:val="0"/>
        <w:spacing w:line="440" w:lineRule="exact"/>
        <w:rPr>
          <w:rFonts w:hint="eastAsia" w:ascii="宋体" w:hAnsi="宋体" w:eastAsia="宋体" w:cs="宋体"/>
          <w:color w:val="auto"/>
          <w:sz w:val="24"/>
          <w:szCs w:val="24"/>
          <w:highlight w:val="none"/>
        </w:rPr>
      </w:pPr>
    </w:p>
    <w:p w14:paraId="267A2CD1">
      <w:pPr>
        <w:pStyle w:val="416"/>
        <w:pageBreakBefore w:val="0"/>
        <w:kinsoku/>
        <w:wordWrap/>
        <w:topLinePunct w:val="0"/>
        <w:bidi w:val="0"/>
        <w:spacing w:line="440" w:lineRule="exact"/>
        <w:rPr>
          <w:rFonts w:hint="eastAsia" w:ascii="宋体"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p w14:paraId="57C595F0">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bookmarkStart w:id="14" w:name="OLE_LINK7"/>
      <w:r>
        <w:rPr>
          <w:rFonts w:hint="eastAsia" w:ascii="宋体" w:hAnsi="宋体" w:eastAsia="宋体" w:cs="宋体"/>
          <w:b/>
          <w:bCs/>
          <w:color w:val="auto"/>
          <w:sz w:val="24"/>
          <w:szCs w:val="24"/>
          <w:highlight w:val="none"/>
        </w:rPr>
        <w:t>附件一：中小学幼儿园教师培训课程</w:t>
      </w:r>
    </w:p>
    <w:bookmarkEnd w:id="14"/>
    <w:tbl>
      <w:tblPr>
        <w:tblStyle w:val="41"/>
        <w:tblW w:w="867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5"/>
        <w:gridCol w:w="6154"/>
      </w:tblGrid>
      <w:tr w14:paraId="3458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2525" w:type="dxa"/>
            <w:shd w:val="clear" w:color="auto" w:fill="BEBEBE" w:themeFill="background1" w:themeFillShade="BF"/>
            <w:vAlign w:val="center"/>
          </w:tcPr>
          <w:p w14:paraId="7CE709B2">
            <w:pPr>
              <w:pageBreakBefore w:val="0"/>
              <w:widowControl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6154" w:type="dxa"/>
            <w:shd w:val="clear" w:color="auto" w:fill="BEBEBE" w:themeFill="background1" w:themeFillShade="BF"/>
            <w:vAlign w:val="center"/>
          </w:tcPr>
          <w:p w14:paraId="466BE5BA">
            <w:pPr>
              <w:pageBreakBefore w:val="0"/>
              <w:widowControl w:val="0"/>
              <w:kinsoku/>
              <w:wordWrap/>
              <w:topLinePunct w:val="0"/>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课程主题（包括但不限于）</w:t>
            </w:r>
          </w:p>
        </w:tc>
      </w:tr>
      <w:tr w14:paraId="5C9D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4" w:hRule="atLeast"/>
        </w:trPr>
        <w:tc>
          <w:tcPr>
            <w:tcW w:w="2525" w:type="dxa"/>
            <w:shd w:val="clear" w:color="auto" w:fill="auto"/>
            <w:vAlign w:val="center"/>
          </w:tcPr>
          <w:p w14:paraId="543C37C3">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中小学专任教师培训课程</w:t>
            </w:r>
          </w:p>
        </w:tc>
        <w:tc>
          <w:tcPr>
            <w:tcW w:w="6154" w:type="dxa"/>
            <w:shd w:val="clear" w:color="auto" w:fill="auto"/>
            <w:vAlign w:val="center"/>
          </w:tcPr>
          <w:p w14:paraId="25340DFB">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师德认知与体现；</w:t>
            </w:r>
          </w:p>
          <w:p w14:paraId="59091D5D">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专业认知与理想；</w:t>
            </w:r>
          </w:p>
          <w:p w14:paraId="4DB8680E">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职业态度与行为；</w:t>
            </w:r>
          </w:p>
          <w:p w14:paraId="367CB0D0">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职业道德；</w:t>
            </w:r>
          </w:p>
          <w:p w14:paraId="6897D93A">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学科知识；</w:t>
            </w:r>
          </w:p>
          <w:p w14:paraId="247572B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学科教学知识；</w:t>
            </w:r>
          </w:p>
          <w:p w14:paraId="48BEBEDB">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相关文化知识；</w:t>
            </w:r>
          </w:p>
          <w:p w14:paraId="58ACB25F">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教学设计能力；</w:t>
            </w:r>
          </w:p>
          <w:p w14:paraId="7443C60B">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教学实施能力；</w:t>
            </w:r>
          </w:p>
          <w:p w14:paraId="67118489">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信息技术与学科整合；</w:t>
            </w:r>
          </w:p>
          <w:p w14:paraId="2616753B">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教学评价能力；</w:t>
            </w:r>
          </w:p>
          <w:p w14:paraId="469C1CC5">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课程开发能力；</w:t>
            </w:r>
          </w:p>
          <w:p w14:paraId="6E087E37">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跨学科整合能力；</w:t>
            </w:r>
          </w:p>
          <w:p w14:paraId="56DEFD37">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教学研究能力；</w:t>
            </w:r>
          </w:p>
          <w:p w14:paraId="43A4FCC6">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作业设计能力；</w:t>
            </w:r>
          </w:p>
          <w:p w14:paraId="2B8210F2">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听课评课技巧；</w:t>
            </w:r>
          </w:p>
          <w:p w14:paraId="37D0E5A9">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考试命题技巧；</w:t>
            </w:r>
          </w:p>
          <w:p w14:paraId="640764C0">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幼儿保教知识；</w:t>
            </w:r>
          </w:p>
          <w:p w14:paraId="0AB10A39">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幼儿研究知识；</w:t>
            </w:r>
          </w:p>
          <w:p w14:paraId="44E1D279">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幼儿专业发展知识；</w:t>
            </w:r>
          </w:p>
          <w:p w14:paraId="2654346A">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保育教育能力；</w:t>
            </w:r>
          </w:p>
          <w:p w14:paraId="076B92CA">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幼儿观察能力；</w:t>
            </w:r>
          </w:p>
          <w:p w14:paraId="44EAFF69">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幼儿评价能力；</w:t>
            </w:r>
          </w:p>
          <w:p w14:paraId="0655498C">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沟通合作能力；</w:t>
            </w:r>
          </w:p>
          <w:p w14:paraId="526046F7">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数字化认识与意志；</w:t>
            </w:r>
          </w:p>
          <w:p w14:paraId="03A0EF40">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数字技术知识与技能；</w:t>
            </w:r>
          </w:p>
          <w:p w14:paraId="5C30F3D6">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数字化教学设计、实施与评价；</w:t>
            </w:r>
          </w:p>
          <w:p w14:paraId="5C8451E0">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数字化协同育人；</w:t>
            </w:r>
          </w:p>
          <w:p w14:paraId="6ED02B5A">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数字化学习与研修；</w:t>
            </w:r>
          </w:p>
          <w:p w14:paraId="40DC76BF">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数字化教学研究与创新；</w:t>
            </w:r>
          </w:p>
          <w:p w14:paraId="10F330A4">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采购人指定的课程资源。</w:t>
            </w:r>
          </w:p>
        </w:tc>
      </w:tr>
      <w:tr w14:paraId="50CC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5" w:hRule="atLeast"/>
        </w:trPr>
        <w:tc>
          <w:tcPr>
            <w:tcW w:w="2525" w:type="dxa"/>
            <w:shd w:val="clear" w:color="auto" w:fill="auto"/>
            <w:vAlign w:val="center"/>
          </w:tcPr>
          <w:p w14:paraId="2AF17556">
            <w:pPr>
              <w:pageBreakBefore w:val="0"/>
              <w:widowControl w:val="0"/>
              <w:kinsoku/>
              <w:wordWrap/>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中小学研训人员培训课程</w:t>
            </w:r>
          </w:p>
        </w:tc>
        <w:tc>
          <w:tcPr>
            <w:tcW w:w="6154" w:type="dxa"/>
            <w:shd w:val="clear" w:color="auto" w:fill="auto"/>
            <w:vAlign w:val="center"/>
          </w:tcPr>
          <w:p w14:paraId="0C2F24FC">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前沿教育政策解读；</w:t>
            </w:r>
          </w:p>
          <w:p w14:paraId="07AA88A1">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师德认知与体现；</w:t>
            </w:r>
          </w:p>
          <w:p w14:paraId="34483AFE">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教育评价方式改革；</w:t>
            </w:r>
          </w:p>
          <w:p w14:paraId="520BE615">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作业设计能力；</w:t>
            </w:r>
          </w:p>
          <w:p w14:paraId="2D869C3B">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听课评课技巧；</w:t>
            </w:r>
          </w:p>
          <w:p w14:paraId="20244CCA">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考试命题技巧；</w:t>
            </w:r>
          </w:p>
          <w:p w14:paraId="2BA2B48E">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教育教学研究；</w:t>
            </w:r>
          </w:p>
          <w:p w14:paraId="1BF576E4">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学科知识；</w:t>
            </w:r>
          </w:p>
          <w:p w14:paraId="32DED15C">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培训能力；</w:t>
            </w:r>
          </w:p>
          <w:p w14:paraId="291289AB">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学科教学知识；</w:t>
            </w:r>
          </w:p>
          <w:p w14:paraId="47383764">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教学设计能力；</w:t>
            </w:r>
          </w:p>
          <w:p w14:paraId="52B1E21A">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教学实施能力；</w:t>
            </w:r>
          </w:p>
          <w:p w14:paraId="0D3BD312">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信息技术与学科整合；</w:t>
            </w:r>
          </w:p>
          <w:p w14:paraId="4B1D01ED">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教学评价能力；</w:t>
            </w:r>
          </w:p>
          <w:p w14:paraId="32DFB744">
            <w:pPr>
              <w:pageBreakBefore w:val="0"/>
              <w:widowControl w:val="0"/>
              <w:kinsoku/>
              <w:wordWrap/>
              <w:topLinePunct w:val="0"/>
              <w:bidi w:val="0"/>
              <w:spacing w:line="440" w:lineRule="exact"/>
              <w:jc w:val="both"/>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15.</w:t>
            </w:r>
            <w:r>
              <w:rPr>
                <w:rFonts w:hint="eastAsia" w:ascii="宋体" w:hAnsi="宋体" w:eastAsia="宋体" w:cs="宋体"/>
                <w:snapToGrid w:val="0"/>
                <w:color w:val="auto"/>
                <w:sz w:val="24"/>
                <w:szCs w:val="24"/>
                <w:highlight w:val="none"/>
              </w:rPr>
              <w:tab/>
            </w:r>
            <w:r>
              <w:rPr>
                <w:rFonts w:hint="eastAsia" w:ascii="宋体" w:hAnsi="宋体" w:eastAsia="宋体" w:cs="宋体"/>
                <w:color w:val="auto"/>
                <w:sz w:val="24"/>
                <w:szCs w:val="24"/>
                <w:highlight w:val="none"/>
              </w:rPr>
              <w:t>课程开发能力；</w:t>
            </w:r>
          </w:p>
          <w:p w14:paraId="4B868132">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16.</w:t>
            </w:r>
            <w:r>
              <w:rPr>
                <w:rFonts w:hint="eastAsia" w:ascii="宋体" w:hAnsi="宋体" w:eastAsia="宋体" w:cs="宋体"/>
                <w:snapToGrid w:val="0"/>
                <w:color w:val="auto"/>
                <w:sz w:val="24"/>
                <w:szCs w:val="24"/>
                <w:highlight w:val="none"/>
              </w:rPr>
              <w:tab/>
            </w:r>
            <w:r>
              <w:rPr>
                <w:rFonts w:hint="eastAsia" w:ascii="宋体" w:hAnsi="宋体" w:eastAsia="宋体" w:cs="宋体"/>
                <w:color w:val="auto"/>
                <w:sz w:val="24"/>
                <w:szCs w:val="24"/>
                <w:highlight w:val="none"/>
              </w:rPr>
              <w:t>跨学科整合能力；</w:t>
            </w:r>
          </w:p>
          <w:p w14:paraId="02173EAC">
            <w:pPr>
              <w:pageBreakBefore w:val="0"/>
              <w:widowControl w:val="0"/>
              <w:kinsoku/>
              <w:wordWrap/>
              <w:topLinePunct w:val="0"/>
              <w:bidi w:val="0"/>
              <w:spacing w:line="440" w:lineRule="exact"/>
              <w:jc w:val="both"/>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17.采购人指定的课程资源。</w:t>
            </w:r>
          </w:p>
        </w:tc>
      </w:tr>
      <w:tr w14:paraId="51AF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525" w:type="dxa"/>
            <w:shd w:val="clear" w:color="auto" w:fill="auto"/>
            <w:vAlign w:val="center"/>
          </w:tcPr>
          <w:p w14:paraId="3E69438F">
            <w:pPr>
              <w:pageBreakBefore w:val="0"/>
              <w:widowControl w:val="0"/>
              <w:kinsoku/>
              <w:wordWrap/>
              <w:topLinePunct w:val="0"/>
              <w:bidi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中小学教育管理干部培训课程</w:t>
            </w:r>
          </w:p>
        </w:tc>
        <w:tc>
          <w:tcPr>
            <w:tcW w:w="6154" w:type="dxa"/>
            <w:shd w:val="clear" w:color="auto" w:fill="auto"/>
            <w:vAlign w:val="center"/>
          </w:tcPr>
          <w:p w14:paraId="3EB8FA69">
            <w:pPr>
              <w:pageBreakBefore w:val="0"/>
              <w:widowControl w:val="0"/>
              <w:numPr>
                <w:ilvl w:val="0"/>
                <w:numId w:val="23"/>
              </w:numPr>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中国特色社会主义理论；</w:t>
            </w:r>
          </w:p>
          <w:p w14:paraId="025430DB">
            <w:pPr>
              <w:pageBreakBefore w:val="0"/>
              <w:widowControl w:val="0"/>
              <w:numPr>
                <w:ilvl w:val="0"/>
                <w:numId w:val="23"/>
              </w:numPr>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党的教育方针政策法规；</w:t>
            </w:r>
          </w:p>
          <w:p w14:paraId="596B764B">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立德树人使命担当；</w:t>
            </w:r>
          </w:p>
          <w:p w14:paraId="0AA60785">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专业标准解读；</w:t>
            </w:r>
          </w:p>
          <w:p w14:paraId="1E7B3EDA">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中小学办学使命及其规律；</w:t>
            </w:r>
          </w:p>
          <w:p w14:paraId="7926FA3F">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学校发展规划制定与实施的一般原理与方法；</w:t>
            </w:r>
          </w:p>
          <w:p w14:paraId="675B46E9">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学校发展规划制定与实施的案例分析；</w:t>
            </w:r>
          </w:p>
          <w:p w14:paraId="33BC346F">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学校诊断的技术与方法；</w:t>
            </w:r>
          </w:p>
          <w:p w14:paraId="56344D5B">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学校文化的内涵以及在学校立德树人中的地位作用；</w:t>
            </w:r>
          </w:p>
          <w:p w14:paraId="4C8A7B27">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教师的角色与教师专业发展的价值；</w:t>
            </w:r>
          </w:p>
          <w:p w14:paraId="76D64AC5">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教师专业发展的一般原理与方法；</w:t>
            </w:r>
          </w:p>
          <w:p w14:paraId="15FF4D2C">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班级建设与管理；</w:t>
            </w:r>
          </w:p>
          <w:p w14:paraId="7E405025">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班级活动的策划与组织；</w:t>
            </w:r>
          </w:p>
          <w:p w14:paraId="7AADA18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学生发展与指导；</w:t>
            </w:r>
          </w:p>
          <w:p w14:paraId="721AEA9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健康与安全教育；</w:t>
            </w:r>
          </w:p>
          <w:p w14:paraId="0DA6C3BB">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16.采购人指定的课程资源。</w:t>
            </w:r>
          </w:p>
        </w:tc>
      </w:tr>
      <w:tr w14:paraId="11F3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trPr>
        <w:tc>
          <w:tcPr>
            <w:tcW w:w="2525" w:type="dxa"/>
            <w:vAlign w:val="center"/>
          </w:tcPr>
          <w:p w14:paraId="572CDEDA">
            <w:pPr>
              <w:pageBreakBefore w:val="0"/>
              <w:widowControl w:val="0"/>
              <w:kinsoku/>
              <w:wordWrap/>
              <w:topLinePunct w:val="0"/>
              <w:bidi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新教师培训课程</w:t>
            </w:r>
          </w:p>
        </w:tc>
        <w:tc>
          <w:tcPr>
            <w:tcW w:w="6154" w:type="dxa"/>
            <w:vAlign w:val="center"/>
          </w:tcPr>
          <w:p w14:paraId="6F6E2530">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职业认知与师德养成；</w:t>
            </w:r>
          </w:p>
          <w:p w14:paraId="6F959407">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教学实践与反思研究；</w:t>
            </w:r>
          </w:p>
          <w:p w14:paraId="585CB87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班级管理与德育实践；</w:t>
            </w:r>
          </w:p>
          <w:p w14:paraId="781DAB0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家校/园协同与融合育人；</w:t>
            </w:r>
          </w:p>
          <w:p w14:paraId="1B33504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职业规划与专业发展；</w:t>
            </w:r>
          </w:p>
          <w:p w14:paraId="1A9BA383">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教师的专业素养与专业发展；</w:t>
            </w:r>
          </w:p>
          <w:p w14:paraId="5FDCABC2">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教学设计与教案编写；</w:t>
            </w:r>
          </w:p>
          <w:p w14:paraId="796F0AF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有效课堂教学的技能技巧；</w:t>
            </w:r>
          </w:p>
          <w:p w14:paraId="3404C5B4">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课堂教学方法选择与设计；</w:t>
            </w:r>
          </w:p>
          <w:p w14:paraId="36215CBD">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研究课题的选择、实施与结题；</w:t>
            </w:r>
          </w:p>
          <w:p w14:paraId="38EF8A0A">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教师心理压力与情绪管理；</w:t>
            </w:r>
          </w:p>
          <w:p w14:paraId="588F7121">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12.采购人指定的课程资源。</w:t>
            </w:r>
          </w:p>
        </w:tc>
      </w:tr>
      <w:tr w14:paraId="25B8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7" w:hRule="atLeast"/>
        </w:trPr>
        <w:tc>
          <w:tcPr>
            <w:tcW w:w="2525" w:type="dxa"/>
            <w:vAlign w:val="center"/>
          </w:tcPr>
          <w:p w14:paraId="56F6BEF7">
            <w:pPr>
              <w:pageBreakBefore w:val="0"/>
              <w:widowControl w:val="0"/>
              <w:kinsoku/>
              <w:wordWrap/>
              <w:topLinePunct w:val="0"/>
              <w:bidi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中职教师培训课程</w:t>
            </w:r>
          </w:p>
        </w:tc>
        <w:tc>
          <w:tcPr>
            <w:tcW w:w="6154" w:type="dxa"/>
            <w:vAlign w:val="center"/>
          </w:tcPr>
          <w:p w14:paraId="3E20C056">
            <w:pPr>
              <w:pageBreakBefore w:val="0"/>
              <w:widowControl w:val="0"/>
              <w:numPr>
                <w:ilvl w:val="0"/>
                <w:numId w:val="24"/>
              </w:numPr>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中等职业学校三科教材解析与案例分析；</w:t>
            </w:r>
          </w:p>
          <w:p w14:paraId="75415E9B">
            <w:pPr>
              <w:pageBreakBefore w:val="0"/>
              <w:widowControl w:val="0"/>
              <w:numPr>
                <w:ilvl w:val="0"/>
                <w:numId w:val="24"/>
              </w:numPr>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教师专业成长指导课程；</w:t>
            </w:r>
          </w:p>
          <w:p w14:paraId="2272A36C">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职业教育理念与教学方法；</w:t>
            </w:r>
          </w:p>
          <w:p w14:paraId="22F43D27">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教师教学能力比赛专项辅导能力提升；</w:t>
            </w:r>
          </w:p>
          <w:p w14:paraId="0EDACF9F">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教研科研能力及社会服务能力提升；</w:t>
            </w:r>
          </w:p>
          <w:p w14:paraId="7B5BC10D">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信息化教学能力提升；</w:t>
            </w:r>
          </w:p>
          <w:p w14:paraId="38B5E731">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学生心理健康辅导方法；</w:t>
            </w:r>
          </w:p>
          <w:p w14:paraId="3009D414">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中职学校专业建设的路径；</w:t>
            </w:r>
          </w:p>
          <w:p w14:paraId="3A9B64AD">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家校共育的能力提升；</w:t>
            </w:r>
          </w:p>
          <w:p w14:paraId="70E1E91C">
            <w:pPr>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采购人指定的课程资源；</w:t>
            </w:r>
          </w:p>
        </w:tc>
      </w:tr>
      <w:tr w14:paraId="7321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2525" w:type="dxa"/>
            <w:vAlign w:val="center"/>
          </w:tcPr>
          <w:p w14:paraId="3178D07B">
            <w:pPr>
              <w:pageBreakBefore w:val="0"/>
              <w:widowControl w:val="0"/>
              <w:kinsoku/>
              <w:wordWrap/>
              <w:topLinePunct w:val="0"/>
              <w:bidi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特殊教育教师培训课程</w:t>
            </w:r>
          </w:p>
        </w:tc>
        <w:tc>
          <w:tcPr>
            <w:tcW w:w="6154" w:type="dxa"/>
            <w:vAlign w:val="center"/>
          </w:tcPr>
          <w:p w14:paraId="58C20AF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特殊教育康复理论与实践；</w:t>
            </w:r>
          </w:p>
          <w:p w14:paraId="272BAC14">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医学相关常识；</w:t>
            </w:r>
          </w:p>
          <w:p w14:paraId="517548E4">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心理学相关常识；</w:t>
            </w:r>
          </w:p>
          <w:p w14:paraId="679EEC13">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班级管理；</w:t>
            </w:r>
          </w:p>
          <w:p w14:paraId="56D38598">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行为管理；</w:t>
            </w:r>
          </w:p>
          <w:p w14:paraId="0BB8F941">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特殊儿童评估；</w:t>
            </w:r>
          </w:p>
          <w:p w14:paraId="523EEEB4">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特殊儿童教学；</w:t>
            </w:r>
          </w:p>
          <w:p w14:paraId="53586327">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特殊教育评价；</w:t>
            </w:r>
          </w:p>
          <w:p w14:paraId="00E0C15D">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与特殊儿童的沟通；</w:t>
            </w:r>
          </w:p>
          <w:p w14:paraId="04E227EA">
            <w:pPr>
              <w:pStyle w:val="16"/>
              <w:pageBreakBefore w:val="0"/>
              <w:widowControl w:val="0"/>
              <w:kinsoku/>
              <w:wordWrap/>
              <w:topLinePunct w:val="0"/>
              <w:bidi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10.采购人指定的课程资源。</w:t>
            </w:r>
          </w:p>
        </w:tc>
      </w:tr>
    </w:tbl>
    <w:p w14:paraId="515967A3">
      <w:pPr>
        <w:pageBreakBefore w:val="0"/>
        <w:kinsoku/>
        <w:wordWrap/>
        <w:topLinePunct w:val="0"/>
        <w:bidi w:val="0"/>
        <w:spacing w:line="440" w:lineRule="exact"/>
        <w:rPr>
          <w:rFonts w:hint="eastAsia" w:ascii="宋体"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p w14:paraId="1CE2C3F0">
      <w:pPr>
        <w:pStyle w:val="2"/>
        <w:pageBreakBefore w:val="0"/>
        <w:kinsoku/>
        <w:wordWrap/>
        <w:topLinePunct w:val="0"/>
        <w:bidi w:val="0"/>
        <w:spacing w:before="0" w:after="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附件二：所学非所教及学历课程</w:t>
      </w:r>
    </w:p>
    <w:tbl>
      <w:tblPr>
        <w:tblStyle w:val="40"/>
        <w:tblW w:w="7878" w:type="dxa"/>
        <w:jc w:val="center"/>
        <w:tblLayout w:type="autofit"/>
        <w:tblCellMar>
          <w:top w:w="0" w:type="dxa"/>
          <w:left w:w="108" w:type="dxa"/>
          <w:bottom w:w="0" w:type="dxa"/>
          <w:right w:w="108" w:type="dxa"/>
        </w:tblCellMar>
      </w:tblPr>
      <w:tblGrid>
        <w:gridCol w:w="1236"/>
        <w:gridCol w:w="1726"/>
        <w:gridCol w:w="4916"/>
      </w:tblGrid>
      <w:tr w14:paraId="07698E60">
        <w:tblPrEx>
          <w:tblCellMar>
            <w:top w:w="0" w:type="dxa"/>
            <w:left w:w="108" w:type="dxa"/>
            <w:bottom w:w="0" w:type="dxa"/>
            <w:right w:w="108" w:type="dxa"/>
          </w:tblCellMar>
        </w:tblPrEx>
        <w:trPr>
          <w:trHeight w:val="552"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627A">
            <w:pPr>
              <w:pageBreakBefore w:val="0"/>
              <w:kinsoku/>
              <w:wordWrap/>
              <w:topLinePunct w:val="0"/>
              <w:bidi w:val="0"/>
              <w:spacing w:line="4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933B">
            <w:pPr>
              <w:pageBreakBefore w:val="0"/>
              <w:kinsoku/>
              <w:wordWrap/>
              <w:topLinePunct w:val="0"/>
              <w:bidi w:val="0"/>
              <w:spacing w:line="4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专业</w:t>
            </w:r>
          </w:p>
        </w:tc>
        <w:tc>
          <w:tcPr>
            <w:tcW w:w="4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636B">
            <w:pPr>
              <w:pageBreakBefore w:val="0"/>
              <w:kinsoku/>
              <w:wordWrap/>
              <w:topLinePunct w:val="0"/>
              <w:bidi w:val="0"/>
              <w:spacing w:line="44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课程名称</w:t>
            </w:r>
          </w:p>
        </w:tc>
      </w:tr>
      <w:tr w14:paraId="66D1797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88A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CD4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69B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学前儿童健康教育</w:t>
            </w:r>
          </w:p>
        </w:tc>
      </w:tr>
      <w:tr w14:paraId="4FBF8C63">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6D1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7FE7">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7ED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缓解幼儿分离焦虑</w:t>
            </w:r>
          </w:p>
        </w:tc>
      </w:tr>
      <w:tr w14:paraId="75A80B01">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7FB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FCAC">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0B6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幼儿园班级管理</w:t>
            </w:r>
          </w:p>
        </w:tc>
      </w:tr>
      <w:tr w14:paraId="1416C84A">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55D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CAC3">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61E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学前儿童音乐教育</w:t>
            </w:r>
          </w:p>
        </w:tc>
      </w:tr>
      <w:tr w14:paraId="0B73086E">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418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F03B">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DD4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学前儿童数学教育</w:t>
            </w:r>
          </w:p>
        </w:tc>
      </w:tr>
      <w:tr w14:paraId="7FB26BB8">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F1C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45BB">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927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学前儿童社会教育</w:t>
            </w:r>
          </w:p>
        </w:tc>
      </w:tr>
      <w:tr w14:paraId="1C3040C7">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339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CDF1">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A72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活动环境与幼儿发展</w:t>
            </w:r>
          </w:p>
        </w:tc>
      </w:tr>
      <w:tr w14:paraId="7ED5300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166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45EB">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623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学前儿童科学教育</w:t>
            </w:r>
          </w:p>
        </w:tc>
      </w:tr>
      <w:tr w14:paraId="249FA107">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7BA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C69D">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291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学前儿童美术教育</w:t>
            </w:r>
          </w:p>
        </w:tc>
      </w:tr>
      <w:tr w14:paraId="0EC3B006">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C4C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9125">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421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幼儿园课程</w:t>
            </w:r>
          </w:p>
        </w:tc>
      </w:tr>
      <w:tr w14:paraId="77150710">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389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397A">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540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学前儿童行为与观察</w:t>
            </w:r>
          </w:p>
        </w:tc>
      </w:tr>
      <w:tr w14:paraId="53FF816E">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B7A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C857">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D2D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婴幼儿餐饮及营养</w:t>
            </w:r>
          </w:p>
        </w:tc>
      </w:tr>
      <w:tr w14:paraId="04EFE366">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56D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BE36">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2EE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幼儿园区角活动的设计与实施</w:t>
            </w:r>
          </w:p>
        </w:tc>
      </w:tr>
      <w:tr w14:paraId="1AA0EAE7">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347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E7C">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F29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幼儿园游戏</w:t>
            </w:r>
          </w:p>
        </w:tc>
      </w:tr>
      <w:tr w14:paraId="5B9792DE">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31C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6BE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FAF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学前比较教育</w:t>
            </w:r>
          </w:p>
        </w:tc>
      </w:tr>
      <w:tr w14:paraId="1BB26156">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BC0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EAA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561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文学概论</w:t>
            </w:r>
          </w:p>
        </w:tc>
      </w:tr>
      <w:tr w14:paraId="426ABBF7">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486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4461">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76F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比较文学</w:t>
            </w:r>
          </w:p>
        </w:tc>
      </w:tr>
      <w:tr w14:paraId="4A88659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625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2BCB">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65C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世说新语</w:t>
            </w:r>
          </w:p>
        </w:tc>
      </w:tr>
      <w:tr w14:paraId="5D27E99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CAF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C34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4AA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唐宋诗词研究</w:t>
            </w:r>
          </w:p>
        </w:tc>
      </w:tr>
      <w:tr w14:paraId="549240A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949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0447">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441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人文经典阅读与写作</w:t>
            </w:r>
          </w:p>
        </w:tc>
      </w:tr>
      <w:tr w14:paraId="7858BB3A">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E13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7C4C">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5F6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儿童语言康复学</w:t>
            </w:r>
          </w:p>
        </w:tc>
      </w:tr>
      <w:tr w14:paraId="1B8610D9">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B4A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0A58">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9E3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汉语文字演变与中国文化传承</w:t>
            </w:r>
          </w:p>
        </w:tc>
      </w:tr>
      <w:tr w14:paraId="303D302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EB8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A198">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AE0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语文阅读教学设计</w:t>
            </w:r>
          </w:p>
        </w:tc>
      </w:tr>
      <w:tr w14:paraId="3BA6BFCD">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12E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8930">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F94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语言学概论</w:t>
            </w:r>
          </w:p>
        </w:tc>
      </w:tr>
      <w:tr w14:paraId="37CB32AD">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97B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D0CF">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0B0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现代汉语</w:t>
            </w:r>
          </w:p>
        </w:tc>
      </w:tr>
      <w:tr w14:paraId="471B73A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8AE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BB0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821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中国古代文学史（上）</w:t>
            </w:r>
          </w:p>
        </w:tc>
      </w:tr>
      <w:tr w14:paraId="3E63255A">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1BE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82D6">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BD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中国古代文学史（下）</w:t>
            </w:r>
          </w:p>
        </w:tc>
      </w:tr>
      <w:tr w14:paraId="5B6E29CC">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486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C44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047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中国现当代文学史</w:t>
            </w:r>
          </w:p>
        </w:tc>
      </w:tr>
      <w:tr w14:paraId="65A7D80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24B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F927">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EDA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外国文学史</w:t>
            </w:r>
          </w:p>
        </w:tc>
      </w:tr>
      <w:tr w14:paraId="712E442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DF4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8C1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95C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古文字学概论</w:t>
            </w:r>
          </w:p>
        </w:tc>
      </w:tr>
      <w:tr w14:paraId="37D6B2EA">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74B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1CB0">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165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世界名著导读</w:t>
            </w:r>
          </w:p>
        </w:tc>
      </w:tr>
      <w:tr w14:paraId="49BE1C08">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655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0BFB">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99C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儿童语言习得</w:t>
            </w:r>
          </w:p>
        </w:tc>
      </w:tr>
      <w:tr w14:paraId="07A6D820">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FE9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EBF8">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9C4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鲁迅研究</w:t>
            </w:r>
          </w:p>
        </w:tc>
      </w:tr>
      <w:tr w14:paraId="6ECA483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903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A9B5">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B5A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老舍研究</w:t>
            </w:r>
          </w:p>
        </w:tc>
      </w:tr>
      <w:tr w14:paraId="1BD9CC81">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5C0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99DA">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43C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训诂学基础</w:t>
            </w:r>
          </w:p>
        </w:tc>
      </w:tr>
      <w:tr w14:paraId="16C7EAA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4CA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D8D6">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610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国学原典</w:t>
            </w:r>
          </w:p>
        </w:tc>
      </w:tr>
      <w:tr w14:paraId="706C91A9">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C7B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A3A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EA6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教育概论</w:t>
            </w:r>
          </w:p>
        </w:tc>
      </w:tr>
      <w:tr w14:paraId="59910929">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D3B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D4E5">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322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外国教育史</w:t>
            </w:r>
          </w:p>
        </w:tc>
      </w:tr>
      <w:tr w14:paraId="5CC5AD81">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580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B059">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DD2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中国教育史</w:t>
            </w:r>
          </w:p>
        </w:tc>
      </w:tr>
      <w:tr w14:paraId="25F06A37">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2B3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8CA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E95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课程理论</w:t>
            </w:r>
          </w:p>
        </w:tc>
      </w:tr>
      <w:tr w14:paraId="61934DF8">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546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5BF">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C47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教育研究方法</w:t>
            </w:r>
          </w:p>
        </w:tc>
      </w:tr>
      <w:tr w14:paraId="03A11967">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80E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42F3">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920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波动光学</w:t>
            </w:r>
          </w:p>
        </w:tc>
      </w:tr>
      <w:tr w14:paraId="14A44F01">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9C8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A198">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EDA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教育测量与评估</w:t>
            </w:r>
          </w:p>
        </w:tc>
      </w:tr>
      <w:tr w14:paraId="2E94A7E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1F9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498A">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240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教育哲学</w:t>
            </w:r>
          </w:p>
        </w:tc>
      </w:tr>
      <w:tr w14:paraId="0B2E882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56F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F52F">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68E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儿童舞蹈教育</w:t>
            </w:r>
          </w:p>
        </w:tc>
      </w:tr>
      <w:tr w14:paraId="62FB1609">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DAA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FDFF">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73F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社会工作概论</w:t>
            </w:r>
          </w:p>
        </w:tc>
      </w:tr>
      <w:tr w14:paraId="1ECC46E8">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478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4C2C">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97F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国际视野中的教师教育</w:t>
            </w:r>
          </w:p>
        </w:tc>
      </w:tr>
      <w:tr w14:paraId="6F542B22">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B67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15E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92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教育技术专业导航</w:t>
            </w:r>
          </w:p>
        </w:tc>
      </w:tr>
      <w:tr w14:paraId="6E45FF1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751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3503">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197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学科素养与语文教学实践</w:t>
            </w:r>
          </w:p>
        </w:tc>
      </w:tr>
      <w:tr w14:paraId="11D61F5E">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BC6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2C43">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CEB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中学地理教育研究的方法与案例</w:t>
            </w:r>
          </w:p>
        </w:tc>
      </w:tr>
      <w:tr w14:paraId="0616F940">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6C7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723A">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C09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中学化学实验教学研究</w:t>
            </w:r>
          </w:p>
        </w:tc>
      </w:tr>
      <w:tr w14:paraId="0FDA9FDC">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A9B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4487">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C0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中学化学优质课的设计与技术分析</w:t>
            </w:r>
          </w:p>
        </w:tc>
      </w:tr>
      <w:tr w14:paraId="7ECC8C3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456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2AC8">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72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中学生物学教学设计</w:t>
            </w:r>
          </w:p>
        </w:tc>
      </w:tr>
      <w:tr w14:paraId="2EE48BBC">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29A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6942">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1FA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中学思想政治教学技能发展</w:t>
            </w:r>
          </w:p>
        </w:tc>
      </w:tr>
      <w:tr w14:paraId="3428CCF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AEB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C8BF">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394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德育原理</w:t>
            </w:r>
          </w:p>
        </w:tc>
      </w:tr>
      <w:tr w14:paraId="6BD14C9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548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7FCC">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C67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信息化教学设计</w:t>
            </w:r>
          </w:p>
        </w:tc>
      </w:tr>
      <w:tr w14:paraId="47ACA20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2B1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0A0A">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573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教育调查</w:t>
            </w:r>
          </w:p>
        </w:tc>
      </w:tr>
      <w:tr w14:paraId="759FB692">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724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C29D">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5E2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特殊学校语文教材教法</w:t>
            </w:r>
          </w:p>
        </w:tc>
      </w:tr>
      <w:tr w14:paraId="745B45F2">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488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9229">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4F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以学生为中心的学习环境设计</w:t>
            </w:r>
          </w:p>
        </w:tc>
      </w:tr>
      <w:tr w14:paraId="45E8A171">
        <w:tblPrEx>
          <w:tblCellMar>
            <w:top w:w="0" w:type="dxa"/>
            <w:left w:w="108" w:type="dxa"/>
            <w:bottom w:w="0" w:type="dxa"/>
            <w:right w:w="108" w:type="dxa"/>
          </w:tblCellMar>
        </w:tblPrEx>
        <w:trPr>
          <w:trHeight w:val="6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0F2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64F3">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6B4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民族声乐进阶密码——石春轩子教学示范课堂</w:t>
            </w:r>
          </w:p>
        </w:tc>
      </w:tr>
      <w:tr w14:paraId="672C889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344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F163">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2A1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班级管理</w:t>
            </w:r>
          </w:p>
        </w:tc>
      </w:tr>
      <w:tr w14:paraId="74912A86">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0DB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D091">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3C0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教育管理学</w:t>
            </w:r>
          </w:p>
        </w:tc>
      </w:tr>
      <w:tr w14:paraId="4A53E03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103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F89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C3D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大学文科数学</w:t>
            </w:r>
          </w:p>
        </w:tc>
      </w:tr>
      <w:tr w14:paraId="47F0886C">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810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5F42">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4C8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概率论</w:t>
            </w:r>
          </w:p>
        </w:tc>
      </w:tr>
      <w:tr w14:paraId="3A721EB2">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A66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9C3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6D0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高等数学（上）</w:t>
            </w:r>
          </w:p>
        </w:tc>
      </w:tr>
      <w:tr w14:paraId="0D826F7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CC7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6B04">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3CF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高等数学（下）</w:t>
            </w:r>
          </w:p>
        </w:tc>
      </w:tr>
      <w:tr w14:paraId="24700D0C">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B41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BD2">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B65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数学分析（二）</w:t>
            </w:r>
          </w:p>
        </w:tc>
      </w:tr>
      <w:tr w14:paraId="2CADE762">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C87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F699">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44B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数学分析（六）</w:t>
            </w:r>
          </w:p>
        </w:tc>
      </w:tr>
      <w:tr w14:paraId="0895D923">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2A5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26D9">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B2C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数学分析（三）</w:t>
            </w:r>
          </w:p>
        </w:tc>
      </w:tr>
      <w:tr w14:paraId="1D87FE4C">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4B1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103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04B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数学分析（四）</w:t>
            </w:r>
          </w:p>
        </w:tc>
      </w:tr>
      <w:tr w14:paraId="7A0D1606">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CA6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1E10">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D24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数学分析（五）</w:t>
            </w:r>
          </w:p>
        </w:tc>
      </w:tr>
      <w:tr w14:paraId="76B146C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F6C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87C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48C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数学分析（一）</w:t>
            </w:r>
          </w:p>
        </w:tc>
      </w:tr>
      <w:tr w14:paraId="13E6AD82">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A4C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8CB5">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87A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数学史与数学教育</w:t>
            </w:r>
          </w:p>
        </w:tc>
      </w:tr>
      <w:tr w14:paraId="21125A2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396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BD3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73C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心理统计</w:t>
            </w:r>
          </w:p>
        </w:tc>
      </w:tr>
      <w:tr w14:paraId="2E54491A">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EA8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FE61">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F31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人格心理学</w:t>
            </w:r>
          </w:p>
        </w:tc>
      </w:tr>
      <w:tr w14:paraId="5E66619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AF5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4849">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52B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心理咨询与心理治疗</w:t>
            </w:r>
          </w:p>
        </w:tc>
      </w:tr>
      <w:tr w14:paraId="007C9209">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DA0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670D">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301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社会心理学</w:t>
            </w:r>
          </w:p>
        </w:tc>
      </w:tr>
      <w:tr w14:paraId="1B261163">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CDAC">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2B20">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F85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学校心理学</w:t>
            </w:r>
          </w:p>
        </w:tc>
      </w:tr>
      <w:tr w14:paraId="1C6F44D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A1B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4122">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D1F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锻炼心理学</w:t>
            </w:r>
          </w:p>
        </w:tc>
      </w:tr>
      <w:tr w14:paraId="2F6400E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1EF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95E4">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504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教育心理学</w:t>
            </w:r>
          </w:p>
        </w:tc>
      </w:tr>
      <w:tr w14:paraId="155615EA">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76F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F495">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B2E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跨文化沟通心理学</w:t>
            </w:r>
          </w:p>
        </w:tc>
      </w:tr>
      <w:tr w14:paraId="5F733CFF">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52F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CBE2">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C55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心理学与生活</w:t>
            </w:r>
          </w:p>
        </w:tc>
      </w:tr>
      <w:tr w14:paraId="0B75024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1FF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0AAB">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C41B">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心理统计学</w:t>
            </w:r>
          </w:p>
        </w:tc>
      </w:tr>
      <w:tr w14:paraId="48520F31">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843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B76F">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F8D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心理测量</w:t>
            </w:r>
          </w:p>
        </w:tc>
      </w:tr>
      <w:tr w14:paraId="3A2267F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99C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0FC0">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4FBF">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心理学史</w:t>
            </w:r>
          </w:p>
        </w:tc>
      </w:tr>
      <w:tr w14:paraId="1C866A8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B9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BF37">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366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管理心理学</w:t>
            </w:r>
          </w:p>
        </w:tc>
      </w:tr>
      <w:tr w14:paraId="0E88FFC6">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2B7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8B04">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732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心理学研究方法</w:t>
            </w:r>
          </w:p>
        </w:tc>
      </w:tr>
      <w:tr w14:paraId="18DFD68B">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E77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10AE">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A34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英语报刊基础及阅读</w:t>
            </w:r>
          </w:p>
        </w:tc>
      </w:tr>
      <w:tr w14:paraId="72B148B7">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09E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8E15">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5A3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体育英语I</w:t>
            </w:r>
          </w:p>
        </w:tc>
      </w:tr>
      <w:tr w14:paraId="5414D4D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F779">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2BEA">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0A3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外语教师专业能力发展</w:t>
            </w:r>
          </w:p>
        </w:tc>
      </w:tr>
      <w:tr w14:paraId="3249CC58">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51C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A2D7">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82A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体育英语II</w:t>
            </w:r>
          </w:p>
        </w:tc>
      </w:tr>
      <w:tr w14:paraId="4C74F8D4">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E30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A3F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小学语文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00B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发展心理学</w:t>
            </w:r>
          </w:p>
        </w:tc>
      </w:tr>
      <w:tr w14:paraId="523E6BC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94D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022E">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D902">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教育社会学</w:t>
            </w:r>
          </w:p>
        </w:tc>
      </w:tr>
      <w:tr w14:paraId="276676AE">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A1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8CDD">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B46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小学语文案例教学</w:t>
            </w:r>
          </w:p>
        </w:tc>
      </w:tr>
      <w:tr w14:paraId="7F416AC5">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355D">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E1C1">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E9B7">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小学班级管理</w:t>
            </w:r>
          </w:p>
        </w:tc>
      </w:tr>
      <w:tr w14:paraId="2D1740F3">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67E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4CB0">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地理</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37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人文地理学</w:t>
            </w:r>
          </w:p>
        </w:tc>
      </w:tr>
      <w:tr w14:paraId="1674B58A">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C043">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B44D">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A46A">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中国地理</w:t>
            </w:r>
          </w:p>
        </w:tc>
      </w:tr>
      <w:tr w14:paraId="4782D438">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3AC6">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1CE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CF75">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体育游戏与基本体操</w:t>
            </w:r>
          </w:p>
        </w:tc>
      </w:tr>
      <w:tr w14:paraId="741BD40C">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FC6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465F">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BDE4">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网球技术与战术</w:t>
            </w:r>
          </w:p>
        </w:tc>
      </w:tr>
      <w:tr w14:paraId="42B4FB74">
        <w:tblPrEx>
          <w:tblCellMar>
            <w:top w:w="0" w:type="dxa"/>
            <w:left w:w="108" w:type="dxa"/>
            <w:bottom w:w="0" w:type="dxa"/>
            <w:right w:w="108" w:type="dxa"/>
          </w:tblCellMar>
        </w:tblPrEx>
        <w:trPr>
          <w:trHeight w:val="3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4031">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64E6">
            <w:pPr>
              <w:pageBreakBefore w:val="0"/>
              <w:kinsoku/>
              <w:wordWrap/>
              <w:topLinePunct w:val="0"/>
              <w:bidi w:val="0"/>
              <w:spacing w:line="440" w:lineRule="exact"/>
              <w:jc w:val="center"/>
              <w:rPr>
                <w:rFonts w:hint="eastAsia" w:ascii="宋体" w:hAnsi="宋体" w:eastAsia="宋体" w:cs="宋体"/>
                <w:color w:val="auto"/>
                <w:sz w:val="24"/>
                <w:szCs w:val="24"/>
                <w:highlight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9C8">
            <w:pPr>
              <w:pageBreakBefore w:val="0"/>
              <w:kinsoku/>
              <w:wordWrap/>
              <w:topLinePunct w:val="0"/>
              <w:bidi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体育与健康</w:t>
            </w:r>
          </w:p>
        </w:tc>
      </w:tr>
    </w:tbl>
    <w:p w14:paraId="5B0877C7">
      <w:pPr>
        <w:pStyle w:val="38"/>
        <w:pageBreakBefore w:val="0"/>
        <w:kinsoku/>
        <w:wordWrap/>
        <w:topLinePunct w:val="0"/>
        <w:bidi w:val="0"/>
        <w:spacing w:line="440" w:lineRule="exact"/>
        <w:ind w:left="0" w:leftChars="0" w:firstLine="0" w:firstLineChars="0"/>
        <w:rPr>
          <w:rFonts w:hint="eastAsia" w:ascii="宋体" w:hAnsi="宋体" w:eastAsia="宋体" w:cs="宋体"/>
          <w:color w:val="auto"/>
          <w:sz w:val="24"/>
          <w:szCs w:val="24"/>
          <w:highlight w:val="none"/>
          <w:lang w:val="en-US" w:eastAsia="zh-CN"/>
        </w:rPr>
      </w:pPr>
    </w:p>
    <w:p w14:paraId="22295545">
      <w:pPr>
        <w:rPr>
          <w:rFonts w:hint="eastAsia"/>
          <w:b/>
          <w:bCs/>
          <w:color w:val="auto"/>
          <w:spacing w:val="-4"/>
          <w:sz w:val="32"/>
          <w:szCs w:val="32"/>
          <w:highlight w:val="none"/>
        </w:rPr>
      </w:pPr>
      <w:r>
        <w:rPr>
          <w:rFonts w:hint="eastAsia"/>
          <w:b/>
          <w:bCs/>
          <w:color w:val="auto"/>
          <w:spacing w:val="-4"/>
          <w:sz w:val="32"/>
          <w:szCs w:val="32"/>
          <w:highlight w:val="none"/>
          <w:lang w:val="en-US" w:eastAsia="zh-CN"/>
        </w:rPr>
        <w:br w:type="page"/>
      </w:r>
    </w:p>
    <w:p w14:paraId="30F08CF0">
      <w:pPr>
        <w:pStyle w:val="16"/>
        <w:numPr>
          <w:ilvl w:val="0"/>
          <w:numId w:val="25"/>
        </w:numPr>
        <w:spacing w:before="305" w:line="219" w:lineRule="auto"/>
        <w:jc w:val="center"/>
        <w:outlineLvl w:val="0"/>
        <w:rPr>
          <w:rFonts w:hint="eastAsia"/>
          <w:b/>
          <w:bCs/>
          <w:color w:val="auto"/>
          <w:spacing w:val="-4"/>
          <w:sz w:val="32"/>
          <w:szCs w:val="32"/>
          <w:highlight w:val="none"/>
        </w:rPr>
      </w:pPr>
      <w:r>
        <w:rPr>
          <w:rFonts w:hint="eastAsia"/>
          <w:b/>
          <w:bCs/>
          <w:color w:val="auto"/>
          <w:spacing w:val="-4"/>
          <w:sz w:val="32"/>
          <w:szCs w:val="32"/>
          <w:highlight w:val="none"/>
          <w:lang w:val="en-US" w:eastAsia="zh-CN"/>
        </w:rPr>
        <w:t xml:space="preserve"> </w:t>
      </w:r>
      <w:r>
        <w:rPr>
          <w:rFonts w:hint="eastAsia"/>
          <w:b/>
          <w:bCs/>
          <w:color w:val="auto"/>
          <w:spacing w:val="-4"/>
          <w:sz w:val="32"/>
          <w:szCs w:val="32"/>
          <w:highlight w:val="none"/>
        </w:rPr>
        <w:t>拟签订的合同文本</w:t>
      </w:r>
    </w:p>
    <w:p w14:paraId="4060919A">
      <w:pPr>
        <w:pStyle w:val="406"/>
        <w:bidi w:val="0"/>
        <w:rPr>
          <w:color w:val="auto"/>
          <w:highlight w:val="none"/>
        </w:rPr>
      </w:pPr>
      <w:r>
        <w:rPr>
          <w:rFonts w:hint="eastAsia"/>
          <w:color w:val="auto"/>
          <w:highlight w:val="none"/>
        </w:rPr>
        <w:t>政府购买服务合同</w:t>
      </w:r>
    </w:p>
    <w:p w14:paraId="292FC273">
      <w:pPr>
        <w:pStyle w:val="407"/>
        <w:bidi w:val="0"/>
        <w:ind w:left="0" w:leftChars="0" w:firstLine="0" w:firstLineChars="0"/>
        <w:rPr>
          <w:color w:val="auto"/>
          <w:highlight w:val="none"/>
        </w:rPr>
      </w:pPr>
      <w:r>
        <w:rPr>
          <w:rStyle w:val="408"/>
          <w:rFonts w:hint="eastAsia"/>
          <w:color w:val="auto"/>
          <w:highlight w:val="none"/>
        </w:rPr>
        <w:t>甲方：</w:t>
      </w:r>
      <w:r>
        <w:rPr>
          <w:rFonts w:hint="eastAsia"/>
          <w:color w:val="auto"/>
          <w:highlight w:val="none"/>
        </w:rPr>
        <w:t>_______________</w:t>
      </w:r>
      <w:r>
        <w:rPr>
          <w:rFonts w:hint="eastAsia"/>
          <w:color w:val="auto"/>
          <w:highlight w:val="none"/>
          <w:lang w:val="en-US" w:eastAsia="zh-CN"/>
        </w:rPr>
        <w:t xml:space="preserve">               </w:t>
      </w:r>
      <w:r>
        <w:rPr>
          <w:rStyle w:val="408"/>
          <w:rFonts w:hint="eastAsia" w:cs="Times New Roman"/>
          <w:color w:val="auto"/>
          <w:highlight w:val="none"/>
        </w:rPr>
        <w:t>乙方：</w:t>
      </w:r>
      <w:r>
        <w:rPr>
          <w:rFonts w:hint="eastAsia"/>
          <w:color w:val="auto"/>
          <w:highlight w:val="none"/>
        </w:rPr>
        <w:t>_______________</w:t>
      </w:r>
    </w:p>
    <w:p w14:paraId="49400B26">
      <w:pPr>
        <w:pStyle w:val="407"/>
        <w:bidi w:val="0"/>
        <w:rPr>
          <w:color w:val="auto"/>
          <w:highlight w:val="none"/>
        </w:rPr>
      </w:pPr>
      <w:r>
        <w:rPr>
          <w:rFonts w:hint="eastAsia"/>
          <w:color w:val="auto"/>
          <w:highlight w:val="none"/>
        </w:rPr>
        <w:t>根据甲方委托__________________(政府采购代理机构名称)实施的</w:t>
      </w:r>
      <w:r>
        <w:rPr>
          <w:rFonts w:hint="eastAsia"/>
          <w:color w:val="auto"/>
          <w:highlight w:val="none"/>
          <w:u w:val="single"/>
          <w:lang w:val="en-US" w:eastAsia="zh-CN"/>
        </w:rPr>
        <w:t xml:space="preserve">     </w:t>
      </w:r>
      <w:r>
        <w:rPr>
          <w:rFonts w:hint="eastAsia"/>
          <w:color w:val="auto"/>
          <w:highlight w:val="none"/>
        </w:rPr>
        <w:t>省政府采购____________项目的采购结果，经甲乙双方协商，本着平等互利和诚实信用的原则，双方一致同意，签订本合同.</w:t>
      </w:r>
    </w:p>
    <w:p w14:paraId="6EAB85E5">
      <w:pPr>
        <w:pStyle w:val="410"/>
        <w:bidi w:val="0"/>
        <w:rPr>
          <w:color w:val="auto"/>
          <w:highlight w:val="none"/>
        </w:rPr>
      </w:pPr>
      <w:r>
        <w:rPr>
          <w:rFonts w:hint="eastAsia"/>
          <w:color w:val="auto"/>
          <w:highlight w:val="none"/>
        </w:rPr>
        <w:t>第一条 购买服务的内容及期限</w:t>
      </w:r>
    </w:p>
    <w:p w14:paraId="174E97EF">
      <w:pPr>
        <w:pStyle w:val="407"/>
        <w:bidi w:val="0"/>
        <w:rPr>
          <w:color w:val="auto"/>
          <w:highlight w:val="none"/>
        </w:rPr>
      </w:pPr>
      <w:r>
        <w:rPr>
          <w:rFonts w:hint="eastAsia"/>
          <w:color w:val="auto"/>
          <w:highlight w:val="none"/>
        </w:rPr>
        <w:t>1、甲方以____________(政府采购方式)采购乙方提供的以下服务：_______________。内容包括：_______________ 。</w:t>
      </w:r>
    </w:p>
    <w:p w14:paraId="0808A32E">
      <w:pPr>
        <w:pStyle w:val="407"/>
        <w:bidi w:val="0"/>
        <w:rPr>
          <w:color w:val="auto"/>
          <w:highlight w:val="none"/>
        </w:rPr>
      </w:pPr>
      <w:r>
        <w:rPr>
          <w:rFonts w:hint="eastAsia"/>
          <w:color w:val="auto"/>
          <w:highlight w:val="none"/>
        </w:rPr>
        <w:t>2、本合同项目下的服务期限为：_______________</w:t>
      </w:r>
    </w:p>
    <w:p w14:paraId="6F7C1CCD">
      <w:pPr>
        <w:pStyle w:val="407"/>
        <w:bidi w:val="0"/>
        <w:rPr>
          <w:color w:val="auto"/>
          <w:highlight w:val="none"/>
        </w:rPr>
      </w:pPr>
      <w:r>
        <w:rPr>
          <w:rFonts w:hint="eastAsia"/>
          <w:color w:val="auto"/>
          <w:highlight w:val="none"/>
        </w:rPr>
        <w:t>自______年___________月______日至______年___________月______日止，共计______天。</w:t>
      </w:r>
    </w:p>
    <w:p w14:paraId="108D2285">
      <w:pPr>
        <w:pStyle w:val="407"/>
        <w:bidi w:val="0"/>
        <w:rPr>
          <w:color w:val="auto"/>
          <w:highlight w:val="none"/>
        </w:rPr>
      </w:pPr>
      <w:r>
        <w:rPr>
          <w:rFonts w:hint="eastAsia"/>
          <w:color w:val="auto"/>
          <w:highlight w:val="none"/>
        </w:rPr>
        <w:t>3、服务地点：_______________ 。</w:t>
      </w:r>
    </w:p>
    <w:p w14:paraId="22E755D8">
      <w:pPr>
        <w:pStyle w:val="410"/>
        <w:bidi w:val="0"/>
        <w:rPr>
          <w:color w:val="auto"/>
          <w:highlight w:val="none"/>
        </w:rPr>
      </w:pPr>
      <w:r>
        <w:rPr>
          <w:rFonts w:hint="eastAsia"/>
          <w:color w:val="auto"/>
          <w:highlight w:val="none"/>
        </w:rPr>
        <w:t>第二条 合同金额</w:t>
      </w:r>
    </w:p>
    <w:p w14:paraId="3F0FDA55">
      <w:pPr>
        <w:pStyle w:val="407"/>
        <w:bidi w:val="0"/>
        <w:rPr>
          <w:color w:val="auto"/>
          <w:highlight w:val="none"/>
        </w:rPr>
      </w:pPr>
      <w:r>
        <w:rPr>
          <w:rFonts w:hint="eastAsia"/>
          <w:color w:val="auto"/>
          <w:highlight w:val="none"/>
        </w:rPr>
        <w:t>本合同服务费总金额为人民币(大写)：____________________________元(￥_______________元)。</w:t>
      </w:r>
    </w:p>
    <w:p w14:paraId="244E4181">
      <w:pPr>
        <w:pStyle w:val="407"/>
        <w:numPr>
          <w:ilvl w:val="0"/>
          <w:numId w:val="26"/>
        </w:numPr>
        <w:bidi w:val="0"/>
        <w:rPr>
          <w:rFonts w:hint="eastAsia" w:eastAsia="宋体" w:asciiTheme="minorAscii" w:hAnsiTheme="minorAscii" w:cstheme="minorBidi"/>
          <w:b/>
          <w:color w:val="auto"/>
          <w:kern w:val="2"/>
          <w:sz w:val="24"/>
          <w:szCs w:val="24"/>
          <w:highlight w:val="none"/>
          <w:lang w:val="en-US" w:eastAsia="zh-CN" w:bidi="ar-SA"/>
        </w:rPr>
      </w:pPr>
      <w:r>
        <w:rPr>
          <w:rFonts w:hint="eastAsia" w:eastAsia="宋体" w:asciiTheme="minorAscii" w:hAnsiTheme="minorAscii" w:cstheme="minorBidi"/>
          <w:b/>
          <w:color w:val="auto"/>
          <w:kern w:val="2"/>
          <w:sz w:val="24"/>
          <w:szCs w:val="24"/>
          <w:highlight w:val="none"/>
          <w:lang w:val="en-US" w:eastAsia="zh-CN" w:bidi="ar-SA"/>
        </w:rPr>
        <w:t>服务质量标准为：</w:t>
      </w:r>
    </w:p>
    <w:p w14:paraId="33AA1000">
      <w:pPr>
        <w:pStyle w:val="407"/>
        <w:numPr>
          <w:ilvl w:val="0"/>
          <w:numId w:val="0"/>
        </w:numPr>
        <w:bidi w:val="0"/>
        <w:ind w:firstLine="480" w:firstLineChars="200"/>
        <w:rPr>
          <w:color w:val="auto"/>
          <w:highlight w:val="none"/>
        </w:rPr>
      </w:pPr>
      <w:r>
        <w:rPr>
          <w:rFonts w:hint="eastAsia"/>
          <w:color w:val="auto"/>
          <w:highlight w:val="none"/>
        </w:rPr>
        <w:t>_____________________________________________</w:t>
      </w:r>
    </w:p>
    <w:p w14:paraId="630A2A3A">
      <w:pPr>
        <w:pStyle w:val="407"/>
        <w:numPr>
          <w:ilvl w:val="0"/>
          <w:numId w:val="26"/>
        </w:numPr>
        <w:bidi w:val="0"/>
        <w:rPr>
          <w:rFonts w:hint="eastAsia" w:eastAsia="宋体" w:asciiTheme="minorAscii" w:hAnsiTheme="minorAscii" w:cstheme="minorBidi"/>
          <w:b/>
          <w:color w:val="auto"/>
          <w:kern w:val="2"/>
          <w:sz w:val="24"/>
          <w:szCs w:val="24"/>
          <w:highlight w:val="none"/>
          <w:lang w:val="en-US" w:eastAsia="zh-CN" w:bidi="ar-SA"/>
        </w:rPr>
      </w:pPr>
      <w:r>
        <w:rPr>
          <w:rFonts w:hint="eastAsia" w:eastAsia="宋体" w:asciiTheme="minorAscii" w:hAnsiTheme="minorAscii" w:cstheme="minorBidi"/>
          <w:b/>
          <w:color w:val="auto"/>
          <w:kern w:val="2"/>
          <w:sz w:val="24"/>
          <w:szCs w:val="24"/>
          <w:highlight w:val="none"/>
          <w:lang w:val="en-US" w:eastAsia="zh-CN" w:bidi="ar-SA"/>
        </w:rPr>
        <w:t>验收方及验收标准</w:t>
      </w:r>
    </w:p>
    <w:p w14:paraId="08AD4B38">
      <w:pPr>
        <w:pStyle w:val="407"/>
        <w:numPr>
          <w:ilvl w:val="0"/>
          <w:numId w:val="0"/>
        </w:numPr>
        <w:bidi w:val="0"/>
        <w:ind w:firstLine="480" w:firstLineChars="200"/>
        <w:rPr>
          <w:rFonts w:hint="eastAsia"/>
          <w:color w:val="auto"/>
          <w:highlight w:val="none"/>
        </w:rPr>
      </w:pPr>
      <w:r>
        <w:rPr>
          <w:rFonts w:hint="eastAsia"/>
          <w:color w:val="auto"/>
          <w:highlight w:val="none"/>
        </w:rPr>
        <w:t>_____________________________________________</w:t>
      </w:r>
    </w:p>
    <w:p w14:paraId="6523665A">
      <w:pPr>
        <w:pStyle w:val="410"/>
        <w:numPr>
          <w:ilvl w:val="0"/>
          <w:numId w:val="26"/>
        </w:numPr>
        <w:bidi w:val="0"/>
        <w:ind w:left="0" w:leftChars="0" w:firstLine="482" w:firstLineChars="200"/>
        <w:rPr>
          <w:rFonts w:hint="eastAsia"/>
          <w:color w:val="auto"/>
          <w:highlight w:val="none"/>
        </w:rPr>
      </w:pPr>
      <w:r>
        <w:rPr>
          <w:rFonts w:hint="eastAsia"/>
          <w:color w:val="auto"/>
          <w:highlight w:val="none"/>
        </w:rPr>
        <w:t>服务受益方评价标准及方法</w:t>
      </w:r>
    </w:p>
    <w:p w14:paraId="45BA8C08">
      <w:pPr>
        <w:pStyle w:val="407"/>
        <w:numPr>
          <w:ilvl w:val="0"/>
          <w:numId w:val="0"/>
        </w:numPr>
        <w:bidi w:val="0"/>
        <w:ind w:firstLine="480" w:firstLineChars="200"/>
        <w:rPr>
          <w:rFonts w:hint="eastAsia"/>
          <w:color w:val="auto"/>
          <w:highlight w:val="none"/>
        </w:rPr>
      </w:pPr>
      <w:r>
        <w:rPr>
          <w:rFonts w:hint="eastAsia"/>
          <w:color w:val="auto"/>
          <w:highlight w:val="none"/>
        </w:rPr>
        <w:t>_____________________________________________</w:t>
      </w:r>
    </w:p>
    <w:p w14:paraId="43615D78">
      <w:pPr>
        <w:pStyle w:val="410"/>
        <w:numPr>
          <w:ilvl w:val="0"/>
          <w:numId w:val="26"/>
        </w:numPr>
        <w:bidi w:val="0"/>
        <w:ind w:left="0" w:leftChars="0" w:firstLine="482" w:firstLineChars="200"/>
        <w:rPr>
          <w:rFonts w:hint="eastAsia"/>
          <w:color w:val="auto"/>
          <w:highlight w:val="none"/>
        </w:rPr>
      </w:pPr>
      <w:r>
        <w:rPr>
          <w:rFonts w:hint="eastAsia"/>
          <w:color w:val="auto"/>
          <w:highlight w:val="none"/>
        </w:rPr>
        <w:t>双方权利和义务</w:t>
      </w:r>
    </w:p>
    <w:p w14:paraId="3BAC776C">
      <w:pPr>
        <w:pStyle w:val="407"/>
        <w:bidi w:val="0"/>
        <w:rPr>
          <w:color w:val="auto"/>
          <w:highlight w:val="none"/>
        </w:rPr>
      </w:pPr>
      <w:r>
        <w:rPr>
          <w:rFonts w:hint="eastAsia"/>
          <w:color w:val="auto"/>
          <w:highlight w:val="none"/>
        </w:rPr>
        <w:t>1、甲方的权利和义务：_______________</w:t>
      </w:r>
    </w:p>
    <w:p w14:paraId="6C511E3D">
      <w:pPr>
        <w:pStyle w:val="407"/>
        <w:bidi w:val="0"/>
        <w:rPr>
          <w:color w:val="auto"/>
          <w:highlight w:val="none"/>
        </w:rPr>
      </w:pPr>
      <w:r>
        <w:rPr>
          <w:rFonts w:hint="eastAsia"/>
          <w:color w:val="auto"/>
          <w:highlight w:val="none"/>
        </w:rPr>
        <w:t>2、乙方的权利和义务：_______________</w:t>
      </w:r>
    </w:p>
    <w:p w14:paraId="0BCA1454">
      <w:pPr>
        <w:pStyle w:val="410"/>
        <w:numPr>
          <w:ilvl w:val="0"/>
          <w:numId w:val="26"/>
        </w:numPr>
        <w:bidi w:val="0"/>
        <w:ind w:left="0" w:leftChars="0" w:firstLine="482" w:firstLineChars="200"/>
        <w:rPr>
          <w:rFonts w:hint="eastAsia"/>
          <w:color w:val="auto"/>
          <w:highlight w:val="none"/>
        </w:rPr>
      </w:pPr>
      <w:r>
        <w:rPr>
          <w:rFonts w:hint="eastAsia"/>
          <w:color w:val="auto"/>
          <w:highlight w:val="none"/>
        </w:rPr>
        <w:t>付款方式</w:t>
      </w:r>
    </w:p>
    <w:p w14:paraId="648AD875">
      <w:pPr>
        <w:pStyle w:val="407"/>
        <w:bidi w:val="0"/>
        <w:rPr>
          <w:color w:val="auto"/>
          <w:highlight w:val="none"/>
        </w:rPr>
      </w:pPr>
      <w:r>
        <w:rPr>
          <w:rFonts w:hint="eastAsia"/>
          <w:color w:val="auto"/>
          <w:highlight w:val="none"/>
        </w:rPr>
        <w:t>注：根据服务类型选择以下任一种付款方式</w:t>
      </w:r>
    </w:p>
    <w:p w14:paraId="02BF72AE">
      <w:pPr>
        <w:pStyle w:val="407"/>
        <w:bidi w:val="0"/>
        <w:rPr>
          <w:color w:val="auto"/>
          <w:highlight w:val="none"/>
        </w:rPr>
      </w:pPr>
      <w:r>
        <w:rPr>
          <w:rFonts w:hint="eastAsia"/>
          <w:color w:val="auto"/>
          <w:highlight w:val="none"/>
        </w:rPr>
        <w:t>1、一次性付款：_______________</w:t>
      </w:r>
    </w:p>
    <w:p w14:paraId="7EF740B6">
      <w:pPr>
        <w:pStyle w:val="407"/>
        <w:bidi w:val="0"/>
        <w:rPr>
          <w:color w:val="auto"/>
          <w:highlight w:val="none"/>
        </w:rPr>
      </w:pPr>
      <w:r>
        <w:rPr>
          <w:rFonts w:hint="eastAsia"/>
          <w:color w:val="auto"/>
          <w:highlight w:val="none"/>
        </w:rPr>
        <w:t>乙方履约完毕经甲方验收合格后 日内，一次性支付全部服务费。</w:t>
      </w:r>
    </w:p>
    <w:p w14:paraId="6B5AF69C">
      <w:pPr>
        <w:pStyle w:val="407"/>
        <w:bidi w:val="0"/>
        <w:rPr>
          <w:color w:val="auto"/>
          <w:highlight w:val="none"/>
        </w:rPr>
      </w:pPr>
      <w:r>
        <w:rPr>
          <w:rFonts w:hint="eastAsia"/>
          <w:color w:val="auto"/>
          <w:highlight w:val="none"/>
        </w:rPr>
        <w:t>2、分期支付：_______________</w:t>
      </w:r>
    </w:p>
    <w:p w14:paraId="7D81BC8E">
      <w:pPr>
        <w:pStyle w:val="407"/>
        <w:bidi w:val="0"/>
        <w:rPr>
          <w:color w:val="auto"/>
          <w:highlight w:val="none"/>
        </w:rPr>
      </w:pPr>
      <w:r>
        <w:rPr>
          <w:rFonts w:hint="eastAsia"/>
          <w:color w:val="auto"/>
          <w:highlight w:val="none"/>
        </w:rPr>
        <w:t>(1) 按年/按季度/按月支付等额的服务费;</w:t>
      </w:r>
    </w:p>
    <w:p w14:paraId="2616AC70">
      <w:pPr>
        <w:pStyle w:val="407"/>
        <w:bidi w:val="0"/>
        <w:rPr>
          <w:color w:val="auto"/>
          <w:highlight w:val="none"/>
        </w:rPr>
      </w:pPr>
      <w:r>
        <w:rPr>
          <w:rFonts w:hint="eastAsia"/>
          <w:color w:val="auto"/>
          <w:highlight w:val="none"/>
        </w:rPr>
        <w:t>(2)合同签订后______日内，甲方向乙方支付____________元(或服务费总额的 ________% );在交付服务成果后______日内，支付服务费总额的 ________%。</w:t>
      </w:r>
    </w:p>
    <w:p w14:paraId="788773AD">
      <w:pPr>
        <w:pStyle w:val="407"/>
        <w:bidi w:val="0"/>
        <w:rPr>
          <w:color w:val="auto"/>
          <w:highlight w:val="none"/>
        </w:rPr>
      </w:pPr>
      <w:r>
        <w:rPr>
          <w:rFonts w:hint="eastAsia"/>
          <w:color w:val="auto"/>
          <w:highlight w:val="none"/>
        </w:rPr>
        <w:t>(3)按进度支付服务费：_______________</w:t>
      </w:r>
    </w:p>
    <w:p w14:paraId="182692A3">
      <w:pPr>
        <w:pStyle w:val="407"/>
        <w:bidi w:val="0"/>
        <w:rPr>
          <w:color w:val="auto"/>
          <w:highlight w:val="none"/>
        </w:rPr>
      </w:pPr>
      <w:r>
        <w:rPr>
          <w:rFonts w:hint="eastAsia"/>
          <w:color w:val="auto"/>
          <w:highlight w:val="none"/>
        </w:rPr>
        <w:t>1)服务人员到达服务地并提交服务实施方案后__天内，甲方应将总服务费的__________%付给乙方。</w:t>
      </w:r>
    </w:p>
    <w:p w14:paraId="32A76F65">
      <w:pPr>
        <w:pStyle w:val="407"/>
        <w:bidi w:val="0"/>
        <w:rPr>
          <w:color w:val="auto"/>
          <w:highlight w:val="none"/>
        </w:rPr>
      </w:pPr>
      <w:r>
        <w:rPr>
          <w:rFonts w:hint="eastAsia"/>
          <w:color w:val="auto"/>
          <w:highlight w:val="none"/>
        </w:rPr>
        <w:t>2)第二次付款为总服务费的__________%，甲方应在乙方已经准备好，并递交了服务报告及其它相关文件，而这些报告和文件符合合同附件的要求并被甲方验收后付给乙方。</w:t>
      </w:r>
    </w:p>
    <w:p w14:paraId="2C4A6426">
      <w:pPr>
        <w:pStyle w:val="407"/>
        <w:bidi w:val="0"/>
        <w:rPr>
          <w:color w:val="auto"/>
          <w:highlight w:val="none"/>
        </w:rPr>
      </w:pPr>
      <w:r>
        <w:rPr>
          <w:rFonts w:hint="eastAsia"/>
          <w:color w:val="auto"/>
          <w:highlight w:val="none"/>
        </w:rPr>
        <w:t>3)最后一次付款额应为总服务费的__________%，甲方应在乙方递交了服务总结报告和说明并完全履行合同完毕 日内付给乙方。</w:t>
      </w:r>
    </w:p>
    <w:p w14:paraId="7E5BDA0E">
      <w:pPr>
        <w:pStyle w:val="410"/>
        <w:bidi w:val="0"/>
        <w:rPr>
          <w:color w:val="auto"/>
          <w:highlight w:val="none"/>
        </w:rPr>
      </w:pPr>
      <w:r>
        <w:rPr>
          <w:rFonts w:hint="eastAsia"/>
          <w:color w:val="auto"/>
          <w:highlight w:val="none"/>
        </w:rPr>
        <w:t>第八条 违约责任</w:t>
      </w:r>
    </w:p>
    <w:p w14:paraId="1BA98BD8">
      <w:pPr>
        <w:pStyle w:val="407"/>
        <w:bidi w:val="0"/>
        <w:rPr>
          <w:color w:val="auto"/>
          <w:highlight w:val="none"/>
        </w:rPr>
      </w:pPr>
      <w:r>
        <w:rPr>
          <w:rFonts w:hint="eastAsia"/>
          <w:color w:val="auto"/>
          <w:highlight w:val="none"/>
        </w:rPr>
        <w:t>1、乙方提供的服务不符合采购文件、报价文件或本合同规定的，甲方有权拒收，并且乙方须向甲方支付本合同总价__________%的违约金。</w:t>
      </w:r>
    </w:p>
    <w:p w14:paraId="24902501">
      <w:pPr>
        <w:pStyle w:val="407"/>
        <w:bidi w:val="0"/>
        <w:rPr>
          <w:color w:val="auto"/>
          <w:highlight w:val="none"/>
        </w:rPr>
      </w:pPr>
      <w:r>
        <w:rPr>
          <w:rFonts w:hint="eastAsia"/>
          <w:color w:val="auto"/>
          <w:highlight w:val="none"/>
        </w:rPr>
        <w:t>2、乙方未能按本合同规定的服务时间提供服务，从逾期之日起每日按本合同总价__________%的数额向甲方支付违约金;逾期半个月以上的，甲方有权终止合同，由此造成的甲方经济损失由乙方承担。</w:t>
      </w:r>
    </w:p>
    <w:p w14:paraId="442F27CE">
      <w:pPr>
        <w:pStyle w:val="407"/>
        <w:bidi w:val="0"/>
        <w:rPr>
          <w:color w:val="auto"/>
          <w:highlight w:val="none"/>
        </w:rPr>
      </w:pPr>
      <w:r>
        <w:rPr>
          <w:rFonts w:hint="eastAsia"/>
          <w:color w:val="auto"/>
          <w:highlight w:val="none"/>
        </w:rPr>
        <w:t>3、未经甲方同意乙方不得私自将该服务转包第三方完成。如私自转包，则处本合同总价__________%的违约金。</w:t>
      </w:r>
    </w:p>
    <w:p w14:paraId="7E96760F">
      <w:pPr>
        <w:pStyle w:val="407"/>
        <w:bidi w:val="0"/>
        <w:rPr>
          <w:color w:val="auto"/>
          <w:highlight w:val="none"/>
        </w:rPr>
      </w:pPr>
      <w:r>
        <w:rPr>
          <w:rFonts w:hint="eastAsia"/>
          <w:color w:val="auto"/>
          <w:highlight w:val="none"/>
        </w:rPr>
        <w:t>4、甲方无正当理由拒绝接受服务，到期拒付服务款项的，甲方向乙方偿付本合同总价的__________%的违约金。甲方逾期付款，则每日按逾期金额的__________%向乙方偿付违约金。</w:t>
      </w:r>
    </w:p>
    <w:p w14:paraId="14C7ECCE">
      <w:pPr>
        <w:pStyle w:val="407"/>
        <w:bidi w:val="0"/>
        <w:rPr>
          <w:color w:val="auto"/>
          <w:highlight w:val="none"/>
        </w:rPr>
      </w:pPr>
      <w:r>
        <w:rPr>
          <w:rFonts w:hint="eastAsia"/>
          <w:color w:val="auto"/>
          <w:highlight w:val="none"/>
        </w:rPr>
        <w:t>5、其它违约责任按《中华人民共和国民法典》处理。</w:t>
      </w:r>
    </w:p>
    <w:p w14:paraId="23EEB509">
      <w:pPr>
        <w:pStyle w:val="410"/>
        <w:bidi w:val="0"/>
        <w:rPr>
          <w:rFonts w:hint="eastAsia"/>
          <w:color w:val="auto"/>
          <w:highlight w:val="none"/>
        </w:rPr>
      </w:pPr>
      <w:r>
        <w:rPr>
          <w:rFonts w:hint="eastAsia"/>
          <w:color w:val="auto"/>
          <w:highlight w:val="none"/>
        </w:rPr>
        <w:t>第九条 知识产权归属</w:t>
      </w:r>
    </w:p>
    <w:p w14:paraId="1D51335B">
      <w:pPr>
        <w:pStyle w:val="407"/>
        <w:bidi w:val="0"/>
        <w:rPr>
          <w:rFonts w:hint="eastAsia"/>
          <w:color w:val="auto"/>
          <w:highlight w:val="none"/>
        </w:rPr>
      </w:pPr>
      <w:r>
        <w:rPr>
          <w:rFonts w:hint="eastAsia"/>
          <w:color w:val="auto"/>
          <w:highlight w:val="none"/>
        </w:rPr>
        <w:t>_____________________________________________</w:t>
      </w:r>
    </w:p>
    <w:p w14:paraId="059E495A">
      <w:pPr>
        <w:pStyle w:val="410"/>
        <w:bidi w:val="0"/>
        <w:rPr>
          <w:color w:val="auto"/>
          <w:highlight w:val="none"/>
        </w:rPr>
      </w:pPr>
      <w:r>
        <w:rPr>
          <w:rFonts w:hint="eastAsia"/>
          <w:color w:val="auto"/>
          <w:highlight w:val="none"/>
        </w:rPr>
        <w:t>第十条 保密条款</w:t>
      </w:r>
    </w:p>
    <w:p w14:paraId="433A97C8">
      <w:pPr>
        <w:pStyle w:val="407"/>
        <w:bidi w:val="0"/>
        <w:rPr>
          <w:color w:val="auto"/>
          <w:highlight w:val="none"/>
        </w:rPr>
      </w:pPr>
      <w:r>
        <w:rPr>
          <w:rFonts w:hint="eastAsia"/>
          <w:color w:val="auto"/>
          <w:highlight w:val="none"/>
        </w:rPr>
        <w:t>1、乙方对甲方提供的资料负有保密义务，未经甲方同意，不得向项目无关单位和个人提供有关资料。如发生以上情况，甲方有权索赔。</w:t>
      </w:r>
    </w:p>
    <w:p w14:paraId="7254C54C">
      <w:pPr>
        <w:pStyle w:val="407"/>
        <w:bidi w:val="0"/>
        <w:rPr>
          <w:color w:val="auto"/>
          <w:highlight w:val="none"/>
        </w:rPr>
      </w:pPr>
      <w:r>
        <w:rPr>
          <w:rFonts w:hint="eastAsia"/>
          <w:color w:val="auto"/>
          <w:highlight w:val="none"/>
        </w:rPr>
        <w:t>2、甲方有义务保护乙方的知识产权，未经乙方同意，甲方对工程咨询单位交付的成果文件、资料不得向第三方转让或用于本合同以外的项目。如发生以上情况，乙方有权索赔。</w:t>
      </w:r>
    </w:p>
    <w:p w14:paraId="6FC3EAFD">
      <w:pPr>
        <w:pStyle w:val="410"/>
        <w:bidi w:val="0"/>
        <w:rPr>
          <w:color w:val="auto"/>
          <w:highlight w:val="none"/>
        </w:rPr>
      </w:pPr>
      <w:r>
        <w:rPr>
          <w:rFonts w:hint="eastAsia"/>
          <w:color w:val="auto"/>
          <w:highlight w:val="none"/>
        </w:rPr>
        <w:t>第十一条 争议的解决</w:t>
      </w:r>
    </w:p>
    <w:p w14:paraId="043A5737">
      <w:pPr>
        <w:pStyle w:val="407"/>
        <w:bidi w:val="0"/>
        <w:rPr>
          <w:color w:val="auto"/>
          <w:highlight w:val="none"/>
        </w:rPr>
      </w:pPr>
      <w:r>
        <w:rPr>
          <w:rFonts w:hint="eastAsia"/>
          <w:color w:val="auto"/>
          <w:highlight w:val="none"/>
        </w:rPr>
        <w:t>本合同执行过程中发生的任何争议，如双方不能通过友好协商解决，由合同签订地法院处理。</w:t>
      </w:r>
    </w:p>
    <w:p w14:paraId="695C352E">
      <w:pPr>
        <w:pStyle w:val="410"/>
        <w:bidi w:val="0"/>
        <w:rPr>
          <w:color w:val="auto"/>
          <w:highlight w:val="none"/>
        </w:rPr>
      </w:pPr>
      <w:r>
        <w:rPr>
          <w:rFonts w:hint="eastAsia"/>
          <w:color w:val="auto"/>
          <w:highlight w:val="none"/>
        </w:rPr>
        <w:t>第十二条 不可抗力</w:t>
      </w:r>
    </w:p>
    <w:p w14:paraId="4621E68C">
      <w:pPr>
        <w:pStyle w:val="407"/>
        <w:bidi w:val="0"/>
        <w:rPr>
          <w:color w:val="auto"/>
          <w:highlight w:val="none"/>
        </w:rPr>
      </w:pPr>
      <w:r>
        <w:rPr>
          <w:rFonts w:hint="eastAsia"/>
          <w:color w:val="auto"/>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A59A0EC">
      <w:pPr>
        <w:pStyle w:val="410"/>
        <w:bidi w:val="0"/>
        <w:rPr>
          <w:color w:val="auto"/>
          <w:highlight w:val="none"/>
        </w:rPr>
      </w:pPr>
      <w:r>
        <w:rPr>
          <w:rFonts w:hint="eastAsia"/>
          <w:color w:val="auto"/>
          <w:highlight w:val="none"/>
        </w:rPr>
        <w:t>第十三条 合同的终止</w:t>
      </w:r>
    </w:p>
    <w:p w14:paraId="1DD50A2A">
      <w:pPr>
        <w:pStyle w:val="407"/>
        <w:bidi w:val="0"/>
        <w:rPr>
          <w:rFonts w:hint="eastAsia"/>
          <w:color w:val="auto"/>
          <w:highlight w:val="none"/>
        </w:rPr>
      </w:pPr>
      <w:r>
        <w:rPr>
          <w:rFonts w:hint="eastAsia"/>
          <w:color w:val="auto"/>
          <w:highlight w:val="none"/>
        </w:rPr>
        <w:t>1、合同期满，双方未续签的;</w:t>
      </w:r>
    </w:p>
    <w:p w14:paraId="6836E6FD">
      <w:pPr>
        <w:pStyle w:val="407"/>
        <w:bidi w:val="0"/>
        <w:rPr>
          <w:rFonts w:hint="eastAsia"/>
          <w:color w:val="auto"/>
          <w:highlight w:val="none"/>
        </w:rPr>
      </w:pPr>
      <w:r>
        <w:rPr>
          <w:rFonts w:hint="eastAsia"/>
          <w:color w:val="auto"/>
          <w:highlight w:val="none"/>
        </w:rPr>
        <w:t>2、乙方服务能力丧失，致使服务无法正常进行的;</w:t>
      </w:r>
    </w:p>
    <w:p w14:paraId="522A8842">
      <w:pPr>
        <w:pStyle w:val="407"/>
        <w:bidi w:val="0"/>
        <w:rPr>
          <w:rFonts w:hint="eastAsia"/>
          <w:color w:val="auto"/>
          <w:highlight w:val="none"/>
        </w:rPr>
      </w:pPr>
      <w:r>
        <w:rPr>
          <w:rFonts w:hint="eastAsia"/>
          <w:color w:val="auto"/>
          <w:highlight w:val="none"/>
        </w:rPr>
        <w:t>3、在履行合同过程中，发现乙方已不符合国办发〔2013〕96号、冀政办〔2014〕3号文件规定的承接主体应具备的条件，造成合同无法履行的。</w:t>
      </w:r>
    </w:p>
    <w:p w14:paraId="2EF13CC6">
      <w:pPr>
        <w:pStyle w:val="410"/>
        <w:bidi w:val="0"/>
        <w:rPr>
          <w:rFonts w:hint="eastAsia"/>
          <w:color w:val="auto"/>
          <w:highlight w:val="none"/>
        </w:rPr>
      </w:pPr>
      <w:r>
        <w:rPr>
          <w:rFonts w:hint="eastAsia"/>
          <w:color w:val="auto"/>
          <w:highlight w:val="none"/>
        </w:rPr>
        <w:t>第十四条 税费</w:t>
      </w:r>
    </w:p>
    <w:p w14:paraId="3D9E211C">
      <w:pPr>
        <w:pStyle w:val="407"/>
        <w:bidi w:val="0"/>
        <w:rPr>
          <w:rFonts w:hint="eastAsia"/>
          <w:color w:val="auto"/>
          <w:highlight w:val="none"/>
        </w:rPr>
      </w:pPr>
      <w:r>
        <w:rPr>
          <w:rFonts w:hint="eastAsia"/>
          <w:color w:val="auto"/>
          <w:highlight w:val="none"/>
        </w:rPr>
        <w:t>此项目发生的与本合同执行有关的一切税费均由乙方负担。</w:t>
      </w:r>
    </w:p>
    <w:p w14:paraId="73F40EC0">
      <w:pPr>
        <w:pStyle w:val="410"/>
        <w:bidi w:val="0"/>
        <w:rPr>
          <w:rFonts w:hint="eastAsia"/>
          <w:color w:val="auto"/>
          <w:highlight w:val="none"/>
        </w:rPr>
      </w:pPr>
      <w:r>
        <w:rPr>
          <w:rFonts w:hint="eastAsia"/>
          <w:color w:val="auto"/>
          <w:highlight w:val="none"/>
        </w:rPr>
        <w:t>第十五条 其它</w:t>
      </w:r>
    </w:p>
    <w:p w14:paraId="087E74AF">
      <w:pPr>
        <w:pStyle w:val="407"/>
        <w:bidi w:val="0"/>
        <w:rPr>
          <w:rFonts w:hint="eastAsia"/>
          <w:color w:val="auto"/>
          <w:highlight w:val="none"/>
        </w:rPr>
      </w:pPr>
      <w:r>
        <w:rPr>
          <w:rFonts w:hint="eastAsia"/>
          <w:color w:val="auto"/>
          <w:highlight w:val="none"/>
        </w:rPr>
        <w:t>1、本合同所有附件及政府采购文件均为合同的有效组成部分，与本合同具有同等法律效力。</w:t>
      </w:r>
    </w:p>
    <w:p w14:paraId="6B203E11">
      <w:pPr>
        <w:pStyle w:val="407"/>
        <w:bidi w:val="0"/>
        <w:rPr>
          <w:rFonts w:hint="eastAsia"/>
          <w:color w:val="auto"/>
          <w:highlight w:val="none"/>
        </w:rPr>
      </w:pPr>
      <w:r>
        <w:rPr>
          <w:rFonts w:hint="eastAsia"/>
          <w:color w:val="auto"/>
          <w:highlight w:val="none"/>
        </w:rPr>
        <w:t>2、在执行本合同的过程中，所有经双方签署确认的文件(包括会议纪要、补充协议、往来信函)即成为本合同的有效组成部分。</w:t>
      </w:r>
    </w:p>
    <w:p w14:paraId="4593C5DA">
      <w:pPr>
        <w:pStyle w:val="407"/>
        <w:bidi w:val="0"/>
        <w:rPr>
          <w:rFonts w:hint="eastAsia"/>
          <w:color w:val="auto"/>
          <w:highlight w:val="none"/>
        </w:rPr>
      </w:pPr>
      <w:r>
        <w:rPr>
          <w:rFonts w:hint="eastAsia"/>
          <w:color w:val="auto"/>
          <w:highlight w:val="none"/>
        </w:rPr>
        <w:t>3、如一方地址、电话、传真号码有变更，应在变更当日内书面通知对方，否则，应承担相应责任。</w:t>
      </w:r>
    </w:p>
    <w:p w14:paraId="1F5C7C6D">
      <w:pPr>
        <w:pStyle w:val="410"/>
        <w:bidi w:val="0"/>
        <w:rPr>
          <w:rFonts w:hint="eastAsia"/>
          <w:color w:val="auto"/>
          <w:highlight w:val="none"/>
        </w:rPr>
      </w:pPr>
      <w:r>
        <w:rPr>
          <w:rFonts w:hint="eastAsia"/>
          <w:color w:val="auto"/>
          <w:highlight w:val="none"/>
        </w:rPr>
        <w:t>第十六条 补充条款</w:t>
      </w:r>
    </w:p>
    <w:p w14:paraId="54E5D985">
      <w:pPr>
        <w:pStyle w:val="407"/>
        <w:bidi w:val="0"/>
        <w:rPr>
          <w:rFonts w:hint="eastAsia"/>
          <w:color w:val="auto"/>
          <w:highlight w:val="none"/>
        </w:rPr>
      </w:pPr>
      <w:r>
        <w:rPr>
          <w:rFonts w:hint="eastAsia"/>
          <w:color w:val="auto"/>
          <w:highlight w:val="none"/>
        </w:rPr>
        <w:t>1、谅解与备忘条款：_______________</w:t>
      </w:r>
    </w:p>
    <w:p w14:paraId="7C13A339">
      <w:pPr>
        <w:pStyle w:val="407"/>
        <w:bidi w:val="0"/>
        <w:rPr>
          <w:rFonts w:hint="eastAsia"/>
          <w:color w:val="auto"/>
          <w:highlight w:val="none"/>
        </w:rPr>
      </w:pPr>
      <w:r>
        <w:rPr>
          <w:rFonts w:hint="eastAsia"/>
          <w:color w:val="auto"/>
          <w:highlight w:val="none"/>
        </w:rPr>
        <w:t>2、双方不可撤销的责任与义务：_______________</w:t>
      </w:r>
    </w:p>
    <w:p w14:paraId="73BFAF7C">
      <w:pPr>
        <w:pStyle w:val="407"/>
        <w:bidi w:val="0"/>
        <w:rPr>
          <w:rFonts w:hint="eastAsia"/>
          <w:color w:val="auto"/>
          <w:highlight w:val="none"/>
        </w:rPr>
      </w:pPr>
      <w:r>
        <w:rPr>
          <w:rFonts w:hint="eastAsia"/>
          <w:color w:val="auto"/>
          <w:highlight w:val="none"/>
        </w:rPr>
        <w:t>3、双方约定以下补充条款：_______________</w:t>
      </w:r>
    </w:p>
    <w:p w14:paraId="2D918701">
      <w:pPr>
        <w:pStyle w:val="410"/>
        <w:bidi w:val="0"/>
        <w:rPr>
          <w:rFonts w:hint="eastAsia"/>
          <w:color w:val="auto"/>
          <w:highlight w:val="none"/>
        </w:rPr>
      </w:pPr>
      <w:r>
        <w:rPr>
          <w:rFonts w:hint="eastAsia"/>
          <w:color w:val="auto"/>
          <w:highlight w:val="none"/>
        </w:rPr>
        <w:t>第十七条 合同生效</w:t>
      </w:r>
    </w:p>
    <w:p w14:paraId="3E951439">
      <w:pPr>
        <w:pStyle w:val="407"/>
        <w:bidi w:val="0"/>
        <w:rPr>
          <w:rFonts w:hint="eastAsia"/>
          <w:color w:val="auto"/>
          <w:highlight w:val="none"/>
        </w:rPr>
      </w:pPr>
      <w:r>
        <w:rPr>
          <w:rFonts w:hint="eastAsia"/>
          <w:color w:val="auto"/>
          <w:highlight w:val="none"/>
        </w:rPr>
        <w:t>1、本合同订立时间：_______________ ________年 ________月 日</w:t>
      </w:r>
    </w:p>
    <w:p w14:paraId="2AA53102">
      <w:pPr>
        <w:pStyle w:val="407"/>
        <w:bidi w:val="0"/>
        <w:rPr>
          <w:rFonts w:hint="eastAsia"/>
          <w:color w:val="auto"/>
          <w:highlight w:val="none"/>
        </w:rPr>
      </w:pPr>
      <w:r>
        <w:rPr>
          <w:rFonts w:hint="eastAsia"/>
          <w:color w:val="auto"/>
          <w:highlight w:val="none"/>
        </w:rPr>
        <w:t>2、本合同订立地点：_______________ 。</w:t>
      </w:r>
    </w:p>
    <w:p w14:paraId="630E6E74">
      <w:pPr>
        <w:pStyle w:val="407"/>
        <w:bidi w:val="0"/>
        <w:rPr>
          <w:rFonts w:hint="eastAsia"/>
          <w:color w:val="auto"/>
          <w:highlight w:val="none"/>
        </w:rPr>
      </w:pPr>
      <w:r>
        <w:rPr>
          <w:rFonts w:hint="eastAsia"/>
          <w:color w:val="auto"/>
          <w:highlight w:val="none"/>
        </w:rPr>
        <w:t>3、本合同在甲乙双方法人代表或其授权代表签字盖章后生效。</w:t>
      </w:r>
    </w:p>
    <w:p w14:paraId="4FE6D835">
      <w:pPr>
        <w:pStyle w:val="407"/>
        <w:bidi w:val="0"/>
        <w:rPr>
          <w:rFonts w:hint="eastAsia"/>
          <w:color w:val="auto"/>
          <w:highlight w:val="none"/>
        </w:rPr>
      </w:pPr>
      <w:r>
        <w:rPr>
          <w:rFonts w:hint="eastAsia"/>
          <w:color w:val="auto"/>
          <w:highlight w:val="none"/>
        </w:rPr>
        <w:t>4、本合同一式 份，甲乙双方、代理机构及政府采购监督管理部门各执一份，具有同等法律效力。</w:t>
      </w:r>
    </w:p>
    <w:p w14:paraId="4EFEF5B0">
      <w:pPr>
        <w:pStyle w:val="407"/>
        <w:bidi w:val="0"/>
        <w:rPr>
          <w:rFonts w:hint="eastAsia"/>
          <w:color w:val="auto"/>
          <w:highlight w:val="none"/>
        </w:rPr>
      </w:pPr>
      <w:r>
        <w:rPr>
          <w:rFonts w:hint="eastAsia" w:eastAsia="宋体" w:asciiTheme="minorAscii" w:hAnsiTheme="minorAscii" w:cstheme="minorBidi"/>
          <w:b/>
          <w:color w:val="auto"/>
          <w:kern w:val="2"/>
          <w:sz w:val="24"/>
          <w:szCs w:val="24"/>
          <w:highlight w:val="none"/>
          <w:lang w:val="en-US" w:eastAsia="zh-CN" w:bidi="ar-SA"/>
        </w:rPr>
        <w:t>第十八条 合同附件</w:t>
      </w:r>
      <w:r>
        <w:rPr>
          <w:rFonts w:hint="eastAsia"/>
          <w:color w:val="auto"/>
          <w:highlight w:val="none"/>
        </w:rPr>
        <w:t>(签定具体合同时，若有附件应注明，并注明附件名称。)</w:t>
      </w:r>
    </w:p>
    <w:p w14:paraId="6199830B">
      <w:pPr>
        <w:pStyle w:val="407"/>
        <w:bidi w:val="0"/>
        <w:rPr>
          <w:rFonts w:hint="eastAsia"/>
          <w:color w:val="auto"/>
          <w:highlight w:val="none"/>
        </w:rPr>
      </w:pPr>
    </w:p>
    <w:p w14:paraId="02014496">
      <w:pPr>
        <w:pStyle w:val="407"/>
        <w:bidi w:val="0"/>
        <w:ind w:left="0" w:leftChars="0" w:firstLine="0" w:firstLineChars="0"/>
        <w:rPr>
          <w:rFonts w:hint="eastAsia"/>
          <w:color w:val="auto"/>
          <w:highlight w:val="none"/>
        </w:rPr>
      </w:pPr>
      <w:r>
        <w:rPr>
          <w:rFonts w:hint="eastAsia"/>
          <w:color w:val="auto"/>
          <w:highlight w:val="none"/>
        </w:rPr>
        <w:t>甲方(盖章)：_______________</w:t>
      </w:r>
      <w:r>
        <w:rPr>
          <w:rFonts w:hint="eastAsia"/>
          <w:color w:val="auto"/>
          <w:highlight w:val="none"/>
          <w:lang w:val="en-US" w:eastAsia="zh-CN"/>
        </w:rPr>
        <w:t xml:space="preserve">             </w:t>
      </w:r>
      <w:r>
        <w:rPr>
          <w:rFonts w:hint="eastAsia"/>
          <w:color w:val="auto"/>
          <w:highlight w:val="none"/>
        </w:rPr>
        <w:t>乙方(盖章)：_______________</w:t>
      </w:r>
    </w:p>
    <w:p w14:paraId="35B6C169">
      <w:pPr>
        <w:pStyle w:val="407"/>
        <w:bidi w:val="0"/>
        <w:ind w:left="0" w:leftChars="0" w:firstLine="0" w:firstLineChars="0"/>
        <w:rPr>
          <w:rFonts w:hint="eastAsia"/>
          <w:color w:val="auto"/>
          <w:highlight w:val="none"/>
        </w:rPr>
      </w:pPr>
      <w:r>
        <w:rPr>
          <w:rFonts w:hint="eastAsia"/>
          <w:color w:val="auto"/>
          <w:highlight w:val="none"/>
        </w:rPr>
        <w:t>法定代表人(签章)：_________</w:t>
      </w:r>
      <w:r>
        <w:rPr>
          <w:rFonts w:hint="eastAsia"/>
          <w:color w:val="auto"/>
          <w:highlight w:val="none"/>
          <w:lang w:val="en-US" w:eastAsia="zh-CN"/>
        </w:rPr>
        <w:t xml:space="preserve">             </w:t>
      </w:r>
      <w:r>
        <w:rPr>
          <w:rFonts w:hint="eastAsia"/>
          <w:color w:val="auto"/>
          <w:highlight w:val="none"/>
        </w:rPr>
        <w:t>法定代表人(签章)：_________</w:t>
      </w:r>
    </w:p>
    <w:p w14:paraId="261BFB0A">
      <w:pPr>
        <w:pStyle w:val="407"/>
        <w:bidi w:val="0"/>
        <w:ind w:left="0" w:leftChars="0" w:firstLine="0" w:firstLineChars="0"/>
        <w:rPr>
          <w:rFonts w:hint="eastAsia"/>
          <w:color w:val="auto"/>
          <w:highlight w:val="none"/>
        </w:rPr>
      </w:pPr>
      <w:r>
        <w:rPr>
          <w:rFonts w:hint="eastAsia"/>
          <w:color w:val="auto"/>
          <w:highlight w:val="none"/>
        </w:rPr>
        <w:t xml:space="preserve">委托代理人(签字)：__________ </w:t>
      </w:r>
      <w:r>
        <w:rPr>
          <w:rFonts w:hint="eastAsia"/>
          <w:color w:val="auto"/>
          <w:highlight w:val="none"/>
          <w:lang w:val="en-US" w:eastAsia="zh-CN"/>
        </w:rPr>
        <w:t xml:space="preserve">           </w:t>
      </w:r>
      <w:r>
        <w:rPr>
          <w:rFonts w:hint="eastAsia"/>
          <w:color w:val="auto"/>
          <w:highlight w:val="none"/>
        </w:rPr>
        <w:t>委托代理人(签字)：__________</w:t>
      </w:r>
    </w:p>
    <w:p w14:paraId="1E1E69DB">
      <w:pPr>
        <w:pStyle w:val="407"/>
        <w:bidi w:val="0"/>
        <w:ind w:left="0" w:leftChars="0" w:firstLine="0" w:firstLineChars="0"/>
        <w:rPr>
          <w:rFonts w:hint="eastAsia"/>
          <w:color w:val="auto"/>
          <w:highlight w:val="none"/>
        </w:rPr>
      </w:pPr>
      <w:r>
        <w:rPr>
          <w:rFonts w:hint="eastAsia"/>
          <w:color w:val="auto"/>
          <w:highlight w:val="none"/>
        </w:rPr>
        <w:t xml:space="preserve">地 址：_______________ </w:t>
      </w:r>
      <w:r>
        <w:rPr>
          <w:rFonts w:hint="eastAsia"/>
          <w:color w:val="auto"/>
          <w:highlight w:val="none"/>
          <w:lang w:val="en-US" w:eastAsia="zh-CN"/>
        </w:rPr>
        <w:t xml:space="preserve">                </w:t>
      </w:r>
      <w:r>
        <w:rPr>
          <w:rFonts w:hint="eastAsia"/>
          <w:color w:val="auto"/>
          <w:highlight w:val="none"/>
        </w:rPr>
        <w:t>地 址：_______________</w:t>
      </w:r>
    </w:p>
    <w:p w14:paraId="03023A12">
      <w:pPr>
        <w:pStyle w:val="407"/>
        <w:bidi w:val="0"/>
        <w:ind w:left="0" w:leftChars="0" w:firstLine="0" w:firstLineChars="0"/>
        <w:rPr>
          <w:rFonts w:hint="eastAsia"/>
          <w:color w:val="auto"/>
          <w:highlight w:val="none"/>
        </w:rPr>
      </w:pPr>
      <w:r>
        <w:rPr>
          <w:rFonts w:hint="eastAsia"/>
          <w:color w:val="auto"/>
          <w:highlight w:val="none"/>
        </w:rPr>
        <w:t xml:space="preserve">电 话：_______________ </w:t>
      </w:r>
      <w:r>
        <w:rPr>
          <w:rFonts w:hint="eastAsia"/>
          <w:color w:val="auto"/>
          <w:highlight w:val="none"/>
          <w:lang w:val="en-US" w:eastAsia="zh-CN"/>
        </w:rPr>
        <w:t xml:space="preserve">                </w:t>
      </w:r>
      <w:r>
        <w:rPr>
          <w:rFonts w:hint="eastAsia"/>
          <w:color w:val="auto"/>
          <w:highlight w:val="none"/>
        </w:rPr>
        <w:t>电 话：_______________</w:t>
      </w:r>
    </w:p>
    <w:p w14:paraId="1F69AE70">
      <w:pPr>
        <w:pStyle w:val="407"/>
        <w:bidi w:val="0"/>
        <w:ind w:left="0" w:leftChars="0" w:firstLine="0" w:firstLineChars="0"/>
        <w:rPr>
          <w:rFonts w:hint="eastAsia"/>
          <w:color w:val="auto"/>
          <w:highlight w:val="none"/>
        </w:rPr>
      </w:pPr>
      <w:r>
        <w:rPr>
          <w:rFonts w:hint="eastAsia"/>
          <w:color w:val="auto"/>
          <w:highlight w:val="none"/>
        </w:rPr>
        <w:t>开户名称：_______________</w:t>
      </w:r>
    </w:p>
    <w:p w14:paraId="26D0ABB3">
      <w:pPr>
        <w:pStyle w:val="407"/>
        <w:bidi w:val="0"/>
        <w:ind w:left="0" w:leftChars="0" w:firstLine="0" w:firstLineChars="0"/>
        <w:rPr>
          <w:rFonts w:hint="eastAsia"/>
          <w:color w:val="auto"/>
          <w:highlight w:val="none"/>
        </w:rPr>
      </w:pPr>
      <w:r>
        <w:rPr>
          <w:rFonts w:hint="eastAsia"/>
          <w:color w:val="auto"/>
          <w:highlight w:val="none"/>
        </w:rPr>
        <w:t>开 户 行：_______________</w:t>
      </w:r>
    </w:p>
    <w:p w14:paraId="098A55A1">
      <w:pPr>
        <w:pStyle w:val="407"/>
        <w:bidi w:val="0"/>
        <w:ind w:left="0" w:leftChars="0" w:firstLine="0" w:firstLineChars="0"/>
        <w:rPr>
          <w:rFonts w:hint="eastAsia"/>
          <w:color w:val="auto"/>
          <w:highlight w:val="none"/>
        </w:rPr>
      </w:pPr>
      <w:r>
        <w:rPr>
          <w:rFonts w:hint="eastAsia"/>
          <w:color w:val="auto"/>
          <w:highlight w:val="none"/>
        </w:rPr>
        <w:t>银行帐号：_______________</w:t>
      </w:r>
    </w:p>
    <w:p w14:paraId="399C12D4">
      <w:pPr>
        <w:pStyle w:val="407"/>
        <w:bidi w:val="0"/>
        <w:ind w:left="0" w:leftChars="0" w:firstLine="0" w:firstLineChars="0"/>
        <w:rPr>
          <w:rFonts w:hint="eastAsia"/>
          <w:color w:val="auto"/>
          <w:highlight w:val="none"/>
        </w:rPr>
      </w:pPr>
      <w:r>
        <w:rPr>
          <w:rFonts w:hint="eastAsia"/>
          <w:color w:val="auto"/>
          <w:highlight w:val="none"/>
        </w:rPr>
        <w:t>_________年_____月___日 　</w:t>
      </w:r>
      <w:r>
        <w:rPr>
          <w:rFonts w:hint="eastAsia"/>
          <w:color w:val="auto"/>
          <w:highlight w:val="none"/>
          <w:lang w:val="en-US" w:eastAsia="zh-CN"/>
        </w:rPr>
        <w:t xml:space="preserve">                </w:t>
      </w:r>
      <w:r>
        <w:rPr>
          <w:rFonts w:hint="eastAsia"/>
          <w:color w:val="auto"/>
          <w:highlight w:val="none"/>
        </w:rPr>
        <w:t>_________年_____月___日</w:t>
      </w:r>
    </w:p>
    <w:p w14:paraId="34AA7F83">
      <w:pPr>
        <w:pStyle w:val="40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lang w:val="en-US" w:eastAsia="zh-CN"/>
        </w:rPr>
      </w:pPr>
    </w:p>
    <w:p w14:paraId="1ECB74A7">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737BAF44">
      <w:pPr>
        <w:rPr>
          <w:rFonts w:hint="eastAsia"/>
          <w:b/>
          <w:bCs/>
          <w:color w:val="auto"/>
          <w:spacing w:val="-4"/>
          <w:sz w:val="32"/>
          <w:szCs w:val="32"/>
          <w:highlight w:val="none"/>
        </w:rPr>
      </w:pPr>
      <w:r>
        <w:rPr>
          <w:rFonts w:hint="eastAsia"/>
          <w:b/>
          <w:bCs/>
          <w:color w:val="auto"/>
          <w:spacing w:val="-4"/>
          <w:sz w:val="32"/>
          <w:szCs w:val="32"/>
          <w:highlight w:val="none"/>
        </w:rPr>
        <w:br w:type="page"/>
      </w:r>
    </w:p>
    <w:p w14:paraId="6772B01C">
      <w:pPr>
        <w:pStyle w:val="16"/>
        <w:numPr>
          <w:ilvl w:val="0"/>
          <w:numId w:val="0"/>
        </w:numPr>
        <w:spacing w:before="305" w:beforeAutospacing="1" w:after="100" w:afterAutospacing="1" w:line="219" w:lineRule="auto"/>
        <w:jc w:val="center"/>
        <w:outlineLvl w:val="0"/>
        <w:rPr>
          <w:rFonts w:hint="eastAsia"/>
          <w:b/>
          <w:bCs/>
          <w:color w:val="auto"/>
          <w:spacing w:val="-4"/>
          <w:sz w:val="32"/>
          <w:szCs w:val="32"/>
          <w:highlight w:val="none"/>
        </w:rPr>
      </w:pPr>
      <w:r>
        <w:rPr>
          <w:rFonts w:hint="eastAsia"/>
          <w:b/>
          <w:bCs/>
          <w:color w:val="auto"/>
          <w:spacing w:val="-4"/>
          <w:sz w:val="32"/>
          <w:szCs w:val="32"/>
          <w:highlight w:val="none"/>
        </w:rPr>
        <w:t>第七章</w:t>
      </w:r>
      <w:r>
        <w:rPr>
          <w:rFonts w:hint="eastAsia"/>
          <w:b/>
          <w:bCs/>
          <w:color w:val="auto"/>
          <w:spacing w:val="-4"/>
          <w:sz w:val="32"/>
          <w:szCs w:val="32"/>
          <w:highlight w:val="none"/>
          <w:lang w:val="en-US" w:eastAsia="zh-CN"/>
        </w:rPr>
        <w:t xml:space="preserve">  </w:t>
      </w:r>
      <w:r>
        <w:rPr>
          <w:rFonts w:hint="eastAsia"/>
          <w:b/>
          <w:bCs/>
          <w:color w:val="auto"/>
          <w:spacing w:val="-4"/>
          <w:sz w:val="32"/>
          <w:szCs w:val="32"/>
          <w:highlight w:val="none"/>
        </w:rPr>
        <w:t>投标文件格式</w:t>
      </w:r>
    </w:p>
    <w:bookmarkEnd w:id="5"/>
    <w:p w14:paraId="1F1B0C9D">
      <w:pPr>
        <w:spacing w:line="360" w:lineRule="auto"/>
        <w:jc w:val="center"/>
        <w:rPr>
          <w:rFonts w:hint="eastAsia" w:asciiTheme="minorEastAsia" w:hAnsiTheme="minorEastAsia" w:eastAsiaTheme="minorEastAsia" w:cstheme="minorEastAsia"/>
          <w:b/>
          <w:bCs/>
          <w:color w:val="auto"/>
          <w:highlight w:val="none"/>
          <w:lang w:eastAsia="zh-CN"/>
        </w:rPr>
      </w:pPr>
    </w:p>
    <w:p w14:paraId="5A23E438">
      <w:pPr>
        <w:spacing w:line="360" w:lineRule="auto"/>
        <w:jc w:val="center"/>
        <w:rPr>
          <w:rFonts w:hint="eastAsia" w:asciiTheme="minorEastAsia" w:hAnsiTheme="minorEastAsia" w:eastAsiaTheme="minorEastAsia" w:cstheme="minorEastAsia"/>
          <w:b/>
          <w:bCs/>
          <w:color w:val="auto"/>
          <w:highlight w:val="none"/>
          <w:lang w:eastAsia="zh-CN"/>
        </w:rPr>
      </w:pPr>
    </w:p>
    <w:p w14:paraId="3A3EBE74">
      <w:pPr>
        <w:rPr>
          <w:rFonts w:hint="eastAsia" w:eastAsia="宋体"/>
          <w:b/>
          <w:color w:val="auto"/>
          <w:sz w:val="32"/>
          <w:szCs w:val="32"/>
          <w:highlight w:val="none"/>
          <w:lang w:eastAsia="zh-CN"/>
        </w:rPr>
      </w:pPr>
    </w:p>
    <w:p w14:paraId="0F44A87B">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2025年度中小学幼儿园教师培训公共服务平台及教学教务支持服务项目采购</w:t>
      </w:r>
    </w:p>
    <w:p w14:paraId="1F1B5199">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lang w:val="en-US" w:eastAsia="zh-CN"/>
        </w:rPr>
        <w:t>报价</w:t>
      </w:r>
      <w:r>
        <w:rPr>
          <w:rFonts w:hint="eastAsia"/>
          <w:color w:val="auto"/>
          <w:highlight w:val="none"/>
        </w:rPr>
        <w:t>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lang w:val="en-US" w:eastAsia="zh-CN"/>
        </w:rPr>
        <w:t>报价</w:t>
      </w:r>
      <w:r>
        <w:rPr>
          <w:rFonts w:hint="eastAsia"/>
          <w:b/>
          <w:bCs/>
          <w:color w:val="auto"/>
          <w:sz w:val="30"/>
          <w:szCs w:val="30"/>
          <w:highlight w:val="none"/>
        </w:rPr>
        <w:t>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112"/>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112"/>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40"/>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112"/>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lang w:eastAsia="zh-CN"/>
        </w:rPr>
        <w:t>投标人</w:t>
      </w:r>
      <w:r>
        <w:rPr>
          <w:rFonts w:hint="eastAsia"/>
          <w:color w:val="auto"/>
          <w:highlight w:val="none"/>
        </w:rPr>
        <w:t>名称（加盖公章）：</w:t>
      </w:r>
      <w:r>
        <w:rPr>
          <w:color w:val="auto"/>
          <w:highlight w:val="none"/>
          <w:u w:val="single"/>
        </w:rPr>
        <w:t xml:space="preserve">                               </w:t>
      </w:r>
    </w:p>
    <w:p w14:paraId="4F315403">
      <w:pPr>
        <w:pStyle w:val="126"/>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26"/>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26"/>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w:t>
      </w:r>
      <w:r>
        <w:rPr>
          <w:rFonts w:hint="eastAsia"/>
          <w:color w:val="auto"/>
          <w:kern w:val="2"/>
          <w:highlight w:val="none"/>
          <w:lang w:eastAsia="zh-CN"/>
        </w:rPr>
        <w:t>投标人</w:t>
      </w:r>
      <w:r>
        <w:rPr>
          <w:rFonts w:hint="eastAsia"/>
          <w:color w:val="auto"/>
          <w:kern w:val="2"/>
          <w:highlight w:val="none"/>
        </w:rPr>
        <w:t>只能按要求填报。</w:t>
      </w:r>
    </w:p>
    <w:p w14:paraId="2755D4BE">
      <w:pPr>
        <w:pStyle w:val="4"/>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color w:val="auto"/>
          <w:highlight w:val="none"/>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4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lang w:eastAsia="zh-CN"/>
        </w:rPr>
        <w:t>投标人</w:t>
      </w:r>
      <w:r>
        <w:rPr>
          <w:rFonts w:hint="eastAsia"/>
          <w:color w:val="auto"/>
          <w:highlight w:val="none"/>
        </w:rPr>
        <w:t>名称（加盖公章）：</w:t>
      </w:r>
      <w:r>
        <w:rPr>
          <w:color w:val="auto"/>
          <w:highlight w:val="none"/>
          <w:u w:val="single"/>
        </w:rPr>
        <w:t xml:space="preserve">                               </w:t>
      </w:r>
    </w:p>
    <w:p w14:paraId="0497986B">
      <w:pPr>
        <w:pStyle w:val="126"/>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26"/>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7882CFE6">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2025年度中小学幼儿园教师培训公共服务平台及教学教务支持服务项目采购</w:t>
      </w:r>
    </w:p>
    <w:p w14:paraId="074667C0">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15" w:name="_Toc18205"/>
      <w:bookmarkStart w:id="16" w:name="_Toc14936"/>
      <w:bookmarkStart w:id="17" w:name="_Toc19503"/>
      <w:bookmarkStart w:id="18" w:name="_Toc15731"/>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w:t>
      </w:r>
      <w:r>
        <w:rPr>
          <w:rFonts w:hint="eastAsia"/>
          <w:color w:val="auto"/>
          <w:highlight w:val="none"/>
          <w:lang w:eastAsia="zh-CN"/>
        </w:rPr>
        <w:t>投标人</w:t>
      </w:r>
      <w:r>
        <w:rPr>
          <w:rFonts w:hint="eastAsia"/>
          <w:color w:val="auto"/>
          <w:highlight w:val="none"/>
        </w:rPr>
        <w:t>代表身份证明</w:t>
      </w:r>
      <w:bookmarkEnd w:id="15"/>
      <w:bookmarkEnd w:id="16"/>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17"/>
    <w:bookmarkEnd w:id="18"/>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w:t>
      </w:r>
      <w:r>
        <w:rPr>
          <w:rFonts w:hint="eastAsia"/>
          <w:color w:val="auto"/>
          <w:highlight w:val="none"/>
          <w:lang w:eastAsia="zh-CN"/>
        </w:rPr>
        <w:t>投标人</w:t>
      </w:r>
      <w:r>
        <w:rPr>
          <w:rFonts w:hint="eastAsia"/>
          <w:color w:val="auto"/>
          <w:highlight w:val="none"/>
        </w:rPr>
        <w:t>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9" w:name="_Toc28913"/>
      <w:bookmarkStart w:id="20" w:name="_Toc7039"/>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9"/>
      <w:bookmarkEnd w:id="20"/>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w:t>
      </w:r>
      <w:r>
        <w:rPr>
          <w:rFonts w:hint="eastAsia"/>
          <w:b/>
          <w:color w:val="auto"/>
          <w:highlight w:val="none"/>
          <w:lang w:eastAsia="zh-CN"/>
        </w:rPr>
        <w:t>投标人</w:t>
      </w:r>
      <w:r>
        <w:rPr>
          <w:rFonts w:hint="eastAsia"/>
          <w:b/>
          <w:color w:val="auto"/>
          <w:highlight w:val="none"/>
        </w:rPr>
        <w:t>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lang w:eastAsia="zh-CN"/>
        </w:rPr>
        <w:t>招标文件</w:t>
      </w:r>
      <w:r>
        <w:rPr>
          <w:rFonts w:hint="eastAsia"/>
          <w:b/>
          <w:color w:val="auto"/>
          <w:highlight w:val="none"/>
        </w:rPr>
        <w:t>没有提供格式的，</w:t>
      </w:r>
      <w:r>
        <w:rPr>
          <w:rFonts w:hint="eastAsia"/>
          <w:b/>
          <w:color w:val="auto"/>
          <w:highlight w:val="none"/>
          <w:lang w:eastAsia="zh-CN"/>
        </w:rPr>
        <w:t>投标人</w:t>
      </w:r>
      <w:r>
        <w:rPr>
          <w:rFonts w:hint="eastAsia"/>
          <w:b/>
          <w:color w:val="auto"/>
          <w:highlight w:val="none"/>
        </w:rPr>
        <w:t>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21" w:name="_Toc3192"/>
      <w:bookmarkStart w:id="22" w:name="_Toc25801"/>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21"/>
      <w:bookmarkEnd w:id="22"/>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w:t>
      </w:r>
      <w:r>
        <w:rPr>
          <w:rFonts w:hint="eastAsia"/>
          <w:color w:val="auto"/>
          <w:highlight w:val="none"/>
          <w:u w:val="single"/>
          <w:lang w:eastAsia="zh-CN"/>
        </w:rPr>
        <w:t>投标人</w:t>
      </w:r>
      <w:r>
        <w:rPr>
          <w:rFonts w:hint="eastAsia"/>
          <w:color w:val="auto"/>
          <w:highlight w:val="none"/>
          <w:u w:val="single"/>
        </w:rPr>
        <w:t>）</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lang w:eastAsia="zh-CN"/>
        </w:rPr>
        <w:t>投标人</w:t>
      </w:r>
      <w:r>
        <w:rPr>
          <w:rFonts w:hint="eastAsia"/>
          <w:color w:val="auto"/>
          <w:highlight w:val="none"/>
        </w:rPr>
        <w:t>公章：[</w:t>
      </w:r>
      <w:r>
        <w:rPr>
          <w:rFonts w:hint="eastAsia"/>
          <w:color w:val="auto"/>
          <w:highlight w:val="none"/>
          <w:lang w:eastAsia="zh-CN"/>
        </w:rPr>
        <w:t>投标人</w:t>
      </w:r>
      <w:r>
        <w:rPr>
          <w:rFonts w:hint="eastAsia"/>
          <w:color w:val="auto"/>
          <w:highlight w:val="none"/>
        </w:rPr>
        <w:t>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23" w:name="_Toc26741"/>
      <w:bookmarkStart w:id="24" w:name="_Toc12725"/>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23"/>
      <w:bookmarkEnd w:id="24"/>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w:t>
      </w:r>
      <w:r>
        <w:rPr>
          <w:rFonts w:hint="eastAsia"/>
          <w:color w:val="auto"/>
          <w:highlight w:val="none"/>
          <w:lang w:eastAsia="zh-CN"/>
        </w:rPr>
        <w:t>投标人</w:t>
      </w:r>
      <w:r>
        <w:rPr>
          <w:rFonts w:hint="eastAsia"/>
          <w:color w:val="auto"/>
          <w:highlight w:val="none"/>
        </w:rPr>
        <w:t>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lang w:eastAsia="zh-CN"/>
        </w:rPr>
        <w:t>投标人</w:t>
      </w:r>
      <w:r>
        <w:rPr>
          <w:rFonts w:hint="eastAsia"/>
          <w:color w:val="auto"/>
          <w:highlight w:val="none"/>
        </w:rPr>
        <w:t>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106045</wp:posOffset>
                </wp:positionV>
                <wp:extent cx="5534660" cy="1584960"/>
                <wp:effectExtent l="4445" t="4445" r="13970"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ermStart w:id="2" w:edGrp="everyone"/>
                            <w:permEnd w:id="2"/>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4"/>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6438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ermStart w:id="2" w:edGrp="everyone"/>
                      <w:permEnd w:id="2"/>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4"/>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181610</wp:posOffset>
                </wp:positionV>
                <wp:extent cx="5572760" cy="1584960"/>
                <wp:effectExtent l="4445" t="4445" r="13970"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3" w:edGrp="everyone"/>
                            <w:permEnd w:id="3"/>
                          </w:p>
                          <w:p w14:paraId="08738A6C">
                            <w:pPr>
                              <w:rPr>
                                <w:b/>
                              </w:rPr>
                            </w:pPr>
                          </w:p>
                          <w:p w14:paraId="2A1F7ACA">
                            <w:pPr>
                              <w:pStyle w:val="4"/>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540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3" w:edGrp="everyone"/>
                      <w:permEnd w:id="3"/>
                    </w:p>
                    <w:p w14:paraId="08738A6C">
                      <w:pPr>
                        <w:rPr>
                          <w:b/>
                        </w:rPr>
                      </w:pPr>
                    </w:p>
                    <w:p w14:paraId="2A1F7ACA">
                      <w:pPr>
                        <w:pStyle w:val="4"/>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34"/>
        <w:rPr>
          <w:rFonts w:hint="eastAsia" w:ascii="宋体" w:hAnsi="宋体"/>
          <w:color w:val="auto"/>
          <w:highlight w:val="none"/>
        </w:rPr>
      </w:pPr>
    </w:p>
    <w:p w14:paraId="70E5F478">
      <w:pPr>
        <w:pStyle w:val="34"/>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6"/>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2217CA4C">
      <w:pPr>
        <w:spacing w:line="360" w:lineRule="auto"/>
        <w:jc w:val="center"/>
        <w:rPr>
          <w:rFonts w:hint="eastAsia"/>
          <w:b/>
          <w:color w:val="auto"/>
          <w:sz w:val="32"/>
          <w:szCs w:val="32"/>
          <w:highlight w:val="none"/>
        </w:rPr>
      </w:pPr>
      <w:r>
        <w:rPr>
          <w:rFonts w:hint="eastAsia"/>
          <w:b/>
          <w:color w:val="auto"/>
          <w:sz w:val="32"/>
          <w:szCs w:val="32"/>
          <w:highlight w:val="none"/>
        </w:rPr>
        <w:t>2025年度中小学幼儿园教师培训公共服务平台及教学教务支持服务项目采购</w:t>
      </w:r>
    </w:p>
    <w:p w14:paraId="5FBDFBD4">
      <w:pPr>
        <w:spacing w:line="360" w:lineRule="auto"/>
        <w:jc w:val="center"/>
        <w:rPr>
          <w:rFonts w:hint="eastAsia"/>
          <w:b/>
          <w:color w:val="auto"/>
          <w:sz w:val="32"/>
          <w:szCs w:val="32"/>
          <w:highlight w:val="none"/>
        </w:rPr>
      </w:pP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w:t>
      </w:r>
      <w:r>
        <w:rPr>
          <w:rFonts w:hint="eastAsia"/>
          <w:color w:val="auto"/>
          <w:highlight w:val="none"/>
          <w:lang w:eastAsia="zh-CN"/>
        </w:rPr>
        <w:t>投标人</w:t>
      </w:r>
      <w:r>
        <w:rPr>
          <w:rFonts w:hint="eastAsia"/>
          <w:color w:val="auto"/>
          <w:highlight w:val="none"/>
        </w:rPr>
        <w:t>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w:t>
      </w:r>
      <w:r>
        <w:rPr>
          <w:rFonts w:hint="eastAsia"/>
          <w:color w:val="auto"/>
          <w:highlight w:val="none"/>
          <w:lang w:val="en-US" w:eastAsia="zh-CN"/>
        </w:rPr>
        <w:t>投标</w:t>
      </w:r>
      <w:r>
        <w:rPr>
          <w:rFonts w:hint="eastAsia"/>
          <w:color w:val="auto"/>
          <w:highlight w:val="none"/>
        </w:rPr>
        <w:t>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w:t>
      </w:r>
      <w:r>
        <w:rPr>
          <w:rFonts w:hint="eastAsia"/>
          <w:b/>
          <w:color w:val="auto"/>
          <w:highlight w:val="none"/>
          <w:lang w:eastAsia="zh-CN"/>
        </w:rPr>
        <w:t>投标人</w:t>
      </w:r>
      <w:r>
        <w:rPr>
          <w:rFonts w:hint="eastAsia"/>
          <w:b/>
          <w:color w:val="auto"/>
          <w:highlight w:val="none"/>
        </w:rPr>
        <w:t>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lang w:eastAsia="zh-CN"/>
        </w:rPr>
        <w:t>招标文件</w:t>
      </w:r>
      <w:r>
        <w:rPr>
          <w:rFonts w:hint="eastAsia"/>
          <w:b/>
          <w:color w:val="auto"/>
          <w:highlight w:val="none"/>
        </w:rPr>
        <w:t>没有提供格式的，</w:t>
      </w:r>
      <w:r>
        <w:rPr>
          <w:rFonts w:hint="eastAsia"/>
          <w:b/>
          <w:color w:val="auto"/>
          <w:highlight w:val="none"/>
          <w:lang w:eastAsia="zh-CN"/>
        </w:rPr>
        <w:t>投标人</w:t>
      </w:r>
      <w:r>
        <w:rPr>
          <w:rFonts w:hint="eastAsia"/>
          <w:b/>
          <w:color w:val="auto"/>
          <w:highlight w:val="none"/>
        </w:rPr>
        <w:t>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w:t>
      </w:r>
      <w:r>
        <w:rPr>
          <w:rFonts w:hint="eastAsia"/>
          <w:b/>
          <w:bCs/>
          <w:color w:val="auto"/>
          <w:sz w:val="28"/>
          <w:szCs w:val="28"/>
          <w:highlight w:val="none"/>
          <w:lang w:eastAsia="zh-CN"/>
        </w:rPr>
        <w:t>投标人</w:t>
      </w:r>
      <w:r>
        <w:rPr>
          <w:rFonts w:hint="eastAsia"/>
          <w:b/>
          <w:bCs/>
          <w:color w:val="auto"/>
          <w:sz w:val="28"/>
          <w:szCs w:val="28"/>
          <w:highlight w:val="none"/>
        </w:rPr>
        <w:t>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w:t>
      </w:r>
      <w:r>
        <w:rPr>
          <w:rFonts w:hint="eastAsia"/>
          <w:color w:val="auto"/>
          <w:sz w:val="24"/>
          <w:szCs w:val="24"/>
          <w:highlight w:val="none"/>
          <w:lang w:val="en-US" w:eastAsia="zh-CN"/>
        </w:rPr>
        <w:t>投标</w:t>
      </w:r>
      <w:r>
        <w:rPr>
          <w:color w:val="auto"/>
          <w:sz w:val="24"/>
          <w:szCs w:val="24"/>
          <w:highlight w:val="none"/>
        </w:rPr>
        <w:t>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415"/>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414"/>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414"/>
              <w:widowControl w:val="0"/>
              <w:autoSpaceDE w:val="0"/>
              <w:autoSpaceDN w:val="0"/>
              <w:rPr>
                <w:color w:val="auto"/>
                <w:highlight w:val="none"/>
              </w:rPr>
            </w:pPr>
          </w:p>
        </w:tc>
        <w:tc>
          <w:tcPr>
            <w:tcW w:w="3244" w:type="dxa"/>
            <w:vAlign w:val="top"/>
          </w:tcPr>
          <w:p w14:paraId="764BFAEE">
            <w:pPr>
              <w:pStyle w:val="414"/>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414"/>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414"/>
              <w:widowControl w:val="0"/>
              <w:autoSpaceDE w:val="0"/>
              <w:autoSpaceDN w:val="0"/>
              <w:rPr>
                <w:color w:val="auto"/>
                <w:highlight w:val="none"/>
              </w:rPr>
            </w:pPr>
          </w:p>
        </w:tc>
        <w:tc>
          <w:tcPr>
            <w:tcW w:w="3244" w:type="dxa"/>
            <w:vAlign w:val="top"/>
          </w:tcPr>
          <w:p w14:paraId="7018BB96">
            <w:pPr>
              <w:pStyle w:val="414"/>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414"/>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414"/>
              <w:widowControl w:val="0"/>
              <w:autoSpaceDE w:val="0"/>
              <w:autoSpaceDN w:val="0"/>
              <w:rPr>
                <w:color w:val="auto"/>
                <w:highlight w:val="none"/>
              </w:rPr>
            </w:pPr>
          </w:p>
        </w:tc>
        <w:tc>
          <w:tcPr>
            <w:tcW w:w="3244" w:type="dxa"/>
            <w:vAlign w:val="top"/>
          </w:tcPr>
          <w:p w14:paraId="7537FEE0">
            <w:pPr>
              <w:pStyle w:val="414"/>
              <w:widowControl w:val="0"/>
              <w:autoSpaceDE w:val="0"/>
              <w:autoSpaceDN w:val="0"/>
              <w:rPr>
                <w:color w:val="auto"/>
                <w:highlight w:val="none"/>
              </w:rPr>
            </w:pPr>
          </w:p>
        </w:tc>
      </w:tr>
    </w:tbl>
    <w:p w14:paraId="12716430">
      <w:pPr>
        <w:pStyle w:val="16"/>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6"/>
        <w:spacing w:before="79" w:line="217" w:lineRule="auto"/>
        <w:rPr>
          <w:rFonts w:ascii="Arial" w:hAnsi="Arial" w:eastAsia="Arial" w:cs="Arial"/>
          <w:color w:val="auto"/>
          <w:sz w:val="24"/>
          <w:szCs w:val="24"/>
          <w:highlight w:val="none"/>
        </w:rPr>
      </w:pPr>
      <w:r>
        <w:rPr>
          <w:rFonts w:hint="eastAsia"/>
          <w:color w:val="auto"/>
          <w:spacing w:val="-5"/>
          <w:sz w:val="24"/>
          <w:szCs w:val="24"/>
          <w:highlight w:val="none"/>
          <w:lang w:eastAsia="zh-CN"/>
        </w:rPr>
        <w:t>投标人</w:t>
      </w:r>
      <w:r>
        <w:rPr>
          <w:color w:val="auto"/>
          <w:spacing w:val="-5"/>
          <w:sz w:val="24"/>
          <w:szCs w:val="24"/>
          <w:highlight w:val="none"/>
        </w:rPr>
        <w:t>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6"/>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6"/>
        <w:spacing w:before="184" w:line="362" w:lineRule="auto"/>
        <w:ind w:right="34"/>
        <w:rPr>
          <w:color w:val="auto"/>
          <w:sz w:val="22"/>
          <w:szCs w:val="22"/>
          <w:highlight w:val="none"/>
        </w:rPr>
      </w:pPr>
      <w:r>
        <w:rPr>
          <w:color w:val="auto"/>
          <w:spacing w:val="2"/>
          <w:sz w:val="22"/>
          <w:szCs w:val="22"/>
          <w:highlight w:val="none"/>
        </w:rPr>
        <w:t>说明：</w:t>
      </w:r>
      <w:r>
        <w:rPr>
          <w:rFonts w:hint="eastAsia"/>
          <w:color w:val="auto"/>
          <w:spacing w:val="2"/>
          <w:sz w:val="22"/>
          <w:szCs w:val="22"/>
          <w:highlight w:val="none"/>
          <w:lang w:eastAsia="zh-CN"/>
        </w:rPr>
        <w:t>投标人</w:t>
      </w:r>
      <w:r>
        <w:rPr>
          <w:color w:val="auto"/>
          <w:spacing w:val="2"/>
          <w:sz w:val="22"/>
          <w:szCs w:val="22"/>
          <w:highlight w:val="none"/>
        </w:rPr>
        <w:t>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7CA5BF65">
      <w:pPr>
        <w:spacing w:line="362" w:lineRule="auto"/>
        <w:rPr>
          <w:color w:val="auto"/>
          <w:sz w:val="24"/>
          <w:szCs w:val="24"/>
          <w:highlight w:val="none"/>
        </w:rPr>
        <w:sectPr>
          <w:headerReference r:id="rId8" w:type="default"/>
          <w:footerReference r:id="rId9"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6"/>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6"/>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6"/>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w:t>
      </w:r>
      <w:r>
        <w:rPr>
          <w:rFonts w:hint="eastAsia" w:ascii="宋体" w:hAnsi="宋体" w:cs="宋体"/>
          <w:color w:val="auto"/>
          <w:spacing w:val="-7"/>
          <w:sz w:val="24"/>
          <w:szCs w:val="24"/>
          <w:highlight w:val="none"/>
          <w:lang w:val="en-US" w:eastAsia="zh-CN"/>
        </w:rPr>
        <w:t>投标</w:t>
      </w:r>
      <w:r>
        <w:rPr>
          <w:rFonts w:hint="eastAsia" w:ascii="宋体" w:hAnsi="宋体" w:eastAsia="宋体" w:cs="宋体"/>
          <w:color w:val="auto"/>
          <w:spacing w:val="-7"/>
          <w:sz w:val="24"/>
          <w:szCs w:val="24"/>
          <w:highlight w:val="none"/>
        </w:rPr>
        <w:t>。</w:t>
      </w:r>
    </w:p>
    <w:p w14:paraId="61E6698D">
      <w:pPr>
        <w:pStyle w:val="16"/>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w:t>
      </w:r>
      <w:r>
        <w:rPr>
          <w:rFonts w:hint="eastAsia" w:ascii="宋体" w:hAnsi="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，自愿参与</w:t>
      </w:r>
      <w:r>
        <w:rPr>
          <w:rFonts w:hint="eastAsia" w:ascii="宋体" w:hAnsi="宋体" w:cs="宋体"/>
          <w:color w:val="auto"/>
          <w:spacing w:val="-2"/>
          <w:sz w:val="24"/>
          <w:szCs w:val="24"/>
          <w:highlight w:val="none"/>
          <w:lang w:eastAsia="zh-CN"/>
        </w:rPr>
        <w:t>投标</w:t>
      </w:r>
      <w:r>
        <w:rPr>
          <w:rFonts w:hint="eastAsia" w:ascii="宋体" w:hAnsi="宋体" w:eastAsia="宋体" w:cs="宋体"/>
          <w:color w:val="auto"/>
          <w:spacing w:val="-2"/>
          <w:sz w:val="24"/>
          <w:szCs w:val="24"/>
          <w:highlight w:val="none"/>
        </w:rPr>
        <w:t>并承诺</w:t>
      </w:r>
      <w:r>
        <w:rPr>
          <w:rFonts w:hint="eastAsia" w:ascii="宋体" w:hAnsi="宋体" w:eastAsia="宋体" w:cs="宋体"/>
          <w:color w:val="auto"/>
          <w:spacing w:val="-3"/>
          <w:sz w:val="24"/>
          <w:szCs w:val="24"/>
          <w:highlight w:val="none"/>
        </w:rPr>
        <w:t>如下：</w:t>
      </w:r>
    </w:p>
    <w:p w14:paraId="4E580661">
      <w:pPr>
        <w:pStyle w:val="16"/>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6"/>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w:t>
      </w:r>
      <w:r>
        <w:rPr>
          <w:rFonts w:hint="eastAsia" w:ascii="宋体" w:hAnsi="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6"/>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6"/>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w:t>
      </w:r>
      <w:r>
        <w:rPr>
          <w:rFonts w:hint="eastAsia" w:ascii="宋体" w:hAnsi="宋体" w:cs="宋体"/>
          <w:color w:val="auto"/>
          <w:spacing w:val="2"/>
          <w:sz w:val="24"/>
          <w:szCs w:val="24"/>
          <w:highlight w:val="none"/>
          <w:lang w:eastAsia="zh-CN"/>
        </w:rPr>
        <w:t>投标</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6"/>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6"/>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w:t>
      </w:r>
      <w:r>
        <w:rPr>
          <w:rFonts w:hint="eastAsia" w:ascii="宋体" w:hAnsi="宋体" w:cs="宋体"/>
          <w:color w:val="auto"/>
          <w:spacing w:val="-4"/>
          <w:sz w:val="24"/>
          <w:szCs w:val="24"/>
          <w:highlight w:val="none"/>
          <w:lang w:eastAsia="zh-CN"/>
        </w:rPr>
        <w:t>投标</w:t>
      </w:r>
      <w:r>
        <w:rPr>
          <w:rFonts w:hint="eastAsia" w:ascii="宋体" w:hAnsi="宋体" w:eastAsia="宋体" w:cs="宋体"/>
          <w:color w:val="auto"/>
          <w:spacing w:val="-4"/>
          <w:sz w:val="24"/>
          <w:szCs w:val="24"/>
          <w:highlight w:val="none"/>
        </w:rPr>
        <w:t>有关的一切正式往来信函请寄：</w:t>
      </w:r>
    </w:p>
    <w:p w14:paraId="3993A9A8">
      <w:pPr>
        <w:pStyle w:val="16"/>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6"/>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6"/>
        <w:spacing w:before="79" w:line="217" w:lineRule="auto"/>
        <w:ind w:left="369"/>
        <w:rPr>
          <w:rFonts w:ascii="Arial" w:hAnsi="Arial" w:eastAsia="Arial" w:cs="Arial"/>
          <w:color w:val="auto"/>
          <w:sz w:val="24"/>
          <w:szCs w:val="24"/>
          <w:highlight w:val="none"/>
        </w:rPr>
      </w:pPr>
      <w:r>
        <w:rPr>
          <w:rFonts w:hint="eastAsia"/>
          <w:color w:val="auto"/>
          <w:spacing w:val="-13"/>
          <w:sz w:val="24"/>
          <w:szCs w:val="24"/>
          <w:highlight w:val="none"/>
          <w:lang w:eastAsia="zh-CN"/>
        </w:rPr>
        <w:t>投标人</w:t>
      </w:r>
      <w:r>
        <w:rPr>
          <w:color w:val="auto"/>
          <w:spacing w:val="-13"/>
          <w:sz w:val="24"/>
          <w:szCs w:val="24"/>
          <w:highlight w:val="none"/>
        </w:rPr>
        <w:t>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6"/>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355C2467">
      <w:pPr>
        <w:spacing w:line="217" w:lineRule="auto"/>
        <w:rPr>
          <w:color w:val="auto"/>
          <w:sz w:val="24"/>
          <w:szCs w:val="24"/>
          <w:highlight w:val="none"/>
        </w:rPr>
        <w:sectPr>
          <w:headerReference r:id="rId10" w:type="default"/>
          <w:footerReference r:id="rId11"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投标</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40"/>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投标人</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7"/>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27"/>
        </w:numPr>
        <w:spacing w:line="440" w:lineRule="exact"/>
        <w:rPr>
          <w:b/>
          <w:color w:val="auto"/>
          <w:highlight w:val="none"/>
        </w:rPr>
      </w:pPr>
      <w:r>
        <w:rPr>
          <w:rFonts w:hint="eastAsia"/>
          <w:b/>
          <w:color w:val="auto"/>
          <w:highlight w:val="none"/>
        </w:rPr>
        <w:t>项目负责人简历表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40"/>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lang w:eastAsia="zh-CN"/>
        </w:rPr>
        <w:t>投标人</w:t>
      </w:r>
      <w:r>
        <w:rPr>
          <w:rFonts w:hint="eastAsia"/>
          <w:color w:val="auto"/>
          <w:highlight w:val="none"/>
        </w:rPr>
        <w:t>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41"/>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w:t>
      </w:r>
      <w:r>
        <w:rPr>
          <w:rFonts w:hint="eastAsia"/>
          <w:b/>
          <w:color w:val="auto"/>
          <w:highlight w:val="none"/>
          <w:lang w:eastAsia="zh-CN"/>
        </w:rPr>
        <w:t>投标人</w:t>
      </w:r>
      <w:r>
        <w:rPr>
          <w:rFonts w:hint="eastAsia"/>
          <w:b/>
          <w:color w:val="auto"/>
          <w:highlight w:val="none"/>
        </w:rPr>
        <w:t>公章。</w:t>
      </w:r>
    </w:p>
    <w:p w14:paraId="6BFEC1F6">
      <w:pPr>
        <w:spacing w:line="440" w:lineRule="exact"/>
        <w:rPr>
          <w:rFonts w:hint="default" w:eastAsia="宋体"/>
          <w:b/>
          <w:color w:val="auto"/>
          <w:highlight w:val="none"/>
          <w:lang w:val="en-US" w:eastAsia="zh-CN"/>
        </w:rPr>
      </w:pPr>
      <w:r>
        <w:rPr>
          <w:rFonts w:hint="eastAsia"/>
          <w:b/>
          <w:color w:val="auto"/>
          <w:highlight w:val="none"/>
          <w:lang w:val="en-US" w:eastAsia="zh-CN"/>
        </w:rPr>
        <w:t>投标人</w:t>
      </w:r>
      <w:r>
        <w:rPr>
          <w:rFonts w:hint="eastAsia" w:eastAsia="宋体"/>
          <w:b/>
          <w:color w:val="auto"/>
          <w:highlight w:val="none"/>
          <w:lang w:val="en-US" w:eastAsia="zh-CN"/>
        </w:rPr>
        <w:t>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6"/>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415"/>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竞争性</w:t>
            </w:r>
            <w:r>
              <w:rPr>
                <w:rFonts w:hint="eastAsia" w:cs="宋体"/>
                <w:color w:val="auto"/>
                <w:spacing w:val="-2"/>
                <w:sz w:val="24"/>
                <w:szCs w:val="24"/>
                <w:highlight w:val="none"/>
                <w:lang w:eastAsia="zh-CN"/>
              </w:rPr>
              <w:t>投标</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w:t>
            </w:r>
            <w:r>
              <w:rPr>
                <w:rFonts w:hint="eastAsia" w:cs="宋体"/>
                <w:color w:val="auto"/>
                <w:spacing w:val="-3"/>
                <w:sz w:val="24"/>
                <w:szCs w:val="24"/>
                <w:highlight w:val="none"/>
                <w:lang w:eastAsia="zh-CN"/>
              </w:rPr>
              <w:t>投标</w:t>
            </w:r>
            <w:r>
              <w:rPr>
                <w:rFonts w:ascii="宋体" w:hAnsi="宋体" w:eastAsia="宋体" w:cs="宋体"/>
                <w:color w:val="auto"/>
                <w:spacing w:val="-3"/>
                <w:sz w:val="24"/>
                <w:szCs w:val="24"/>
                <w:highlight w:val="none"/>
              </w:rPr>
              <w:t>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414"/>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w:t>
            </w:r>
            <w:r>
              <w:rPr>
                <w:rFonts w:hint="eastAsia" w:ascii="宋体" w:hAnsi="宋体" w:eastAsia="宋体" w:cs="宋体"/>
                <w:color w:val="auto"/>
                <w:spacing w:val="-11"/>
                <w:sz w:val="24"/>
                <w:szCs w:val="24"/>
                <w:highlight w:val="none"/>
                <w:lang w:eastAsia="zh-CN"/>
              </w:rPr>
              <w:t>投标人</w:t>
            </w:r>
            <w:r>
              <w:rPr>
                <w:rFonts w:ascii="宋体" w:hAnsi="宋体" w:eastAsia="宋体" w:cs="宋体"/>
                <w:color w:val="auto"/>
                <w:spacing w:val="-11"/>
                <w:sz w:val="24"/>
                <w:szCs w:val="24"/>
                <w:highlight w:val="none"/>
              </w:rPr>
              <w:t>已对之理解和响应。）</w:t>
            </w:r>
          </w:p>
          <w:p w14:paraId="5B10B315">
            <w:pPr>
              <w:pStyle w:val="414"/>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w:t>
            </w:r>
            <w:r>
              <w:rPr>
                <w:rFonts w:hint="eastAsia" w:ascii="宋体" w:hAnsi="宋体" w:eastAsia="宋体" w:cs="宋体"/>
                <w:color w:val="auto"/>
                <w:spacing w:val="-5"/>
                <w:sz w:val="24"/>
                <w:szCs w:val="24"/>
                <w:highlight w:val="none"/>
                <w:lang w:eastAsia="zh-CN"/>
              </w:rPr>
              <w:t>投标人</w:t>
            </w:r>
            <w:r>
              <w:rPr>
                <w:rFonts w:ascii="宋体" w:hAnsi="宋体" w:eastAsia="宋体" w:cs="宋体"/>
                <w:color w:val="auto"/>
                <w:spacing w:val="-5"/>
                <w:sz w:val="24"/>
                <w:szCs w:val="24"/>
                <w:highlight w:val="none"/>
              </w:rPr>
              <w:t>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414"/>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6"/>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b/>
          <w:color w:val="auto"/>
          <w:highlight w:val="none"/>
          <w:lang w:val="en-US" w:eastAsia="zh-CN"/>
        </w:rPr>
        <w:t>投标人</w:t>
      </w:r>
      <w:r>
        <w:rPr>
          <w:rFonts w:hint="eastAsia" w:eastAsia="宋体"/>
          <w:b/>
          <w:color w:val="auto"/>
          <w:highlight w:val="none"/>
          <w:lang w:val="en-US" w:eastAsia="zh-CN"/>
        </w:rPr>
        <w:t>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41"/>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28"/>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招标文件</w:t>
      </w:r>
      <w:r>
        <w:rPr>
          <w:rFonts w:hint="eastAsia" w:eastAsia="宋体"/>
          <w:b/>
          <w:color w:val="auto"/>
          <w:highlight w:val="none"/>
          <w:lang w:val="en-US" w:eastAsia="zh-CN"/>
        </w:rPr>
        <w:t>中的所有商务、技术要求，除本表所列明的所有偏离外，均视作</w:t>
      </w:r>
      <w:r>
        <w:rPr>
          <w:rFonts w:hint="eastAsia"/>
          <w:b/>
          <w:color w:val="auto"/>
          <w:highlight w:val="none"/>
          <w:lang w:val="en-US" w:eastAsia="zh-CN"/>
        </w:rPr>
        <w:t>投标人</w:t>
      </w:r>
      <w:r>
        <w:rPr>
          <w:rFonts w:hint="eastAsia" w:eastAsia="宋体"/>
          <w:b/>
          <w:color w:val="auto"/>
          <w:highlight w:val="none"/>
          <w:lang w:val="en-US" w:eastAsia="zh-CN"/>
        </w:rPr>
        <w:t>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b/>
          <w:color w:val="auto"/>
          <w:highlight w:val="none"/>
          <w:lang w:val="en-US" w:eastAsia="zh-CN"/>
        </w:rPr>
        <w:t>投标人</w:t>
      </w:r>
      <w:r>
        <w:rPr>
          <w:rFonts w:hint="eastAsia" w:eastAsia="宋体"/>
          <w:b/>
          <w:color w:val="auto"/>
          <w:highlight w:val="none"/>
          <w:lang w:val="en-US" w:eastAsia="zh-CN"/>
        </w:rPr>
        <w:t>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2C597D6B">
      <w:pPr>
        <w:pStyle w:val="39"/>
        <w:keepNext w:val="0"/>
        <w:keepLines w:val="0"/>
        <w:pageBreakBefore w:val="0"/>
        <w:widowControl/>
        <w:numPr>
          <w:ilvl w:val="0"/>
          <w:numId w:val="29"/>
        </w:numPr>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课程数量及质量</w:t>
      </w:r>
    </w:p>
    <w:p w14:paraId="4C509D40">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2.运营服务质量保证措施</w:t>
      </w:r>
    </w:p>
    <w:p w14:paraId="7C41CC98">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3.课程授权</w:t>
      </w:r>
    </w:p>
    <w:p w14:paraId="0D454DB1">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4.运维服务质量保证措施</w:t>
      </w:r>
    </w:p>
    <w:p w14:paraId="78AF0C15">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5.硬件服务器、网络和大模型要求</w:t>
      </w:r>
    </w:p>
    <w:p w14:paraId="3E70589C">
      <w:pPr>
        <w:pStyle w:val="3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6.应急预案</w:t>
      </w:r>
    </w:p>
    <w:p w14:paraId="53E1B259">
      <w:pPr>
        <w:pStyle w:val="39"/>
        <w:rPr>
          <w:rFonts w:hint="eastAsia"/>
          <w:color w:val="auto"/>
          <w:highlight w:val="none"/>
          <w:lang w:val="en-US" w:eastAsia="zh-CN"/>
        </w:rPr>
      </w:pPr>
    </w:p>
    <w:p w14:paraId="05C239CC">
      <w:pPr>
        <w:pStyle w:val="39"/>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lang w:eastAsia="zh-CN"/>
        </w:rPr>
        <w:t>招标文件</w:t>
      </w:r>
      <w:r>
        <w:rPr>
          <w:rFonts w:hint="eastAsia"/>
          <w:b w:val="0"/>
          <w:bCs/>
          <w:color w:val="auto"/>
          <w:sz w:val="24"/>
          <w:szCs w:val="24"/>
          <w:highlight w:val="none"/>
        </w:rPr>
        <w:t>要求提供或</w:t>
      </w:r>
      <w:r>
        <w:rPr>
          <w:rFonts w:hint="eastAsia"/>
          <w:b w:val="0"/>
          <w:bCs/>
          <w:color w:val="auto"/>
          <w:sz w:val="24"/>
          <w:szCs w:val="24"/>
          <w:highlight w:val="none"/>
          <w:lang w:eastAsia="zh-CN"/>
        </w:rPr>
        <w:t>投标人</w:t>
      </w:r>
      <w:r>
        <w:rPr>
          <w:rFonts w:hint="eastAsia"/>
          <w:b w:val="0"/>
          <w:bCs/>
          <w:color w:val="auto"/>
          <w:sz w:val="24"/>
          <w:szCs w:val="24"/>
          <w:highlight w:val="none"/>
        </w:rPr>
        <w:t>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30"/>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1224B198">
      <w:pPr>
        <w:pStyle w:val="16"/>
        <w:jc w:val="center"/>
        <w:rPr>
          <w:rFonts w:hint="eastAsia" w:asciiTheme="minorEastAsia" w:hAnsiTheme="minorEastAsia" w:eastAsiaTheme="minorEastAsia" w:cstheme="minorEastAsia"/>
          <w:b/>
          <w:color w:val="auto"/>
          <w:sz w:val="30"/>
          <w:szCs w:val="30"/>
          <w:highlight w:val="none"/>
          <w:lang w:val="en-US" w:eastAsia="zh-CN"/>
        </w:rPr>
      </w:pPr>
    </w:p>
    <w:sectPr>
      <w:headerReference r:id="rId12" w:type="default"/>
      <w:footerReference r:id="rId13" w:type="default"/>
      <w:pgSz w:w="11906" w:h="16838"/>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93BBE9-1865-4809-8778-0A3CB97A3FD6}"/>
  </w:font>
  <w:font w:name="黑体">
    <w:panose1 w:val="02010609060101010101"/>
    <w:charset w:val="86"/>
    <w:family w:val="auto"/>
    <w:pitch w:val="default"/>
    <w:sig w:usb0="800002BF" w:usb1="38CF7CFA" w:usb2="00000016" w:usb3="00000000" w:csb0="00040001" w:csb1="00000000"/>
    <w:embedRegular r:id="rId2" w:fontKey="{C25037E8-0BE9-4166-8C9A-0FD5E947FC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BFFAF17-4B91-4585-81F9-63F99669A07F}"/>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苹方-简">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Trebuchet MS">
    <w:panose1 w:val="020B0603020202020204"/>
    <w:charset w:val="00"/>
    <w:family w:val="swiss"/>
    <w:pitch w:val="default"/>
    <w:sig w:usb0="00000687" w:usb1="00000000" w:usb2="00000000" w:usb3="00000000" w:csb0="2000009F" w:csb1="00000000"/>
  </w:font>
  <w:font w:name="Helvetica">
    <w:altName w:val="Arial"/>
    <w:panose1 w:val="00000000000000000000"/>
    <w:charset w:val="00"/>
    <w:family w:val="auto"/>
    <w:pitch w:val="default"/>
    <w:sig w:usb0="00000000" w:usb1="00000000" w:usb2="00000000" w:usb3="00000000" w:csb0="2000019F" w:csb1="4F010000"/>
  </w:font>
  <w:font w:name="Wingdings 2">
    <w:panose1 w:val="05020102010507070707"/>
    <w:charset w:val="02"/>
    <w:family w:val="roman"/>
    <w:pitch w:val="default"/>
    <w:sig w:usb0="00000000" w:usb1="00000000" w:usb2="00000000" w:usb3="00000000" w:csb0="80000000" w:csb1="00000000"/>
    <w:embedRegular r:id="rId4" w:fontKey="{19CCC95E-3A07-447C-8676-604A562288EC}"/>
  </w:font>
  <w:font w:name="??_GB2312">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078B">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914D">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47914D">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0BA7">
    <w:pPr>
      <w:pStyle w:val="24"/>
      <w:framePr w:wrap="around" w:vAnchor="text" w:hAnchor="margin" w:xAlign="center" w:y="1"/>
      <w:rPr>
        <w:rStyle w:val="44"/>
      </w:rPr>
    </w:pPr>
    <w:r>
      <w:fldChar w:fldCharType="begin"/>
    </w:r>
    <w:r>
      <w:rPr>
        <w:rStyle w:val="44"/>
      </w:rPr>
      <w:instrText xml:space="preserve">PAGE  </w:instrText>
    </w:r>
    <w:r>
      <w:fldChar w:fldCharType="end"/>
    </w:r>
  </w:p>
  <w:p w14:paraId="5C891D9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BAEE">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530E9">
                          <w:pPr>
                            <w:pStyle w:val="2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0530E9">
                    <w:pPr>
                      <w:pStyle w:val="2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2CB3">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0F0DB">
                          <w:pPr>
                            <w:pStyle w:val="2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10F0DB">
                    <w:pPr>
                      <w:pStyle w:val="2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2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A00EEF6">
                    <w:pPr>
                      <w:pStyle w:val="2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CA77580">
                    <w:pPr>
                      <w:pStyle w:val="24"/>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266A">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904DB">
                          <w:pPr>
                            <w:pStyle w:val="2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FA904DB">
                    <w:pPr>
                      <w:pStyle w:val="2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AB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8F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2DFD">
    <w:pPr>
      <w:pStyle w:val="25"/>
      <w:pBdr>
        <w:bottom w:val="none" w:color="auto" w:sz="0" w:space="0"/>
      </w:pBdr>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419B"/>
    <w:multiLevelType w:val="singleLevel"/>
    <w:tmpl w:val="976E419B"/>
    <w:lvl w:ilvl="0" w:tentative="0">
      <w:start w:val="3"/>
      <w:numFmt w:val="chineseCounting"/>
      <w:suff w:val="space"/>
      <w:lvlText w:val="第%1条"/>
      <w:lvlJc w:val="left"/>
      <w:rPr>
        <w:rFonts w:hint="eastAsia"/>
      </w:rPr>
    </w:lvl>
  </w:abstractNum>
  <w:abstractNum w:abstractNumId="1">
    <w:nsid w:val="99AAC9E3"/>
    <w:multiLevelType w:val="singleLevel"/>
    <w:tmpl w:val="99AAC9E3"/>
    <w:lvl w:ilvl="0" w:tentative="0">
      <w:start w:val="1"/>
      <w:numFmt w:val="decimal"/>
      <w:lvlText w:val="%1."/>
      <w:lvlJc w:val="left"/>
      <w:pPr>
        <w:tabs>
          <w:tab w:val="left" w:pos="312"/>
        </w:tabs>
      </w:pPr>
    </w:lvl>
  </w:abstractNum>
  <w:abstractNum w:abstractNumId="2">
    <w:nsid w:val="D52AF570"/>
    <w:multiLevelType w:val="singleLevel"/>
    <w:tmpl w:val="D52AF570"/>
    <w:lvl w:ilvl="0" w:tentative="0">
      <w:start w:val="6"/>
      <w:numFmt w:val="chineseCounting"/>
      <w:suff w:val="space"/>
      <w:lvlText w:val="第%1章"/>
      <w:lvlJc w:val="left"/>
      <w:rPr>
        <w:rFonts w:hint="eastAsia"/>
      </w:rPr>
    </w:lvl>
  </w:abstractNum>
  <w:abstractNum w:abstractNumId="3">
    <w:nsid w:val="DB1F2195"/>
    <w:multiLevelType w:val="singleLevel"/>
    <w:tmpl w:val="DB1F2195"/>
    <w:lvl w:ilvl="0" w:tentative="0">
      <w:start w:val="1"/>
      <w:numFmt w:val="decimal"/>
      <w:lvlText w:val="%1."/>
      <w:lvlJc w:val="left"/>
      <w:pPr>
        <w:tabs>
          <w:tab w:val="left" w:pos="312"/>
        </w:tabs>
      </w:pPr>
    </w:lvl>
  </w:abstractNum>
  <w:abstractNum w:abstractNumId="4">
    <w:nsid w:val="DBFBAB71"/>
    <w:multiLevelType w:val="singleLevel"/>
    <w:tmpl w:val="DBFBAB71"/>
    <w:lvl w:ilvl="0" w:tentative="0">
      <w:start w:val="3"/>
      <w:numFmt w:val="chineseCounting"/>
      <w:suff w:val="space"/>
      <w:lvlText w:val="第%1章"/>
      <w:lvlJc w:val="left"/>
      <w:rPr>
        <w:rFonts w:hint="eastAsia"/>
      </w:rPr>
    </w:lvl>
  </w:abstractNum>
  <w:abstractNum w:abstractNumId="5">
    <w:nsid w:val="EC2418A3"/>
    <w:multiLevelType w:val="singleLevel"/>
    <w:tmpl w:val="EC2418A3"/>
    <w:lvl w:ilvl="0" w:tentative="0">
      <w:start w:val="1"/>
      <w:numFmt w:val="decimal"/>
      <w:lvlText w:val="%1."/>
      <w:lvlJc w:val="left"/>
      <w:pPr>
        <w:tabs>
          <w:tab w:val="left" w:pos="312"/>
        </w:tabs>
      </w:pPr>
    </w:lvl>
  </w:abstractNum>
  <w:abstractNum w:abstractNumId="6">
    <w:nsid w:val="F674A01A"/>
    <w:multiLevelType w:val="singleLevel"/>
    <w:tmpl w:val="F674A01A"/>
    <w:lvl w:ilvl="0" w:tentative="0">
      <w:start w:val="1"/>
      <w:numFmt w:val="decimal"/>
      <w:lvlText w:val="%1."/>
      <w:lvlJc w:val="left"/>
    </w:lvl>
  </w:abstractNum>
  <w:abstractNum w:abstractNumId="7">
    <w:nsid w:val="FEE88163"/>
    <w:multiLevelType w:val="singleLevel"/>
    <w:tmpl w:val="FEE88163"/>
    <w:lvl w:ilvl="0" w:tentative="0">
      <w:start w:val="1"/>
      <w:numFmt w:val="decimal"/>
      <w:lvlText w:val="%1."/>
      <w:lvlJc w:val="left"/>
      <w:pPr>
        <w:tabs>
          <w:tab w:val="left" w:pos="312"/>
        </w:tabs>
      </w:pPr>
    </w:lvl>
  </w:abstractNum>
  <w:abstractNum w:abstractNumId="8">
    <w:nsid w:val="FFF7734A"/>
    <w:multiLevelType w:val="singleLevel"/>
    <w:tmpl w:val="FFF7734A"/>
    <w:lvl w:ilvl="0" w:tentative="0">
      <w:start w:val="1"/>
      <w:numFmt w:val="chineseCounting"/>
      <w:suff w:val="nothing"/>
      <w:lvlText w:val="（%1）"/>
      <w:lvlJc w:val="left"/>
      <w:pPr>
        <w:ind w:left="0" w:firstLine="420"/>
      </w:pPr>
      <w:rPr>
        <w:rFonts w:hint="eastAsia"/>
      </w:rPr>
    </w:lvl>
  </w:abstractNum>
  <w:abstractNum w:abstractNumId="9">
    <w:nsid w:val="02D0217E"/>
    <w:multiLevelType w:val="multilevel"/>
    <w:tmpl w:val="02D0217E"/>
    <w:lvl w:ilvl="0" w:tentative="0">
      <w:start w:val="1"/>
      <w:numFmt w:val="chineseCounting"/>
      <w:lvlText w:val="（%1）"/>
      <w:lvlJc w:val="left"/>
      <w:pPr>
        <w:ind w:left="440" w:hanging="440"/>
      </w:pPr>
      <w:rPr>
        <w:rFonts w:hint="eastAsia" w:ascii="仿宋" w:hAnsi="仿宋" w:eastAsia="仿宋"/>
        <w:b/>
        <w:bCs/>
        <w:color w:val="000000" w:themeColor="text1"/>
        <w:sz w:val="28"/>
        <w:szCs w:val="28"/>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AC4377C"/>
    <w:multiLevelType w:val="multilevel"/>
    <w:tmpl w:val="0AC4377C"/>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1">
    <w:nsid w:val="12644532"/>
    <w:multiLevelType w:val="multilevel"/>
    <w:tmpl w:val="12644532"/>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bullet"/>
      <w:lvlText w:val=""/>
      <w:lvlJc w:val="left"/>
      <w:pPr>
        <w:ind w:left="1291" w:hanging="440"/>
      </w:pPr>
      <w:rPr>
        <w:rFonts w:hint="default" w:ascii="Wingdings" w:hAnsi="Wingding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1A4046F0"/>
    <w:multiLevelType w:val="multilevel"/>
    <w:tmpl w:val="1A4046F0"/>
    <w:lvl w:ilvl="0" w:tentative="0">
      <w:start w:val="1"/>
      <w:numFmt w:val="chineseCounting"/>
      <w:lvlText w:val="（%1）"/>
      <w:lvlJc w:val="left"/>
      <w:pPr>
        <w:ind w:left="440" w:hanging="440"/>
      </w:pPr>
      <w:rPr>
        <w:rFonts w:hint="eastAsia" w:ascii="仿宋" w:hAnsi="仿宋" w:eastAsia="仿宋"/>
        <w:b/>
        <w:bCs/>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D4432F0"/>
    <w:multiLevelType w:val="multilevel"/>
    <w:tmpl w:val="2D4432F0"/>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5">
    <w:nsid w:val="32437199"/>
    <w:multiLevelType w:val="multilevel"/>
    <w:tmpl w:val="3243719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7C6984F"/>
    <w:multiLevelType w:val="singleLevel"/>
    <w:tmpl w:val="47C6984F"/>
    <w:lvl w:ilvl="0" w:tentative="0">
      <w:start w:val="7"/>
      <w:numFmt w:val="chineseCounting"/>
      <w:suff w:val="space"/>
      <w:lvlText w:val="第%1章"/>
      <w:lvlJc w:val="left"/>
      <w:rPr>
        <w:rFonts w:hint="eastAsia"/>
      </w:rPr>
    </w:lvl>
  </w:abstractNum>
  <w:abstractNum w:abstractNumId="17">
    <w:nsid w:val="4EE97EC9"/>
    <w:multiLevelType w:val="singleLevel"/>
    <w:tmpl w:val="4EE97EC9"/>
    <w:lvl w:ilvl="0" w:tentative="0">
      <w:start w:val="2"/>
      <w:numFmt w:val="decimal"/>
      <w:lvlText w:val="%1."/>
      <w:lvlJc w:val="left"/>
      <w:pPr>
        <w:tabs>
          <w:tab w:val="left" w:pos="312"/>
        </w:tabs>
      </w:pPr>
    </w:lvl>
  </w:abstractNum>
  <w:abstractNum w:abstractNumId="18">
    <w:nsid w:val="536F175F"/>
    <w:multiLevelType w:val="multilevel"/>
    <w:tmpl w:val="536F175F"/>
    <w:lvl w:ilvl="0" w:tentative="0">
      <w:start w:val="1"/>
      <w:numFmt w:val="chineseCounting"/>
      <w:lvlText w:val="（%1）"/>
      <w:lvlJc w:val="left"/>
      <w:pPr>
        <w:ind w:left="440" w:hanging="440"/>
      </w:pPr>
      <w:rPr>
        <w:rFonts w:hint="eastAsia" w:ascii="仿宋" w:hAnsi="仿宋" w:eastAsia="仿宋"/>
        <w:b/>
        <w:bCs/>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109"/>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20">
    <w:nsid w:val="555E3DEA"/>
    <w:multiLevelType w:val="multilevel"/>
    <w:tmpl w:val="555E3DEA"/>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21">
    <w:nsid w:val="5A594133"/>
    <w:multiLevelType w:val="multilevel"/>
    <w:tmpl w:val="5A594133"/>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22">
    <w:nsid w:val="5D0004BA"/>
    <w:multiLevelType w:val="multilevel"/>
    <w:tmpl w:val="5D0004BA"/>
    <w:lvl w:ilvl="0" w:tentative="0">
      <w:start w:val="1"/>
      <w:numFmt w:val="chineseCounting"/>
      <w:lvlText w:val="（%1）"/>
      <w:lvlJc w:val="left"/>
      <w:pPr>
        <w:ind w:left="440" w:hanging="440"/>
      </w:pPr>
      <w:rPr>
        <w:rFonts w:hint="eastAsia" w:ascii="仿宋" w:hAnsi="仿宋" w:eastAsia="仿宋"/>
        <w:b/>
        <w:bCs/>
        <w:color w:val="000000" w:themeColor="text1"/>
        <w:sz w:val="28"/>
        <w:szCs w:val="28"/>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60055A01"/>
    <w:multiLevelType w:val="multilevel"/>
    <w:tmpl w:val="60055A0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5">
    <w:nsid w:val="666D2243"/>
    <w:multiLevelType w:val="multilevel"/>
    <w:tmpl w:val="666D224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6E4F9B9B"/>
    <w:multiLevelType w:val="singleLevel"/>
    <w:tmpl w:val="6E4F9B9B"/>
    <w:lvl w:ilvl="0" w:tentative="0">
      <w:start w:val="1"/>
      <w:numFmt w:val="decimal"/>
      <w:suff w:val="space"/>
      <w:lvlText w:val="%1."/>
      <w:lvlJc w:val="left"/>
    </w:lvl>
  </w:abstractNum>
  <w:abstractNum w:abstractNumId="28">
    <w:nsid w:val="757ED0B0"/>
    <w:multiLevelType w:val="singleLevel"/>
    <w:tmpl w:val="757ED0B0"/>
    <w:lvl w:ilvl="0" w:tentative="0">
      <w:start w:val="2"/>
      <w:numFmt w:val="chineseCounting"/>
      <w:suff w:val="nothing"/>
      <w:lvlText w:val="%1、"/>
      <w:lvlJc w:val="left"/>
      <w:rPr>
        <w:rFonts w:hint="eastAsia"/>
      </w:rPr>
    </w:lvl>
  </w:abstractNum>
  <w:abstractNum w:abstractNumId="29">
    <w:nsid w:val="789F492A"/>
    <w:multiLevelType w:val="multilevel"/>
    <w:tmpl w:val="789F492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2"/>
  </w:num>
  <w:num w:numId="2">
    <w:abstractNumId w:val="24"/>
  </w:num>
  <w:num w:numId="3">
    <w:abstractNumId w:val="19"/>
  </w:num>
  <w:num w:numId="4">
    <w:abstractNumId w:val="7"/>
  </w:num>
  <w:num w:numId="5">
    <w:abstractNumId w:val="28"/>
  </w:num>
  <w:num w:numId="6">
    <w:abstractNumId w:val="17"/>
  </w:num>
  <w:num w:numId="7">
    <w:abstractNumId w:val="1"/>
  </w:num>
  <w:num w:numId="8">
    <w:abstractNumId w:val="4"/>
  </w:num>
  <w:num w:numId="9">
    <w:abstractNumId w:val="8"/>
  </w:num>
  <w:num w:numId="10">
    <w:abstractNumId w:val="13"/>
  </w:num>
  <w:num w:numId="11">
    <w:abstractNumId w:val="23"/>
  </w:num>
  <w:num w:numId="12">
    <w:abstractNumId w:val="11"/>
  </w:num>
  <w:num w:numId="13">
    <w:abstractNumId w:val="18"/>
  </w:num>
  <w:num w:numId="14">
    <w:abstractNumId w:val="9"/>
  </w:num>
  <w:num w:numId="15">
    <w:abstractNumId w:val="20"/>
  </w:num>
  <w:num w:numId="16">
    <w:abstractNumId w:val="22"/>
  </w:num>
  <w:num w:numId="17">
    <w:abstractNumId w:val="15"/>
  </w:num>
  <w:num w:numId="18">
    <w:abstractNumId w:val="25"/>
  </w:num>
  <w:num w:numId="19">
    <w:abstractNumId w:val="21"/>
  </w:num>
  <w:num w:numId="20">
    <w:abstractNumId w:val="29"/>
  </w:num>
  <w:num w:numId="21">
    <w:abstractNumId w:val="14"/>
  </w:num>
  <w:num w:numId="22">
    <w:abstractNumId w:val="10"/>
  </w:num>
  <w:num w:numId="23">
    <w:abstractNumId w:val="6"/>
  </w:num>
  <w:num w:numId="24">
    <w:abstractNumId w:val="27"/>
  </w:num>
  <w:num w:numId="25">
    <w:abstractNumId w:val="2"/>
  </w:num>
  <w:num w:numId="26">
    <w:abstractNumId w:val="0"/>
  </w:num>
  <w:num w:numId="27">
    <w:abstractNumId w:val="26"/>
  </w:num>
  <w:num w:numId="28">
    <w:abstractNumId w:val="3"/>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formatting="1" w:enforcement="0"/>
  <w:defaultTabStop w:val="42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655B7DE0"/>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045F"/>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254"/>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0E18"/>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196D"/>
    <w:rsid w:val="00082761"/>
    <w:rsid w:val="000829D6"/>
    <w:rsid w:val="0008303D"/>
    <w:rsid w:val="0008377B"/>
    <w:rsid w:val="00083E84"/>
    <w:rsid w:val="000843CC"/>
    <w:rsid w:val="00084610"/>
    <w:rsid w:val="000852C4"/>
    <w:rsid w:val="00086248"/>
    <w:rsid w:val="00086608"/>
    <w:rsid w:val="000876E0"/>
    <w:rsid w:val="00087AC0"/>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6E0B"/>
    <w:rsid w:val="000B7503"/>
    <w:rsid w:val="000B78B2"/>
    <w:rsid w:val="000B7D7D"/>
    <w:rsid w:val="000C02AC"/>
    <w:rsid w:val="000C0522"/>
    <w:rsid w:val="000C0ABB"/>
    <w:rsid w:val="000C11D6"/>
    <w:rsid w:val="000C133D"/>
    <w:rsid w:val="000C1669"/>
    <w:rsid w:val="000C1835"/>
    <w:rsid w:val="000C1B36"/>
    <w:rsid w:val="000C1E06"/>
    <w:rsid w:val="000C1F07"/>
    <w:rsid w:val="000C22CB"/>
    <w:rsid w:val="000C2563"/>
    <w:rsid w:val="000C2B67"/>
    <w:rsid w:val="000C4086"/>
    <w:rsid w:val="000C4C0D"/>
    <w:rsid w:val="000C541F"/>
    <w:rsid w:val="000C5660"/>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947"/>
    <w:rsid w:val="000E0AD9"/>
    <w:rsid w:val="000E10F1"/>
    <w:rsid w:val="000E1D4A"/>
    <w:rsid w:val="000E1F3C"/>
    <w:rsid w:val="000E2ADB"/>
    <w:rsid w:val="000E2DE4"/>
    <w:rsid w:val="000E2E3D"/>
    <w:rsid w:val="000E2EEF"/>
    <w:rsid w:val="000E3E6E"/>
    <w:rsid w:val="000E4136"/>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1CD9"/>
    <w:rsid w:val="001123F1"/>
    <w:rsid w:val="00112654"/>
    <w:rsid w:val="00112AD8"/>
    <w:rsid w:val="00114050"/>
    <w:rsid w:val="001148A2"/>
    <w:rsid w:val="0011524E"/>
    <w:rsid w:val="0011590D"/>
    <w:rsid w:val="0011685D"/>
    <w:rsid w:val="00116C35"/>
    <w:rsid w:val="00117389"/>
    <w:rsid w:val="0011747D"/>
    <w:rsid w:val="001176B2"/>
    <w:rsid w:val="00117D41"/>
    <w:rsid w:val="0012046A"/>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646F"/>
    <w:rsid w:val="0012649E"/>
    <w:rsid w:val="00126E7B"/>
    <w:rsid w:val="00126F36"/>
    <w:rsid w:val="00126FFB"/>
    <w:rsid w:val="001274EF"/>
    <w:rsid w:val="0013017D"/>
    <w:rsid w:val="001304E9"/>
    <w:rsid w:val="00130AAE"/>
    <w:rsid w:val="00130B1D"/>
    <w:rsid w:val="00130DAF"/>
    <w:rsid w:val="00130F08"/>
    <w:rsid w:val="001310BA"/>
    <w:rsid w:val="00131A58"/>
    <w:rsid w:val="00131A67"/>
    <w:rsid w:val="00131B4B"/>
    <w:rsid w:val="00131BAF"/>
    <w:rsid w:val="00131E9F"/>
    <w:rsid w:val="00132146"/>
    <w:rsid w:val="00132CBE"/>
    <w:rsid w:val="0013333E"/>
    <w:rsid w:val="0013422C"/>
    <w:rsid w:val="001343FB"/>
    <w:rsid w:val="001349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1B8D"/>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7CC"/>
    <w:rsid w:val="00191FD1"/>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4DBF"/>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67"/>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5D2"/>
    <w:rsid w:val="001E5753"/>
    <w:rsid w:val="001E5CCE"/>
    <w:rsid w:val="001E61D7"/>
    <w:rsid w:val="001E68C5"/>
    <w:rsid w:val="001E6989"/>
    <w:rsid w:val="001E6FAE"/>
    <w:rsid w:val="001E72FF"/>
    <w:rsid w:val="001E75AE"/>
    <w:rsid w:val="001E78DE"/>
    <w:rsid w:val="001E7B08"/>
    <w:rsid w:val="001E7BC6"/>
    <w:rsid w:val="001E7C2F"/>
    <w:rsid w:val="001F00ED"/>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492"/>
    <w:rsid w:val="001F4807"/>
    <w:rsid w:val="001F4843"/>
    <w:rsid w:val="001F4B51"/>
    <w:rsid w:val="001F4CBF"/>
    <w:rsid w:val="001F5C7C"/>
    <w:rsid w:val="001F5FC9"/>
    <w:rsid w:val="001F6229"/>
    <w:rsid w:val="001F631E"/>
    <w:rsid w:val="001F65B8"/>
    <w:rsid w:val="001F69A3"/>
    <w:rsid w:val="001F70EF"/>
    <w:rsid w:val="001F7347"/>
    <w:rsid w:val="001F761C"/>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BA4"/>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C4B"/>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683B"/>
    <w:rsid w:val="002B7153"/>
    <w:rsid w:val="002B745D"/>
    <w:rsid w:val="002B7718"/>
    <w:rsid w:val="002C06AC"/>
    <w:rsid w:val="002C0728"/>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CFA"/>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5"/>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0F6E"/>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21E"/>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4FD"/>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5F5B"/>
    <w:rsid w:val="00336635"/>
    <w:rsid w:val="003366F0"/>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8EA"/>
    <w:rsid w:val="00343C0B"/>
    <w:rsid w:val="0034406E"/>
    <w:rsid w:val="003442C9"/>
    <w:rsid w:val="0034452D"/>
    <w:rsid w:val="003445E4"/>
    <w:rsid w:val="00344635"/>
    <w:rsid w:val="00344726"/>
    <w:rsid w:val="00344CCF"/>
    <w:rsid w:val="0034528A"/>
    <w:rsid w:val="0034550A"/>
    <w:rsid w:val="00345633"/>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3C76"/>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0E90"/>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20E"/>
    <w:rsid w:val="003B487A"/>
    <w:rsid w:val="003B4C24"/>
    <w:rsid w:val="003B4CDF"/>
    <w:rsid w:val="003B4D8D"/>
    <w:rsid w:val="003B4FE5"/>
    <w:rsid w:val="003B5B55"/>
    <w:rsid w:val="003B662E"/>
    <w:rsid w:val="003B778E"/>
    <w:rsid w:val="003B7923"/>
    <w:rsid w:val="003B7933"/>
    <w:rsid w:val="003B7C23"/>
    <w:rsid w:val="003C00D0"/>
    <w:rsid w:val="003C04F1"/>
    <w:rsid w:val="003C09B5"/>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4EB"/>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5C3"/>
    <w:rsid w:val="00401AB6"/>
    <w:rsid w:val="00401EA0"/>
    <w:rsid w:val="00402817"/>
    <w:rsid w:val="00402BCF"/>
    <w:rsid w:val="00402FAA"/>
    <w:rsid w:val="00403527"/>
    <w:rsid w:val="004040DD"/>
    <w:rsid w:val="004042DE"/>
    <w:rsid w:val="00404646"/>
    <w:rsid w:val="00404DC8"/>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24"/>
    <w:rsid w:val="00416FE6"/>
    <w:rsid w:val="00417094"/>
    <w:rsid w:val="004178D5"/>
    <w:rsid w:val="00420793"/>
    <w:rsid w:val="00420D95"/>
    <w:rsid w:val="004211BA"/>
    <w:rsid w:val="0042125E"/>
    <w:rsid w:val="0042149C"/>
    <w:rsid w:val="00421570"/>
    <w:rsid w:val="00421AA7"/>
    <w:rsid w:val="00421DFA"/>
    <w:rsid w:val="00422373"/>
    <w:rsid w:val="0042256A"/>
    <w:rsid w:val="00422BFD"/>
    <w:rsid w:val="00422F36"/>
    <w:rsid w:val="004236FF"/>
    <w:rsid w:val="0042385A"/>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472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56"/>
    <w:rsid w:val="004622BA"/>
    <w:rsid w:val="004623B2"/>
    <w:rsid w:val="00462BEE"/>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6F56"/>
    <w:rsid w:val="00487750"/>
    <w:rsid w:val="00487B68"/>
    <w:rsid w:val="00487B71"/>
    <w:rsid w:val="00487E66"/>
    <w:rsid w:val="004900B7"/>
    <w:rsid w:val="00490A0B"/>
    <w:rsid w:val="004913C4"/>
    <w:rsid w:val="00491D1C"/>
    <w:rsid w:val="004926D3"/>
    <w:rsid w:val="00492706"/>
    <w:rsid w:val="00492A3F"/>
    <w:rsid w:val="0049319C"/>
    <w:rsid w:val="00493A85"/>
    <w:rsid w:val="00494237"/>
    <w:rsid w:val="00494983"/>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125"/>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6AB4"/>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458"/>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1B42"/>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B5F"/>
    <w:rsid w:val="00545D06"/>
    <w:rsid w:val="005469BE"/>
    <w:rsid w:val="00546AB3"/>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283"/>
    <w:rsid w:val="0056354C"/>
    <w:rsid w:val="005636DC"/>
    <w:rsid w:val="00563B01"/>
    <w:rsid w:val="00563F57"/>
    <w:rsid w:val="00564150"/>
    <w:rsid w:val="005643DE"/>
    <w:rsid w:val="005644B6"/>
    <w:rsid w:val="00564D10"/>
    <w:rsid w:val="00564F32"/>
    <w:rsid w:val="00565860"/>
    <w:rsid w:val="00565C0E"/>
    <w:rsid w:val="0056726C"/>
    <w:rsid w:val="00567530"/>
    <w:rsid w:val="00567A18"/>
    <w:rsid w:val="005701EE"/>
    <w:rsid w:val="00570454"/>
    <w:rsid w:val="00570CE1"/>
    <w:rsid w:val="00570E2F"/>
    <w:rsid w:val="005717F1"/>
    <w:rsid w:val="005728CD"/>
    <w:rsid w:val="00572E1F"/>
    <w:rsid w:val="005730AD"/>
    <w:rsid w:val="00573237"/>
    <w:rsid w:val="00573BE0"/>
    <w:rsid w:val="00573CC8"/>
    <w:rsid w:val="00573EC8"/>
    <w:rsid w:val="00574229"/>
    <w:rsid w:val="0057450E"/>
    <w:rsid w:val="005745EF"/>
    <w:rsid w:val="00574C03"/>
    <w:rsid w:val="00574CA0"/>
    <w:rsid w:val="00575306"/>
    <w:rsid w:val="0057593B"/>
    <w:rsid w:val="00575BB1"/>
    <w:rsid w:val="00575DC2"/>
    <w:rsid w:val="00576087"/>
    <w:rsid w:val="005761C8"/>
    <w:rsid w:val="00576224"/>
    <w:rsid w:val="0057670D"/>
    <w:rsid w:val="00576DC8"/>
    <w:rsid w:val="0057795C"/>
    <w:rsid w:val="00577D1D"/>
    <w:rsid w:val="00580191"/>
    <w:rsid w:val="00580580"/>
    <w:rsid w:val="00580F9D"/>
    <w:rsid w:val="00580FE1"/>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55F"/>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2662"/>
    <w:rsid w:val="00643120"/>
    <w:rsid w:val="006436FD"/>
    <w:rsid w:val="00643F0C"/>
    <w:rsid w:val="0064430F"/>
    <w:rsid w:val="006444EF"/>
    <w:rsid w:val="00644744"/>
    <w:rsid w:val="00644FC7"/>
    <w:rsid w:val="006453F7"/>
    <w:rsid w:val="0064562E"/>
    <w:rsid w:val="0064569F"/>
    <w:rsid w:val="00645CB6"/>
    <w:rsid w:val="00646123"/>
    <w:rsid w:val="00646214"/>
    <w:rsid w:val="00646269"/>
    <w:rsid w:val="00646678"/>
    <w:rsid w:val="00646732"/>
    <w:rsid w:val="006468F2"/>
    <w:rsid w:val="00646BE6"/>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BDC"/>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8F1"/>
    <w:rsid w:val="00687C00"/>
    <w:rsid w:val="00690015"/>
    <w:rsid w:val="00690298"/>
    <w:rsid w:val="00690FDF"/>
    <w:rsid w:val="006919B6"/>
    <w:rsid w:val="00691AEF"/>
    <w:rsid w:val="00691C2C"/>
    <w:rsid w:val="00691E72"/>
    <w:rsid w:val="00692EA9"/>
    <w:rsid w:val="006937FE"/>
    <w:rsid w:val="006939E3"/>
    <w:rsid w:val="00693F4C"/>
    <w:rsid w:val="006944F9"/>
    <w:rsid w:val="006948E2"/>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4860"/>
    <w:rsid w:val="006A4D1D"/>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601B"/>
    <w:rsid w:val="006E642D"/>
    <w:rsid w:val="006E65BD"/>
    <w:rsid w:val="006E67BF"/>
    <w:rsid w:val="006E6DD7"/>
    <w:rsid w:val="006E76F0"/>
    <w:rsid w:val="006E7991"/>
    <w:rsid w:val="006F008F"/>
    <w:rsid w:val="006F02C5"/>
    <w:rsid w:val="006F0B89"/>
    <w:rsid w:val="006F1123"/>
    <w:rsid w:val="006F113B"/>
    <w:rsid w:val="006F1C4A"/>
    <w:rsid w:val="006F243B"/>
    <w:rsid w:val="006F24E0"/>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0BF6"/>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C05"/>
    <w:rsid w:val="00713FC9"/>
    <w:rsid w:val="00714449"/>
    <w:rsid w:val="00715773"/>
    <w:rsid w:val="00715D93"/>
    <w:rsid w:val="0071611B"/>
    <w:rsid w:val="00716154"/>
    <w:rsid w:val="00716830"/>
    <w:rsid w:val="00716969"/>
    <w:rsid w:val="00717315"/>
    <w:rsid w:val="0071749C"/>
    <w:rsid w:val="00717895"/>
    <w:rsid w:val="00717A77"/>
    <w:rsid w:val="00717A94"/>
    <w:rsid w:val="00717CA5"/>
    <w:rsid w:val="00717FFC"/>
    <w:rsid w:val="0072031B"/>
    <w:rsid w:val="007203ED"/>
    <w:rsid w:val="007203FC"/>
    <w:rsid w:val="00721059"/>
    <w:rsid w:val="00721CDC"/>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4C"/>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2C07"/>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58DE"/>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942"/>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E7"/>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34FD"/>
    <w:rsid w:val="007F3E98"/>
    <w:rsid w:val="007F44F6"/>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0EA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2E51"/>
    <w:rsid w:val="0081364A"/>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DF9"/>
    <w:rsid w:val="00826319"/>
    <w:rsid w:val="00826337"/>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5AD7"/>
    <w:rsid w:val="00835CE6"/>
    <w:rsid w:val="00836329"/>
    <w:rsid w:val="008363CF"/>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7D4"/>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3F38"/>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773"/>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0A6"/>
    <w:rsid w:val="008B2271"/>
    <w:rsid w:val="008B38FC"/>
    <w:rsid w:val="008B4C53"/>
    <w:rsid w:val="008B4CB0"/>
    <w:rsid w:val="008B50A1"/>
    <w:rsid w:val="008B5114"/>
    <w:rsid w:val="008B5A06"/>
    <w:rsid w:val="008B64CB"/>
    <w:rsid w:val="008B6D48"/>
    <w:rsid w:val="008B6F53"/>
    <w:rsid w:val="008B6FCC"/>
    <w:rsid w:val="008B7170"/>
    <w:rsid w:val="008B7446"/>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7AC"/>
    <w:rsid w:val="00901B6D"/>
    <w:rsid w:val="00901CE4"/>
    <w:rsid w:val="00902034"/>
    <w:rsid w:val="00902114"/>
    <w:rsid w:val="009022D9"/>
    <w:rsid w:val="009024AC"/>
    <w:rsid w:val="0090269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8FE"/>
    <w:rsid w:val="00910A8D"/>
    <w:rsid w:val="00910B96"/>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0E91"/>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084"/>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1E0"/>
    <w:rsid w:val="0098024E"/>
    <w:rsid w:val="0098041A"/>
    <w:rsid w:val="00980748"/>
    <w:rsid w:val="00980C19"/>
    <w:rsid w:val="00980CA4"/>
    <w:rsid w:val="009818BA"/>
    <w:rsid w:val="009819A6"/>
    <w:rsid w:val="00981D50"/>
    <w:rsid w:val="00981DDD"/>
    <w:rsid w:val="0098210F"/>
    <w:rsid w:val="00982783"/>
    <w:rsid w:val="00984A23"/>
    <w:rsid w:val="00984BDB"/>
    <w:rsid w:val="00984F14"/>
    <w:rsid w:val="009853DC"/>
    <w:rsid w:val="00985A8A"/>
    <w:rsid w:val="00985E05"/>
    <w:rsid w:val="00985ECE"/>
    <w:rsid w:val="0098601F"/>
    <w:rsid w:val="00986569"/>
    <w:rsid w:val="00986CB5"/>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2C7"/>
    <w:rsid w:val="009963F6"/>
    <w:rsid w:val="00996D45"/>
    <w:rsid w:val="00997120"/>
    <w:rsid w:val="00997171"/>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138"/>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058"/>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8EC"/>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0ED"/>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1E4"/>
    <w:rsid w:val="00A7369C"/>
    <w:rsid w:val="00A73A7C"/>
    <w:rsid w:val="00A73A8C"/>
    <w:rsid w:val="00A74533"/>
    <w:rsid w:val="00A745A0"/>
    <w:rsid w:val="00A749F7"/>
    <w:rsid w:val="00A75169"/>
    <w:rsid w:val="00A752F6"/>
    <w:rsid w:val="00A76099"/>
    <w:rsid w:val="00A76379"/>
    <w:rsid w:val="00A76B0A"/>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4D0"/>
    <w:rsid w:val="00AA162B"/>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2CD"/>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A3C"/>
    <w:rsid w:val="00AC7C46"/>
    <w:rsid w:val="00AD028B"/>
    <w:rsid w:val="00AD04C3"/>
    <w:rsid w:val="00AD0549"/>
    <w:rsid w:val="00AD0BE3"/>
    <w:rsid w:val="00AD0BFB"/>
    <w:rsid w:val="00AD1040"/>
    <w:rsid w:val="00AD12B9"/>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A49"/>
    <w:rsid w:val="00B060E4"/>
    <w:rsid w:val="00B0704C"/>
    <w:rsid w:val="00B0781B"/>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82E"/>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3B1"/>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4C"/>
    <w:rsid w:val="00B52BD8"/>
    <w:rsid w:val="00B52F6D"/>
    <w:rsid w:val="00B5363D"/>
    <w:rsid w:val="00B538A6"/>
    <w:rsid w:val="00B538FD"/>
    <w:rsid w:val="00B53974"/>
    <w:rsid w:val="00B542AF"/>
    <w:rsid w:val="00B54FCF"/>
    <w:rsid w:val="00B5566A"/>
    <w:rsid w:val="00B5572D"/>
    <w:rsid w:val="00B55987"/>
    <w:rsid w:val="00B55C21"/>
    <w:rsid w:val="00B55DB6"/>
    <w:rsid w:val="00B55F29"/>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534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5C"/>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408"/>
    <w:rsid w:val="00B87713"/>
    <w:rsid w:val="00B87AE1"/>
    <w:rsid w:val="00B87F02"/>
    <w:rsid w:val="00B904B5"/>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321"/>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3C2"/>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C6C"/>
    <w:rsid w:val="00C07DF1"/>
    <w:rsid w:val="00C07F7F"/>
    <w:rsid w:val="00C110A3"/>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5833"/>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0F50"/>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0AE"/>
    <w:rsid w:val="00C5728A"/>
    <w:rsid w:val="00C573C2"/>
    <w:rsid w:val="00C57C06"/>
    <w:rsid w:val="00C6000C"/>
    <w:rsid w:val="00C603F8"/>
    <w:rsid w:val="00C6119C"/>
    <w:rsid w:val="00C616D3"/>
    <w:rsid w:val="00C6189B"/>
    <w:rsid w:val="00C6190B"/>
    <w:rsid w:val="00C61EE3"/>
    <w:rsid w:val="00C62ADF"/>
    <w:rsid w:val="00C62E99"/>
    <w:rsid w:val="00C632BE"/>
    <w:rsid w:val="00C635C6"/>
    <w:rsid w:val="00C635FD"/>
    <w:rsid w:val="00C63CF0"/>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2F78"/>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3CB"/>
    <w:rsid w:val="00CB5423"/>
    <w:rsid w:val="00CB550A"/>
    <w:rsid w:val="00CB5663"/>
    <w:rsid w:val="00CB62A8"/>
    <w:rsid w:val="00CB6420"/>
    <w:rsid w:val="00CB6DFF"/>
    <w:rsid w:val="00CB74E2"/>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0E48"/>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AEC"/>
    <w:rsid w:val="00CE2DE0"/>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4C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267C"/>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217"/>
    <w:rsid w:val="00D264BE"/>
    <w:rsid w:val="00D267AA"/>
    <w:rsid w:val="00D268DD"/>
    <w:rsid w:val="00D2722D"/>
    <w:rsid w:val="00D2791B"/>
    <w:rsid w:val="00D27BFB"/>
    <w:rsid w:val="00D27DD5"/>
    <w:rsid w:val="00D27FCA"/>
    <w:rsid w:val="00D31453"/>
    <w:rsid w:val="00D31D7B"/>
    <w:rsid w:val="00D31F61"/>
    <w:rsid w:val="00D3227A"/>
    <w:rsid w:val="00D325B3"/>
    <w:rsid w:val="00D32ACB"/>
    <w:rsid w:val="00D33900"/>
    <w:rsid w:val="00D3391E"/>
    <w:rsid w:val="00D33B44"/>
    <w:rsid w:val="00D33FA6"/>
    <w:rsid w:val="00D33FB7"/>
    <w:rsid w:val="00D343F3"/>
    <w:rsid w:val="00D347F7"/>
    <w:rsid w:val="00D35126"/>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62C"/>
    <w:rsid w:val="00D44724"/>
    <w:rsid w:val="00D44881"/>
    <w:rsid w:val="00D45EFA"/>
    <w:rsid w:val="00D4618E"/>
    <w:rsid w:val="00D4625F"/>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961"/>
    <w:rsid w:val="00D55080"/>
    <w:rsid w:val="00D55149"/>
    <w:rsid w:val="00D554D7"/>
    <w:rsid w:val="00D557B3"/>
    <w:rsid w:val="00D55AC2"/>
    <w:rsid w:val="00D55ADE"/>
    <w:rsid w:val="00D56830"/>
    <w:rsid w:val="00D57013"/>
    <w:rsid w:val="00D5703B"/>
    <w:rsid w:val="00D5725A"/>
    <w:rsid w:val="00D57D65"/>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589"/>
    <w:rsid w:val="00D65B6A"/>
    <w:rsid w:val="00D66D8B"/>
    <w:rsid w:val="00D67B63"/>
    <w:rsid w:val="00D70090"/>
    <w:rsid w:val="00D704A7"/>
    <w:rsid w:val="00D70650"/>
    <w:rsid w:val="00D70981"/>
    <w:rsid w:val="00D70ED7"/>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77CAC"/>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0E08"/>
    <w:rsid w:val="00DA14ED"/>
    <w:rsid w:val="00DA26B9"/>
    <w:rsid w:val="00DA2849"/>
    <w:rsid w:val="00DA2A1D"/>
    <w:rsid w:val="00DA2B8E"/>
    <w:rsid w:val="00DA2D63"/>
    <w:rsid w:val="00DA36F4"/>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C7A"/>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A7A"/>
    <w:rsid w:val="00DD4DCE"/>
    <w:rsid w:val="00DD51D4"/>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A26"/>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4C4B"/>
    <w:rsid w:val="00E351F6"/>
    <w:rsid w:val="00E355EF"/>
    <w:rsid w:val="00E35614"/>
    <w:rsid w:val="00E36208"/>
    <w:rsid w:val="00E36353"/>
    <w:rsid w:val="00E36C6C"/>
    <w:rsid w:val="00E40187"/>
    <w:rsid w:val="00E402F3"/>
    <w:rsid w:val="00E40985"/>
    <w:rsid w:val="00E418EA"/>
    <w:rsid w:val="00E41A8F"/>
    <w:rsid w:val="00E41E62"/>
    <w:rsid w:val="00E41FB0"/>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1F"/>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826"/>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579"/>
    <w:rsid w:val="00E86B08"/>
    <w:rsid w:val="00E86D5D"/>
    <w:rsid w:val="00E87105"/>
    <w:rsid w:val="00E87727"/>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4C"/>
    <w:rsid w:val="00EB6C73"/>
    <w:rsid w:val="00EB6F3A"/>
    <w:rsid w:val="00EB75C8"/>
    <w:rsid w:val="00EB77DB"/>
    <w:rsid w:val="00EB7D3E"/>
    <w:rsid w:val="00EC0454"/>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1041"/>
    <w:rsid w:val="00EE213A"/>
    <w:rsid w:val="00EE2428"/>
    <w:rsid w:val="00EE2719"/>
    <w:rsid w:val="00EE28A1"/>
    <w:rsid w:val="00EE2DF4"/>
    <w:rsid w:val="00EE2FCD"/>
    <w:rsid w:val="00EE343F"/>
    <w:rsid w:val="00EE4069"/>
    <w:rsid w:val="00EE52D0"/>
    <w:rsid w:val="00EE5407"/>
    <w:rsid w:val="00EE583F"/>
    <w:rsid w:val="00EE69D2"/>
    <w:rsid w:val="00EE6DF7"/>
    <w:rsid w:val="00EE6FCD"/>
    <w:rsid w:val="00EE7143"/>
    <w:rsid w:val="00EE7250"/>
    <w:rsid w:val="00EE72D1"/>
    <w:rsid w:val="00EE737B"/>
    <w:rsid w:val="00EE7534"/>
    <w:rsid w:val="00EE762D"/>
    <w:rsid w:val="00EF00CE"/>
    <w:rsid w:val="00EF03B1"/>
    <w:rsid w:val="00EF0C17"/>
    <w:rsid w:val="00EF131D"/>
    <w:rsid w:val="00EF1785"/>
    <w:rsid w:val="00EF1B6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418"/>
    <w:rsid w:val="00F005B1"/>
    <w:rsid w:val="00F00893"/>
    <w:rsid w:val="00F00A53"/>
    <w:rsid w:val="00F00AD6"/>
    <w:rsid w:val="00F00F73"/>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6E9A"/>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B26"/>
    <w:rsid w:val="00F21DF4"/>
    <w:rsid w:val="00F21F3A"/>
    <w:rsid w:val="00F21FFA"/>
    <w:rsid w:val="00F22262"/>
    <w:rsid w:val="00F228A1"/>
    <w:rsid w:val="00F23404"/>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B8A"/>
    <w:rsid w:val="00F37090"/>
    <w:rsid w:val="00F3765C"/>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613F"/>
    <w:rsid w:val="00F562FC"/>
    <w:rsid w:val="00F56427"/>
    <w:rsid w:val="00F5654C"/>
    <w:rsid w:val="00F5745C"/>
    <w:rsid w:val="00F60577"/>
    <w:rsid w:val="00F60989"/>
    <w:rsid w:val="00F60D06"/>
    <w:rsid w:val="00F60EFB"/>
    <w:rsid w:val="00F614DF"/>
    <w:rsid w:val="00F615D4"/>
    <w:rsid w:val="00F61D28"/>
    <w:rsid w:val="00F6355C"/>
    <w:rsid w:val="00F63893"/>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923"/>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3C56E1"/>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447348"/>
    <w:rsid w:val="025B66B0"/>
    <w:rsid w:val="02694276"/>
    <w:rsid w:val="026A48A0"/>
    <w:rsid w:val="026F0EF3"/>
    <w:rsid w:val="02843866"/>
    <w:rsid w:val="02885E3F"/>
    <w:rsid w:val="02C34C32"/>
    <w:rsid w:val="02C66024"/>
    <w:rsid w:val="02DC5C6E"/>
    <w:rsid w:val="02E56273"/>
    <w:rsid w:val="02F3329B"/>
    <w:rsid w:val="030A3E8E"/>
    <w:rsid w:val="032A3E24"/>
    <w:rsid w:val="035241C7"/>
    <w:rsid w:val="036A090C"/>
    <w:rsid w:val="03B918CD"/>
    <w:rsid w:val="03D930DC"/>
    <w:rsid w:val="03EF6AFF"/>
    <w:rsid w:val="03FA61DE"/>
    <w:rsid w:val="040D16F1"/>
    <w:rsid w:val="042B68C8"/>
    <w:rsid w:val="044B7BFD"/>
    <w:rsid w:val="045252D6"/>
    <w:rsid w:val="04564960"/>
    <w:rsid w:val="04665C3A"/>
    <w:rsid w:val="047250EC"/>
    <w:rsid w:val="047D13CF"/>
    <w:rsid w:val="04934A97"/>
    <w:rsid w:val="049E4585"/>
    <w:rsid w:val="04B541C1"/>
    <w:rsid w:val="04BF3AE0"/>
    <w:rsid w:val="04C55DF6"/>
    <w:rsid w:val="04C74AFA"/>
    <w:rsid w:val="04E109C1"/>
    <w:rsid w:val="04EC7BDB"/>
    <w:rsid w:val="04FC43EA"/>
    <w:rsid w:val="050E3B61"/>
    <w:rsid w:val="0519043B"/>
    <w:rsid w:val="052149F2"/>
    <w:rsid w:val="052201A7"/>
    <w:rsid w:val="0538081D"/>
    <w:rsid w:val="054B3BAF"/>
    <w:rsid w:val="054D112F"/>
    <w:rsid w:val="05583DCD"/>
    <w:rsid w:val="05642A90"/>
    <w:rsid w:val="056B5EA8"/>
    <w:rsid w:val="056F4B14"/>
    <w:rsid w:val="05732D59"/>
    <w:rsid w:val="057C5715"/>
    <w:rsid w:val="057D200D"/>
    <w:rsid w:val="058553A7"/>
    <w:rsid w:val="05A520C4"/>
    <w:rsid w:val="05B90DCA"/>
    <w:rsid w:val="05C50BAC"/>
    <w:rsid w:val="05C519E7"/>
    <w:rsid w:val="05E037E5"/>
    <w:rsid w:val="05E727A2"/>
    <w:rsid w:val="06027AF8"/>
    <w:rsid w:val="060D42B3"/>
    <w:rsid w:val="065F696B"/>
    <w:rsid w:val="067B3A34"/>
    <w:rsid w:val="06A32593"/>
    <w:rsid w:val="06A62830"/>
    <w:rsid w:val="06BE2160"/>
    <w:rsid w:val="06D52905"/>
    <w:rsid w:val="06D927B0"/>
    <w:rsid w:val="06E07F64"/>
    <w:rsid w:val="06FC5FDB"/>
    <w:rsid w:val="07150D27"/>
    <w:rsid w:val="071A19A8"/>
    <w:rsid w:val="071C6ABF"/>
    <w:rsid w:val="07247761"/>
    <w:rsid w:val="0725177D"/>
    <w:rsid w:val="07336968"/>
    <w:rsid w:val="07345668"/>
    <w:rsid w:val="075458AE"/>
    <w:rsid w:val="075C17CC"/>
    <w:rsid w:val="077944B2"/>
    <w:rsid w:val="0785361D"/>
    <w:rsid w:val="07895ED1"/>
    <w:rsid w:val="078A46B0"/>
    <w:rsid w:val="07924C4B"/>
    <w:rsid w:val="07991CB6"/>
    <w:rsid w:val="079A7D2C"/>
    <w:rsid w:val="079F19D2"/>
    <w:rsid w:val="07A33243"/>
    <w:rsid w:val="07AF70B7"/>
    <w:rsid w:val="07B84256"/>
    <w:rsid w:val="07C04DAB"/>
    <w:rsid w:val="07C56682"/>
    <w:rsid w:val="07D93028"/>
    <w:rsid w:val="07DD321B"/>
    <w:rsid w:val="080B577B"/>
    <w:rsid w:val="084747A1"/>
    <w:rsid w:val="08572CA3"/>
    <w:rsid w:val="085A5B41"/>
    <w:rsid w:val="08636FD1"/>
    <w:rsid w:val="08B601FC"/>
    <w:rsid w:val="08BC7C00"/>
    <w:rsid w:val="08D079C2"/>
    <w:rsid w:val="08D80EA8"/>
    <w:rsid w:val="08E5320F"/>
    <w:rsid w:val="08E95466"/>
    <w:rsid w:val="09024423"/>
    <w:rsid w:val="0909653C"/>
    <w:rsid w:val="090C4D29"/>
    <w:rsid w:val="09216DE3"/>
    <w:rsid w:val="092F65C5"/>
    <w:rsid w:val="09336C26"/>
    <w:rsid w:val="09361C78"/>
    <w:rsid w:val="093C1DC8"/>
    <w:rsid w:val="09873A46"/>
    <w:rsid w:val="0997570E"/>
    <w:rsid w:val="09A100F4"/>
    <w:rsid w:val="09D832D3"/>
    <w:rsid w:val="09FE10BE"/>
    <w:rsid w:val="0A1C4694"/>
    <w:rsid w:val="0A463B01"/>
    <w:rsid w:val="0A4F45AA"/>
    <w:rsid w:val="0A6C1AB8"/>
    <w:rsid w:val="0A8B1F94"/>
    <w:rsid w:val="0A9B408E"/>
    <w:rsid w:val="0AA76432"/>
    <w:rsid w:val="0AC322D0"/>
    <w:rsid w:val="0AD50A25"/>
    <w:rsid w:val="0AF55441"/>
    <w:rsid w:val="0AFF02E3"/>
    <w:rsid w:val="0B5821EF"/>
    <w:rsid w:val="0B711092"/>
    <w:rsid w:val="0B904371"/>
    <w:rsid w:val="0BA17A99"/>
    <w:rsid w:val="0BA70778"/>
    <w:rsid w:val="0BA7412C"/>
    <w:rsid w:val="0BBB552C"/>
    <w:rsid w:val="0BC01EEC"/>
    <w:rsid w:val="0BC62D73"/>
    <w:rsid w:val="0BE64483"/>
    <w:rsid w:val="0BEB1BE2"/>
    <w:rsid w:val="0BF24052"/>
    <w:rsid w:val="0C29520D"/>
    <w:rsid w:val="0C4452AF"/>
    <w:rsid w:val="0C6041D7"/>
    <w:rsid w:val="0C9646E6"/>
    <w:rsid w:val="0CB11A6E"/>
    <w:rsid w:val="0CBB4B8B"/>
    <w:rsid w:val="0CC5444A"/>
    <w:rsid w:val="0CCD48BE"/>
    <w:rsid w:val="0CCD50C2"/>
    <w:rsid w:val="0CCE2357"/>
    <w:rsid w:val="0CD176A9"/>
    <w:rsid w:val="0CD2583A"/>
    <w:rsid w:val="0CE02B10"/>
    <w:rsid w:val="0CF81F94"/>
    <w:rsid w:val="0D006F28"/>
    <w:rsid w:val="0D0425E8"/>
    <w:rsid w:val="0D0B2D8B"/>
    <w:rsid w:val="0D100489"/>
    <w:rsid w:val="0D4E0435"/>
    <w:rsid w:val="0D576367"/>
    <w:rsid w:val="0D5B77B4"/>
    <w:rsid w:val="0D6425A0"/>
    <w:rsid w:val="0D760F3D"/>
    <w:rsid w:val="0DC05222"/>
    <w:rsid w:val="0DE7731A"/>
    <w:rsid w:val="0E092BAA"/>
    <w:rsid w:val="0E227310"/>
    <w:rsid w:val="0E3C4A15"/>
    <w:rsid w:val="0E400BA7"/>
    <w:rsid w:val="0E43255A"/>
    <w:rsid w:val="0E48519E"/>
    <w:rsid w:val="0E4B72F0"/>
    <w:rsid w:val="0E681C61"/>
    <w:rsid w:val="0E6D0107"/>
    <w:rsid w:val="0E873F25"/>
    <w:rsid w:val="0EA17CF6"/>
    <w:rsid w:val="0EB93716"/>
    <w:rsid w:val="0EBF1D67"/>
    <w:rsid w:val="0EC11897"/>
    <w:rsid w:val="0ECF52BA"/>
    <w:rsid w:val="0ED11AE2"/>
    <w:rsid w:val="0EDD34DE"/>
    <w:rsid w:val="0EF31BA3"/>
    <w:rsid w:val="0F00644B"/>
    <w:rsid w:val="0F083839"/>
    <w:rsid w:val="0F0D6E3B"/>
    <w:rsid w:val="0F153488"/>
    <w:rsid w:val="0F2B0758"/>
    <w:rsid w:val="0F316BF8"/>
    <w:rsid w:val="0F3518AE"/>
    <w:rsid w:val="0F5F46C6"/>
    <w:rsid w:val="0F8C599A"/>
    <w:rsid w:val="0F9851A1"/>
    <w:rsid w:val="0FA55EF4"/>
    <w:rsid w:val="0FCC35F8"/>
    <w:rsid w:val="0FF0519C"/>
    <w:rsid w:val="100C000E"/>
    <w:rsid w:val="101271B8"/>
    <w:rsid w:val="10204914"/>
    <w:rsid w:val="102155E7"/>
    <w:rsid w:val="103477D8"/>
    <w:rsid w:val="105B5567"/>
    <w:rsid w:val="1075164B"/>
    <w:rsid w:val="1076073D"/>
    <w:rsid w:val="10892D4C"/>
    <w:rsid w:val="108F1247"/>
    <w:rsid w:val="10900FB4"/>
    <w:rsid w:val="109A38A1"/>
    <w:rsid w:val="10A95C97"/>
    <w:rsid w:val="10DE3231"/>
    <w:rsid w:val="11142556"/>
    <w:rsid w:val="112204FD"/>
    <w:rsid w:val="1123072D"/>
    <w:rsid w:val="113E5F4E"/>
    <w:rsid w:val="11566600"/>
    <w:rsid w:val="11691059"/>
    <w:rsid w:val="11703917"/>
    <w:rsid w:val="117D7500"/>
    <w:rsid w:val="117F372B"/>
    <w:rsid w:val="1191134C"/>
    <w:rsid w:val="11974CDA"/>
    <w:rsid w:val="11A924C3"/>
    <w:rsid w:val="11BA5AED"/>
    <w:rsid w:val="11BA660F"/>
    <w:rsid w:val="11C41A8B"/>
    <w:rsid w:val="11FD295C"/>
    <w:rsid w:val="11FF7687"/>
    <w:rsid w:val="12091A56"/>
    <w:rsid w:val="122A7647"/>
    <w:rsid w:val="12315C07"/>
    <w:rsid w:val="123861CF"/>
    <w:rsid w:val="12441522"/>
    <w:rsid w:val="12567919"/>
    <w:rsid w:val="126F67BB"/>
    <w:rsid w:val="129E11D6"/>
    <w:rsid w:val="12AB31BE"/>
    <w:rsid w:val="12AC5B5E"/>
    <w:rsid w:val="12B92BE2"/>
    <w:rsid w:val="12C83AF2"/>
    <w:rsid w:val="12EA33B0"/>
    <w:rsid w:val="12F66918"/>
    <w:rsid w:val="130B428D"/>
    <w:rsid w:val="131720F5"/>
    <w:rsid w:val="13175349"/>
    <w:rsid w:val="13186551"/>
    <w:rsid w:val="13210C75"/>
    <w:rsid w:val="13302411"/>
    <w:rsid w:val="13313B1F"/>
    <w:rsid w:val="1372255A"/>
    <w:rsid w:val="138C6D10"/>
    <w:rsid w:val="139B5526"/>
    <w:rsid w:val="13B36968"/>
    <w:rsid w:val="13D43164"/>
    <w:rsid w:val="13D81B1B"/>
    <w:rsid w:val="13D83FA3"/>
    <w:rsid w:val="13D86FB5"/>
    <w:rsid w:val="13E94124"/>
    <w:rsid w:val="140A7915"/>
    <w:rsid w:val="141F3619"/>
    <w:rsid w:val="144A442B"/>
    <w:rsid w:val="144C7774"/>
    <w:rsid w:val="144F60D5"/>
    <w:rsid w:val="14525264"/>
    <w:rsid w:val="145F58B7"/>
    <w:rsid w:val="14611295"/>
    <w:rsid w:val="14691370"/>
    <w:rsid w:val="14AF753B"/>
    <w:rsid w:val="14B70FA6"/>
    <w:rsid w:val="14F902C4"/>
    <w:rsid w:val="15155E8D"/>
    <w:rsid w:val="152573E2"/>
    <w:rsid w:val="15346BF9"/>
    <w:rsid w:val="154233AB"/>
    <w:rsid w:val="154B7996"/>
    <w:rsid w:val="154D5449"/>
    <w:rsid w:val="15530EA1"/>
    <w:rsid w:val="15734C41"/>
    <w:rsid w:val="15897F1C"/>
    <w:rsid w:val="158E1C7F"/>
    <w:rsid w:val="158F4387"/>
    <w:rsid w:val="15993CD6"/>
    <w:rsid w:val="159F5618"/>
    <w:rsid w:val="15A532F4"/>
    <w:rsid w:val="15AF0A97"/>
    <w:rsid w:val="15B50D11"/>
    <w:rsid w:val="15B61E4D"/>
    <w:rsid w:val="15B659D1"/>
    <w:rsid w:val="15D020F7"/>
    <w:rsid w:val="15D56B63"/>
    <w:rsid w:val="15DF6355"/>
    <w:rsid w:val="15F45A28"/>
    <w:rsid w:val="15F64F4F"/>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56AEF"/>
    <w:rsid w:val="16BC78A7"/>
    <w:rsid w:val="16F2389F"/>
    <w:rsid w:val="16F455B8"/>
    <w:rsid w:val="16F93A36"/>
    <w:rsid w:val="1711335A"/>
    <w:rsid w:val="173673FB"/>
    <w:rsid w:val="174D4192"/>
    <w:rsid w:val="17593529"/>
    <w:rsid w:val="175A5714"/>
    <w:rsid w:val="176C00A9"/>
    <w:rsid w:val="177A5B4D"/>
    <w:rsid w:val="177C0E0D"/>
    <w:rsid w:val="17984F13"/>
    <w:rsid w:val="179F1F5F"/>
    <w:rsid w:val="17AE5734"/>
    <w:rsid w:val="17B21F05"/>
    <w:rsid w:val="17CE79E0"/>
    <w:rsid w:val="17CF5769"/>
    <w:rsid w:val="17E07B9B"/>
    <w:rsid w:val="17EB1734"/>
    <w:rsid w:val="17F53F70"/>
    <w:rsid w:val="17FC632A"/>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97C05"/>
    <w:rsid w:val="195D25EA"/>
    <w:rsid w:val="19696C70"/>
    <w:rsid w:val="198E3E8D"/>
    <w:rsid w:val="199610E2"/>
    <w:rsid w:val="19A86D33"/>
    <w:rsid w:val="19BB20AC"/>
    <w:rsid w:val="19C254CC"/>
    <w:rsid w:val="19E75799"/>
    <w:rsid w:val="19EC047C"/>
    <w:rsid w:val="19FF1DD7"/>
    <w:rsid w:val="1A031A5B"/>
    <w:rsid w:val="1A092452"/>
    <w:rsid w:val="1A1A4BE8"/>
    <w:rsid w:val="1A3441CE"/>
    <w:rsid w:val="1A5D4669"/>
    <w:rsid w:val="1A7928BB"/>
    <w:rsid w:val="1A917586"/>
    <w:rsid w:val="1A9D09F7"/>
    <w:rsid w:val="1AA2252A"/>
    <w:rsid w:val="1AAB69C1"/>
    <w:rsid w:val="1AFC5B3B"/>
    <w:rsid w:val="1AFE75E7"/>
    <w:rsid w:val="1B023B85"/>
    <w:rsid w:val="1B041579"/>
    <w:rsid w:val="1B0C32F4"/>
    <w:rsid w:val="1B0D03FF"/>
    <w:rsid w:val="1B280433"/>
    <w:rsid w:val="1B497B97"/>
    <w:rsid w:val="1B6932B2"/>
    <w:rsid w:val="1B90704D"/>
    <w:rsid w:val="1BA417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20453B"/>
    <w:rsid w:val="1D2C37A6"/>
    <w:rsid w:val="1D397DA4"/>
    <w:rsid w:val="1D5F7976"/>
    <w:rsid w:val="1D7272C4"/>
    <w:rsid w:val="1D7D5933"/>
    <w:rsid w:val="1D853B81"/>
    <w:rsid w:val="1D9E1F6B"/>
    <w:rsid w:val="1DA13A44"/>
    <w:rsid w:val="1DA40988"/>
    <w:rsid w:val="1DA51B09"/>
    <w:rsid w:val="1DBE3095"/>
    <w:rsid w:val="1E2F4B2E"/>
    <w:rsid w:val="1E322924"/>
    <w:rsid w:val="1E330118"/>
    <w:rsid w:val="1E344191"/>
    <w:rsid w:val="1E3E7A89"/>
    <w:rsid w:val="1E441BE0"/>
    <w:rsid w:val="1E894975"/>
    <w:rsid w:val="1E932086"/>
    <w:rsid w:val="1E991BE3"/>
    <w:rsid w:val="1EA768CB"/>
    <w:rsid w:val="1EC24432"/>
    <w:rsid w:val="1ECA4751"/>
    <w:rsid w:val="1EF52C4F"/>
    <w:rsid w:val="1F151F89"/>
    <w:rsid w:val="1F2175F8"/>
    <w:rsid w:val="1F2454AE"/>
    <w:rsid w:val="1F2730A0"/>
    <w:rsid w:val="1F290EB1"/>
    <w:rsid w:val="1F6979E7"/>
    <w:rsid w:val="1F750A08"/>
    <w:rsid w:val="1F967D7C"/>
    <w:rsid w:val="1FA244B0"/>
    <w:rsid w:val="1FA642C4"/>
    <w:rsid w:val="1FA772D7"/>
    <w:rsid w:val="1FB17124"/>
    <w:rsid w:val="1FBC6887"/>
    <w:rsid w:val="1FC65FB2"/>
    <w:rsid w:val="1FD93C9C"/>
    <w:rsid w:val="1FDA60AB"/>
    <w:rsid w:val="1FE25FB2"/>
    <w:rsid w:val="1FE86F66"/>
    <w:rsid w:val="1FFB537F"/>
    <w:rsid w:val="200E6725"/>
    <w:rsid w:val="20101323"/>
    <w:rsid w:val="201802C8"/>
    <w:rsid w:val="20185CB3"/>
    <w:rsid w:val="203057FA"/>
    <w:rsid w:val="20572ABF"/>
    <w:rsid w:val="206F22EA"/>
    <w:rsid w:val="20785B47"/>
    <w:rsid w:val="207C5CB0"/>
    <w:rsid w:val="20847244"/>
    <w:rsid w:val="20C924EF"/>
    <w:rsid w:val="20E27FB4"/>
    <w:rsid w:val="20E81797"/>
    <w:rsid w:val="20FE78BC"/>
    <w:rsid w:val="2111797A"/>
    <w:rsid w:val="21135FB9"/>
    <w:rsid w:val="21146FE2"/>
    <w:rsid w:val="21390F39"/>
    <w:rsid w:val="214473ED"/>
    <w:rsid w:val="214E0604"/>
    <w:rsid w:val="215964F0"/>
    <w:rsid w:val="21701F90"/>
    <w:rsid w:val="21773215"/>
    <w:rsid w:val="21790498"/>
    <w:rsid w:val="218912A4"/>
    <w:rsid w:val="21936CA6"/>
    <w:rsid w:val="21A50C86"/>
    <w:rsid w:val="21A76CC7"/>
    <w:rsid w:val="21CD43B4"/>
    <w:rsid w:val="21E42FCC"/>
    <w:rsid w:val="21E863F5"/>
    <w:rsid w:val="223B07F0"/>
    <w:rsid w:val="22500EBE"/>
    <w:rsid w:val="22502B2A"/>
    <w:rsid w:val="225932F2"/>
    <w:rsid w:val="226700F4"/>
    <w:rsid w:val="226811A2"/>
    <w:rsid w:val="226D3609"/>
    <w:rsid w:val="227635D6"/>
    <w:rsid w:val="22914175"/>
    <w:rsid w:val="22946AD2"/>
    <w:rsid w:val="22A83BA9"/>
    <w:rsid w:val="22B429D5"/>
    <w:rsid w:val="22C14F31"/>
    <w:rsid w:val="22CC2F6D"/>
    <w:rsid w:val="22D07767"/>
    <w:rsid w:val="22DD01BB"/>
    <w:rsid w:val="22E33556"/>
    <w:rsid w:val="22E43639"/>
    <w:rsid w:val="23051183"/>
    <w:rsid w:val="231231EE"/>
    <w:rsid w:val="23272B22"/>
    <w:rsid w:val="232F021E"/>
    <w:rsid w:val="2331282E"/>
    <w:rsid w:val="234562F1"/>
    <w:rsid w:val="23486D36"/>
    <w:rsid w:val="234E5CB7"/>
    <w:rsid w:val="235A1CD8"/>
    <w:rsid w:val="23876C72"/>
    <w:rsid w:val="23891729"/>
    <w:rsid w:val="23921869"/>
    <w:rsid w:val="23C5158E"/>
    <w:rsid w:val="23C80DB0"/>
    <w:rsid w:val="23D3233D"/>
    <w:rsid w:val="23D50586"/>
    <w:rsid w:val="23DB4E2F"/>
    <w:rsid w:val="23DF7FD7"/>
    <w:rsid w:val="23E43860"/>
    <w:rsid w:val="23E71412"/>
    <w:rsid w:val="23EF304F"/>
    <w:rsid w:val="23FF0E40"/>
    <w:rsid w:val="240208DB"/>
    <w:rsid w:val="240F68C8"/>
    <w:rsid w:val="241402C2"/>
    <w:rsid w:val="241B7EB9"/>
    <w:rsid w:val="241F3F92"/>
    <w:rsid w:val="243139AD"/>
    <w:rsid w:val="244E3D1D"/>
    <w:rsid w:val="245B624B"/>
    <w:rsid w:val="245F0141"/>
    <w:rsid w:val="245F335F"/>
    <w:rsid w:val="246A78E6"/>
    <w:rsid w:val="246E2507"/>
    <w:rsid w:val="247F3D0C"/>
    <w:rsid w:val="24877D1C"/>
    <w:rsid w:val="24887B76"/>
    <w:rsid w:val="249575BE"/>
    <w:rsid w:val="249A4DDB"/>
    <w:rsid w:val="24A36EFF"/>
    <w:rsid w:val="24A86547"/>
    <w:rsid w:val="24BB5441"/>
    <w:rsid w:val="24BF7F92"/>
    <w:rsid w:val="24D40F20"/>
    <w:rsid w:val="24E56E85"/>
    <w:rsid w:val="24EB561C"/>
    <w:rsid w:val="2504140C"/>
    <w:rsid w:val="25463823"/>
    <w:rsid w:val="254A257D"/>
    <w:rsid w:val="25612DE4"/>
    <w:rsid w:val="258256A6"/>
    <w:rsid w:val="25853F3A"/>
    <w:rsid w:val="258D6235"/>
    <w:rsid w:val="259F0776"/>
    <w:rsid w:val="25A03F9F"/>
    <w:rsid w:val="25B23C6B"/>
    <w:rsid w:val="25BD2AAB"/>
    <w:rsid w:val="25C10F8D"/>
    <w:rsid w:val="25DC42C5"/>
    <w:rsid w:val="25DD2180"/>
    <w:rsid w:val="25DF4062"/>
    <w:rsid w:val="2607160F"/>
    <w:rsid w:val="26097847"/>
    <w:rsid w:val="260A5A93"/>
    <w:rsid w:val="260D1935"/>
    <w:rsid w:val="26142CF6"/>
    <w:rsid w:val="262E23AE"/>
    <w:rsid w:val="262E7F2A"/>
    <w:rsid w:val="263A2B6C"/>
    <w:rsid w:val="263B3A3D"/>
    <w:rsid w:val="263F18AE"/>
    <w:rsid w:val="2641772D"/>
    <w:rsid w:val="269F6BAF"/>
    <w:rsid w:val="26B91CCC"/>
    <w:rsid w:val="26C47F67"/>
    <w:rsid w:val="26C731FF"/>
    <w:rsid w:val="26D201D7"/>
    <w:rsid w:val="26EF0006"/>
    <w:rsid w:val="26F03C43"/>
    <w:rsid w:val="27286FB7"/>
    <w:rsid w:val="272A2BE1"/>
    <w:rsid w:val="272E6E29"/>
    <w:rsid w:val="27507456"/>
    <w:rsid w:val="276E2D59"/>
    <w:rsid w:val="278609DD"/>
    <w:rsid w:val="279803ED"/>
    <w:rsid w:val="27AA1A6E"/>
    <w:rsid w:val="27AC786C"/>
    <w:rsid w:val="27AF714A"/>
    <w:rsid w:val="27B212DD"/>
    <w:rsid w:val="27D84C57"/>
    <w:rsid w:val="28147F8F"/>
    <w:rsid w:val="281A59A3"/>
    <w:rsid w:val="28212E22"/>
    <w:rsid w:val="28217C2E"/>
    <w:rsid w:val="28712EEB"/>
    <w:rsid w:val="2874419E"/>
    <w:rsid w:val="288A498F"/>
    <w:rsid w:val="288D1E6A"/>
    <w:rsid w:val="28D03B04"/>
    <w:rsid w:val="28F14F66"/>
    <w:rsid w:val="28F434A6"/>
    <w:rsid w:val="290D291B"/>
    <w:rsid w:val="291017C1"/>
    <w:rsid w:val="29266367"/>
    <w:rsid w:val="29365433"/>
    <w:rsid w:val="294C1054"/>
    <w:rsid w:val="295A6FEB"/>
    <w:rsid w:val="295E42C2"/>
    <w:rsid w:val="29736AC1"/>
    <w:rsid w:val="29762802"/>
    <w:rsid w:val="298F31CF"/>
    <w:rsid w:val="29950374"/>
    <w:rsid w:val="29A2407B"/>
    <w:rsid w:val="29F456B3"/>
    <w:rsid w:val="2A2131CB"/>
    <w:rsid w:val="2A247E66"/>
    <w:rsid w:val="2A265B00"/>
    <w:rsid w:val="2A4A5C57"/>
    <w:rsid w:val="2A6A1E08"/>
    <w:rsid w:val="2A6A38F4"/>
    <w:rsid w:val="2A732EBC"/>
    <w:rsid w:val="2A992FD3"/>
    <w:rsid w:val="2AA76CB7"/>
    <w:rsid w:val="2AB05831"/>
    <w:rsid w:val="2AB86B60"/>
    <w:rsid w:val="2ABA2946"/>
    <w:rsid w:val="2AC444DE"/>
    <w:rsid w:val="2AC526B5"/>
    <w:rsid w:val="2AE64553"/>
    <w:rsid w:val="2AEF34B7"/>
    <w:rsid w:val="2AF31326"/>
    <w:rsid w:val="2AF668CA"/>
    <w:rsid w:val="2AF915A0"/>
    <w:rsid w:val="2B0F45C8"/>
    <w:rsid w:val="2B1E6E7A"/>
    <w:rsid w:val="2B203F1D"/>
    <w:rsid w:val="2B220DB0"/>
    <w:rsid w:val="2B2F508E"/>
    <w:rsid w:val="2B35697F"/>
    <w:rsid w:val="2B475C62"/>
    <w:rsid w:val="2B506A3E"/>
    <w:rsid w:val="2B56796D"/>
    <w:rsid w:val="2B5C50BE"/>
    <w:rsid w:val="2B5E56EA"/>
    <w:rsid w:val="2B7679D2"/>
    <w:rsid w:val="2B7A53A6"/>
    <w:rsid w:val="2B9427F4"/>
    <w:rsid w:val="2B9D6077"/>
    <w:rsid w:val="2BA218CA"/>
    <w:rsid w:val="2BC94A03"/>
    <w:rsid w:val="2BCD1D0F"/>
    <w:rsid w:val="2BEA79C9"/>
    <w:rsid w:val="2C0559CB"/>
    <w:rsid w:val="2C096623"/>
    <w:rsid w:val="2C0C3BED"/>
    <w:rsid w:val="2C144DE1"/>
    <w:rsid w:val="2C3306E6"/>
    <w:rsid w:val="2C3E1E2A"/>
    <w:rsid w:val="2C401FD2"/>
    <w:rsid w:val="2C5D7C5E"/>
    <w:rsid w:val="2C60361F"/>
    <w:rsid w:val="2C683B4E"/>
    <w:rsid w:val="2C8310B8"/>
    <w:rsid w:val="2C932114"/>
    <w:rsid w:val="2CAD4098"/>
    <w:rsid w:val="2CB35427"/>
    <w:rsid w:val="2CF83235"/>
    <w:rsid w:val="2D064E55"/>
    <w:rsid w:val="2D114F87"/>
    <w:rsid w:val="2D1F5542"/>
    <w:rsid w:val="2D293BE4"/>
    <w:rsid w:val="2D300825"/>
    <w:rsid w:val="2D311C05"/>
    <w:rsid w:val="2D3B5B48"/>
    <w:rsid w:val="2D446F31"/>
    <w:rsid w:val="2D532463"/>
    <w:rsid w:val="2D5661B6"/>
    <w:rsid w:val="2D894935"/>
    <w:rsid w:val="2D8E6186"/>
    <w:rsid w:val="2D9D677F"/>
    <w:rsid w:val="2DA15DC0"/>
    <w:rsid w:val="2DA502A0"/>
    <w:rsid w:val="2DDD5FBB"/>
    <w:rsid w:val="2DE169D1"/>
    <w:rsid w:val="2DED6716"/>
    <w:rsid w:val="2E1027A6"/>
    <w:rsid w:val="2E2F7D36"/>
    <w:rsid w:val="2E505D63"/>
    <w:rsid w:val="2E7715BC"/>
    <w:rsid w:val="2E8807F2"/>
    <w:rsid w:val="2E8D3E69"/>
    <w:rsid w:val="2EB30774"/>
    <w:rsid w:val="2EB551DE"/>
    <w:rsid w:val="2EBC64B1"/>
    <w:rsid w:val="2ECB2DF5"/>
    <w:rsid w:val="2ED718A0"/>
    <w:rsid w:val="2EEB2EDF"/>
    <w:rsid w:val="2EEC2C79"/>
    <w:rsid w:val="2F022A12"/>
    <w:rsid w:val="2F2147AD"/>
    <w:rsid w:val="2F245485"/>
    <w:rsid w:val="2F394E77"/>
    <w:rsid w:val="2F492B7F"/>
    <w:rsid w:val="2F496FDA"/>
    <w:rsid w:val="2F4F3FB1"/>
    <w:rsid w:val="2F5E1713"/>
    <w:rsid w:val="2F6F7F88"/>
    <w:rsid w:val="2F930E45"/>
    <w:rsid w:val="2FA41E72"/>
    <w:rsid w:val="2FAA48BF"/>
    <w:rsid w:val="2FBC1458"/>
    <w:rsid w:val="2FD71F56"/>
    <w:rsid w:val="2FDE5A18"/>
    <w:rsid w:val="2FF62D4B"/>
    <w:rsid w:val="30017A92"/>
    <w:rsid w:val="3027114F"/>
    <w:rsid w:val="302952A0"/>
    <w:rsid w:val="30485C58"/>
    <w:rsid w:val="30953952"/>
    <w:rsid w:val="30AC30EB"/>
    <w:rsid w:val="30B4526C"/>
    <w:rsid w:val="30C45BA8"/>
    <w:rsid w:val="30CA204C"/>
    <w:rsid w:val="30CF5403"/>
    <w:rsid w:val="30D061CB"/>
    <w:rsid w:val="3104177B"/>
    <w:rsid w:val="3105798D"/>
    <w:rsid w:val="310A72C9"/>
    <w:rsid w:val="313007DC"/>
    <w:rsid w:val="31471D12"/>
    <w:rsid w:val="31504453"/>
    <w:rsid w:val="31825227"/>
    <w:rsid w:val="319C5DF0"/>
    <w:rsid w:val="31B27E74"/>
    <w:rsid w:val="31BC000C"/>
    <w:rsid w:val="320A67AD"/>
    <w:rsid w:val="322C1F03"/>
    <w:rsid w:val="322E73BC"/>
    <w:rsid w:val="323D7C6C"/>
    <w:rsid w:val="3245283E"/>
    <w:rsid w:val="32471520"/>
    <w:rsid w:val="325A75B2"/>
    <w:rsid w:val="32834F3D"/>
    <w:rsid w:val="328714F2"/>
    <w:rsid w:val="328C11F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F8070C"/>
    <w:rsid w:val="3404068C"/>
    <w:rsid w:val="343C24E1"/>
    <w:rsid w:val="34457564"/>
    <w:rsid w:val="34553D29"/>
    <w:rsid w:val="346C2AF7"/>
    <w:rsid w:val="34811922"/>
    <w:rsid w:val="34917CAB"/>
    <w:rsid w:val="349B0265"/>
    <w:rsid w:val="34A36B6F"/>
    <w:rsid w:val="34B13DF2"/>
    <w:rsid w:val="34B96BDC"/>
    <w:rsid w:val="34C5273B"/>
    <w:rsid w:val="34D203FA"/>
    <w:rsid w:val="34D6134E"/>
    <w:rsid w:val="34D813D8"/>
    <w:rsid w:val="34DB685E"/>
    <w:rsid w:val="34E658C5"/>
    <w:rsid w:val="34EC1397"/>
    <w:rsid w:val="34FA72AC"/>
    <w:rsid w:val="350E11D3"/>
    <w:rsid w:val="3512485D"/>
    <w:rsid w:val="35150A2C"/>
    <w:rsid w:val="35207836"/>
    <w:rsid w:val="353B53F1"/>
    <w:rsid w:val="35511EF0"/>
    <w:rsid w:val="355C6381"/>
    <w:rsid w:val="356C4852"/>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D737D"/>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95570B"/>
    <w:rsid w:val="37A500F2"/>
    <w:rsid w:val="37F46DA2"/>
    <w:rsid w:val="380217E9"/>
    <w:rsid w:val="3805642C"/>
    <w:rsid w:val="382656F6"/>
    <w:rsid w:val="3852030E"/>
    <w:rsid w:val="38545F3D"/>
    <w:rsid w:val="385639A3"/>
    <w:rsid w:val="38710670"/>
    <w:rsid w:val="38872AC5"/>
    <w:rsid w:val="38B03021"/>
    <w:rsid w:val="38C519CF"/>
    <w:rsid w:val="392E366E"/>
    <w:rsid w:val="39371642"/>
    <w:rsid w:val="394C1291"/>
    <w:rsid w:val="39580E43"/>
    <w:rsid w:val="399824E9"/>
    <w:rsid w:val="399D57D2"/>
    <w:rsid w:val="39A22631"/>
    <w:rsid w:val="39A6412A"/>
    <w:rsid w:val="39DE6AFE"/>
    <w:rsid w:val="39E07271"/>
    <w:rsid w:val="39E724B2"/>
    <w:rsid w:val="39FD348B"/>
    <w:rsid w:val="3A1E6E1F"/>
    <w:rsid w:val="3A2B0C62"/>
    <w:rsid w:val="3A3A12F7"/>
    <w:rsid w:val="3A404C6B"/>
    <w:rsid w:val="3A8B6D97"/>
    <w:rsid w:val="3A8E088F"/>
    <w:rsid w:val="3AC46B2F"/>
    <w:rsid w:val="3ADA0F97"/>
    <w:rsid w:val="3ADA4E5D"/>
    <w:rsid w:val="3AE761EC"/>
    <w:rsid w:val="3B041523"/>
    <w:rsid w:val="3B0F0176"/>
    <w:rsid w:val="3B4712F0"/>
    <w:rsid w:val="3B4C7454"/>
    <w:rsid w:val="3B516F33"/>
    <w:rsid w:val="3B572FA7"/>
    <w:rsid w:val="3B7F2E3F"/>
    <w:rsid w:val="3B916482"/>
    <w:rsid w:val="3B95144C"/>
    <w:rsid w:val="3BB275DB"/>
    <w:rsid w:val="3BB358D4"/>
    <w:rsid w:val="3BB74D38"/>
    <w:rsid w:val="3BB96CDC"/>
    <w:rsid w:val="3BBBA05D"/>
    <w:rsid w:val="3BBF0321"/>
    <w:rsid w:val="3BCD02B3"/>
    <w:rsid w:val="3BD02D4C"/>
    <w:rsid w:val="3BDF73F8"/>
    <w:rsid w:val="3BF027DE"/>
    <w:rsid w:val="3C4960AA"/>
    <w:rsid w:val="3C566572"/>
    <w:rsid w:val="3C62760B"/>
    <w:rsid w:val="3C651E77"/>
    <w:rsid w:val="3C7559B6"/>
    <w:rsid w:val="3C767C8E"/>
    <w:rsid w:val="3C8574F8"/>
    <w:rsid w:val="3C8C6973"/>
    <w:rsid w:val="3CA26136"/>
    <w:rsid w:val="3CA56B3A"/>
    <w:rsid w:val="3CB21257"/>
    <w:rsid w:val="3CC1168F"/>
    <w:rsid w:val="3CCF7E30"/>
    <w:rsid w:val="3CD05BA2"/>
    <w:rsid w:val="3CE70BE7"/>
    <w:rsid w:val="3CE75975"/>
    <w:rsid w:val="3CFA4AC8"/>
    <w:rsid w:val="3D091EED"/>
    <w:rsid w:val="3D1C42B4"/>
    <w:rsid w:val="3D3046CF"/>
    <w:rsid w:val="3D432C51"/>
    <w:rsid w:val="3D5E0746"/>
    <w:rsid w:val="3D96772E"/>
    <w:rsid w:val="3D9F5DA2"/>
    <w:rsid w:val="3DA71D61"/>
    <w:rsid w:val="3DEA460C"/>
    <w:rsid w:val="3E0569D8"/>
    <w:rsid w:val="3E22580F"/>
    <w:rsid w:val="3E4608B3"/>
    <w:rsid w:val="3E646DF3"/>
    <w:rsid w:val="3E7036C1"/>
    <w:rsid w:val="3E805F39"/>
    <w:rsid w:val="3E8D60F8"/>
    <w:rsid w:val="3E9A5CCE"/>
    <w:rsid w:val="3E9C5AA9"/>
    <w:rsid w:val="3EA044E7"/>
    <w:rsid w:val="3EAD7215"/>
    <w:rsid w:val="3EB219E2"/>
    <w:rsid w:val="3ECB22DC"/>
    <w:rsid w:val="3ED71A22"/>
    <w:rsid w:val="3EE11BF9"/>
    <w:rsid w:val="3EEE74A7"/>
    <w:rsid w:val="3F005F77"/>
    <w:rsid w:val="3F0A48B4"/>
    <w:rsid w:val="3F150776"/>
    <w:rsid w:val="3F475C17"/>
    <w:rsid w:val="3F484CE3"/>
    <w:rsid w:val="3F572D6A"/>
    <w:rsid w:val="3F665E1E"/>
    <w:rsid w:val="3F6727CC"/>
    <w:rsid w:val="3F6E4AFF"/>
    <w:rsid w:val="3F744824"/>
    <w:rsid w:val="3F7C6630"/>
    <w:rsid w:val="3F8811D3"/>
    <w:rsid w:val="3F896A3F"/>
    <w:rsid w:val="3FA22F1C"/>
    <w:rsid w:val="3FB51764"/>
    <w:rsid w:val="3FCE4814"/>
    <w:rsid w:val="3FDA3396"/>
    <w:rsid w:val="3FE60119"/>
    <w:rsid w:val="400010CF"/>
    <w:rsid w:val="4007456B"/>
    <w:rsid w:val="400C6A15"/>
    <w:rsid w:val="401914D7"/>
    <w:rsid w:val="4022617C"/>
    <w:rsid w:val="40441617"/>
    <w:rsid w:val="40464190"/>
    <w:rsid w:val="405F34A4"/>
    <w:rsid w:val="4066762F"/>
    <w:rsid w:val="40687C0A"/>
    <w:rsid w:val="406C4F6B"/>
    <w:rsid w:val="406E215E"/>
    <w:rsid w:val="407077FC"/>
    <w:rsid w:val="40885CFC"/>
    <w:rsid w:val="408A04C2"/>
    <w:rsid w:val="40A66866"/>
    <w:rsid w:val="40C444AC"/>
    <w:rsid w:val="40CB7559"/>
    <w:rsid w:val="40D57144"/>
    <w:rsid w:val="40D8005F"/>
    <w:rsid w:val="40D81BCC"/>
    <w:rsid w:val="40E3605B"/>
    <w:rsid w:val="40EA2AC6"/>
    <w:rsid w:val="40F301A1"/>
    <w:rsid w:val="411C5741"/>
    <w:rsid w:val="412169AB"/>
    <w:rsid w:val="412935A8"/>
    <w:rsid w:val="413E65A9"/>
    <w:rsid w:val="414002E4"/>
    <w:rsid w:val="41601239"/>
    <w:rsid w:val="416C18D4"/>
    <w:rsid w:val="416D0FF6"/>
    <w:rsid w:val="418C2B90"/>
    <w:rsid w:val="41923943"/>
    <w:rsid w:val="41A55381"/>
    <w:rsid w:val="41A945C9"/>
    <w:rsid w:val="41C85B0C"/>
    <w:rsid w:val="41CD0A97"/>
    <w:rsid w:val="41D20116"/>
    <w:rsid w:val="41DB1250"/>
    <w:rsid w:val="41EC520B"/>
    <w:rsid w:val="420E6542"/>
    <w:rsid w:val="420F5F84"/>
    <w:rsid w:val="4212697D"/>
    <w:rsid w:val="42235F66"/>
    <w:rsid w:val="42295B17"/>
    <w:rsid w:val="425655B2"/>
    <w:rsid w:val="42620EA3"/>
    <w:rsid w:val="427054CC"/>
    <w:rsid w:val="427767A6"/>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1E3132"/>
    <w:rsid w:val="432423CA"/>
    <w:rsid w:val="43306B09"/>
    <w:rsid w:val="43317C5A"/>
    <w:rsid w:val="433A234A"/>
    <w:rsid w:val="433C7294"/>
    <w:rsid w:val="43471255"/>
    <w:rsid w:val="43492730"/>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9A491B"/>
    <w:rsid w:val="44BA2889"/>
    <w:rsid w:val="44D00F78"/>
    <w:rsid w:val="44D9608F"/>
    <w:rsid w:val="44DD79AD"/>
    <w:rsid w:val="44F6411C"/>
    <w:rsid w:val="44FB7075"/>
    <w:rsid w:val="44FE579E"/>
    <w:rsid w:val="45095F8B"/>
    <w:rsid w:val="45177397"/>
    <w:rsid w:val="451C7A07"/>
    <w:rsid w:val="451D3D48"/>
    <w:rsid w:val="452F6DA5"/>
    <w:rsid w:val="45326C04"/>
    <w:rsid w:val="453D0A05"/>
    <w:rsid w:val="45470A25"/>
    <w:rsid w:val="455117BC"/>
    <w:rsid w:val="45826D5F"/>
    <w:rsid w:val="45922F2E"/>
    <w:rsid w:val="459C154F"/>
    <w:rsid w:val="45B730F5"/>
    <w:rsid w:val="45DF0041"/>
    <w:rsid w:val="45ED14D1"/>
    <w:rsid w:val="460F4C9E"/>
    <w:rsid w:val="46183AC4"/>
    <w:rsid w:val="461F626B"/>
    <w:rsid w:val="46233ABA"/>
    <w:rsid w:val="4624161A"/>
    <w:rsid w:val="46325936"/>
    <w:rsid w:val="463D6EAB"/>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30034"/>
    <w:rsid w:val="4A6C14BA"/>
    <w:rsid w:val="4A6F4ABD"/>
    <w:rsid w:val="4A7F6351"/>
    <w:rsid w:val="4A7F7F08"/>
    <w:rsid w:val="4A8A0B14"/>
    <w:rsid w:val="4AA06B93"/>
    <w:rsid w:val="4AA159FA"/>
    <w:rsid w:val="4AA8740F"/>
    <w:rsid w:val="4ABD0B17"/>
    <w:rsid w:val="4AC77230"/>
    <w:rsid w:val="4ACF1E78"/>
    <w:rsid w:val="4B035255"/>
    <w:rsid w:val="4B044DE2"/>
    <w:rsid w:val="4B061E6B"/>
    <w:rsid w:val="4B062BFE"/>
    <w:rsid w:val="4B0E1C5E"/>
    <w:rsid w:val="4B421A54"/>
    <w:rsid w:val="4B431732"/>
    <w:rsid w:val="4B4E04D0"/>
    <w:rsid w:val="4B4F0BFF"/>
    <w:rsid w:val="4B6D1217"/>
    <w:rsid w:val="4B7E0D23"/>
    <w:rsid w:val="4B9E6EE0"/>
    <w:rsid w:val="4BA546C2"/>
    <w:rsid w:val="4BA54A8E"/>
    <w:rsid w:val="4BBD051F"/>
    <w:rsid w:val="4BC46989"/>
    <w:rsid w:val="4BDE7972"/>
    <w:rsid w:val="4BE90A20"/>
    <w:rsid w:val="4C015B4F"/>
    <w:rsid w:val="4C0356AB"/>
    <w:rsid w:val="4C385C4C"/>
    <w:rsid w:val="4C4C72A5"/>
    <w:rsid w:val="4C61748B"/>
    <w:rsid w:val="4C763CF9"/>
    <w:rsid w:val="4C8D502F"/>
    <w:rsid w:val="4C8E0C2E"/>
    <w:rsid w:val="4CA36A56"/>
    <w:rsid w:val="4CA55CB8"/>
    <w:rsid w:val="4CAD452A"/>
    <w:rsid w:val="4CB21034"/>
    <w:rsid w:val="4CC03C95"/>
    <w:rsid w:val="4CD06E80"/>
    <w:rsid w:val="4CE639B0"/>
    <w:rsid w:val="4CF748BC"/>
    <w:rsid w:val="4D041A34"/>
    <w:rsid w:val="4D0E3C26"/>
    <w:rsid w:val="4D104631"/>
    <w:rsid w:val="4D1566DC"/>
    <w:rsid w:val="4D357D25"/>
    <w:rsid w:val="4D3A3E8E"/>
    <w:rsid w:val="4D5511F8"/>
    <w:rsid w:val="4D6B51CA"/>
    <w:rsid w:val="4D8551EB"/>
    <w:rsid w:val="4D8834DB"/>
    <w:rsid w:val="4D9F14A4"/>
    <w:rsid w:val="4DA53207"/>
    <w:rsid w:val="4DB071FA"/>
    <w:rsid w:val="4DC40DEA"/>
    <w:rsid w:val="4DC64B94"/>
    <w:rsid w:val="4DDA54E8"/>
    <w:rsid w:val="4DF07467"/>
    <w:rsid w:val="4DF456D0"/>
    <w:rsid w:val="4E1124EE"/>
    <w:rsid w:val="4E1847E7"/>
    <w:rsid w:val="4E26294E"/>
    <w:rsid w:val="4E2A1640"/>
    <w:rsid w:val="4E865377"/>
    <w:rsid w:val="4E8866DA"/>
    <w:rsid w:val="4E9F3141"/>
    <w:rsid w:val="4EBC274F"/>
    <w:rsid w:val="4EBF1486"/>
    <w:rsid w:val="4EC062D0"/>
    <w:rsid w:val="4EC460E2"/>
    <w:rsid w:val="4EE346C3"/>
    <w:rsid w:val="4EED234D"/>
    <w:rsid w:val="4F0168BF"/>
    <w:rsid w:val="4F075432"/>
    <w:rsid w:val="4F1A3BDC"/>
    <w:rsid w:val="4F27FDD6"/>
    <w:rsid w:val="4F332BAD"/>
    <w:rsid w:val="4F36695D"/>
    <w:rsid w:val="4F3E5630"/>
    <w:rsid w:val="4F5B58C6"/>
    <w:rsid w:val="4F632C03"/>
    <w:rsid w:val="4F7505EE"/>
    <w:rsid w:val="4F8D40DB"/>
    <w:rsid w:val="4F977ABB"/>
    <w:rsid w:val="4FA5315B"/>
    <w:rsid w:val="4FB04568"/>
    <w:rsid w:val="4FBC72F1"/>
    <w:rsid w:val="4FC1002A"/>
    <w:rsid w:val="4FC7054C"/>
    <w:rsid w:val="4FF87792"/>
    <w:rsid w:val="504C0A3B"/>
    <w:rsid w:val="50753D27"/>
    <w:rsid w:val="507A3DB4"/>
    <w:rsid w:val="509542A0"/>
    <w:rsid w:val="50A845CE"/>
    <w:rsid w:val="50AA2519"/>
    <w:rsid w:val="50AE5BBD"/>
    <w:rsid w:val="50BD7E7B"/>
    <w:rsid w:val="50F85490"/>
    <w:rsid w:val="511621A9"/>
    <w:rsid w:val="511D7CAD"/>
    <w:rsid w:val="5123313E"/>
    <w:rsid w:val="512A7764"/>
    <w:rsid w:val="513D6936"/>
    <w:rsid w:val="513D7062"/>
    <w:rsid w:val="51431C53"/>
    <w:rsid w:val="516C6A0D"/>
    <w:rsid w:val="517A634E"/>
    <w:rsid w:val="51AD129E"/>
    <w:rsid w:val="51C70402"/>
    <w:rsid w:val="51F467CB"/>
    <w:rsid w:val="52096BB8"/>
    <w:rsid w:val="52120A08"/>
    <w:rsid w:val="521F007E"/>
    <w:rsid w:val="523F1E03"/>
    <w:rsid w:val="5261734A"/>
    <w:rsid w:val="52B20616"/>
    <w:rsid w:val="52BA5F77"/>
    <w:rsid w:val="52C726B0"/>
    <w:rsid w:val="52CF6267"/>
    <w:rsid w:val="52DF533E"/>
    <w:rsid w:val="52E066CA"/>
    <w:rsid w:val="52E62FCC"/>
    <w:rsid w:val="53023555"/>
    <w:rsid w:val="531766E5"/>
    <w:rsid w:val="5318425C"/>
    <w:rsid w:val="533508A0"/>
    <w:rsid w:val="53591993"/>
    <w:rsid w:val="535F0552"/>
    <w:rsid w:val="5370018E"/>
    <w:rsid w:val="53801621"/>
    <w:rsid w:val="53841DC1"/>
    <w:rsid w:val="538B0BC7"/>
    <w:rsid w:val="538B40CF"/>
    <w:rsid w:val="5391176E"/>
    <w:rsid w:val="53B51196"/>
    <w:rsid w:val="53D119A7"/>
    <w:rsid w:val="53E06DED"/>
    <w:rsid w:val="53FF8B50"/>
    <w:rsid w:val="540C56E6"/>
    <w:rsid w:val="541212FA"/>
    <w:rsid w:val="54177F2A"/>
    <w:rsid w:val="542E67D7"/>
    <w:rsid w:val="54305749"/>
    <w:rsid w:val="54401F05"/>
    <w:rsid w:val="54B425B4"/>
    <w:rsid w:val="54BB65B7"/>
    <w:rsid w:val="54BD22F6"/>
    <w:rsid w:val="54CD2479"/>
    <w:rsid w:val="54CD2A46"/>
    <w:rsid w:val="54D45DB6"/>
    <w:rsid w:val="54E310D2"/>
    <w:rsid w:val="54ED446D"/>
    <w:rsid w:val="54EE3D97"/>
    <w:rsid w:val="54F104AF"/>
    <w:rsid w:val="54FD6CAA"/>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1502B"/>
    <w:rsid w:val="562855F0"/>
    <w:rsid w:val="56361813"/>
    <w:rsid w:val="564B7885"/>
    <w:rsid w:val="56557F2A"/>
    <w:rsid w:val="5664269D"/>
    <w:rsid w:val="56652877"/>
    <w:rsid w:val="566C2061"/>
    <w:rsid w:val="566E5C93"/>
    <w:rsid w:val="5680063F"/>
    <w:rsid w:val="568216F5"/>
    <w:rsid w:val="56944FF7"/>
    <w:rsid w:val="569C78AC"/>
    <w:rsid w:val="56A40851"/>
    <w:rsid w:val="56A53E28"/>
    <w:rsid w:val="56B3209D"/>
    <w:rsid w:val="56B50B18"/>
    <w:rsid w:val="56D730D8"/>
    <w:rsid w:val="56D872FE"/>
    <w:rsid w:val="56E77B1E"/>
    <w:rsid w:val="56EF559C"/>
    <w:rsid w:val="572B6068"/>
    <w:rsid w:val="572C75A3"/>
    <w:rsid w:val="575572FA"/>
    <w:rsid w:val="57585553"/>
    <w:rsid w:val="57813D4D"/>
    <w:rsid w:val="57884098"/>
    <w:rsid w:val="578B2830"/>
    <w:rsid w:val="578F038A"/>
    <w:rsid w:val="579B51E2"/>
    <w:rsid w:val="57A71098"/>
    <w:rsid w:val="57A96060"/>
    <w:rsid w:val="57AC622D"/>
    <w:rsid w:val="57D7CC24"/>
    <w:rsid w:val="57E12249"/>
    <w:rsid w:val="57EE3AD2"/>
    <w:rsid w:val="57F81EB5"/>
    <w:rsid w:val="5820641F"/>
    <w:rsid w:val="58367653"/>
    <w:rsid w:val="584A0BB0"/>
    <w:rsid w:val="584F7701"/>
    <w:rsid w:val="585A1E2F"/>
    <w:rsid w:val="589950B6"/>
    <w:rsid w:val="58A1428B"/>
    <w:rsid w:val="58A36AD4"/>
    <w:rsid w:val="58C04415"/>
    <w:rsid w:val="58D42829"/>
    <w:rsid w:val="58D75E75"/>
    <w:rsid w:val="58EB1921"/>
    <w:rsid w:val="58EE5B7D"/>
    <w:rsid w:val="58F453D4"/>
    <w:rsid w:val="58FEB7F9"/>
    <w:rsid w:val="58FF103C"/>
    <w:rsid w:val="58FF12EC"/>
    <w:rsid w:val="59182A41"/>
    <w:rsid w:val="591A273A"/>
    <w:rsid w:val="59321999"/>
    <w:rsid w:val="594773E2"/>
    <w:rsid w:val="596610AC"/>
    <w:rsid w:val="59670D9F"/>
    <w:rsid w:val="59676829"/>
    <w:rsid w:val="596C385F"/>
    <w:rsid w:val="597441DC"/>
    <w:rsid w:val="598F04FE"/>
    <w:rsid w:val="599C6F14"/>
    <w:rsid w:val="59BB461D"/>
    <w:rsid w:val="59DF580C"/>
    <w:rsid w:val="59E04C73"/>
    <w:rsid w:val="59E26AC7"/>
    <w:rsid w:val="59EF059B"/>
    <w:rsid w:val="59F24B99"/>
    <w:rsid w:val="59FC2067"/>
    <w:rsid w:val="59FC23B2"/>
    <w:rsid w:val="5A36511C"/>
    <w:rsid w:val="5A416DDE"/>
    <w:rsid w:val="5A4246F1"/>
    <w:rsid w:val="5A4969BC"/>
    <w:rsid w:val="5A92474A"/>
    <w:rsid w:val="5A962961"/>
    <w:rsid w:val="5A9D308F"/>
    <w:rsid w:val="5A9D30EE"/>
    <w:rsid w:val="5AA84DCF"/>
    <w:rsid w:val="5ABF7882"/>
    <w:rsid w:val="5AD3593E"/>
    <w:rsid w:val="5AE54EB9"/>
    <w:rsid w:val="5AEA5B1B"/>
    <w:rsid w:val="5AFD6FDA"/>
    <w:rsid w:val="5B0C17A4"/>
    <w:rsid w:val="5B2714AA"/>
    <w:rsid w:val="5B337221"/>
    <w:rsid w:val="5B4938C7"/>
    <w:rsid w:val="5B5A58B4"/>
    <w:rsid w:val="5B62245C"/>
    <w:rsid w:val="5B73308B"/>
    <w:rsid w:val="5B786E37"/>
    <w:rsid w:val="5B881FF3"/>
    <w:rsid w:val="5B9849BD"/>
    <w:rsid w:val="5BE54CA1"/>
    <w:rsid w:val="5C0C3140"/>
    <w:rsid w:val="5C1543A0"/>
    <w:rsid w:val="5C194941"/>
    <w:rsid w:val="5C197DE1"/>
    <w:rsid w:val="5C2B4F30"/>
    <w:rsid w:val="5C5B500F"/>
    <w:rsid w:val="5C637FF5"/>
    <w:rsid w:val="5C6778DA"/>
    <w:rsid w:val="5C807DFE"/>
    <w:rsid w:val="5C822DE4"/>
    <w:rsid w:val="5C88748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4635C9"/>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E2B7E4B"/>
    <w:rsid w:val="5E392107"/>
    <w:rsid w:val="5E4A70E9"/>
    <w:rsid w:val="5E4D08AF"/>
    <w:rsid w:val="5E696A39"/>
    <w:rsid w:val="5E714572"/>
    <w:rsid w:val="5E856C09"/>
    <w:rsid w:val="5E8B6D01"/>
    <w:rsid w:val="5E924460"/>
    <w:rsid w:val="5EA51C59"/>
    <w:rsid w:val="5EA902B4"/>
    <w:rsid w:val="5EAD16FA"/>
    <w:rsid w:val="5EAE3550"/>
    <w:rsid w:val="5ECA608F"/>
    <w:rsid w:val="5ED517DA"/>
    <w:rsid w:val="5EE77A68"/>
    <w:rsid w:val="5EF138BE"/>
    <w:rsid w:val="5F046678"/>
    <w:rsid w:val="5F0F04E8"/>
    <w:rsid w:val="5F2D65DF"/>
    <w:rsid w:val="5F3B175D"/>
    <w:rsid w:val="5F4366D9"/>
    <w:rsid w:val="5F494F25"/>
    <w:rsid w:val="5F4960EB"/>
    <w:rsid w:val="5F540F75"/>
    <w:rsid w:val="5F5D012D"/>
    <w:rsid w:val="5F7A657A"/>
    <w:rsid w:val="5F7B6664"/>
    <w:rsid w:val="5F922B50"/>
    <w:rsid w:val="5F977F6F"/>
    <w:rsid w:val="5FA21AE6"/>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A145E6"/>
    <w:rsid w:val="60AA20C1"/>
    <w:rsid w:val="60B54DEB"/>
    <w:rsid w:val="60C1235D"/>
    <w:rsid w:val="60D70F73"/>
    <w:rsid w:val="60DF7711"/>
    <w:rsid w:val="60F566C0"/>
    <w:rsid w:val="610466BA"/>
    <w:rsid w:val="611F37ED"/>
    <w:rsid w:val="61266A8A"/>
    <w:rsid w:val="613C2129"/>
    <w:rsid w:val="61466780"/>
    <w:rsid w:val="614D4202"/>
    <w:rsid w:val="61550618"/>
    <w:rsid w:val="6158338D"/>
    <w:rsid w:val="619F774C"/>
    <w:rsid w:val="61AE6F66"/>
    <w:rsid w:val="61B53C02"/>
    <w:rsid w:val="61B81119"/>
    <w:rsid w:val="61C34ED2"/>
    <w:rsid w:val="61CE33AD"/>
    <w:rsid w:val="61EF0DEA"/>
    <w:rsid w:val="622321E7"/>
    <w:rsid w:val="622A50E5"/>
    <w:rsid w:val="625F4B1E"/>
    <w:rsid w:val="627073D3"/>
    <w:rsid w:val="62AF53E2"/>
    <w:rsid w:val="62C77975"/>
    <w:rsid w:val="62EA7212"/>
    <w:rsid w:val="63046813"/>
    <w:rsid w:val="63070E9E"/>
    <w:rsid w:val="631204B6"/>
    <w:rsid w:val="6313722F"/>
    <w:rsid w:val="63170E8C"/>
    <w:rsid w:val="632223E3"/>
    <w:rsid w:val="6329733C"/>
    <w:rsid w:val="63360512"/>
    <w:rsid w:val="63477CB5"/>
    <w:rsid w:val="636F6295"/>
    <w:rsid w:val="63703B3A"/>
    <w:rsid w:val="638D2401"/>
    <w:rsid w:val="63CC090D"/>
    <w:rsid w:val="63E92F01"/>
    <w:rsid w:val="64004E9D"/>
    <w:rsid w:val="642204A6"/>
    <w:rsid w:val="6441217E"/>
    <w:rsid w:val="647F701D"/>
    <w:rsid w:val="64806903"/>
    <w:rsid w:val="64895B6A"/>
    <w:rsid w:val="64955AF1"/>
    <w:rsid w:val="649E1243"/>
    <w:rsid w:val="64A93764"/>
    <w:rsid w:val="64AE7CC1"/>
    <w:rsid w:val="64B235A1"/>
    <w:rsid w:val="64DA0078"/>
    <w:rsid w:val="64DF291C"/>
    <w:rsid w:val="65190F15"/>
    <w:rsid w:val="654B6900"/>
    <w:rsid w:val="654B7F90"/>
    <w:rsid w:val="65537BAD"/>
    <w:rsid w:val="6554040F"/>
    <w:rsid w:val="655B7DE0"/>
    <w:rsid w:val="659747BC"/>
    <w:rsid w:val="659A297A"/>
    <w:rsid w:val="65A04FC1"/>
    <w:rsid w:val="65A06F70"/>
    <w:rsid w:val="65A56818"/>
    <w:rsid w:val="65BE1C41"/>
    <w:rsid w:val="65BF482E"/>
    <w:rsid w:val="65C8588F"/>
    <w:rsid w:val="65DB18AB"/>
    <w:rsid w:val="65E848A4"/>
    <w:rsid w:val="660A5D1F"/>
    <w:rsid w:val="660E6469"/>
    <w:rsid w:val="663E127E"/>
    <w:rsid w:val="665E593F"/>
    <w:rsid w:val="66706BBF"/>
    <w:rsid w:val="66794BD4"/>
    <w:rsid w:val="668D0A68"/>
    <w:rsid w:val="668D3420"/>
    <w:rsid w:val="668E14E8"/>
    <w:rsid w:val="66975A5D"/>
    <w:rsid w:val="669A771F"/>
    <w:rsid w:val="66A741D3"/>
    <w:rsid w:val="66A93337"/>
    <w:rsid w:val="66A94687"/>
    <w:rsid w:val="66CA30F0"/>
    <w:rsid w:val="66CC6C3E"/>
    <w:rsid w:val="66D159E2"/>
    <w:rsid w:val="66DC2EB5"/>
    <w:rsid w:val="66EB2A4D"/>
    <w:rsid w:val="670A18CB"/>
    <w:rsid w:val="672359CC"/>
    <w:rsid w:val="672B2964"/>
    <w:rsid w:val="6736552B"/>
    <w:rsid w:val="674C7B54"/>
    <w:rsid w:val="67775419"/>
    <w:rsid w:val="67B55745"/>
    <w:rsid w:val="67C9559A"/>
    <w:rsid w:val="67F307F2"/>
    <w:rsid w:val="680C1862"/>
    <w:rsid w:val="681F32D6"/>
    <w:rsid w:val="68314B08"/>
    <w:rsid w:val="68384926"/>
    <w:rsid w:val="683A0669"/>
    <w:rsid w:val="6845444C"/>
    <w:rsid w:val="684A4382"/>
    <w:rsid w:val="685D33B6"/>
    <w:rsid w:val="68937C8E"/>
    <w:rsid w:val="689515AF"/>
    <w:rsid w:val="68A73BCC"/>
    <w:rsid w:val="68A82714"/>
    <w:rsid w:val="68BF0F67"/>
    <w:rsid w:val="68D0468F"/>
    <w:rsid w:val="68D15539"/>
    <w:rsid w:val="68D369A9"/>
    <w:rsid w:val="690752FD"/>
    <w:rsid w:val="691C0834"/>
    <w:rsid w:val="692847E5"/>
    <w:rsid w:val="692B3234"/>
    <w:rsid w:val="69301D54"/>
    <w:rsid w:val="69390362"/>
    <w:rsid w:val="693929E7"/>
    <w:rsid w:val="69457B4F"/>
    <w:rsid w:val="694806C9"/>
    <w:rsid w:val="6959726F"/>
    <w:rsid w:val="695A1B59"/>
    <w:rsid w:val="695B242B"/>
    <w:rsid w:val="69612943"/>
    <w:rsid w:val="69692B50"/>
    <w:rsid w:val="69990F25"/>
    <w:rsid w:val="69B4572C"/>
    <w:rsid w:val="69B71BB3"/>
    <w:rsid w:val="69B90741"/>
    <w:rsid w:val="69C85E70"/>
    <w:rsid w:val="69DB4916"/>
    <w:rsid w:val="69DC4E32"/>
    <w:rsid w:val="69DF0998"/>
    <w:rsid w:val="69ED61B3"/>
    <w:rsid w:val="69FB18C4"/>
    <w:rsid w:val="6A074546"/>
    <w:rsid w:val="6A0D2AE1"/>
    <w:rsid w:val="6A101BBF"/>
    <w:rsid w:val="6A3203AA"/>
    <w:rsid w:val="6A4F638F"/>
    <w:rsid w:val="6A537BB9"/>
    <w:rsid w:val="6A702E61"/>
    <w:rsid w:val="6A7225D6"/>
    <w:rsid w:val="6A7A54D2"/>
    <w:rsid w:val="6A7E5B95"/>
    <w:rsid w:val="6A9852BA"/>
    <w:rsid w:val="6AAF488C"/>
    <w:rsid w:val="6AB61B89"/>
    <w:rsid w:val="6AD766C4"/>
    <w:rsid w:val="6B00125C"/>
    <w:rsid w:val="6B1603AC"/>
    <w:rsid w:val="6B22027F"/>
    <w:rsid w:val="6B235CC5"/>
    <w:rsid w:val="6B3B477B"/>
    <w:rsid w:val="6B3D5797"/>
    <w:rsid w:val="6B402405"/>
    <w:rsid w:val="6B647B3E"/>
    <w:rsid w:val="6B75439B"/>
    <w:rsid w:val="6B790AC3"/>
    <w:rsid w:val="6B8E5C3F"/>
    <w:rsid w:val="6BAB4F7E"/>
    <w:rsid w:val="6BB21E96"/>
    <w:rsid w:val="6BDA710A"/>
    <w:rsid w:val="6BE0669F"/>
    <w:rsid w:val="6BF22B79"/>
    <w:rsid w:val="6C006D65"/>
    <w:rsid w:val="6C1D1142"/>
    <w:rsid w:val="6C1F721A"/>
    <w:rsid w:val="6C5246E2"/>
    <w:rsid w:val="6C533A14"/>
    <w:rsid w:val="6C5E099A"/>
    <w:rsid w:val="6CA5434E"/>
    <w:rsid w:val="6CC13AB5"/>
    <w:rsid w:val="6CCC5030"/>
    <w:rsid w:val="6CD22E0C"/>
    <w:rsid w:val="6CD73659"/>
    <w:rsid w:val="6CE94789"/>
    <w:rsid w:val="6CEC2DC5"/>
    <w:rsid w:val="6CFC5EEF"/>
    <w:rsid w:val="6D0B4266"/>
    <w:rsid w:val="6D1D6CAA"/>
    <w:rsid w:val="6D2732D1"/>
    <w:rsid w:val="6D2A2539"/>
    <w:rsid w:val="6D2B1EBD"/>
    <w:rsid w:val="6D341E16"/>
    <w:rsid w:val="6D4718E5"/>
    <w:rsid w:val="6D51468F"/>
    <w:rsid w:val="6D5A0950"/>
    <w:rsid w:val="6D5B61B5"/>
    <w:rsid w:val="6D5D0B1B"/>
    <w:rsid w:val="6D602485"/>
    <w:rsid w:val="6D7666D7"/>
    <w:rsid w:val="6D804E9C"/>
    <w:rsid w:val="6D8B377D"/>
    <w:rsid w:val="6D9967C3"/>
    <w:rsid w:val="6DBEA5F4"/>
    <w:rsid w:val="6DD31ABA"/>
    <w:rsid w:val="6DE3151D"/>
    <w:rsid w:val="6DF433CA"/>
    <w:rsid w:val="6DF50BB5"/>
    <w:rsid w:val="6E027991"/>
    <w:rsid w:val="6E05419B"/>
    <w:rsid w:val="6E084776"/>
    <w:rsid w:val="6E4D16C2"/>
    <w:rsid w:val="6E945FAA"/>
    <w:rsid w:val="6E9466F2"/>
    <w:rsid w:val="6E9F2F12"/>
    <w:rsid w:val="6EB6244A"/>
    <w:rsid w:val="6EDD4165"/>
    <w:rsid w:val="6EE93066"/>
    <w:rsid w:val="6EFC7F8C"/>
    <w:rsid w:val="6F0F23A5"/>
    <w:rsid w:val="6F3323B6"/>
    <w:rsid w:val="6F71208D"/>
    <w:rsid w:val="6F8B486A"/>
    <w:rsid w:val="6F8D3411"/>
    <w:rsid w:val="6FB47548"/>
    <w:rsid w:val="6FCC6779"/>
    <w:rsid w:val="6FCF4500"/>
    <w:rsid w:val="6FDB0845"/>
    <w:rsid w:val="6FE609DE"/>
    <w:rsid w:val="6FEB1A08"/>
    <w:rsid w:val="70538EF1"/>
    <w:rsid w:val="70633D8A"/>
    <w:rsid w:val="70692127"/>
    <w:rsid w:val="70BE10E3"/>
    <w:rsid w:val="70D74143"/>
    <w:rsid w:val="70DC48F6"/>
    <w:rsid w:val="70E518FD"/>
    <w:rsid w:val="70F1652D"/>
    <w:rsid w:val="70FF65BA"/>
    <w:rsid w:val="7119570C"/>
    <w:rsid w:val="713578E8"/>
    <w:rsid w:val="714902CF"/>
    <w:rsid w:val="71605F43"/>
    <w:rsid w:val="7165112A"/>
    <w:rsid w:val="716B0037"/>
    <w:rsid w:val="71706FA5"/>
    <w:rsid w:val="71766319"/>
    <w:rsid w:val="717F2180"/>
    <w:rsid w:val="718970FD"/>
    <w:rsid w:val="7190209C"/>
    <w:rsid w:val="71AC3EEB"/>
    <w:rsid w:val="71B52622"/>
    <w:rsid w:val="71C06E4D"/>
    <w:rsid w:val="71C203D6"/>
    <w:rsid w:val="71CF1988"/>
    <w:rsid w:val="71D376CA"/>
    <w:rsid w:val="71E116BB"/>
    <w:rsid w:val="71EB194C"/>
    <w:rsid w:val="720B00EB"/>
    <w:rsid w:val="720B4242"/>
    <w:rsid w:val="720E5B23"/>
    <w:rsid w:val="721E3A1D"/>
    <w:rsid w:val="722B7DA9"/>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583909"/>
    <w:rsid w:val="735F1462"/>
    <w:rsid w:val="735F55B9"/>
    <w:rsid w:val="7365703A"/>
    <w:rsid w:val="737607CF"/>
    <w:rsid w:val="73797119"/>
    <w:rsid w:val="73946613"/>
    <w:rsid w:val="739B263D"/>
    <w:rsid w:val="739D5609"/>
    <w:rsid w:val="73CD50B4"/>
    <w:rsid w:val="73D15BEA"/>
    <w:rsid w:val="73E0625D"/>
    <w:rsid w:val="73E066D1"/>
    <w:rsid w:val="74033B6B"/>
    <w:rsid w:val="7431692A"/>
    <w:rsid w:val="747319F0"/>
    <w:rsid w:val="74765304"/>
    <w:rsid w:val="747E5C62"/>
    <w:rsid w:val="748A5F46"/>
    <w:rsid w:val="748C68F6"/>
    <w:rsid w:val="74A36984"/>
    <w:rsid w:val="74CA1ECD"/>
    <w:rsid w:val="751F65C6"/>
    <w:rsid w:val="75314199"/>
    <w:rsid w:val="757604F5"/>
    <w:rsid w:val="758953DE"/>
    <w:rsid w:val="75B9050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7275500"/>
    <w:rsid w:val="772C6881"/>
    <w:rsid w:val="775D78F8"/>
    <w:rsid w:val="776542B9"/>
    <w:rsid w:val="776C5C24"/>
    <w:rsid w:val="777347E3"/>
    <w:rsid w:val="77842EE5"/>
    <w:rsid w:val="77A143A8"/>
    <w:rsid w:val="77AB7B50"/>
    <w:rsid w:val="77B55006"/>
    <w:rsid w:val="77B57B7F"/>
    <w:rsid w:val="77B5967B"/>
    <w:rsid w:val="77BC475C"/>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DE5352"/>
    <w:rsid w:val="78DE7370"/>
    <w:rsid w:val="7907622C"/>
    <w:rsid w:val="790C3192"/>
    <w:rsid w:val="792B7DEB"/>
    <w:rsid w:val="795137A9"/>
    <w:rsid w:val="7972072A"/>
    <w:rsid w:val="797A1559"/>
    <w:rsid w:val="797E4D4C"/>
    <w:rsid w:val="798C63B0"/>
    <w:rsid w:val="79D264B9"/>
    <w:rsid w:val="79F32939"/>
    <w:rsid w:val="7A0954CF"/>
    <w:rsid w:val="7A184A3A"/>
    <w:rsid w:val="7A24483B"/>
    <w:rsid w:val="7A293C54"/>
    <w:rsid w:val="7A2E48EE"/>
    <w:rsid w:val="7A323FBD"/>
    <w:rsid w:val="7A3507F6"/>
    <w:rsid w:val="7A357810"/>
    <w:rsid w:val="7A3909ED"/>
    <w:rsid w:val="7A3D10D0"/>
    <w:rsid w:val="7A546ECE"/>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CA7B8D"/>
    <w:rsid w:val="7BCB7956"/>
    <w:rsid w:val="7BDC53CD"/>
    <w:rsid w:val="7BE002A5"/>
    <w:rsid w:val="7BE54C28"/>
    <w:rsid w:val="7BE979FE"/>
    <w:rsid w:val="7BEA38CA"/>
    <w:rsid w:val="7BFE5868"/>
    <w:rsid w:val="7BFF960D"/>
    <w:rsid w:val="7C04043D"/>
    <w:rsid w:val="7C1B2C50"/>
    <w:rsid w:val="7C203F33"/>
    <w:rsid w:val="7C53562A"/>
    <w:rsid w:val="7C5C153A"/>
    <w:rsid w:val="7C660C1B"/>
    <w:rsid w:val="7C776D68"/>
    <w:rsid w:val="7C80688E"/>
    <w:rsid w:val="7C9B47B2"/>
    <w:rsid w:val="7CA50AAA"/>
    <w:rsid w:val="7CAE0A0F"/>
    <w:rsid w:val="7CBB3364"/>
    <w:rsid w:val="7CEF2E98"/>
    <w:rsid w:val="7CFC2730"/>
    <w:rsid w:val="7D1924C1"/>
    <w:rsid w:val="7D1E01AA"/>
    <w:rsid w:val="7D2F3E0A"/>
    <w:rsid w:val="7D3035F3"/>
    <w:rsid w:val="7D360E0D"/>
    <w:rsid w:val="7D5D667C"/>
    <w:rsid w:val="7D902D92"/>
    <w:rsid w:val="7D9926E7"/>
    <w:rsid w:val="7D9C5444"/>
    <w:rsid w:val="7DBA210A"/>
    <w:rsid w:val="7DBD2FDC"/>
    <w:rsid w:val="7DFA3120"/>
    <w:rsid w:val="7DFD433F"/>
    <w:rsid w:val="7DFD4AA0"/>
    <w:rsid w:val="7E007EB0"/>
    <w:rsid w:val="7E18353D"/>
    <w:rsid w:val="7E1E1F19"/>
    <w:rsid w:val="7E2D328F"/>
    <w:rsid w:val="7E3234F7"/>
    <w:rsid w:val="7E334B6A"/>
    <w:rsid w:val="7E7A3A8F"/>
    <w:rsid w:val="7E7D8720"/>
    <w:rsid w:val="7E876220"/>
    <w:rsid w:val="7E941F8F"/>
    <w:rsid w:val="7E9A05A6"/>
    <w:rsid w:val="7E9A27AF"/>
    <w:rsid w:val="7E9A45D3"/>
    <w:rsid w:val="7EA75B1D"/>
    <w:rsid w:val="7EA8311F"/>
    <w:rsid w:val="7EAFE740"/>
    <w:rsid w:val="7EB57675"/>
    <w:rsid w:val="7EBF74C0"/>
    <w:rsid w:val="7EC13AEA"/>
    <w:rsid w:val="7ED531B1"/>
    <w:rsid w:val="7ED62E26"/>
    <w:rsid w:val="7ED63080"/>
    <w:rsid w:val="7EDE1FCB"/>
    <w:rsid w:val="7EE51AB4"/>
    <w:rsid w:val="7EF42A2E"/>
    <w:rsid w:val="7F143802"/>
    <w:rsid w:val="7F182BC0"/>
    <w:rsid w:val="7F1B108A"/>
    <w:rsid w:val="7F1FAE31"/>
    <w:rsid w:val="7F2D0230"/>
    <w:rsid w:val="7F357714"/>
    <w:rsid w:val="7F822F3C"/>
    <w:rsid w:val="7F937FB5"/>
    <w:rsid w:val="7FA5005E"/>
    <w:rsid w:val="7FB37AB4"/>
    <w:rsid w:val="7FD40A70"/>
    <w:rsid w:val="7FE71E8D"/>
    <w:rsid w:val="7FFE751D"/>
    <w:rsid w:val="8F3F511E"/>
    <w:rsid w:val="9A79709E"/>
    <w:rsid w:val="9FF9FB74"/>
    <w:rsid w:val="B5FFCD97"/>
    <w:rsid w:val="B6674E22"/>
    <w:rsid w:val="B76F8D7F"/>
    <w:rsid w:val="BE1F9F8C"/>
    <w:rsid w:val="BFAFC12A"/>
    <w:rsid w:val="BFFFA865"/>
    <w:rsid w:val="CDADD859"/>
    <w:rsid w:val="DE3908DB"/>
    <w:rsid w:val="DFCEBD7B"/>
    <w:rsid w:val="DFFFAB33"/>
    <w:rsid w:val="E1FDEDA7"/>
    <w:rsid w:val="E32FC804"/>
    <w:rsid w:val="F35DE27A"/>
    <w:rsid w:val="F3B497CF"/>
    <w:rsid w:val="F6FBA357"/>
    <w:rsid w:val="F706FB00"/>
    <w:rsid w:val="F7559327"/>
    <w:rsid w:val="F8F849C0"/>
    <w:rsid w:val="FBB35F96"/>
    <w:rsid w:val="FBD567A2"/>
    <w:rsid w:val="FCC7DEC2"/>
    <w:rsid w:val="FDD7D58C"/>
    <w:rsid w:val="FEE76C96"/>
    <w:rsid w:val="FEFB874D"/>
    <w:rsid w:val="FF3694A0"/>
    <w:rsid w:val="FF6B0C68"/>
    <w:rsid w:val="FFDEEEC0"/>
    <w:rsid w:val="FFFE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qFormat="1" w:unhideWhenUsed="0" w:uiPriority="99"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99" w:semiHidden="0" w:name="Body Text 3" w:locked="1"/>
    <w:lsdException w:qFormat="1" w:unhideWhenUsed="0" w:uiPriority="0" w:semiHidden="0" w:name="Body Text Indent 2"/>
    <w:lsdException w:qFormat="1" w:unhideWhenUsed="0" w:uiPriority="99" w:semiHidden="0" w:name="Body Text Indent 3" w:locked="1"/>
    <w:lsdException w:unhideWhenUsed="0" w:uiPriority="0" w:semiHidden="0" w:name="Block Text" w:locked="1"/>
    <w:lsdException w:qFormat="1" w:unhideWhenUsed="0" w:uiPriority="0" w:semiHidden="0" w:name="Hyperlink"/>
    <w:lsdException w:qFormat="1" w:unhideWhenUsed="0" w:uiPriority="99"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0" w:semiHidden="0" w:name="Normal (Web)" w:locked="1"/>
    <w:lsdException w:qFormat="1" w:unhideWhenUsed="0" w:uiPriority="99" w:semiHidden="0" w:name="HTML Acronym" w:locked="1"/>
    <w:lsdException w:unhideWhenUsed="0" w:uiPriority="0"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0" w:semiHidden="0" w:name="HTML Preformatted" w:locked="1"/>
    <w:lsdException w:qFormat="1" w:unhideWhenUsed="0" w:uiPriority="99" w:semiHidden="0" w:name="HTML Sample" w:locked="1"/>
    <w:lsdException w:unhideWhenUsed="0" w:uiPriority="0" w:semiHidden="0" w:name="HTML Typewriter" w:locked="1"/>
    <w:lsdException w:qFormat="1" w:unhideWhenUsed="0" w:uiPriority="99" w:semiHidden="0" w:name="HTML Variable" w:locked="1"/>
    <w:lsdException w:qFormat="1"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0"/>
    <w:qFormat/>
    <w:uiPriority w:val="0"/>
    <w:pPr>
      <w:keepNext/>
      <w:numPr>
        <w:ilvl w:val="0"/>
        <w:numId w:val="1"/>
      </w:numPr>
      <w:outlineLvl w:val="0"/>
    </w:pPr>
    <w:rPr>
      <w:rFonts w:ascii="Times New Roman" w:hAnsi="Times New Roman" w:cs="Times New Roman"/>
      <w:b/>
      <w:kern w:val="44"/>
      <w:sz w:val="44"/>
      <w:szCs w:val="20"/>
    </w:rPr>
  </w:style>
  <w:style w:type="paragraph" w:styleId="3">
    <w:name w:val="heading 2"/>
    <w:basedOn w:val="1"/>
    <w:next w:val="1"/>
    <w:link w:val="61"/>
    <w:qFormat/>
    <w:uiPriority w:val="0"/>
    <w:pPr>
      <w:keepNext/>
      <w:keepLines/>
      <w:spacing w:before="260" w:after="260" w:line="416" w:lineRule="auto"/>
      <w:outlineLvl w:val="1"/>
    </w:pPr>
    <w:rPr>
      <w:rFonts w:ascii="Cambria" w:hAnsi="Cambria" w:cs="Times New Roman"/>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Times New Roman" w:hAnsi="Times New Roman" w:cs="Times New Roman"/>
      <w:b/>
      <w:sz w:val="32"/>
      <w:szCs w:val="20"/>
    </w:rPr>
  </w:style>
  <w:style w:type="paragraph" w:styleId="5">
    <w:name w:val="heading 4"/>
    <w:basedOn w:val="1"/>
    <w:next w:val="1"/>
    <w:link w:val="177"/>
    <w:qFormat/>
    <w:locked/>
    <w:uiPriority w:val="0"/>
    <w:pPr>
      <w:keepNext/>
      <w:keepLines/>
      <w:numPr>
        <w:ilvl w:val="3"/>
        <w:numId w:val="2"/>
      </w:numPr>
      <w:adjustRightInd w:val="0"/>
      <w:spacing w:before="280" w:after="290" w:line="376" w:lineRule="atLeast"/>
      <w:textAlignment w:val="baseline"/>
      <w:outlineLvl w:val="3"/>
    </w:pPr>
    <w:rPr>
      <w:rFonts w:ascii="Arial" w:hAnsi="Arial" w:eastAsia="黑体"/>
      <w:b/>
      <w:bCs/>
      <w:sz w:val="28"/>
      <w:szCs w:val="28"/>
    </w:rPr>
  </w:style>
  <w:style w:type="paragraph" w:styleId="6">
    <w:name w:val="heading 5"/>
    <w:basedOn w:val="1"/>
    <w:next w:val="1"/>
    <w:link w:val="178"/>
    <w:qFormat/>
    <w:locked/>
    <w:uiPriority w:val="0"/>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7">
    <w:name w:val="heading 6"/>
    <w:basedOn w:val="1"/>
    <w:next w:val="1"/>
    <w:link w:val="63"/>
    <w:qFormat/>
    <w:locked/>
    <w:uiPriority w:val="0"/>
    <w:pPr>
      <w:keepNext/>
      <w:keepLines/>
      <w:spacing w:before="240" w:after="64" w:line="320" w:lineRule="auto"/>
      <w:outlineLvl w:val="5"/>
    </w:pPr>
    <w:rPr>
      <w:rFonts w:ascii="等线 Light" w:hAnsi="等线 Light" w:eastAsia="等线 Light" w:cs="Times New Roman"/>
      <w:b/>
      <w:bCs/>
      <w:kern w:val="2"/>
    </w:rPr>
  </w:style>
  <w:style w:type="paragraph" w:styleId="8">
    <w:name w:val="heading 7"/>
    <w:basedOn w:val="1"/>
    <w:next w:val="1"/>
    <w:link w:val="180"/>
    <w:qFormat/>
    <w:locked/>
    <w:uiPriority w:val="0"/>
    <w:pPr>
      <w:keepNext/>
      <w:keepLines/>
      <w:widowControl w:val="0"/>
      <w:spacing w:before="240" w:after="64" w:line="317" w:lineRule="auto"/>
      <w:jc w:val="both"/>
      <w:outlineLvl w:val="6"/>
    </w:pPr>
    <w:rPr>
      <w:rFonts w:ascii="Calibri" w:hAnsi="Calibri" w:cs="Calibri"/>
      <w:b/>
      <w:bCs/>
      <w:kern w:val="2"/>
    </w:rPr>
  </w:style>
  <w:style w:type="paragraph" w:styleId="9">
    <w:name w:val="heading 8"/>
    <w:basedOn w:val="1"/>
    <w:next w:val="1"/>
    <w:link w:val="181"/>
    <w:qFormat/>
    <w:locked/>
    <w:uiPriority w:val="0"/>
    <w:pPr>
      <w:keepNext/>
      <w:keepLines/>
      <w:widowControl w:val="0"/>
      <w:spacing w:before="240" w:after="64" w:line="317" w:lineRule="auto"/>
      <w:jc w:val="both"/>
      <w:outlineLvl w:val="7"/>
    </w:pPr>
    <w:rPr>
      <w:rFonts w:ascii="Cambria" w:hAnsi="Cambria" w:cs="Cambria"/>
      <w:kern w:val="2"/>
    </w:rPr>
  </w:style>
  <w:style w:type="paragraph" w:styleId="10">
    <w:name w:val="heading 9"/>
    <w:basedOn w:val="1"/>
    <w:next w:val="1"/>
    <w:link w:val="182"/>
    <w:qFormat/>
    <w:locked/>
    <w:uiPriority w:val="0"/>
    <w:pPr>
      <w:keepNext/>
      <w:keepLines/>
      <w:widowControl w:val="0"/>
      <w:spacing w:before="240" w:after="64" w:line="317" w:lineRule="auto"/>
      <w:jc w:val="both"/>
      <w:outlineLvl w:val="8"/>
    </w:pPr>
    <w:rPr>
      <w:rFonts w:ascii="Cambria" w:hAnsi="Cambria" w:cs="Cambria"/>
      <w:kern w:val="2"/>
      <w:sz w:val="21"/>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175"/>
    <w:qFormat/>
    <w:locked/>
    <w:uiPriority w:val="0"/>
    <w:pPr>
      <w:widowControl w:val="0"/>
      <w:ind w:firstLine="420" w:firstLineChars="200"/>
      <w:jc w:val="both"/>
    </w:pPr>
    <w:rPr>
      <w:rFonts w:ascii="Times New Roman" w:hAnsi="Times New Roman" w:cs="Times New Roman"/>
      <w:kern w:val="2"/>
      <w:sz w:val="21"/>
    </w:rPr>
  </w:style>
  <w:style w:type="paragraph" w:styleId="12">
    <w:name w:val="caption"/>
    <w:basedOn w:val="1"/>
    <w:next w:val="1"/>
    <w:qFormat/>
    <w:locked/>
    <w:uiPriority w:val="0"/>
    <w:pPr>
      <w:widowControl w:val="0"/>
      <w:jc w:val="both"/>
    </w:pPr>
    <w:rPr>
      <w:rFonts w:ascii="Cambria" w:hAnsi="Cambria" w:eastAsia="黑体" w:cs="Cambria"/>
      <w:kern w:val="2"/>
      <w:sz w:val="20"/>
      <w:szCs w:val="20"/>
    </w:rPr>
  </w:style>
  <w:style w:type="paragraph" w:styleId="13">
    <w:name w:val="Document Map"/>
    <w:basedOn w:val="1"/>
    <w:link w:val="64"/>
    <w:qFormat/>
    <w:uiPriority w:val="0"/>
    <w:pPr>
      <w:shd w:val="clear" w:color="auto" w:fill="000080"/>
    </w:pPr>
    <w:rPr>
      <w:rFonts w:ascii="Times New Roman" w:hAnsi="Times New Roman" w:cs="Times New Roman"/>
      <w:sz w:val="2"/>
      <w:szCs w:val="20"/>
    </w:rPr>
  </w:style>
  <w:style w:type="paragraph" w:styleId="14">
    <w:name w:val="annotation text"/>
    <w:basedOn w:val="1"/>
    <w:link w:val="65"/>
    <w:qFormat/>
    <w:uiPriority w:val="0"/>
    <w:rPr>
      <w:rFonts w:ascii="Times New Roman" w:hAnsi="Times New Roman" w:cs="Times New Roman"/>
      <w:kern w:val="2"/>
      <w:sz w:val="28"/>
      <w:szCs w:val="20"/>
    </w:rPr>
  </w:style>
  <w:style w:type="paragraph" w:styleId="15">
    <w:name w:val="Body Text 3"/>
    <w:basedOn w:val="1"/>
    <w:link w:val="187"/>
    <w:qFormat/>
    <w:locked/>
    <w:uiPriority w:val="99"/>
    <w:pPr>
      <w:widowControl w:val="0"/>
      <w:jc w:val="both"/>
    </w:pPr>
    <w:rPr>
      <w:rFonts w:hAnsi="Times New Roman" w:cs="Times New Roman"/>
      <w:kern w:val="2"/>
      <w:szCs w:val="20"/>
    </w:rPr>
  </w:style>
  <w:style w:type="paragraph" w:styleId="16">
    <w:name w:val="Body Text"/>
    <w:basedOn w:val="1"/>
    <w:next w:val="1"/>
    <w:link w:val="56"/>
    <w:qFormat/>
    <w:uiPriority w:val="0"/>
    <w:pPr>
      <w:spacing w:before="100" w:beforeAutospacing="1" w:after="100" w:afterAutospacing="1" w:line="600" w:lineRule="auto"/>
    </w:pPr>
    <w:rPr>
      <w:rFonts w:ascii="Times New Roman" w:hAnsi="Times New Roman" w:cs="Times New Roman"/>
      <w:sz w:val="20"/>
      <w:szCs w:val="20"/>
    </w:rPr>
  </w:style>
  <w:style w:type="paragraph" w:styleId="17">
    <w:name w:val="Body Text Indent"/>
    <w:basedOn w:val="1"/>
    <w:link w:val="66"/>
    <w:qFormat/>
    <w:uiPriority w:val="99"/>
    <w:pPr>
      <w:spacing w:after="120"/>
      <w:ind w:left="420" w:leftChars="200"/>
    </w:pPr>
    <w:rPr>
      <w:rFonts w:ascii="Times New Roman" w:hAnsi="Times New Roman" w:cs="Times New Roman"/>
      <w:sz w:val="20"/>
      <w:szCs w:val="20"/>
    </w:rPr>
  </w:style>
  <w:style w:type="paragraph" w:styleId="18">
    <w:name w:val="index 4"/>
    <w:basedOn w:val="1"/>
    <w:next w:val="1"/>
    <w:qFormat/>
    <w:locked/>
    <w:uiPriority w:val="0"/>
    <w:pPr>
      <w:widowControl w:val="0"/>
      <w:ind w:left="600" w:leftChars="600"/>
      <w:jc w:val="both"/>
    </w:pPr>
    <w:rPr>
      <w:rFonts w:ascii="Times New Roman" w:hAnsi="Times New Roman" w:cs="Times New Roman"/>
      <w:kern w:val="2"/>
      <w:sz w:val="21"/>
      <w:szCs w:val="21"/>
    </w:rPr>
  </w:style>
  <w:style w:type="paragraph" w:styleId="19">
    <w:name w:val="toc 3"/>
    <w:basedOn w:val="1"/>
    <w:next w:val="1"/>
    <w:qFormat/>
    <w:locked/>
    <w:uiPriority w:val="39"/>
    <w:pPr>
      <w:ind w:left="840" w:leftChars="400"/>
    </w:pPr>
  </w:style>
  <w:style w:type="paragraph" w:styleId="20">
    <w:name w:val="Plain Text"/>
    <w:basedOn w:val="1"/>
    <w:link w:val="67"/>
    <w:qFormat/>
    <w:uiPriority w:val="0"/>
    <w:rPr>
      <w:rFonts w:hAnsi="Courier New" w:cs="Times New Roman"/>
      <w:kern w:val="2"/>
      <w:sz w:val="21"/>
      <w:szCs w:val="20"/>
    </w:rPr>
  </w:style>
  <w:style w:type="paragraph" w:styleId="21">
    <w:name w:val="Date"/>
    <w:basedOn w:val="1"/>
    <w:next w:val="1"/>
    <w:link w:val="68"/>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22">
    <w:name w:val="Body Text Indent 2"/>
    <w:basedOn w:val="1"/>
    <w:link w:val="69"/>
    <w:qFormat/>
    <w:uiPriority w:val="0"/>
    <w:pPr>
      <w:ind w:firstLine="480"/>
    </w:pPr>
    <w:rPr>
      <w:rFonts w:ascii="Times New Roman" w:hAnsi="Times New Roman" w:cs="Times New Roman"/>
      <w:sz w:val="20"/>
      <w:szCs w:val="20"/>
    </w:rPr>
  </w:style>
  <w:style w:type="paragraph" w:styleId="23">
    <w:name w:val="Balloon Text"/>
    <w:basedOn w:val="1"/>
    <w:link w:val="70"/>
    <w:qFormat/>
    <w:locked/>
    <w:uiPriority w:val="0"/>
    <w:rPr>
      <w:sz w:val="18"/>
      <w:szCs w:val="18"/>
    </w:rPr>
  </w:style>
  <w:style w:type="paragraph" w:styleId="24">
    <w:name w:val="footer"/>
    <w:basedOn w:val="1"/>
    <w:link w:val="71"/>
    <w:qFormat/>
    <w:uiPriority w:val="0"/>
    <w:pPr>
      <w:tabs>
        <w:tab w:val="center" w:pos="4153"/>
        <w:tab w:val="right" w:pos="8306"/>
      </w:tabs>
      <w:snapToGrid w:val="0"/>
    </w:pPr>
    <w:rPr>
      <w:rFonts w:ascii="Times New Roman" w:hAnsi="Times New Roman" w:cs="Times New Roman"/>
      <w:sz w:val="18"/>
      <w:szCs w:val="20"/>
    </w:rPr>
  </w:style>
  <w:style w:type="paragraph" w:styleId="25">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6">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7">
    <w:name w:val="Subtitle"/>
    <w:basedOn w:val="1"/>
    <w:next w:val="1"/>
    <w:link w:val="402"/>
    <w:qFormat/>
    <w:locked/>
    <w:uiPriority w:val="0"/>
    <w:pPr>
      <w:spacing w:before="240" w:after="60" w:line="312" w:lineRule="auto"/>
      <w:jc w:val="center"/>
      <w:outlineLvl w:val="1"/>
    </w:pPr>
    <w:rPr>
      <w:rFonts w:ascii="Calibri Light" w:hAnsi="Calibri Light" w:cs="Times New Roman"/>
      <w:b/>
      <w:kern w:val="28"/>
      <w:sz w:val="32"/>
      <w:szCs w:val="20"/>
    </w:rPr>
  </w:style>
  <w:style w:type="paragraph" w:styleId="28">
    <w:name w:val="List"/>
    <w:basedOn w:val="1"/>
    <w:qFormat/>
    <w:locked/>
    <w:uiPriority w:val="0"/>
    <w:pPr>
      <w:widowControl w:val="0"/>
      <w:adjustRightInd w:val="0"/>
      <w:snapToGrid w:val="0"/>
      <w:spacing w:line="20" w:lineRule="atLeast"/>
      <w:jc w:val="center"/>
      <w:textAlignment w:val="baseline"/>
    </w:pPr>
    <w:rPr>
      <w:rFonts w:ascii="Times New Roman" w:hAnsi="Times New Roman" w:eastAsia="幼圆" w:cs="Times New Roman"/>
      <w:snapToGrid w:val="0"/>
      <w:sz w:val="18"/>
      <w:szCs w:val="20"/>
    </w:rPr>
  </w:style>
  <w:style w:type="paragraph" w:styleId="29">
    <w:name w:val="footnote text"/>
    <w:basedOn w:val="1"/>
    <w:link w:val="73"/>
    <w:qFormat/>
    <w:locked/>
    <w:uiPriority w:val="0"/>
    <w:pPr>
      <w:widowControl w:val="0"/>
      <w:snapToGrid w:val="0"/>
    </w:pPr>
    <w:rPr>
      <w:rFonts w:ascii="Times New Roman" w:hAnsi="Times New Roman" w:cs="Times New Roman"/>
      <w:kern w:val="2"/>
      <w:sz w:val="18"/>
      <w:szCs w:val="21"/>
    </w:rPr>
  </w:style>
  <w:style w:type="paragraph" w:styleId="30">
    <w:name w:val="List 5"/>
    <w:basedOn w:val="1"/>
    <w:qFormat/>
    <w:locked/>
    <w:uiPriority w:val="0"/>
    <w:pPr>
      <w:widowControl w:val="0"/>
      <w:ind w:left="2100" w:hanging="420"/>
      <w:jc w:val="both"/>
    </w:pPr>
    <w:rPr>
      <w:rFonts w:ascii="Times New Roman" w:hAnsi="Times New Roman" w:eastAsia="楷体_GB2312" w:cs="Times New Roman"/>
      <w:kern w:val="2"/>
      <w:sz w:val="32"/>
      <w:szCs w:val="20"/>
    </w:rPr>
  </w:style>
  <w:style w:type="paragraph" w:styleId="31">
    <w:name w:val="Body Text Indent 3"/>
    <w:basedOn w:val="1"/>
    <w:link w:val="199"/>
    <w:qFormat/>
    <w:locked/>
    <w:uiPriority w:val="99"/>
    <w:pPr>
      <w:widowControl w:val="0"/>
      <w:spacing w:line="440" w:lineRule="exact"/>
      <w:ind w:firstLine="412" w:firstLineChars="200"/>
      <w:jc w:val="both"/>
    </w:pPr>
    <w:rPr>
      <w:rFonts w:hAnsi="Times New Roman" w:cs="Times New Roman"/>
      <w:kern w:val="2"/>
      <w:sz w:val="21"/>
      <w:szCs w:val="20"/>
    </w:rPr>
  </w:style>
  <w:style w:type="paragraph" w:styleId="32">
    <w:name w:val="toc 2"/>
    <w:basedOn w:val="1"/>
    <w:next w:val="1"/>
    <w:qFormat/>
    <w:uiPriority w:val="39"/>
    <w:pPr>
      <w:tabs>
        <w:tab w:val="right" w:leader="dot" w:pos="9628"/>
      </w:tabs>
      <w:ind w:left="420" w:leftChars="200"/>
    </w:pPr>
  </w:style>
  <w:style w:type="paragraph" w:styleId="33">
    <w:name w:val="List Continue 2"/>
    <w:basedOn w:val="1"/>
    <w:qFormat/>
    <w:locked/>
    <w:uiPriority w:val="99"/>
    <w:pPr>
      <w:widowControl w:val="0"/>
      <w:spacing w:after="120"/>
      <w:ind w:left="840" w:leftChars="400"/>
      <w:jc w:val="both"/>
    </w:pPr>
    <w:rPr>
      <w:rFonts w:ascii="Times New Roman" w:hAnsi="Times New Roman" w:cs="Times New Roman"/>
      <w:kern w:val="2"/>
      <w:sz w:val="21"/>
      <w:szCs w:val="21"/>
    </w:rPr>
  </w:style>
  <w:style w:type="paragraph" w:styleId="34">
    <w:name w:val="HTML Preformatted"/>
    <w:basedOn w:val="1"/>
    <w:qFormat/>
    <w:locked/>
    <w:uiPriority w:val="0"/>
    <w:pPr>
      <w:spacing w:line="360" w:lineRule="auto"/>
    </w:pPr>
    <w:rPr>
      <w:rFonts w:ascii="Courier New" w:hAnsi="Courier New"/>
      <w:sz w:val="20"/>
      <w:szCs w:val="20"/>
    </w:rPr>
  </w:style>
  <w:style w:type="paragraph" w:styleId="35">
    <w:name w:val="Normal (Web)"/>
    <w:basedOn w:val="1"/>
    <w:link w:val="74"/>
    <w:qFormat/>
    <w:locked/>
    <w:uiPriority w:val="0"/>
    <w:pPr>
      <w:spacing w:before="100" w:beforeAutospacing="1" w:after="100" w:afterAutospacing="1"/>
    </w:pPr>
  </w:style>
  <w:style w:type="paragraph" w:styleId="36">
    <w:name w:val="Title"/>
    <w:basedOn w:val="1"/>
    <w:link w:val="203"/>
    <w:qFormat/>
    <w:locked/>
    <w:uiPriority w:val="0"/>
    <w:pPr>
      <w:spacing w:before="60" w:after="60"/>
      <w:jc w:val="center"/>
      <w:outlineLvl w:val="0"/>
    </w:pPr>
    <w:rPr>
      <w:rFonts w:ascii="Cambria" w:hAnsi="Cambria" w:cs="Times New Roman"/>
      <w:b/>
      <w:sz w:val="32"/>
      <w:szCs w:val="20"/>
    </w:rPr>
  </w:style>
  <w:style w:type="paragraph" w:styleId="37">
    <w:name w:val="annotation subject"/>
    <w:basedOn w:val="14"/>
    <w:next w:val="14"/>
    <w:link w:val="75"/>
    <w:qFormat/>
    <w:locked/>
    <w:uiPriority w:val="0"/>
    <w:rPr>
      <w:b/>
      <w:bCs/>
    </w:rPr>
  </w:style>
  <w:style w:type="paragraph" w:styleId="38">
    <w:name w:val="Body Text First Indent"/>
    <w:basedOn w:val="1"/>
    <w:next w:val="1"/>
    <w:link w:val="76"/>
    <w:unhideWhenUsed/>
    <w:qFormat/>
    <w:locked/>
    <w:uiPriority w:val="99"/>
    <w:pPr>
      <w:widowControl w:val="0"/>
      <w:autoSpaceDE w:val="0"/>
      <w:autoSpaceDN w:val="0"/>
      <w:adjustRightInd w:val="0"/>
      <w:spacing w:before="0" w:beforeAutospacing="0" w:after="120" w:afterAutospacing="0" w:line="360" w:lineRule="auto"/>
      <w:ind w:firstLine="420" w:firstLineChars="100"/>
    </w:pPr>
    <w:rPr>
      <w:rFonts w:ascii="Calibri" w:hAnsi="Calibri" w:eastAsia="仿宋"/>
      <w:color w:val="000000"/>
      <w:kern w:val="2"/>
      <w:sz w:val="28"/>
      <w:szCs w:val="32"/>
    </w:rPr>
  </w:style>
  <w:style w:type="paragraph" w:styleId="39">
    <w:name w:val="Body Text First Indent 2"/>
    <w:basedOn w:val="17"/>
    <w:link w:val="77"/>
    <w:qFormat/>
    <w:locked/>
    <w:uiPriority w:val="0"/>
    <w:pPr>
      <w:ind w:firstLine="420" w:firstLineChars="200"/>
    </w:pPr>
    <w:rPr>
      <w:rFonts w:ascii="宋体" w:hAnsi="宋体" w:cs="宋体"/>
      <w:sz w:val="24"/>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locked/>
    <w:uiPriority w:val="0"/>
    <w:rPr>
      <w:b/>
      <w:bCs/>
    </w:rPr>
  </w:style>
  <w:style w:type="character" w:styleId="44">
    <w:name w:val="page number"/>
    <w:qFormat/>
    <w:uiPriority w:val="0"/>
    <w:rPr>
      <w:rFonts w:cs="Times New Roman"/>
    </w:rPr>
  </w:style>
  <w:style w:type="character" w:styleId="45">
    <w:name w:val="FollowedHyperlink"/>
    <w:qFormat/>
    <w:locked/>
    <w:uiPriority w:val="99"/>
    <w:rPr>
      <w:color w:val="800080"/>
      <w:u w:val="single"/>
    </w:rPr>
  </w:style>
  <w:style w:type="character" w:styleId="46">
    <w:name w:val="Emphasis"/>
    <w:qFormat/>
    <w:locked/>
    <w:uiPriority w:val="0"/>
    <w:rPr>
      <w:i/>
      <w:iCs/>
    </w:rPr>
  </w:style>
  <w:style w:type="character" w:styleId="47">
    <w:name w:val="HTML Definition"/>
    <w:qFormat/>
    <w:locked/>
    <w:uiPriority w:val="99"/>
  </w:style>
  <w:style w:type="character" w:styleId="48">
    <w:name w:val="HTML Acronym"/>
    <w:qFormat/>
    <w:locked/>
    <w:uiPriority w:val="99"/>
  </w:style>
  <w:style w:type="character" w:styleId="49">
    <w:name w:val="HTML Variable"/>
    <w:qFormat/>
    <w:locked/>
    <w:uiPriority w:val="99"/>
  </w:style>
  <w:style w:type="character" w:styleId="50">
    <w:name w:val="Hyperlink"/>
    <w:qFormat/>
    <w:uiPriority w:val="0"/>
    <w:rPr>
      <w:rFonts w:cs="Times New Roman"/>
      <w:color w:val="0000FF"/>
      <w:u w:val="single"/>
    </w:rPr>
  </w:style>
  <w:style w:type="character" w:styleId="51">
    <w:name w:val="HTML Code"/>
    <w:qFormat/>
    <w:locked/>
    <w:uiPriority w:val="99"/>
    <w:rPr>
      <w:rFonts w:ascii="monospace" w:hAnsi="monospace" w:eastAsia="Times New Roman" w:cs="monospace"/>
      <w:sz w:val="24"/>
      <w:szCs w:val="24"/>
    </w:rPr>
  </w:style>
  <w:style w:type="character" w:styleId="52">
    <w:name w:val="annotation reference"/>
    <w:qFormat/>
    <w:uiPriority w:val="0"/>
    <w:rPr>
      <w:rFonts w:cs="Times New Roman"/>
      <w:sz w:val="21"/>
      <w:szCs w:val="21"/>
    </w:rPr>
  </w:style>
  <w:style w:type="character" w:styleId="53">
    <w:name w:val="HTML Cite"/>
    <w:qFormat/>
    <w:locked/>
    <w:uiPriority w:val="99"/>
  </w:style>
  <w:style w:type="character" w:styleId="54">
    <w:name w:val="HTML Keyboard"/>
    <w:qFormat/>
    <w:locked/>
    <w:uiPriority w:val="99"/>
    <w:rPr>
      <w:rFonts w:ascii="monospace" w:hAnsi="monospace" w:eastAsia="Times New Roman" w:cs="monospace"/>
      <w:sz w:val="24"/>
      <w:szCs w:val="24"/>
    </w:rPr>
  </w:style>
  <w:style w:type="character" w:styleId="55">
    <w:name w:val="HTML Sample"/>
    <w:qFormat/>
    <w:locked/>
    <w:uiPriority w:val="99"/>
    <w:rPr>
      <w:rFonts w:ascii="monospace" w:hAnsi="monospace" w:eastAsia="Times New Roman" w:cs="monospace"/>
      <w:sz w:val="24"/>
      <w:szCs w:val="24"/>
    </w:rPr>
  </w:style>
  <w:style w:type="character" w:customStyle="1" w:styleId="56">
    <w:name w:val="正文文本 字符"/>
    <w:link w:val="16"/>
    <w:semiHidden/>
    <w:qFormat/>
    <w:locked/>
    <w:uiPriority w:val="0"/>
    <w:rPr>
      <w:sz w:val="20"/>
    </w:rPr>
  </w:style>
  <w:style w:type="paragraph" w:customStyle="1" w:styleId="57">
    <w:name w:val="一级条标题"/>
    <w:basedOn w:val="58"/>
    <w:next w:val="59"/>
    <w:qFormat/>
    <w:uiPriority w:val="99"/>
    <w:pPr>
      <w:spacing w:line="240" w:lineRule="auto"/>
      <w:ind w:left="420"/>
      <w:outlineLvl w:val="2"/>
    </w:pPr>
  </w:style>
  <w:style w:type="paragraph" w:customStyle="1" w:styleId="5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标题 1 字符"/>
    <w:link w:val="2"/>
    <w:qFormat/>
    <w:locked/>
    <w:uiPriority w:val="9"/>
    <w:rPr>
      <w:b/>
      <w:kern w:val="44"/>
      <w:sz w:val="44"/>
    </w:rPr>
  </w:style>
  <w:style w:type="character" w:customStyle="1" w:styleId="61">
    <w:name w:val="标题 2 字符"/>
    <w:link w:val="3"/>
    <w:semiHidden/>
    <w:qFormat/>
    <w:locked/>
    <w:uiPriority w:val="9"/>
    <w:rPr>
      <w:rFonts w:ascii="Cambria" w:hAnsi="Cambria" w:eastAsia="宋体"/>
      <w:b/>
      <w:sz w:val="32"/>
    </w:rPr>
  </w:style>
  <w:style w:type="character" w:customStyle="1" w:styleId="62">
    <w:name w:val="标题 3 字符"/>
    <w:link w:val="4"/>
    <w:semiHidden/>
    <w:qFormat/>
    <w:locked/>
    <w:uiPriority w:val="9"/>
    <w:rPr>
      <w:b/>
      <w:sz w:val="32"/>
    </w:rPr>
  </w:style>
  <w:style w:type="character" w:customStyle="1" w:styleId="63">
    <w:name w:val="标题 6 字符"/>
    <w:link w:val="7"/>
    <w:semiHidden/>
    <w:qFormat/>
    <w:uiPriority w:val="9"/>
    <w:rPr>
      <w:rFonts w:ascii="等线 Light" w:hAnsi="等线 Light" w:eastAsia="等线 Light" w:cs="Times New Roman"/>
      <w:b/>
      <w:bCs/>
      <w:kern w:val="2"/>
      <w:sz w:val="24"/>
      <w:szCs w:val="24"/>
    </w:rPr>
  </w:style>
  <w:style w:type="character" w:customStyle="1" w:styleId="64">
    <w:name w:val="文档结构图 字符"/>
    <w:link w:val="13"/>
    <w:semiHidden/>
    <w:qFormat/>
    <w:locked/>
    <w:uiPriority w:val="99"/>
    <w:rPr>
      <w:sz w:val="2"/>
    </w:rPr>
  </w:style>
  <w:style w:type="character" w:customStyle="1" w:styleId="65">
    <w:name w:val="批注文字 字符"/>
    <w:link w:val="14"/>
    <w:qFormat/>
    <w:locked/>
    <w:uiPriority w:val="99"/>
    <w:rPr>
      <w:rFonts w:eastAsia="宋体" w:cs="Times New Roman"/>
      <w:kern w:val="2"/>
      <w:sz w:val="28"/>
      <w:lang w:val="en-US" w:eastAsia="zh-CN" w:bidi="ar-SA"/>
    </w:rPr>
  </w:style>
  <w:style w:type="character" w:customStyle="1" w:styleId="66">
    <w:name w:val="正文文本缩进 字符"/>
    <w:link w:val="17"/>
    <w:semiHidden/>
    <w:qFormat/>
    <w:locked/>
    <w:uiPriority w:val="99"/>
    <w:rPr>
      <w:sz w:val="20"/>
    </w:rPr>
  </w:style>
  <w:style w:type="character" w:customStyle="1" w:styleId="67">
    <w:name w:val="纯文本 字符"/>
    <w:link w:val="20"/>
    <w:qFormat/>
    <w:locked/>
    <w:uiPriority w:val="99"/>
    <w:rPr>
      <w:rFonts w:ascii="宋体" w:hAnsi="Courier New" w:eastAsia="宋体"/>
      <w:kern w:val="2"/>
      <w:sz w:val="21"/>
      <w:lang w:val="en-US" w:eastAsia="zh-CN"/>
    </w:rPr>
  </w:style>
  <w:style w:type="character" w:customStyle="1" w:styleId="68">
    <w:name w:val="日期 字符"/>
    <w:link w:val="21"/>
    <w:semiHidden/>
    <w:qFormat/>
    <w:locked/>
    <w:uiPriority w:val="99"/>
    <w:rPr>
      <w:sz w:val="20"/>
    </w:rPr>
  </w:style>
  <w:style w:type="character" w:customStyle="1" w:styleId="69">
    <w:name w:val="正文文本缩进 2 字符"/>
    <w:link w:val="22"/>
    <w:semiHidden/>
    <w:qFormat/>
    <w:locked/>
    <w:uiPriority w:val="99"/>
    <w:rPr>
      <w:sz w:val="20"/>
    </w:rPr>
  </w:style>
  <w:style w:type="character" w:customStyle="1" w:styleId="70">
    <w:name w:val="批注框文本 字符"/>
    <w:link w:val="23"/>
    <w:qFormat/>
    <w:uiPriority w:val="99"/>
    <w:rPr>
      <w:rFonts w:ascii="宋体" w:hAnsi="宋体" w:cs="宋体"/>
      <w:sz w:val="18"/>
      <w:szCs w:val="18"/>
    </w:rPr>
  </w:style>
  <w:style w:type="character" w:customStyle="1" w:styleId="71">
    <w:name w:val="页脚 字符"/>
    <w:link w:val="24"/>
    <w:qFormat/>
    <w:locked/>
    <w:uiPriority w:val="99"/>
    <w:rPr>
      <w:sz w:val="18"/>
    </w:rPr>
  </w:style>
  <w:style w:type="character" w:customStyle="1" w:styleId="72">
    <w:name w:val="页眉 字符"/>
    <w:link w:val="25"/>
    <w:qFormat/>
    <w:locked/>
    <w:uiPriority w:val="99"/>
    <w:rPr>
      <w:sz w:val="18"/>
    </w:rPr>
  </w:style>
  <w:style w:type="character" w:customStyle="1" w:styleId="73">
    <w:name w:val="脚注文本 字符"/>
    <w:link w:val="29"/>
    <w:qFormat/>
    <w:uiPriority w:val="0"/>
    <w:rPr>
      <w:kern w:val="2"/>
      <w:sz w:val="18"/>
      <w:szCs w:val="21"/>
    </w:rPr>
  </w:style>
  <w:style w:type="character" w:customStyle="1" w:styleId="74">
    <w:name w:val="普通(网站) 字符"/>
    <w:link w:val="35"/>
    <w:qFormat/>
    <w:uiPriority w:val="99"/>
    <w:rPr>
      <w:rFonts w:ascii="宋体" w:hAnsi="宋体"/>
      <w:kern w:val="0"/>
      <w:sz w:val="24"/>
      <w:szCs w:val="24"/>
    </w:rPr>
  </w:style>
  <w:style w:type="character" w:customStyle="1" w:styleId="75">
    <w:name w:val="批注主题 字符"/>
    <w:link w:val="37"/>
    <w:qFormat/>
    <w:uiPriority w:val="99"/>
    <w:rPr>
      <w:b/>
      <w:bCs/>
      <w:kern w:val="2"/>
      <w:sz w:val="28"/>
    </w:rPr>
  </w:style>
  <w:style w:type="character" w:customStyle="1" w:styleId="76">
    <w:name w:val="正文文本首行缩进 字符"/>
    <w:link w:val="38"/>
    <w:qFormat/>
    <w:uiPriority w:val="99"/>
    <w:rPr>
      <w:rFonts w:ascii="Calibri" w:hAnsi="Calibri" w:eastAsia="仿宋"/>
      <w:color w:val="000000"/>
      <w:kern w:val="2"/>
      <w:sz w:val="28"/>
      <w:szCs w:val="32"/>
    </w:rPr>
  </w:style>
  <w:style w:type="character" w:customStyle="1" w:styleId="77">
    <w:name w:val="正文文本首行缩进 2 字符"/>
    <w:link w:val="39"/>
    <w:qFormat/>
    <w:uiPriority w:val="0"/>
    <w:rPr>
      <w:rFonts w:ascii="宋体" w:hAnsi="宋体" w:cs="宋体"/>
      <w:sz w:val="24"/>
      <w:szCs w:val="24"/>
    </w:rPr>
  </w:style>
  <w:style w:type="character" w:customStyle="1" w:styleId="78">
    <w:name w:val="bookmark-item uuid-1536114730799 code-00016"/>
    <w:qFormat/>
    <w:uiPriority w:val="0"/>
  </w:style>
  <w:style w:type="character" w:customStyle="1" w:styleId="79">
    <w:name w:val="bookmark-item uuid-1536114230642 code-00004"/>
    <w:qFormat/>
    <w:uiPriority w:val="0"/>
  </w:style>
  <w:style w:type="character" w:customStyle="1" w:styleId="80">
    <w:name w:val="bookmark-item uuid-1536114722887 code-00015"/>
    <w:qFormat/>
    <w:uiPriority w:val="0"/>
  </w:style>
  <w:style w:type="character" w:customStyle="1" w:styleId="81">
    <w:name w:val="纯文本 字符1"/>
    <w:qFormat/>
    <w:locked/>
    <w:uiPriority w:val="99"/>
    <w:rPr>
      <w:rFonts w:ascii="宋体" w:eastAsia="宋体"/>
    </w:rPr>
  </w:style>
  <w:style w:type="character" w:customStyle="1" w:styleId="82">
    <w:name w:val="bookmark-item uuid-1536114744629 code-00018"/>
    <w:qFormat/>
    <w:uiPriority w:val="0"/>
  </w:style>
  <w:style w:type="character" w:customStyle="1" w:styleId="83">
    <w:name w:val="bookmark-item uuid-1536114237662 code-00006"/>
    <w:qFormat/>
    <w:uiPriority w:val="0"/>
  </w:style>
  <w:style w:type="character" w:customStyle="1" w:styleId="84">
    <w:name w:val="fontstyle01"/>
    <w:qFormat/>
    <w:uiPriority w:val="0"/>
    <w:rPr>
      <w:rFonts w:hint="eastAsia" w:ascii="宋体" w:hAnsi="宋体" w:eastAsia="宋体" w:cs="宋体"/>
      <w:color w:val="000000"/>
      <w:sz w:val="44"/>
      <w:szCs w:val="44"/>
    </w:rPr>
  </w:style>
  <w:style w:type="character" w:customStyle="1" w:styleId="85">
    <w:name w:val="bookmark-item uuid-1536114769643 code-00021"/>
    <w:qFormat/>
    <w:uiPriority w:val="0"/>
  </w:style>
  <w:style w:type="character" w:customStyle="1" w:styleId="86">
    <w:name w:val="bookmark-item uuid-1536114367028 code-23012"/>
    <w:qFormat/>
    <w:uiPriority w:val="0"/>
  </w:style>
  <w:style w:type="character" w:customStyle="1" w:styleId="87">
    <w:name w:val="bookmark-item uuid-1536114708792 code-00013"/>
    <w:qFormat/>
    <w:uiPriority w:val="0"/>
  </w:style>
  <w:style w:type="character" w:customStyle="1" w:styleId="88">
    <w:name w:val="bookmark-item uuid-1541657111286 code-23008"/>
    <w:qFormat/>
    <w:uiPriority w:val="0"/>
  </w:style>
  <w:style w:type="character" w:customStyle="1" w:styleId="89">
    <w:name w:val="Char Char"/>
    <w:qFormat/>
    <w:uiPriority w:val="0"/>
    <w:rPr>
      <w:rFonts w:ascii="宋体" w:hAnsi="Courier New" w:eastAsia="宋体" w:cs="Times New Roman"/>
      <w:kern w:val="2"/>
      <w:sz w:val="21"/>
      <w:lang w:val="en-US" w:eastAsia="zh-CN" w:bidi="ar-SA"/>
    </w:rPr>
  </w:style>
  <w:style w:type="character" w:customStyle="1" w:styleId="90">
    <w:name w:val="bookmark-item uuid-1536114797846 code-23002"/>
    <w:qFormat/>
    <w:uiPriority w:val="0"/>
  </w:style>
  <w:style w:type="character" w:customStyle="1" w:styleId="91">
    <w:name w:val="bookmark-item uuid-1536325460878 code-23001"/>
    <w:qFormat/>
    <w:uiPriority w:val="0"/>
  </w:style>
  <w:style w:type="character" w:customStyle="1" w:styleId="92">
    <w:name w:val="bookmark-item uuid-1536114761735 code-00020"/>
    <w:qFormat/>
    <w:uiPriority w:val="0"/>
  </w:style>
  <w:style w:type="character" w:customStyle="1" w:styleId="93">
    <w:name w:val="bookmark-item uuid-1536114308002 code-23005"/>
    <w:qFormat/>
    <w:uiPriority w:val="0"/>
  </w:style>
  <w:style w:type="character" w:customStyle="1" w:styleId="94">
    <w:name w:val="bookmark-item uuid-1536114681261 code-00009"/>
    <w:qFormat/>
    <w:uiPriority w:val="0"/>
  </w:style>
  <w:style w:type="character" w:customStyle="1" w:styleId="95">
    <w:name w:val="bookmark-item uuid-1536114326115 code-23007"/>
    <w:qFormat/>
    <w:uiPriority w:val="0"/>
  </w:style>
  <w:style w:type="character" w:customStyle="1" w:styleId="96">
    <w:name w:val="bookmark-item uuid-1536114672385 code-23021"/>
    <w:qFormat/>
    <w:uiPriority w:val="0"/>
  </w:style>
  <w:style w:type="character" w:customStyle="1" w:styleId="97">
    <w:name w:val="bookmark-item uuid-1536114351935 code-23009"/>
    <w:qFormat/>
    <w:uiPriority w:val="0"/>
  </w:style>
  <w:style w:type="character" w:customStyle="1" w:styleId="98">
    <w:name w:val="apple-converted-space"/>
    <w:qFormat/>
    <w:uiPriority w:val="99"/>
    <w:rPr>
      <w:rFonts w:cs="Times New Roman"/>
    </w:rPr>
  </w:style>
  <w:style w:type="character" w:customStyle="1" w:styleId="99">
    <w:name w:val="bookmark-item uuid-1536114715836 code-00014"/>
    <w:qFormat/>
    <w:uiPriority w:val="0"/>
  </w:style>
  <w:style w:type="character" w:customStyle="1" w:styleId="100">
    <w:name w:val="Char Char4"/>
    <w:qFormat/>
    <w:uiPriority w:val="0"/>
    <w:rPr>
      <w:rFonts w:eastAsia="宋体" w:cs="Times New Roman"/>
      <w:kern w:val="2"/>
      <w:sz w:val="18"/>
      <w:szCs w:val="18"/>
      <w:lang w:val="en-US" w:eastAsia="zh-CN" w:bidi="ar-SA"/>
    </w:rPr>
  </w:style>
  <w:style w:type="character" w:customStyle="1" w:styleId="101">
    <w:name w:val="tpc_content1"/>
    <w:qFormat/>
    <w:uiPriority w:val="0"/>
    <w:rPr>
      <w:sz w:val="20"/>
    </w:rPr>
  </w:style>
  <w:style w:type="character" w:customStyle="1" w:styleId="102">
    <w:name w:val="bookmark-item uuid-1536114752958 code-00019"/>
    <w:qFormat/>
    <w:uiPriority w:val="0"/>
  </w:style>
  <w:style w:type="character" w:customStyle="1" w:styleId="103">
    <w:name w:val="bookmark-item uuid-1536114315631 code-23006"/>
    <w:qFormat/>
    <w:uiPriority w:val="0"/>
  </w:style>
  <w:style w:type="character" w:customStyle="1" w:styleId="104">
    <w:name w:val="sub"/>
    <w:qFormat/>
    <w:uiPriority w:val="0"/>
  </w:style>
  <w:style w:type="character" w:customStyle="1" w:styleId="105">
    <w:name w:val="bookmark-item uuid-1536114381259 code-23015"/>
    <w:qFormat/>
    <w:uiPriority w:val="0"/>
  </w:style>
  <w:style w:type="character" w:customStyle="1" w:styleId="106">
    <w:name w:val="bookmark-item uuid-1536114695490 code-00011"/>
    <w:qFormat/>
    <w:uiPriority w:val="0"/>
  </w:style>
  <w:style w:type="character" w:customStyle="1" w:styleId="107">
    <w:name w:val="bookmark-item uuid-1536114688571 code-00010"/>
    <w:qFormat/>
    <w:uiPriority w:val="0"/>
  </w:style>
  <w:style w:type="character" w:customStyle="1" w:styleId="108">
    <w:name w:val="wj"/>
    <w:qFormat/>
    <w:uiPriority w:val="0"/>
  </w:style>
  <w:style w:type="paragraph" w:customStyle="1" w:styleId="109">
    <w:name w:val="三级标题"/>
    <w:basedOn w:val="1"/>
    <w:next w:val="1"/>
    <w:qFormat/>
    <w:uiPriority w:val="0"/>
    <w:pPr>
      <w:numPr>
        <w:ilvl w:val="2"/>
        <w:numId w:val="3"/>
      </w:numPr>
      <w:outlineLvl w:val="3"/>
    </w:pPr>
    <w:rPr>
      <w:b/>
    </w:rPr>
  </w:style>
  <w:style w:type="paragraph" w:customStyle="1" w:styleId="110">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样式 宋体 五号 两端对齐 行距: 单倍行距"/>
    <w:basedOn w:val="1"/>
    <w:qFormat/>
    <w:uiPriority w:val="0"/>
    <w:pPr>
      <w:adjustRightInd w:val="0"/>
      <w:textAlignment w:val="baseline"/>
    </w:pPr>
  </w:style>
  <w:style w:type="paragraph" w:customStyle="1" w:styleId="11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Char"/>
    <w:basedOn w:val="13"/>
    <w:qFormat/>
    <w:uiPriority w:val="99"/>
    <w:rPr>
      <w:rFonts w:ascii="Tahoma" w:hAnsi="Tahoma"/>
      <w:sz w:val="24"/>
      <w:szCs w:val="24"/>
    </w:rPr>
  </w:style>
  <w:style w:type="paragraph" w:customStyle="1" w:styleId="114">
    <w:name w:val="Default Text:1"/>
    <w:basedOn w:val="1"/>
    <w:qFormat/>
    <w:uiPriority w:val="0"/>
    <w:pPr>
      <w:overflowPunct w:val="0"/>
      <w:autoSpaceDE w:val="0"/>
      <w:autoSpaceDN w:val="0"/>
      <w:adjustRightInd w:val="0"/>
      <w:textAlignment w:val="baseline"/>
    </w:pPr>
  </w:style>
  <w:style w:type="paragraph" w:customStyle="1" w:styleId="11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Normal_9"/>
    <w:qFormat/>
    <w:uiPriority w:val="0"/>
    <w:rPr>
      <w:rFonts w:ascii="黑体" w:hAnsi="黑体" w:eastAsia="黑体" w:cs="Times New Roman"/>
      <w:b/>
      <w:sz w:val="32"/>
      <w:szCs w:val="24"/>
      <w:lang w:val="en-US" w:eastAsia="zh-CN" w:bidi="ar-SA"/>
    </w:rPr>
  </w:style>
  <w:style w:type="paragraph" w:customStyle="1" w:styleId="117">
    <w:name w:val="样式3"/>
    <w:basedOn w:val="20"/>
    <w:qFormat/>
    <w:uiPriority w:val="0"/>
    <w:pPr>
      <w:spacing w:line="240" w:lineRule="atLeast"/>
      <w:outlineLvl w:val="0"/>
    </w:pPr>
    <w:rPr>
      <w:sz w:val="28"/>
      <w:szCs w:val="24"/>
    </w:rPr>
  </w:style>
  <w:style w:type="paragraph" w:customStyle="1" w:styleId="118">
    <w:name w:val="Char1"/>
    <w:basedOn w:val="1"/>
    <w:qFormat/>
    <w:uiPriority w:val="0"/>
    <w:rPr>
      <w:rFonts w:ascii="Tahoma" w:hAnsi="Tahoma"/>
    </w:rPr>
  </w:style>
  <w:style w:type="paragraph" w:customStyle="1" w:styleId="119">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样式 宋体 五号 行距: 单倍行距"/>
    <w:basedOn w:val="1"/>
    <w:qFormat/>
    <w:uiPriority w:val="0"/>
    <w:pPr>
      <w:adjustRightInd w:val="0"/>
      <w:textAlignment w:val="baseline"/>
    </w:pPr>
  </w:style>
  <w:style w:type="paragraph" w:customStyle="1" w:styleId="121">
    <w:name w:val="列表段落1"/>
    <w:basedOn w:val="1"/>
    <w:qFormat/>
    <w:uiPriority w:val="0"/>
    <w:pPr>
      <w:ind w:firstLine="420" w:firstLineChars="200"/>
    </w:pPr>
    <w:rPr>
      <w:rFonts w:ascii="Calibri" w:hAnsi="Calibri"/>
      <w:szCs w:val="22"/>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Default Text"/>
    <w:link w:val="2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font6"/>
    <w:basedOn w:val="1"/>
    <w:qFormat/>
    <w:uiPriority w:val="0"/>
    <w:pPr>
      <w:spacing w:before="100" w:beforeAutospacing="1" w:after="100" w:afterAutospacing="1"/>
    </w:pPr>
    <w:rPr>
      <w:sz w:val="18"/>
      <w:szCs w:val="18"/>
    </w:rPr>
  </w:style>
  <w:style w:type="paragraph" w:customStyle="1" w:styleId="125">
    <w:name w:val="reader-word-layer"/>
    <w:basedOn w:val="1"/>
    <w:qFormat/>
    <w:uiPriority w:val="0"/>
    <w:pPr>
      <w:spacing w:before="100" w:beforeAutospacing="1" w:after="100" w:afterAutospacing="1"/>
    </w:pPr>
  </w:style>
  <w:style w:type="paragraph" w:customStyle="1" w:styleId="12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127">
    <w:name w:val="Normal_10_0"/>
    <w:qFormat/>
    <w:uiPriority w:val="0"/>
    <w:rPr>
      <w:rFonts w:ascii="黑体" w:hAnsi="黑体" w:eastAsia="黑体" w:cs="Times New Roman"/>
      <w:b/>
      <w:sz w:val="32"/>
      <w:szCs w:val="24"/>
      <w:lang w:val="en-US" w:eastAsia="zh-CN" w:bidi="ar-SA"/>
    </w:rPr>
  </w:style>
  <w:style w:type="paragraph" w:customStyle="1" w:styleId="128">
    <w:name w:val="Definition Term"/>
    <w:basedOn w:val="1"/>
    <w:next w:val="1"/>
    <w:qFormat/>
    <w:uiPriority w:val="0"/>
    <w:pPr>
      <w:autoSpaceDE w:val="0"/>
      <w:autoSpaceDN w:val="0"/>
      <w:adjustRightInd w:val="0"/>
    </w:pPr>
  </w:style>
  <w:style w:type="paragraph" w:customStyle="1" w:styleId="129">
    <w:name w:val="p15"/>
    <w:basedOn w:val="1"/>
    <w:qFormat/>
    <w:uiPriority w:val="0"/>
    <w:rPr>
      <w:szCs w:val="21"/>
    </w:rPr>
  </w:style>
  <w:style w:type="paragraph" w:customStyle="1" w:styleId="130">
    <w:name w:val="样式1"/>
    <w:basedOn w:val="1"/>
    <w:qFormat/>
    <w:uiPriority w:val="0"/>
    <w:pPr>
      <w:tabs>
        <w:tab w:val="left" w:pos="480"/>
      </w:tabs>
      <w:adjustRightInd w:val="0"/>
      <w:ind w:left="480" w:hanging="480"/>
      <w:textAlignment w:val="baseline"/>
    </w:pPr>
    <w:rPr>
      <w:szCs w:val="21"/>
    </w:rPr>
  </w:style>
  <w:style w:type="paragraph" w:customStyle="1" w:styleId="131">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Char Char Char Char Char Char Char"/>
    <w:basedOn w:val="1"/>
    <w:qFormat/>
    <w:uiPriority w:val="0"/>
    <w:pPr>
      <w:tabs>
        <w:tab w:val="left" w:pos="432"/>
      </w:tabs>
      <w:ind w:left="432" w:hanging="432"/>
    </w:pPr>
    <w:rPr>
      <w:rFonts w:ascii="Tahoma" w:hAnsi="Tahoma"/>
    </w:rPr>
  </w:style>
  <w:style w:type="paragraph" w:customStyle="1" w:styleId="134">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6">
    <w:name w:val="NormalCharacter"/>
    <w:qFormat/>
    <w:uiPriority w:val="0"/>
  </w:style>
  <w:style w:type="paragraph" w:styleId="137">
    <w:name w:val="List Paragraph"/>
    <w:basedOn w:val="1"/>
    <w:qFormat/>
    <w:uiPriority w:val="34"/>
    <w:pPr>
      <w:ind w:firstLine="420" w:firstLineChars="200"/>
    </w:pPr>
  </w:style>
  <w:style w:type="paragraph" w:customStyle="1" w:styleId="138">
    <w:name w:val="样式 样式4+ + 首行缩进:  2 字符"/>
    <w:basedOn w:val="1"/>
    <w:qFormat/>
    <w:uiPriority w:val="0"/>
    <w:pPr>
      <w:ind w:firstLine="200" w:firstLineChars="200"/>
    </w:pPr>
    <w:rPr>
      <w:sz w:val="28"/>
      <w:szCs w:val="28"/>
    </w:rPr>
  </w:style>
  <w:style w:type="character" w:customStyle="1" w:styleId="139">
    <w:name w:val="font01"/>
    <w:qFormat/>
    <w:uiPriority w:val="0"/>
    <w:rPr>
      <w:rFonts w:hint="eastAsia" w:ascii="仿宋_GB2312" w:eastAsia="仿宋_GB2312" w:cs="仿宋_GB2312"/>
      <w:color w:val="000000"/>
      <w:sz w:val="20"/>
      <w:szCs w:val="20"/>
      <w:u w:val="none"/>
    </w:rPr>
  </w:style>
  <w:style w:type="character" w:customStyle="1" w:styleId="140">
    <w:name w:val="font51"/>
    <w:qFormat/>
    <w:uiPriority w:val="0"/>
    <w:rPr>
      <w:rFonts w:hint="eastAsia" w:ascii="仿宋_GB2312" w:eastAsia="仿宋_GB2312" w:cs="仿宋_GB2312"/>
      <w:b/>
      <w:bCs/>
      <w:color w:val="000000"/>
      <w:sz w:val="20"/>
      <w:szCs w:val="20"/>
      <w:u w:val="none"/>
    </w:rPr>
  </w:style>
  <w:style w:type="character" w:customStyle="1" w:styleId="141">
    <w:name w:val="font21"/>
    <w:qFormat/>
    <w:uiPriority w:val="0"/>
    <w:rPr>
      <w:rFonts w:hint="eastAsia" w:ascii="宋体" w:hAnsi="宋体" w:eastAsia="宋体" w:cs="宋体"/>
      <w:color w:val="000000"/>
      <w:sz w:val="20"/>
      <w:szCs w:val="20"/>
      <w:u w:val="none"/>
    </w:rPr>
  </w:style>
  <w:style w:type="paragraph" w:customStyle="1" w:styleId="142">
    <w:name w:val="_Style 123"/>
    <w:unhideWhenUsed/>
    <w:qFormat/>
    <w:uiPriority w:val="99"/>
    <w:rPr>
      <w:rFonts w:ascii="宋体" w:hAnsi="宋体" w:eastAsia="宋体" w:cs="宋体"/>
      <w:sz w:val="24"/>
      <w:szCs w:val="24"/>
      <w:lang w:val="en-US" w:eastAsia="zh-CN" w:bidi="ar-SA"/>
    </w:rPr>
  </w:style>
  <w:style w:type="character" w:customStyle="1" w:styleId="143">
    <w:name w:val="标题 1 Char"/>
    <w:qFormat/>
    <w:locked/>
    <w:uiPriority w:val="0"/>
    <w:rPr>
      <w:b/>
      <w:kern w:val="44"/>
      <w:sz w:val="44"/>
    </w:rPr>
  </w:style>
  <w:style w:type="character" w:customStyle="1" w:styleId="144">
    <w:name w:val="纯文本 Char"/>
    <w:qFormat/>
    <w:locked/>
    <w:uiPriority w:val="99"/>
    <w:rPr>
      <w:rFonts w:ascii="宋体" w:hAnsi="Courier New" w:eastAsia="宋体"/>
      <w:kern w:val="2"/>
      <w:sz w:val="21"/>
      <w:lang w:val="en-US" w:eastAsia="zh-CN"/>
    </w:rPr>
  </w:style>
  <w:style w:type="character" w:customStyle="1" w:styleId="145">
    <w:name w:val="页脚 Char"/>
    <w:qFormat/>
    <w:locked/>
    <w:uiPriority w:val="0"/>
    <w:rPr>
      <w:sz w:val="18"/>
    </w:rPr>
  </w:style>
  <w:style w:type="paragraph" w:customStyle="1" w:styleId="146">
    <w:name w:val="_Style 117"/>
    <w:basedOn w:val="1"/>
    <w:next w:val="137"/>
    <w:qFormat/>
    <w:uiPriority w:val="34"/>
    <w:pPr>
      <w:ind w:firstLine="420" w:firstLineChars="200"/>
    </w:pPr>
  </w:style>
  <w:style w:type="character" w:customStyle="1" w:styleId="147">
    <w:name w:val="medium_text1"/>
    <w:qFormat/>
    <w:uiPriority w:val="0"/>
    <w:rPr>
      <w:sz w:val="24"/>
      <w:szCs w:val="24"/>
    </w:rPr>
  </w:style>
  <w:style w:type="paragraph" w:customStyle="1" w:styleId="14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9">
    <w:name w:val="页眉 Char"/>
    <w:qFormat/>
    <w:uiPriority w:val="0"/>
    <w:rPr>
      <w:kern w:val="2"/>
      <w:sz w:val="18"/>
      <w:szCs w:val="18"/>
    </w:rPr>
  </w:style>
  <w:style w:type="character" w:customStyle="1" w:styleId="150">
    <w:name w:val="书籍标题1"/>
    <w:qFormat/>
    <w:uiPriority w:val="99"/>
    <w:rPr>
      <w:rFonts w:cs="Times New Roman"/>
      <w:b/>
      <w:bCs/>
      <w:smallCaps/>
      <w:spacing w:val="5"/>
    </w:rPr>
  </w:style>
  <w:style w:type="character" w:customStyle="1" w:styleId="151">
    <w:name w:val="font11"/>
    <w:qFormat/>
    <w:uiPriority w:val="0"/>
    <w:rPr>
      <w:rFonts w:hint="eastAsia" w:ascii="宋体" w:hAnsi="宋体" w:eastAsia="宋体" w:cs="宋体"/>
      <w:color w:val="000000"/>
      <w:sz w:val="22"/>
      <w:szCs w:val="22"/>
      <w:u w:val="none"/>
    </w:rPr>
  </w:style>
  <w:style w:type="paragraph" w:customStyle="1" w:styleId="1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54">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5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56">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57">
    <w:name w:val="_Style 1"/>
    <w:basedOn w:val="1"/>
    <w:qFormat/>
    <w:uiPriority w:val="99"/>
    <w:pPr>
      <w:widowControl w:val="0"/>
      <w:ind w:firstLine="420" w:firstLineChars="200"/>
      <w:jc w:val="both"/>
    </w:pPr>
    <w:rPr>
      <w:rFonts w:ascii="Times New Roman" w:hAnsi="Times New Roman" w:cs="Times New Roman"/>
      <w:kern w:val="2"/>
      <w:sz w:val="21"/>
      <w:szCs w:val="22"/>
    </w:rPr>
  </w:style>
  <w:style w:type="character" w:customStyle="1" w:styleId="158">
    <w:name w:val="font31"/>
    <w:qFormat/>
    <w:uiPriority w:val="0"/>
    <w:rPr>
      <w:rFonts w:hint="eastAsia" w:ascii="仿宋" w:hAnsi="仿宋" w:eastAsia="仿宋" w:cs="仿宋"/>
      <w:color w:val="000000"/>
      <w:sz w:val="24"/>
      <w:szCs w:val="24"/>
      <w:u w:val="none"/>
    </w:rPr>
  </w:style>
  <w:style w:type="character" w:customStyle="1" w:styleId="159">
    <w:name w:val="font41"/>
    <w:qFormat/>
    <w:uiPriority w:val="0"/>
    <w:rPr>
      <w:rFonts w:hint="eastAsia" w:ascii="仿宋" w:hAnsi="仿宋" w:eastAsia="仿宋" w:cs="仿宋"/>
      <w:color w:val="000000"/>
      <w:sz w:val="20"/>
      <w:szCs w:val="20"/>
      <w:u w:val="none"/>
    </w:rPr>
  </w:style>
  <w:style w:type="character" w:customStyle="1" w:styleId="160">
    <w:name w:val="font81"/>
    <w:qFormat/>
    <w:uiPriority w:val="0"/>
    <w:rPr>
      <w:rFonts w:hint="eastAsia" w:ascii="方正仿宋_GBK" w:hAnsi="方正仿宋_GBK" w:eastAsia="方正仿宋_GBK" w:cs="方正仿宋_GBK"/>
      <w:color w:val="000000"/>
      <w:sz w:val="20"/>
      <w:szCs w:val="20"/>
      <w:u w:val="none"/>
    </w:rPr>
  </w:style>
  <w:style w:type="character" w:customStyle="1" w:styleId="161">
    <w:name w:val="font91"/>
    <w:qFormat/>
    <w:uiPriority w:val="0"/>
    <w:rPr>
      <w:rFonts w:hint="eastAsia" w:ascii="方正仿宋_GBK" w:hAnsi="方正仿宋_GBK" w:eastAsia="方正仿宋_GBK" w:cs="方正仿宋_GBK"/>
      <w:color w:val="000000"/>
      <w:sz w:val="20"/>
      <w:szCs w:val="20"/>
      <w:u w:val="none"/>
    </w:rPr>
  </w:style>
  <w:style w:type="character" w:customStyle="1" w:styleId="162">
    <w:name w:val="font71"/>
    <w:qFormat/>
    <w:uiPriority w:val="0"/>
    <w:rPr>
      <w:rFonts w:hint="eastAsia" w:ascii="方正仿宋_GBK" w:hAnsi="方正仿宋_GBK" w:eastAsia="方正仿宋_GBK" w:cs="方正仿宋_GBK"/>
      <w:b/>
      <w:bCs/>
      <w:color w:val="000000"/>
      <w:sz w:val="20"/>
      <w:szCs w:val="20"/>
      <w:u w:val="none"/>
    </w:rPr>
  </w:style>
  <w:style w:type="character" w:customStyle="1" w:styleId="163">
    <w:name w:val="font61"/>
    <w:qFormat/>
    <w:uiPriority w:val="0"/>
    <w:rPr>
      <w:rFonts w:ascii="方正仿宋_GBK" w:hAnsi="方正仿宋_GBK" w:eastAsia="方正仿宋_GBK" w:cs="方正仿宋_GBK"/>
      <w:b/>
      <w:bCs/>
      <w:color w:val="000000"/>
      <w:sz w:val="20"/>
      <w:szCs w:val="20"/>
      <w:u w:val="none"/>
    </w:rPr>
  </w:style>
  <w:style w:type="paragraph" w:customStyle="1" w:styleId="164">
    <w:name w:val="BodyTextIndent"/>
    <w:basedOn w:val="1"/>
    <w:qFormat/>
    <w:uiPriority w:val="0"/>
    <w:pPr>
      <w:widowControl w:val="0"/>
      <w:spacing w:line="500" w:lineRule="exact"/>
      <w:ind w:left="1588" w:leftChars="832" w:firstLine="433" w:firstLineChars="196"/>
      <w:jc w:val="both"/>
      <w:textAlignment w:val="baseline"/>
    </w:pPr>
    <w:rPr>
      <w:rFonts w:ascii="Times New Roman" w:hAnsi="Times New Roman" w:cs="Times New Roman"/>
      <w:kern w:val="2"/>
    </w:rPr>
  </w:style>
  <w:style w:type="paragraph" w:customStyle="1" w:styleId="165">
    <w:name w:val="目录 41"/>
    <w:next w:val="1"/>
    <w:qFormat/>
    <w:uiPriority w:val="99"/>
    <w:pPr>
      <w:wordWrap w:val="0"/>
      <w:ind w:left="1275"/>
      <w:jc w:val="both"/>
    </w:pPr>
    <w:rPr>
      <w:rFonts w:ascii="Times New Roman" w:hAnsi="Times New Roman" w:eastAsia="宋体" w:cs="Times New Roman"/>
      <w:sz w:val="21"/>
      <w:lang w:val="en-US" w:eastAsia="zh-CN" w:bidi="ar-SA"/>
    </w:rPr>
  </w:style>
  <w:style w:type="character" w:customStyle="1" w:styleId="166">
    <w:name w:val="其他_"/>
    <w:basedOn w:val="42"/>
    <w:link w:val="167"/>
    <w:qFormat/>
    <w:uiPriority w:val="0"/>
    <w:rPr>
      <w:rFonts w:ascii="宋体" w:hAnsi="宋体" w:cs="宋体"/>
      <w:sz w:val="26"/>
      <w:szCs w:val="26"/>
      <w:lang w:val="zh-CN" w:bidi="zh-CN"/>
    </w:rPr>
  </w:style>
  <w:style w:type="paragraph" w:customStyle="1" w:styleId="167">
    <w:name w:val="其他"/>
    <w:basedOn w:val="1"/>
    <w:link w:val="166"/>
    <w:qFormat/>
    <w:uiPriority w:val="0"/>
    <w:pPr>
      <w:widowControl w:val="0"/>
    </w:pPr>
    <w:rPr>
      <w:sz w:val="26"/>
      <w:szCs w:val="26"/>
      <w:lang w:val="zh-CN" w:bidi="zh-CN"/>
    </w:rPr>
  </w:style>
  <w:style w:type="character" w:customStyle="1" w:styleId="168">
    <w:name w:val="标题 5 字符"/>
    <w:basedOn w:val="42"/>
    <w:semiHidden/>
    <w:qFormat/>
    <w:uiPriority w:val="9"/>
    <w:rPr>
      <w:rFonts w:ascii="宋体" w:hAnsi="宋体" w:cs="宋体"/>
      <w:b/>
      <w:bCs/>
      <w:sz w:val="28"/>
      <w:szCs w:val="28"/>
    </w:rPr>
  </w:style>
  <w:style w:type="character" w:customStyle="1" w:styleId="169">
    <w:name w:val="标题 7 字符"/>
    <w:basedOn w:val="42"/>
    <w:semiHidden/>
    <w:qFormat/>
    <w:uiPriority w:val="9"/>
    <w:rPr>
      <w:rFonts w:ascii="宋体" w:hAnsi="宋体" w:cs="宋体"/>
      <w:b/>
      <w:bCs/>
      <w:sz w:val="24"/>
      <w:szCs w:val="24"/>
    </w:rPr>
  </w:style>
  <w:style w:type="character" w:customStyle="1" w:styleId="170">
    <w:name w:val="标题 8 字符"/>
    <w:basedOn w:val="42"/>
    <w:semiHidden/>
    <w:qFormat/>
    <w:uiPriority w:val="9"/>
    <w:rPr>
      <w:rFonts w:asciiTheme="majorHAnsi" w:hAnsiTheme="majorHAnsi" w:eastAsiaTheme="majorEastAsia" w:cstheme="majorBidi"/>
      <w:sz w:val="24"/>
      <w:szCs w:val="24"/>
    </w:rPr>
  </w:style>
  <w:style w:type="character" w:customStyle="1" w:styleId="171">
    <w:name w:val="标题 9 字符"/>
    <w:basedOn w:val="42"/>
    <w:semiHidden/>
    <w:qFormat/>
    <w:uiPriority w:val="9"/>
    <w:rPr>
      <w:rFonts w:asciiTheme="majorHAnsi" w:hAnsiTheme="majorHAnsi" w:eastAsiaTheme="majorEastAsia" w:cstheme="majorBidi"/>
      <w:sz w:val="21"/>
      <w:szCs w:val="21"/>
    </w:rPr>
  </w:style>
  <w:style w:type="character" w:customStyle="1" w:styleId="172">
    <w:name w:val="标题 4 字符"/>
    <w:basedOn w:val="42"/>
    <w:semiHidden/>
    <w:qFormat/>
    <w:uiPriority w:val="9"/>
    <w:rPr>
      <w:rFonts w:asciiTheme="majorHAnsi" w:hAnsiTheme="majorHAnsi" w:eastAsiaTheme="majorEastAsia" w:cstheme="majorBidi"/>
      <w:b/>
      <w:bCs/>
      <w:kern w:val="2"/>
      <w:sz w:val="28"/>
      <w:szCs w:val="28"/>
    </w:rPr>
  </w:style>
  <w:style w:type="character" w:customStyle="1" w:styleId="173">
    <w:name w:val="标题 1 Char1"/>
    <w:qFormat/>
    <w:uiPriority w:val="0"/>
    <w:rPr>
      <w:b/>
      <w:kern w:val="44"/>
      <w:sz w:val="44"/>
    </w:rPr>
  </w:style>
  <w:style w:type="character" w:customStyle="1" w:styleId="174">
    <w:name w:val="标题 2 Char1"/>
    <w:qFormat/>
    <w:uiPriority w:val="0"/>
    <w:rPr>
      <w:rFonts w:ascii="Arial" w:hAnsi="Arial" w:eastAsia="黑体"/>
      <w:kern w:val="2"/>
      <w:sz w:val="24"/>
    </w:rPr>
  </w:style>
  <w:style w:type="character" w:customStyle="1" w:styleId="175">
    <w:name w:val="正文缩进 Char1"/>
    <w:link w:val="11"/>
    <w:qFormat/>
    <w:locked/>
    <w:uiPriority w:val="0"/>
    <w:rPr>
      <w:kern w:val="2"/>
      <w:sz w:val="21"/>
      <w:szCs w:val="24"/>
    </w:rPr>
  </w:style>
  <w:style w:type="character" w:customStyle="1" w:styleId="176">
    <w:name w:val="标题 3 Char1"/>
    <w:qFormat/>
    <w:uiPriority w:val="0"/>
    <w:rPr>
      <w:b/>
      <w:kern w:val="2"/>
      <w:sz w:val="32"/>
    </w:rPr>
  </w:style>
  <w:style w:type="character" w:customStyle="1" w:styleId="177">
    <w:name w:val="标题 4 Char1"/>
    <w:link w:val="5"/>
    <w:qFormat/>
    <w:locked/>
    <w:uiPriority w:val="0"/>
    <w:rPr>
      <w:rFonts w:ascii="Arial" w:hAnsi="Arial" w:eastAsia="黑体" w:cs="宋体"/>
      <w:b/>
      <w:bCs/>
      <w:sz w:val="28"/>
      <w:szCs w:val="28"/>
    </w:rPr>
  </w:style>
  <w:style w:type="character" w:customStyle="1" w:styleId="178">
    <w:name w:val="标题 5 Char1"/>
    <w:link w:val="6"/>
    <w:qFormat/>
    <w:uiPriority w:val="0"/>
    <w:rPr>
      <w:b/>
      <w:bCs/>
      <w:kern w:val="2"/>
      <w:sz w:val="28"/>
      <w:szCs w:val="28"/>
    </w:rPr>
  </w:style>
  <w:style w:type="character" w:customStyle="1" w:styleId="179">
    <w:name w:val="标题 6 Char1"/>
    <w:qFormat/>
    <w:uiPriority w:val="0"/>
    <w:rPr>
      <w:rFonts w:ascii="Cambria" w:hAnsi="Cambria" w:cs="Cambria"/>
      <w:b/>
      <w:bCs/>
      <w:kern w:val="2"/>
      <w:sz w:val="24"/>
      <w:szCs w:val="24"/>
    </w:rPr>
  </w:style>
  <w:style w:type="character" w:customStyle="1" w:styleId="180">
    <w:name w:val="标题 7 Char1"/>
    <w:link w:val="8"/>
    <w:qFormat/>
    <w:uiPriority w:val="0"/>
    <w:rPr>
      <w:rFonts w:ascii="Calibri" w:hAnsi="Calibri" w:cs="Calibri"/>
      <w:b/>
      <w:bCs/>
      <w:kern w:val="2"/>
      <w:sz w:val="24"/>
      <w:szCs w:val="24"/>
    </w:rPr>
  </w:style>
  <w:style w:type="character" w:customStyle="1" w:styleId="181">
    <w:name w:val="标题 8 Char1"/>
    <w:link w:val="9"/>
    <w:qFormat/>
    <w:uiPriority w:val="0"/>
    <w:rPr>
      <w:rFonts w:ascii="Cambria" w:hAnsi="Cambria" w:cs="Cambria"/>
      <w:kern w:val="2"/>
      <w:sz w:val="24"/>
      <w:szCs w:val="24"/>
    </w:rPr>
  </w:style>
  <w:style w:type="character" w:customStyle="1" w:styleId="182">
    <w:name w:val="标题 9 Char1"/>
    <w:link w:val="10"/>
    <w:qFormat/>
    <w:uiPriority w:val="0"/>
    <w:rPr>
      <w:rFonts w:ascii="Cambria" w:hAnsi="Cambria" w:cs="Cambria"/>
      <w:kern w:val="2"/>
      <w:sz w:val="21"/>
      <w:szCs w:val="21"/>
    </w:rPr>
  </w:style>
  <w:style w:type="paragraph" w:customStyle="1" w:styleId="183">
    <w:name w:val="_Style 165"/>
    <w:basedOn w:val="1"/>
    <w:next w:val="137"/>
    <w:qFormat/>
    <w:uiPriority w:val="0"/>
    <w:pPr>
      <w:widowControl w:val="0"/>
      <w:ind w:firstLine="420" w:firstLineChars="200"/>
      <w:jc w:val="both"/>
    </w:pPr>
    <w:rPr>
      <w:rFonts w:ascii="Times New Roman" w:hAnsi="Times New Roman" w:cs="Times New Roman"/>
      <w:kern w:val="2"/>
      <w:sz w:val="21"/>
    </w:rPr>
  </w:style>
  <w:style w:type="character" w:customStyle="1" w:styleId="184">
    <w:name w:val="文档结构图 Char3"/>
    <w:qFormat/>
    <w:uiPriority w:val="0"/>
    <w:rPr>
      <w:kern w:val="2"/>
      <w:sz w:val="24"/>
      <w:shd w:val="clear" w:color="auto" w:fill="000080"/>
    </w:rPr>
  </w:style>
  <w:style w:type="character" w:customStyle="1" w:styleId="185">
    <w:name w:val="批注文字 Char2"/>
    <w:qFormat/>
    <w:uiPriority w:val="0"/>
    <w:rPr>
      <w:kern w:val="2"/>
      <w:sz w:val="24"/>
    </w:rPr>
  </w:style>
  <w:style w:type="character" w:customStyle="1" w:styleId="186">
    <w:name w:val="正文文本 3 字符"/>
    <w:basedOn w:val="42"/>
    <w:qFormat/>
    <w:uiPriority w:val="99"/>
    <w:rPr>
      <w:rFonts w:ascii="宋体" w:hAnsi="宋体" w:cs="宋体"/>
      <w:sz w:val="16"/>
      <w:szCs w:val="16"/>
    </w:rPr>
  </w:style>
  <w:style w:type="character" w:customStyle="1" w:styleId="187">
    <w:name w:val="正文文本 3 Char"/>
    <w:link w:val="15"/>
    <w:qFormat/>
    <w:uiPriority w:val="99"/>
    <w:rPr>
      <w:rFonts w:ascii="宋体"/>
      <w:kern w:val="2"/>
      <w:sz w:val="24"/>
    </w:rPr>
  </w:style>
  <w:style w:type="character" w:customStyle="1" w:styleId="188">
    <w:name w:val="正文文本 Char3"/>
    <w:qFormat/>
    <w:uiPriority w:val="0"/>
    <w:rPr>
      <w:kern w:val="2"/>
      <w:sz w:val="24"/>
    </w:rPr>
  </w:style>
  <w:style w:type="character" w:customStyle="1" w:styleId="189">
    <w:name w:val="正文文本缩进 Char3"/>
    <w:qFormat/>
    <w:uiPriority w:val="99"/>
    <w:rPr>
      <w:rFonts w:eastAsia="楷体_GB2312"/>
      <w:kern w:val="2"/>
      <w:sz w:val="30"/>
    </w:rPr>
  </w:style>
  <w:style w:type="character" w:customStyle="1" w:styleId="190">
    <w:name w:val="纯文本 Char3"/>
    <w:qFormat/>
    <w:uiPriority w:val="0"/>
    <w:rPr>
      <w:rFonts w:ascii="宋体" w:hAnsi="Courier New"/>
      <w:kern w:val="2"/>
      <w:sz w:val="21"/>
    </w:rPr>
  </w:style>
  <w:style w:type="character" w:customStyle="1" w:styleId="191">
    <w:name w:val="日期 Char3"/>
    <w:qFormat/>
    <w:uiPriority w:val="0"/>
    <w:rPr>
      <w:kern w:val="2"/>
      <w:sz w:val="24"/>
      <w:szCs w:val="24"/>
    </w:rPr>
  </w:style>
  <w:style w:type="character" w:customStyle="1" w:styleId="192">
    <w:name w:val="正文文本缩进 2 Char3"/>
    <w:qFormat/>
    <w:uiPriority w:val="0"/>
    <w:rPr>
      <w:kern w:val="2"/>
      <w:sz w:val="24"/>
    </w:rPr>
  </w:style>
  <w:style w:type="character" w:customStyle="1" w:styleId="193">
    <w:name w:val="批注框文本 Char2"/>
    <w:qFormat/>
    <w:uiPriority w:val="0"/>
    <w:rPr>
      <w:kern w:val="2"/>
      <w:sz w:val="18"/>
    </w:rPr>
  </w:style>
  <w:style w:type="character" w:customStyle="1" w:styleId="194">
    <w:name w:val="页脚 Char1"/>
    <w:qFormat/>
    <w:uiPriority w:val="0"/>
    <w:rPr>
      <w:kern w:val="2"/>
      <w:sz w:val="18"/>
    </w:rPr>
  </w:style>
  <w:style w:type="character" w:customStyle="1" w:styleId="195">
    <w:name w:val="页眉 Char1"/>
    <w:qFormat/>
    <w:uiPriority w:val="0"/>
    <w:rPr>
      <w:kern w:val="2"/>
      <w:sz w:val="18"/>
    </w:rPr>
  </w:style>
  <w:style w:type="character" w:customStyle="1" w:styleId="196">
    <w:name w:val="副标题 字符"/>
    <w:basedOn w:val="42"/>
    <w:qFormat/>
    <w:uiPriority w:val="99"/>
    <w:rPr>
      <w:rFonts w:asciiTheme="minorHAnsi" w:hAnsiTheme="minorHAnsi" w:eastAsiaTheme="minorEastAsia" w:cstheme="minorBidi"/>
      <w:b/>
      <w:bCs/>
      <w:kern w:val="28"/>
      <w:sz w:val="32"/>
      <w:szCs w:val="32"/>
    </w:rPr>
  </w:style>
  <w:style w:type="character" w:customStyle="1" w:styleId="197">
    <w:name w:val="副标题 Char3"/>
    <w:link w:val="27"/>
    <w:qFormat/>
    <w:uiPriority w:val="0"/>
    <w:rPr>
      <w:rFonts w:ascii="Calibri Light" w:hAnsi="Calibri Light"/>
      <w:b/>
      <w:kern w:val="28"/>
      <w:sz w:val="32"/>
    </w:rPr>
  </w:style>
  <w:style w:type="character" w:customStyle="1" w:styleId="198">
    <w:name w:val="正文文本缩进 3 字符"/>
    <w:basedOn w:val="42"/>
    <w:qFormat/>
    <w:uiPriority w:val="99"/>
    <w:rPr>
      <w:rFonts w:ascii="宋体" w:hAnsi="宋体" w:cs="宋体"/>
      <w:sz w:val="16"/>
      <w:szCs w:val="16"/>
    </w:rPr>
  </w:style>
  <w:style w:type="character" w:customStyle="1" w:styleId="199">
    <w:name w:val="正文文本缩进 3 Char2"/>
    <w:link w:val="31"/>
    <w:qFormat/>
    <w:uiPriority w:val="99"/>
    <w:rPr>
      <w:rFonts w:ascii="宋体"/>
      <w:kern w:val="2"/>
      <w:sz w:val="21"/>
    </w:rPr>
  </w:style>
  <w:style w:type="character" w:customStyle="1" w:styleId="200">
    <w:name w:val="标题 字符"/>
    <w:basedOn w:val="42"/>
    <w:qFormat/>
    <w:uiPriority w:val="10"/>
    <w:rPr>
      <w:rFonts w:asciiTheme="majorHAnsi" w:hAnsiTheme="majorHAnsi" w:eastAsiaTheme="majorEastAsia" w:cstheme="majorBidi"/>
      <w:b/>
      <w:bCs/>
      <w:sz w:val="32"/>
      <w:szCs w:val="32"/>
    </w:rPr>
  </w:style>
  <w:style w:type="character" w:customStyle="1" w:styleId="201">
    <w:name w:val="标题 Char3"/>
    <w:link w:val="36"/>
    <w:qFormat/>
    <w:uiPriority w:val="0"/>
    <w:rPr>
      <w:rFonts w:ascii="Cambria" w:hAnsi="Cambria"/>
      <w:b/>
      <w:sz w:val="32"/>
    </w:rPr>
  </w:style>
  <w:style w:type="character" w:customStyle="1" w:styleId="202">
    <w:name w:val="批注主题 Char3"/>
    <w:qFormat/>
    <w:uiPriority w:val="0"/>
    <w:rPr>
      <w:b/>
      <w:kern w:val="2"/>
      <w:sz w:val="24"/>
    </w:rPr>
  </w:style>
  <w:style w:type="character" w:customStyle="1" w:styleId="203">
    <w:name w:val="标题 Char"/>
    <w:link w:val="36"/>
    <w:qFormat/>
    <w:uiPriority w:val="0"/>
    <w:rPr>
      <w:rFonts w:ascii="Cambria" w:hAnsi="Cambria" w:eastAsia="宋体" w:cs="Times New Roman"/>
      <w:b/>
      <w:sz w:val="32"/>
    </w:rPr>
  </w:style>
  <w:style w:type="character" w:customStyle="1" w:styleId="204">
    <w:name w:val="Body Text 3 Char1"/>
    <w:qFormat/>
    <w:uiPriority w:val="99"/>
    <w:rPr>
      <w:rFonts w:ascii="Times New Roman" w:hAnsi="Times New Roman" w:eastAsia="宋体" w:cs="Times New Roman"/>
      <w:sz w:val="16"/>
      <w:szCs w:val="16"/>
    </w:rPr>
  </w:style>
  <w:style w:type="character" w:customStyle="1" w:styleId="205">
    <w:name w:val="纯文本 Char2"/>
    <w:semiHidden/>
    <w:qFormat/>
    <w:uiPriority w:val="99"/>
    <w:rPr>
      <w:rFonts w:ascii="宋体" w:hAnsi="Courier New" w:eastAsia="宋体" w:cs="Courier New"/>
      <w:szCs w:val="21"/>
    </w:rPr>
  </w:style>
  <w:style w:type="character" w:customStyle="1" w:styleId="206">
    <w:name w:val="批注框文本 Char1"/>
    <w:qFormat/>
    <w:uiPriority w:val="0"/>
    <w:rPr>
      <w:rFonts w:ascii="Times New Roman" w:hAnsi="Times New Roman" w:eastAsia="宋体" w:cs="Times New Roman"/>
      <w:sz w:val="18"/>
      <w:szCs w:val="18"/>
    </w:rPr>
  </w:style>
  <w:style w:type="character" w:customStyle="1" w:styleId="207">
    <w:name w:val="副标题 Char1"/>
    <w:qFormat/>
    <w:uiPriority w:val="99"/>
    <w:rPr>
      <w:rFonts w:ascii="Cambria" w:hAnsi="Cambria" w:eastAsia="宋体" w:cs="Times New Roman"/>
      <w:b/>
      <w:kern w:val="28"/>
      <w:sz w:val="32"/>
    </w:rPr>
  </w:style>
  <w:style w:type="character" w:customStyle="1" w:styleId="208">
    <w:name w:val="Body Text Indent Char1"/>
    <w:qFormat/>
    <w:uiPriority w:val="99"/>
    <w:rPr>
      <w:rFonts w:ascii="Times New Roman" w:hAnsi="Times New Roman" w:eastAsia="宋体" w:cs="Times New Roman"/>
      <w:szCs w:val="24"/>
    </w:rPr>
  </w:style>
  <w:style w:type="character" w:customStyle="1" w:styleId="209">
    <w:name w:val="apple-style-span"/>
    <w:qFormat/>
    <w:uiPriority w:val="0"/>
    <w:rPr>
      <w:rFonts w:ascii="Times New Roman" w:hAnsi="Times New Roman" w:eastAsia="宋体" w:cs="Times New Roman"/>
    </w:rPr>
  </w:style>
  <w:style w:type="character" w:customStyle="1" w:styleId="210">
    <w:name w:val="Body Text Char1"/>
    <w:qFormat/>
    <w:uiPriority w:val="99"/>
    <w:rPr>
      <w:rFonts w:ascii="Times New Roman" w:hAnsi="Times New Roman" w:eastAsia="宋体" w:cs="Times New Roman"/>
      <w:szCs w:val="24"/>
    </w:rPr>
  </w:style>
  <w:style w:type="character" w:customStyle="1" w:styleId="211">
    <w:name w:val="Subtitle Char1"/>
    <w:qFormat/>
    <w:uiPriority w:val="11"/>
    <w:rPr>
      <w:rFonts w:ascii="Cambria" w:hAnsi="Cambria" w:eastAsia="宋体" w:cs="Times New Roman"/>
      <w:b/>
      <w:bCs/>
      <w:kern w:val="28"/>
      <w:sz w:val="32"/>
      <w:szCs w:val="32"/>
    </w:rPr>
  </w:style>
  <w:style w:type="character" w:customStyle="1" w:styleId="212">
    <w:name w:val="访问过的超链接1"/>
    <w:qFormat/>
    <w:uiPriority w:val="0"/>
    <w:rPr>
      <w:rFonts w:ascii="Times New Roman" w:hAnsi="Times New Roman" w:eastAsia="宋体" w:cs="Times New Roman"/>
      <w:color w:val="800080"/>
      <w:u w:val="single"/>
    </w:rPr>
  </w:style>
  <w:style w:type="character" w:customStyle="1" w:styleId="213">
    <w:name w:val="正文文本 Char2"/>
    <w:semiHidden/>
    <w:qFormat/>
    <w:uiPriority w:val="99"/>
    <w:rPr>
      <w:rFonts w:ascii="Times New Roman" w:hAnsi="Times New Roman" w:eastAsia="宋体" w:cs="Times New Roman"/>
      <w:szCs w:val="24"/>
    </w:rPr>
  </w:style>
  <w:style w:type="character" w:customStyle="1" w:styleId="214">
    <w:name w:val="Date Char"/>
    <w:qFormat/>
    <w:uiPriority w:val="99"/>
    <w:rPr>
      <w:rFonts w:ascii="宋体" w:hAnsi="Times New Roman" w:eastAsia="宋体" w:cs="Times New Roman"/>
      <w:sz w:val="24"/>
    </w:rPr>
  </w:style>
  <w:style w:type="character" w:customStyle="1" w:styleId="215">
    <w:name w:val="正文文本 3 Char1"/>
    <w:qFormat/>
    <w:uiPriority w:val="99"/>
    <w:rPr>
      <w:rFonts w:ascii="宋体" w:hAnsi="Calibri" w:eastAsia="宋体" w:cs="Times New Roman"/>
      <w:kern w:val="2"/>
      <w:sz w:val="22"/>
      <w:szCs w:val="22"/>
    </w:rPr>
  </w:style>
  <w:style w:type="character" w:customStyle="1" w:styleId="216">
    <w:name w:val="Body Text Indent 2 Char1"/>
    <w:qFormat/>
    <w:uiPriority w:val="99"/>
    <w:rPr>
      <w:rFonts w:ascii="Times New Roman" w:hAnsi="Times New Roman" w:eastAsia="宋体" w:cs="Times New Roman"/>
      <w:szCs w:val="24"/>
    </w:rPr>
  </w:style>
  <w:style w:type="character" w:customStyle="1" w:styleId="217">
    <w:name w:val="无间隔 Char"/>
    <w:link w:val="218"/>
    <w:qFormat/>
    <w:uiPriority w:val="1"/>
    <w:rPr>
      <w:rFonts w:ascii="Calibri" w:hAnsi="Calibri"/>
      <w:sz w:val="22"/>
      <w:szCs w:val="22"/>
    </w:rPr>
  </w:style>
  <w:style w:type="paragraph" w:styleId="218">
    <w:name w:val="No Spacing"/>
    <w:link w:val="217"/>
    <w:qFormat/>
    <w:uiPriority w:val="1"/>
    <w:rPr>
      <w:rFonts w:ascii="Calibri" w:hAnsi="Calibri" w:eastAsia="宋体" w:cs="Times New Roman"/>
      <w:sz w:val="22"/>
      <w:szCs w:val="22"/>
      <w:lang w:val="en-US" w:eastAsia="zh-CN" w:bidi="ar-SA"/>
    </w:rPr>
  </w:style>
  <w:style w:type="character" w:customStyle="1" w:styleId="219">
    <w:name w:val="正文文本缩进 Char1"/>
    <w:qFormat/>
    <w:uiPriority w:val="99"/>
    <w:rPr>
      <w:rFonts w:ascii="Calibri" w:hAnsi="Calibri" w:eastAsia="楷体_GB2312" w:cs="Times New Roman"/>
      <w:kern w:val="2"/>
      <w:sz w:val="22"/>
      <w:szCs w:val="22"/>
    </w:rPr>
  </w:style>
  <w:style w:type="character" w:customStyle="1" w:styleId="220">
    <w:name w:val="Date Char1"/>
    <w:qFormat/>
    <w:uiPriority w:val="99"/>
    <w:rPr>
      <w:rFonts w:ascii="Times New Roman" w:hAnsi="Times New Roman" w:eastAsia="宋体" w:cs="Times New Roman"/>
      <w:szCs w:val="24"/>
    </w:rPr>
  </w:style>
  <w:style w:type="character" w:customStyle="1" w:styleId="221">
    <w:name w:val="Plain Text Char1"/>
    <w:qFormat/>
    <w:uiPriority w:val="99"/>
    <w:rPr>
      <w:rFonts w:ascii="宋体" w:hAnsi="Courier New" w:eastAsia="宋体" w:cs="Courier New"/>
      <w:szCs w:val="21"/>
    </w:rPr>
  </w:style>
  <w:style w:type="character" w:customStyle="1" w:styleId="222">
    <w:name w:val="批注文字 Char1"/>
    <w:qFormat/>
    <w:uiPriority w:val="99"/>
    <w:rPr>
      <w:rFonts w:ascii="Times New Roman" w:hAnsi="Times New Roman" w:eastAsia="宋体" w:cs="Times New Roman"/>
      <w:szCs w:val="24"/>
    </w:rPr>
  </w:style>
  <w:style w:type="character" w:customStyle="1" w:styleId="223">
    <w:name w:val="日期 Char1"/>
    <w:qFormat/>
    <w:uiPriority w:val="0"/>
    <w:rPr>
      <w:rFonts w:ascii="Times New Roman" w:hAnsi="Times New Roman" w:eastAsia="宋体" w:cs="Times New Roman"/>
      <w:kern w:val="2"/>
      <w:sz w:val="21"/>
      <w:szCs w:val="24"/>
    </w:rPr>
  </w:style>
  <w:style w:type="character" w:customStyle="1" w:styleId="224">
    <w:name w:val="副标题 Char2"/>
    <w:qFormat/>
    <w:uiPriority w:val="11"/>
    <w:rPr>
      <w:rFonts w:ascii="Cambria" w:hAnsi="Cambria" w:eastAsia="宋体" w:cs="Times New Roman"/>
      <w:b/>
      <w:bCs/>
      <w:kern w:val="28"/>
      <w:sz w:val="32"/>
      <w:szCs w:val="32"/>
    </w:rPr>
  </w:style>
  <w:style w:type="character" w:customStyle="1" w:styleId="225">
    <w:name w:val="Title Char1"/>
    <w:qFormat/>
    <w:uiPriority w:val="10"/>
    <w:rPr>
      <w:rFonts w:ascii="Cambria" w:hAnsi="Cambria" w:eastAsia="宋体" w:cs="Times New Roman"/>
      <w:b/>
      <w:bCs/>
      <w:sz w:val="32"/>
      <w:szCs w:val="32"/>
    </w:rPr>
  </w:style>
  <w:style w:type="character" w:customStyle="1" w:styleId="226">
    <w:name w:val="纯文本 Char1"/>
    <w:qFormat/>
    <w:uiPriority w:val="99"/>
    <w:rPr>
      <w:rFonts w:ascii="宋体" w:hAnsi="Courier New" w:eastAsia="宋体" w:cs="Times New Roman"/>
      <w:kern w:val="2"/>
      <w:sz w:val="21"/>
      <w:szCs w:val="21"/>
    </w:rPr>
  </w:style>
  <w:style w:type="character" w:customStyle="1" w:styleId="227">
    <w:name w:val="Default Text Char"/>
    <w:link w:val="123"/>
    <w:qFormat/>
    <w:uiPriority w:val="0"/>
    <w:rPr>
      <w:color w:val="000000"/>
      <w:sz w:val="24"/>
      <w:szCs w:val="24"/>
    </w:rPr>
  </w:style>
  <w:style w:type="character" w:customStyle="1" w:styleId="228">
    <w:name w:val="15"/>
    <w:qFormat/>
    <w:uiPriority w:val="0"/>
    <w:rPr>
      <w:rFonts w:ascii="Times New Roman" w:hAnsi="Times New Roman" w:eastAsia="宋体" w:cs="Times New Roman"/>
      <w:color w:val="464445"/>
      <w:u w:val="none"/>
    </w:rPr>
  </w:style>
  <w:style w:type="character" w:customStyle="1" w:styleId="229">
    <w:name w:val="标题 Char1"/>
    <w:qFormat/>
    <w:uiPriority w:val="99"/>
    <w:rPr>
      <w:rFonts w:ascii="Cambria" w:hAnsi="Cambria" w:eastAsia="宋体" w:cs="Times New Roman"/>
      <w:b/>
      <w:kern w:val="2"/>
      <w:sz w:val="32"/>
    </w:rPr>
  </w:style>
  <w:style w:type="character" w:customStyle="1" w:styleId="230">
    <w:name w:val="正文文本 Char1"/>
    <w:qFormat/>
    <w:uiPriority w:val="0"/>
    <w:rPr>
      <w:rFonts w:ascii="Calibri" w:hAnsi="Calibri" w:eastAsia="宋体" w:cs="Times New Roman"/>
      <w:kern w:val="2"/>
      <w:sz w:val="24"/>
      <w:szCs w:val="24"/>
    </w:rPr>
  </w:style>
  <w:style w:type="character" w:customStyle="1" w:styleId="231">
    <w:name w:val="正文文本缩进 2 Char1"/>
    <w:qFormat/>
    <w:uiPriority w:val="99"/>
    <w:rPr>
      <w:rFonts w:ascii="Calibri" w:hAnsi="Calibri" w:eastAsia="宋体" w:cs="Times New Roman"/>
      <w:kern w:val="2"/>
      <w:sz w:val="24"/>
      <w:szCs w:val="24"/>
    </w:rPr>
  </w:style>
  <w:style w:type="character" w:customStyle="1" w:styleId="232">
    <w:name w:val="正文文本 3 Char2"/>
    <w:semiHidden/>
    <w:qFormat/>
    <w:uiPriority w:val="99"/>
    <w:rPr>
      <w:rFonts w:ascii="Times New Roman" w:hAnsi="Times New Roman" w:eastAsia="宋体" w:cs="Times New Roman"/>
      <w:sz w:val="16"/>
      <w:szCs w:val="16"/>
    </w:rPr>
  </w:style>
  <w:style w:type="character" w:customStyle="1" w:styleId="233">
    <w:name w:val="文档结构图 Char1"/>
    <w:qFormat/>
    <w:uiPriority w:val="0"/>
    <w:rPr>
      <w:rFonts w:ascii="宋体" w:hAnsi="Times New Roman" w:eastAsia="宋体" w:cs="Times New Roman"/>
      <w:sz w:val="18"/>
      <w:szCs w:val="18"/>
    </w:rPr>
  </w:style>
  <w:style w:type="character" w:customStyle="1" w:styleId="234">
    <w:name w:val="正文文本缩进 Char2"/>
    <w:semiHidden/>
    <w:qFormat/>
    <w:uiPriority w:val="99"/>
    <w:rPr>
      <w:rFonts w:ascii="Times New Roman" w:hAnsi="Times New Roman" w:eastAsia="宋体" w:cs="Times New Roman"/>
      <w:szCs w:val="24"/>
    </w:rPr>
  </w:style>
  <w:style w:type="character" w:customStyle="1" w:styleId="235">
    <w:name w:val="批注主题 Char1"/>
    <w:qFormat/>
    <w:uiPriority w:val="0"/>
    <w:rPr>
      <w:rFonts w:ascii="Times New Roman" w:hAnsi="Times New Roman" w:eastAsia="宋体" w:cs="Times New Roman"/>
      <w:b/>
      <w:bCs/>
      <w:szCs w:val="24"/>
    </w:rPr>
  </w:style>
  <w:style w:type="character" w:customStyle="1" w:styleId="236">
    <w:name w:val="日期 Char2"/>
    <w:semiHidden/>
    <w:qFormat/>
    <w:uiPriority w:val="99"/>
    <w:rPr>
      <w:rFonts w:ascii="Times New Roman" w:hAnsi="Times New Roman" w:eastAsia="宋体" w:cs="Times New Roman"/>
      <w:szCs w:val="24"/>
    </w:rPr>
  </w:style>
  <w:style w:type="character" w:customStyle="1" w:styleId="237">
    <w:name w:val="标题 Char2"/>
    <w:qFormat/>
    <w:uiPriority w:val="10"/>
    <w:rPr>
      <w:rFonts w:ascii="Cambria" w:hAnsi="Cambria" w:eastAsia="宋体" w:cs="Times New Roman"/>
      <w:b/>
      <w:bCs/>
      <w:sz w:val="32"/>
      <w:szCs w:val="32"/>
    </w:rPr>
  </w:style>
  <w:style w:type="character" w:customStyle="1" w:styleId="238">
    <w:name w:val="正文文本缩进 3 Char1"/>
    <w:semiHidden/>
    <w:qFormat/>
    <w:uiPriority w:val="99"/>
    <w:rPr>
      <w:rFonts w:ascii="Times New Roman" w:hAnsi="Times New Roman" w:eastAsia="宋体" w:cs="Times New Roman"/>
      <w:sz w:val="16"/>
      <w:szCs w:val="16"/>
    </w:rPr>
  </w:style>
  <w:style w:type="character" w:customStyle="1" w:styleId="239">
    <w:name w:val="正文文本缩进 2 Char2"/>
    <w:semiHidden/>
    <w:qFormat/>
    <w:uiPriority w:val="99"/>
    <w:rPr>
      <w:rFonts w:ascii="Times New Roman" w:hAnsi="Times New Roman" w:eastAsia="宋体" w:cs="Times New Roman"/>
      <w:szCs w:val="24"/>
    </w:rPr>
  </w:style>
  <w:style w:type="paragraph" w:customStyle="1" w:styleId="240">
    <w:name w:val="tiaonoa"/>
    <w:basedOn w:val="1"/>
    <w:qFormat/>
    <w:uiPriority w:val="0"/>
    <w:pPr>
      <w:spacing w:before="100" w:beforeAutospacing="1" w:after="100" w:afterAutospacing="1"/>
    </w:pPr>
    <w:rPr>
      <w:b/>
      <w:bCs/>
      <w:smallCaps/>
      <w:color w:val="000000"/>
      <w:sz w:val="18"/>
      <w:szCs w:val="18"/>
    </w:rPr>
  </w:style>
  <w:style w:type="paragraph" w:customStyle="1" w:styleId="241">
    <w:name w:val="p17"/>
    <w:basedOn w:val="1"/>
    <w:qFormat/>
    <w:uiPriority w:val="0"/>
    <w:pPr>
      <w:jc w:val="both"/>
    </w:pPr>
    <w:rPr>
      <w:rFonts w:ascii="Times New Roman" w:hAnsi="Times New Roman" w:cs="Times New Roman"/>
      <w:sz w:val="21"/>
      <w:szCs w:val="21"/>
    </w:rPr>
  </w:style>
  <w:style w:type="paragraph" w:customStyle="1" w:styleId="242">
    <w:name w:val="content"/>
    <w:basedOn w:val="1"/>
    <w:qFormat/>
    <w:uiPriority w:val="0"/>
    <w:pPr>
      <w:spacing w:before="100" w:beforeAutospacing="1" w:after="100" w:afterAutospacing="1" w:line="384" w:lineRule="auto"/>
    </w:pPr>
    <w:rPr>
      <w:sz w:val="18"/>
      <w:szCs w:val="18"/>
    </w:rPr>
  </w:style>
  <w:style w:type="paragraph" w:customStyle="1" w:styleId="243">
    <w:name w:val="正文一级"/>
    <w:basedOn w:val="1"/>
    <w:qFormat/>
    <w:uiPriority w:val="99"/>
    <w:pPr>
      <w:widowControl w:val="0"/>
      <w:spacing w:line="360" w:lineRule="auto"/>
      <w:ind w:left="425"/>
      <w:jc w:val="both"/>
    </w:pPr>
    <w:rPr>
      <w:rFonts w:ascii="Times New Roman" w:hAnsi="Times New Roman" w:cs="Times New Roman"/>
      <w:kern w:val="2"/>
      <w:szCs w:val="20"/>
    </w:rPr>
  </w:style>
  <w:style w:type="paragraph" w:customStyle="1" w:styleId="244">
    <w:name w:val="TOC Heading"/>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5">
    <w:name w:val="xl25"/>
    <w:basedOn w:val="1"/>
    <w:qFormat/>
    <w:uiPriority w:val="99"/>
    <w:pPr>
      <w:spacing w:before="100" w:beforeAutospacing="1" w:after="100" w:afterAutospacing="1"/>
      <w:jc w:val="both"/>
      <w:textAlignment w:val="center"/>
    </w:pPr>
    <w:rPr>
      <w:rFonts w:cs="Times New Roman"/>
      <w:sz w:val="18"/>
      <w:szCs w:val="18"/>
    </w:rPr>
  </w:style>
  <w:style w:type="paragraph" w:customStyle="1" w:styleId="246">
    <w:name w:val="zhang"/>
    <w:basedOn w:val="1"/>
    <w:qFormat/>
    <w:uiPriority w:val="0"/>
    <w:pPr>
      <w:spacing w:before="100" w:beforeAutospacing="1" w:after="100" w:afterAutospacing="1"/>
    </w:pPr>
    <w:rPr>
      <w:b/>
      <w:bCs/>
      <w:smallCaps/>
      <w:color w:val="000000"/>
      <w:sz w:val="20"/>
      <w:szCs w:val="20"/>
    </w:rPr>
  </w:style>
  <w:style w:type="paragraph" w:customStyle="1" w:styleId="247">
    <w:name w:val="stitle"/>
    <w:basedOn w:val="1"/>
    <w:qFormat/>
    <w:uiPriority w:val="0"/>
    <w:pPr>
      <w:spacing w:before="100" w:beforeAutospacing="1" w:after="100" w:afterAutospacing="1"/>
    </w:pPr>
    <w:rPr>
      <w:smallCaps/>
      <w:color w:val="000000"/>
      <w:sz w:val="20"/>
      <w:szCs w:val="20"/>
    </w:rPr>
  </w:style>
  <w:style w:type="paragraph" w:customStyle="1" w:styleId="248">
    <w:name w:val="TOC 标题1"/>
    <w:basedOn w:val="2"/>
    <w:next w:val="1"/>
    <w:qFormat/>
    <w:uiPriority w:val="99"/>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9">
    <w:name w:val="样式 标题 3 + (中文) 黑体 小四 非加粗 段前: 7.8 磅 段后: 0 磅 行距: 固定值 20 磅"/>
    <w:basedOn w:val="4"/>
    <w:next w:val="1"/>
    <w:qFormat/>
    <w:uiPriority w:val="0"/>
    <w:pPr>
      <w:widowControl w:val="0"/>
      <w:spacing w:before="0" w:after="0" w:line="400" w:lineRule="exact"/>
      <w:jc w:val="both"/>
    </w:pPr>
    <w:rPr>
      <w:rFonts w:eastAsia="黑体" w:cs="宋体"/>
      <w:b w:val="0"/>
      <w:bCs/>
      <w:kern w:val="2"/>
      <w:sz w:val="24"/>
    </w:rPr>
  </w:style>
  <w:style w:type="paragraph" w:customStyle="1" w:styleId="250">
    <w:name w:val="xl37"/>
    <w:basedOn w:val="1"/>
    <w:qFormat/>
    <w:uiPriority w:val="99"/>
    <w:pPr>
      <w:pBdr>
        <w:left w:val="single" w:color="auto" w:sz="8"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51">
    <w:name w:val="Char2"/>
    <w:basedOn w:val="1"/>
    <w:qFormat/>
    <w:uiPriority w:val="0"/>
    <w:pPr>
      <w:widowControl w:val="0"/>
      <w:spacing w:line="360" w:lineRule="auto"/>
      <w:ind w:firstLine="200" w:firstLineChars="200"/>
      <w:jc w:val="both"/>
    </w:pPr>
    <w:rPr>
      <w:kern w:val="2"/>
    </w:rPr>
  </w:style>
  <w:style w:type="paragraph" w:customStyle="1" w:styleId="252">
    <w:name w:val="p0"/>
    <w:basedOn w:val="1"/>
    <w:qFormat/>
    <w:uiPriority w:val="99"/>
    <w:pPr>
      <w:jc w:val="both"/>
    </w:pPr>
    <w:rPr>
      <w:rFonts w:ascii="Times New Roman" w:hAnsi="Times New Roman" w:cs="Times New Roman"/>
      <w:sz w:val="21"/>
      <w:szCs w:val="21"/>
    </w:rPr>
  </w:style>
  <w:style w:type="paragraph" w:customStyle="1" w:styleId="253">
    <w:name w:val="mnotes"/>
    <w:basedOn w:val="1"/>
    <w:qFormat/>
    <w:uiPriority w:val="0"/>
    <w:pPr>
      <w:shd w:val="clear" w:color="auto" w:fill="AFEEEE"/>
      <w:spacing w:before="100" w:beforeAutospacing="1" w:after="100" w:afterAutospacing="1" w:line="336" w:lineRule="auto"/>
    </w:pPr>
    <w:rPr>
      <w:smallCaps/>
      <w:color w:val="008080"/>
      <w:sz w:val="20"/>
      <w:szCs w:val="20"/>
    </w:rPr>
  </w:style>
  <w:style w:type="paragraph" w:customStyle="1" w:styleId="254">
    <w:name w:val="tiaoyin"/>
    <w:basedOn w:val="1"/>
    <w:qFormat/>
    <w:uiPriority w:val="0"/>
    <w:pPr>
      <w:spacing w:before="100" w:beforeAutospacing="1" w:after="100" w:afterAutospacing="1"/>
    </w:pPr>
    <w:rPr>
      <w:smallCaps/>
      <w:color w:val="FF0000"/>
      <w:sz w:val="20"/>
      <w:szCs w:val="20"/>
    </w:rPr>
  </w:style>
  <w:style w:type="paragraph" w:customStyle="1" w:styleId="255">
    <w:name w:val="tiao"/>
    <w:basedOn w:val="1"/>
    <w:qFormat/>
    <w:uiPriority w:val="0"/>
    <w:pPr>
      <w:shd w:val="clear" w:color="auto" w:fill="AFEEEE"/>
      <w:spacing w:before="100" w:beforeAutospacing="1" w:after="100" w:afterAutospacing="1"/>
    </w:pPr>
    <w:rPr>
      <w:i/>
      <w:iCs/>
      <w:smallCaps/>
      <w:color w:val="6600CC"/>
      <w:sz w:val="20"/>
      <w:szCs w:val="20"/>
    </w:rPr>
  </w:style>
  <w:style w:type="paragraph" w:customStyle="1" w:styleId="256">
    <w:name w:val="mtitle"/>
    <w:basedOn w:val="1"/>
    <w:qFormat/>
    <w:uiPriority w:val="0"/>
    <w:pPr>
      <w:spacing w:before="100" w:beforeAutospacing="1" w:after="100" w:afterAutospacing="1" w:line="336" w:lineRule="auto"/>
    </w:pPr>
    <w:rPr>
      <w:b/>
      <w:bCs/>
      <w:smallCaps/>
      <w:color w:val="000000"/>
      <w:sz w:val="20"/>
      <w:szCs w:val="20"/>
    </w:rPr>
  </w:style>
  <w:style w:type="paragraph" w:customStyle="1" w:styleId="257">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cs="宋体"/>
      <w:b w:val="0"/>
      <w:kern w:val="2"/>
      <w:sz w:val="28"/>
    </w:rPr>
  </w:style>
  <w:style w:type="paragraph" w:customStyle="1" w:styleId="258">
    <w:name w:val="Table Paragraph"/>
    <w:basedOn w:val="1"/>
    <w:qFormat/>
    <w:uiPriority w:val="99"/>
    <w:pPr>
      <w:widowControl w:val="0"/>
      <w:autoSpaceDE w:val="0"/>
      <w:autoSpaceDN w:val="0"/>
    </w:pPr>
    <w:rPr>
      <w:sz w:val="22"/>
      <w:szCs w:val="22"/>
      <w:lang w:eastAsia="en-US"/>
    </w:rPr>
  </w:style>
  <w:style w:type="paragraph" w:customStyle="1" w:styleId="259">
    <w:name w:val="_Style 4"/>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0">
    <w:name w:val="正文 A"/>
    <w:qFormat/>
    <w:uiPriority w:val="0"/>
    <w:rPr>
      <w:rFonts w:ascii="宋体" w:hAnsi="宋体" w:eastAsia="Arial Unicode MS" w:cs="Arial Unicode MS"/>
      <w:color w:val="000000"/>
      <w:sz w:val="24"/>
      <w:szCs w:val="24"/>
      <w:u w:color="000000"/>
      <w:lang w:val="en-US" w:eastAsia="zh-CN" w:bidi="ar-SA"/>
    </w:rPr>
  </w:style>
  <w:style w:type="paragraph" w:customStyle="1" w:styleId="261">
    <w:name w:val="_Style 7"/>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2">
    <w:name w:val="标题一 黑体2号加粗"/>
    <w:basedOn w:val="2"/>
    <w:qFormat/>
    <w:uiPriority w:val="0"/>
    <w:pPr>
      <w:keepLines/>
      <w:widowControl w:val="0"/>
      <w:numPr>
        <w:numId w:val="0"/>
      </w:numPr>
      <w:tabs>
        <w:tab w:val="clear" w:pos="360"/>
      </w:tabs>
      <w:spacing w:before="340" w:after="330" w:line="578" w:lineRule="auto"/>
      <w:jc w:val="center"/>
    </w:pPr>
    <w:rPr>
      <w:sz w:val="36"/>
    </w:rPr>
  </w:style>
  <w:style w:type="paragraph" w:customStyle="1" w:styleId="263">
    <w:name w:val="BodyText"/>
    <w:basedOn w:val="1"/>
    <w:qFormat/>
    <w:uiPriority w:val="0"/>
    <w:pPr>
      <w:widowControl w:val="0"/>
      <w:spacing w:after="120"/>
      <w:jc w:val="both"/>
    </w:pPr>
    <w:rPr>
      <w:rFonts w:ascii="Times New Roman" w:hAnsi="Times New Roman" w:cs="Times New Roman"/>
      <w:kern w:val="2"/>
      <w:sz w:val="21"/>
    </w:rPr>
  </w:style>
  <w:style w:type="paragraph" w:customStyle="1" w:styleId="264">
    <w:name w:val="WPSOffice手动目录 1"/>
    <w:qFormat/>
    <w:uiPriority w:val="0"/>
    <w:rPr>
      <w:rFonts w:ascii="Times New Roman" w:hAnsi="Times New Roman" w:eastAsia="宋体" w:cs="Times New Roman"/>
      <w:lang w:val="en-US" w:eastAsia="zh-CN" w:bidi="ar-SA"/>
    </w:rPr>
  </w:style>
  <w:style w:type="table" w:customStyle="1" w:styleId="265">
    <w:name w:val="Table Normal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266">
    <w:name w:val="目录 11"/>
    <w:basedOn w:val="1"/>
    <w:qFormat/>
    <w:uiPriority w:val="99"/>
    <w:pPr>
      <w:widowControl w:val="0"/>
      <w:autoSpaceDE w:val="0"/>
      <w:autoSpaceDN w:val="0"/>
      <w:spacing w:line="272" w:lineRule="exact"/>
      <w:ind w:left="100"/>
    </w:pPr>
    <w:rPr>
      <w:sz w:val="21"/>
      <w:szCs w:val="21"/>
      <w:lang w:eastAsia="en-US"/>
    </w:rPr>
  </w:style>
  <w:style w:type="paragraph" w:customStyle="1" w:styleId="267">
    <w:name w:val="目录 21"/>
    <w:basedOn w:val="1"/>
    <w:qFormat/>
    <w:uiPriority w:val="99"/>
    <w:pPr>
      <w:widowControl w:val="0"/>
      <w:autoSpaceDE w:val="0"/>
      <w:autoSpaceDN w:val="0"/>
      <w:spacing w:line="272" w:lineRule="exact"/>
      <w:ind w:left="784" w:hanging="264"/>
    </w:pPr>
    <w:rPr>
      <w:sz w:val="21"/>
      <w:szCs w:val="21"/>
      <w:lang w:eastAsia="en-US"/>
    </w:rPr>
  </w:style>
  <w:style w:type="paragraph" w:customStyle="1" w:styleId="268">
    <w:name w:val="目录 31"/>
    <w:basedOn w:val="1"/>
    <w:qFormat/>
    <w:uiPriority w:val="99"/>
    <w:pPr>
      <w:widowControl w:val="0"/>
      <w:autoSpaceDE w:val="0"/>
      <w:autoSpaceDN w:val="0"/>
      <w:spacing w:line="272" w:lineRule="exact"/>
      <w:ind w:left="1362" w:hanging="422"/>
    </w:pPr>
    <w:rPr>
      <w:sz w:val="21"/>
      <w:szCs w:val="21"/>
      <w:lang w:eastAsia="en-US"/>
    </w:rPr>
  </w:style>
  <w:style w:type="paragraph" w:customStyle="1" w:styleId="269">
    <w:name w:val="标题 11"/>
    <w:basedOn w:val="1"/>
    <w:qFormat/>
    <w:uiPriority w:val="99"/>
    <w:pPr>
      <w:widowControl w:val="0"/>
      <w:autoSpaceDE w:val="0"/>
      <w:autoSpaceDN w:val="0"/>
      <w:spacing w:line="590" w:lineRule="exact"/>
      <w:ind w:left="3"/>
      <w:jc w:val="center"/>
      <w:outlineLvl w:val="1"/>
    </w:pPr>
    <w:rPr>
      <w:rFonts w:ascii="Microsoft JhengHei" w:hAnsi="Microsoft JhengHei" w:eastAsia="Microsoft JhengHei" w:cs="Microsoft JhengHei"/>
      <w:b/>
      <w:bCs/>
      <w:sz w:val="44"/>
      <w:szCs w:val="44"/>
      <w:lang w:eastAsia="en-US"/>
    </w:rPr>
  </w:style>
  <w:style w:type="paragraph" w:customStyle="1" w:styleId="270">
    <w:name w:val="标题 21"/>
    <w:basedOn w:val="1"/>
    <w:qFormat/>
    <w:uiPriority w:val="99"/>
    <w:pPr>
      <w:widowControl w:val="0"/>
      <w:autoSpaceDE w:val="0"/>
      <w:autoSpaceDN w:val="0"/>
      <w:ind w:left="3"/>
      <w:outlineLvl w:val="2"/>
    </w:pPr>
    <w:rPr>
      <w:sz w:val="44"/>
      <w:szCs w:val="44"/>
      <w:lang w:eastAsia="en-US"/>
    </w:rPr>
  </w:style>
  <w:style w:type="paragraph" w:customStyle="1" w:styleId="271">
    <w:name w:val="标题 31"/>
    <w:basedOn w:val="1"/>
    <w:qFormat/>
    <w:uiPriority w:val="99"/>
    <w:pPr>
      <w:widowControl w:val="0"/>
      <w:autoSpaceDE w:val="0"/>
      <w:autoSpaceDN w:val="0"/>
      <w:ind w:left="501" w:hanging="401"/>
      <w:outlineLvl w:val="3"/>
    </w:pPr>
    <w:rPr>
      <w:rFonts w:ascii="Microsoft JhengHei" w:hAnsi="Microsoft JhengHei" w:eastAsia="Microsoft JhengHei" w:cs="Microsoft JhengHei"/>
      <w:b/>
      <w:bCs/>
      <w:sz w:val="32"/>
      <w:szCs w:val="32"/>
      <w:lang w:eastAsia="en-US"/>
    </w:rPr>
  </w:style>
  <w:style w:type="paragraph" w:customStyle="1" w:styleId="272">
    <w:name w:val="标题 41"/>
    <w:basedOn w:val="1"/>
    <w:qFormat/>
    <w:uiPriority w:val="1"/>
    <w:pPr>
      <w:widowControl w:val="0"/>
      <w:autoSpaceDE w:val="0"/>
      <w:autoSpaceDN w:val="0"/>
      <w:ind w:left="726" w:hanging="489"/>
      <w:outlineLvl w:val="4"/>
    </w:pPr>
    <w:rPr>
      <w:sz w:val="28"/>
      <w:szCs w:val="28"/>
      <w:lang w:eastAsia="en-US"/>
    </w:rPr>
  </w:style>
  <w:style w:type="paragraph" w:customStyle="1" w:styleId="273">
    <w:name w:val="标题 51"/>
    <w:basedOn w:val="1"/>
    <w:qFormat/>
    <w:uiPriority w:val="99"/>
    <w:pPr>
      <w:widowControl w:val="0"/>
      <w:autoSpaceDE w:val="0"/>
      <w:autoSpaceDN w:val="0"/>
      <w:ind w:left="1048" w:hanging="526"/>
      <w:outlineLvl w:val="5"/>
    </w:pPr>
    <w:rPr>
      <w:rFonts w:ascii="Microsoft JhengHei" w:hAnsi="Microsoft JhengHei" w:eastAsia="Microsoft JhengHei" w:cs="Microsoft JhengHei"/>
      <w:b/>
      <w:bCs/>
      <w:sz w:val="21"/>
      <w:szCs w:val="21"/>
      <w:lang w:eastAsia="en-US"/>
    </w:rPr>
  </w:style>
  <w:style w:type="character" w:customStyle="1" w:styleId="274">
    <w:name w:val="文档结构图 Char"/>
    <w:qFormat/>
    <w:locked/>
    <w:uiPriority w:val="0"/>
    <w:rPr>
      <w:rFonts w:ascii="宋体" w:hAnsi="Times New Roman" w:eastAsia="宋体" w:cs="宋体"/>
      <w:kern w:val="2"/>
      <w:sz w:val="18"/>
      <w:szCs w:val="18"/>
      <w:lang w:eastAsia="zh-CN"/>
    </w:rPr>
  </w:style>
  <w:style w:type="character" w:customStyle="1" w:styleId="275">
    <w:name w:val="my-notice"/>
    <w:qFormat/>
    <w:uiPriority w:val="99"/>
  </w:style>
  <w:style w:type="character" w:customStyle="1" w:styleId="276">
    <w:name w:val="tip12"/>
    <w:qFormat/>
    <w:uiPriority w:val="99"/>
    <w:rPr>
      <w:vanish/>
      <w:color w:val="FF0000"/>
      <w:sz w:val="18"/>
      <w:szCs w:val="18"/>
    </w:rPr>
  </w:style>
  <w:style w:type="character" w:customStyle="1" w:styleId="277">
    <w:name w:val="no62"/>
    <w:qFormat/>
    <w:uiPriority w:val="99"/>
  </w:style>
  <w:style w:type="character" w:customStyle="1" w:styleId="278">
    <w:name w:val="ico-jiang"/>
    <w:qFormat/>
    <w:uiPriority w:val="99"/>
  </w:style>
  <w:style w:type="character" w:customStyle="1" w:styleId="279">
    <w:name w:val="no72"/>
    <w:qFormat/>
    <w:uiPriority w:val="99"/>
  </w:style>
  <w:style w:type="character" w:customStyle="1" w:styleId="280">
    <w:name w:val="ico-jiang2"/>
    <w:qFormat/>
    <w:uiPriority w:val="99"/>
  </w:style>
  <w:style w:type="character" w:customStyle="1" w:styleId="281">
    <w:name w:val="my-notice1"/>
    <w:qFormat/>
    <w:uiPriority w:val="99"/>
  </w:style>
  <w:style w:type="character" w:customStyle="1" w:styleId="282">
    <w:name w:val="bds_more1"/>
    <w:qFormat/>
    <w:uiPriority w:val="99"/>
    <w:rPr>
      <w:rFonts w:ascii="宋体" w:hAnsi="宋体" w:eastAsia="宋体" w:cs="宋体"/>
    </w:rPr>
  </w:style>
  <w:style w:type="character" w:customStyle="1" w:styleId="283">
    <w:name w:val="bds_nopic2"/>
    <w:qFormat/>
    <w:uiPriority w:val="99"/>
  </w:style>
  <w:style w:type="character" w:customStyle="1" w:styleId="284">
    <w:name w:val="my-class"/>
    <w:qFormat/>
    <w:uiPriority w:val="99"/>
  </w:style>
  <w:style w:type="character" w:customStyle="1" w:styleId="285">
    <w:name w:val="no6"/>
    <w:qFormat/>
    <w:uiPriority w:val="99"/>
  </w:style>
  <w:style w:type="character" w:customStyle="1" w:styleId="286">
    <w:name w:val="orange5"/>
    <w:qFormat/>
    <w:uiPriority w:val="99"/>
    <w:rPr>
      <w:color w:val="auto"/>
    </w:rPr>
  </w:style>
  <w:style w:type="character" w:customStyle="1" w:styleId="287">
    <w:name w:val="ui-bz-bg-hover"/>
    <w:qFormat/>
    <w:uiPriority w:val="99"/>
    <w:rPr>
      <w:shd w:val="clear" w:color="auto" w:fill="000000"/>
    </w:rPr>
  </w:style>
  <w:style w:type="character" w:customStyle="1" w:styleId="288">
    <w:name w:val="no52"/>
    <w:qFormat/>
    <w:uiPriority w:val="99"/>
  </w:style>
  <w:style w:type="character" w:customStyle="1" w:styleId="289">
    <w:name w:val="orange6"/>
    <w:qFormat/>
    <w:uiPriority w:val="99"/>
    <w:rPr>
      <w:color w:val="auto"/>
    </w:rPr>
  </w:style>
  <w:style w:type="character" w:customStyle="1" w:styleId="290">
    <w:name w:val="tip"/>
    <w:qFormat/>
    <w:uiPriority w:val="99"/>
    <w:rPr>
      <w:vanish/>
      <w:color w:val="FF0000"/>
      <w:sz w:val="18"/>
      <w:szCs w:val="18"/>
    </w:rPr>
  </w:style>
  <w:style w:type="character" w:customStyle="1" w:styleId="291">
    <w:name w:val="no5"/>
    <w:qFormat/>
    <w:uiPriority w:val="99"/>
  </w:style>
  <w:style w:type="character" w:customStyle="1" w:styleId="292">
    <w:name w:val="top-icon"/>
    <w:qFormat/>
    <w:uiPriority w:val="99"/>
  </w:style>
  <w:style w:type="character" w:customStyle="1" w:styleId="293">
    <w:name w:val="ico-jiang3"/>
    <w:qFormat/>
    <w:uiPriority w:val="99"/>
  </w:style>
  <w:style w:type="character" w:customStyle="1" w:styleId="294">
    <w:name w:val="org_name"/>
    <w:qFormat/>
    <w:uiPriority w:val="99"/>
  </w:style>
  <w:style w:type="character" w:customStyle="1" w:styleId="295">
    <w:name w:val="f-star"/>
    <w:qFormat/>
    <w:uiPriority w:val="99"/>
    <w:rPr>
      <w:color w:val="auto"/>
      <w:sz w:val="21"/>
      <w:szCs w:val="21"/>
    </w:rPr>
  </w:style>
  <w:style w:type="character" w:customStyle="1" w:styleId="296">
    <w:name w:val="ui-bz-bg-hover1"/>
    <w:qFormat/>
    <w:uiPriority w:val="99"/>
  </w:style>
  <w:style w:type="character" w:customStyle="1" w:styleId="297">
    <w:name w:val="no42"/>
    <w:qFormat/>
    <w:uiPriority w:val="99"/>
  </w:style>
  <w:style w:type="character" w:customStyle="1" w:styleId="298">
    <w:name w:val="HTML Markup"/>
    <w:qFormat/>
    <w:uiPriority w:val="99"/>
    <w:rPr>
      <w:vanish/>
      <w:color w:val="FF0000"/>
    </w:rPr>
  </w:style>
  <w:style w:type="character" w:customStyle="1" w:styleId="299">
    <w:name w:val="ico-jiang1"/>
    <w:qFormat/>
    <w:uiPriority w:val="99"/>
  </w:style>
  <w:style w:type="character" w:customStyle="1" w:styleId="300">
    <w:name w:val="bds_nopic"/>
    <w:qFormat/>
    <w:uiPriority w:val="99"/>
  </w:style>
  <w:style w:type="character" w:customStyle="1" w:styleId="301">
    <w:name w:val="bds_more3"/>
    <w:qFormat/>
    <w:uiPriority w:val="99"/>
  </w:style>
  <w:style w:type="character" w:customStyle="1" w:styleId="302">
    <w:name w:val="bds_more2"/>
    <w:qFormat/>
    <w:uiPriority w:val="99"/>
  </w:style>
  <w:style w:type="character" w:customStyle="1" w:styleId="303">
    <w:name w:val="bds_nopic1"/>
    <w:qFormat/>
    <w:uiPriority w:val="99"/>
  </w:style>
  <w:style w:type="character" w:customStyle="1" w:styleId="304">
    <w:name w:val="tip10"/>
    <w:qFormat/>
    <w:uiPriority w:val="99"/>
    <w:rPr>
      <w:vanish/>
      <w:color w:val="FF0000"/>
      <w:sz w:val="18"/>
      <w:szCs w:val="18"/>
    </w:rPr>
  </w:style>
  <w:style w:type="character" w:customStyle="1" w:styleId="305">
    <w:name w:val="my-class2"/>
    <w:qFormat/>
    <w:uiPriority w:val="99"/>
  </w:style>
  <w:style w:type="character" w:customStyle="1" w:styleId="306">
    <w:name w:val="no4"/>
    <w:qFormat/>
    <w:uiPriority w:val="99"/>
  </w:style>
  <w:style w:type="character" w:customStyle="1" w:styleId="307">
    <w:name w:val="no7"/>
    <w:qFormat/>
    <w:uiPriority w:val="99"/>
  </w:style>
  <w:style w:type="character" w:customStyle="1" w:styleId="308">
    <w:name w:val="bds_more"/>
    <w:qFormat/>
    <w:uiPriority w:val="99"/>
  </w:style>
  <w:style w:type="character" w:customStyle="1" w:styleId="309">
    <w:name w:val="bds_more4"/>
    <w:qFormat/>
    <w:uiPriority w:val="99"/>
  </w:style>
  <w:style w:type="character" w:customStyle="1" w:styleId="310">
    <w:name w:val="org_name2"/>
    <w:qFormat/>
    <w:uiPriority w:val="99"/>
  </w:style>
  <w:style w:type="character" w:customStyle="1" w:styleId="311">
    <w:name w:val="orange"/>
    <w:qFormat/>
    <w:uiPriority w:val="99"/>
    <w:rPr>
      <w:color w:val="auto"/>
    </w:rPr>
  </w:style>
  <w:style w:type="character" w:customStyle="1" w:styleId="312">
    <w:name w:val="Document Map Char1"/>
    <w:qFormat/>
    <w:uiPriority w:val="99"/>
    <w:rPr>
      <w:rFonts w:ascii="Times New Roman" w:hAnsi="Times New Roman" w:cs="Times New Roman"/>
      <w:kern w:val="2"/>
      <w:sz w:val="2"/>
      <w:szCs w:val="2"/>
    </w:rPr>
  </w:style>
  <w:style w:type="character" w:customStyle="1" w:styleId="313">
    <w:name w:val="tip7"/>
    <w:qFormat/>
    <w:uiPriority w:val="99"/>
    <w:rPr>
      <w:vanish/>
      <w:color w:val="FF0000"/>
      <w:sz w:val="18"/>
      <w:szCs w:val="18"/>
    </w:rPr>
  </w:style>
  <w:style w:type="character" w:customStyle="1" w:styleId="314">
    <w:name w:val="tip13"/>
    <w:qFormat/>
    <w:uiPriority w:val="99"/>
    <w:rPr>
      <w:vanish/>
      <w:color w:val="FF0000"/>
      <w:sz w:val="18"/>
      <w:szCs w:val="18"/>
    </w:rPr>
  </w:style>
  <w:style w:type="character" w:customStyle="1" w:styleId="315">
    <w:name w:val="t-tag"/>
    <w:qFormat/>
    <w:uiPriority w:val="99"/>
    <w:rPr>
      <w:color w:val="FFFFFF"/>
      <w:sz w:val="18"/>
      <w:szCs w:val="18"/>
      <w:shd w:val="clear" w:color="auto" w:fill="auto"/>
    </w:rPr>
  </w:style>
  <w:style w:type="paragraph" w:customStyle="1" w:styleId="316">
    <w:name w:val="_Style 21"/>
    <w:basedOn w:val="1"/>
    <w:qFormat/>
    <w:uiPriority w:val="99"/>
    <w:pPr>
      <w:widowControl w:val="0"/>
      <w:jc w:val="both"/>
    </w:pPr>
    <w:rPr>
      <w:rFonts w:ascii="Times New Roman" w:hAnsi="Times New Roman" w:cs="Times New Roman"/>
      <w:kern w:val="2"/>
      <w:sz w:val="21"/>
      <w:szCs w:val="21"/>
    </w:rPr>
  </w:style>
  <w:style w:type="paragraph" w:customStyle="1" w:styleId="317">
    <w:name w:val="列出段落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18">
    <w:name w:val="txt14"/>
    <w:basedOn w:val="1"/>
    <w:qFormat/>
    <w:uiPriority w:val="99"/>
    <w:pPr>
      <w:spacing w:before="100" w:beforeAutospacing="1" w:after="100" w:afterAutospacing="1"/>
    </w:pPr>
    <w:rPr>
      <w:color w:val="000000"/>
      <w:sz w:val="21"/>
      <w:szCs w:val="21"/>
    </w:rPr>
  </w:style>
  <w:style w:type="paragraph" w:customStyle="1" w:styleId="319">
    <w:name w:val="列出段落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20">
    <w:name w:val="_Style 2"/>
    <w:basedOn w:val="1"/>
    <w:qFormat/>
    <w:uiPriority w:val="99"/>
    <w:pPr>
      <w:widowControl w:val="0"/>
      <w:ind w:firstLine="420" w:firstLineChars="200"/>
      <w:jc w:val="both"/>
    </w:pPr>
    <w:rPr>
      <w:rFonts w:ascii="Calibri" w:hAnsi="Calibri" w:cs="Calibri"/>
      <w:kern w:val="2"/>
      <w:sz w:val="21"/>
      <w:szCs w:val="21"/>
    </w:rPr>
  </w:style>
  <w:style w:type="paragraph" w:customStyle="1" w:styleId="321">
    <w:name w:val="_Style 11"/>
    <w:basedOn w:val="1"/>
    <w:qFormat/>
    <w:uiPriority w:val="99"/>
    <w:pPr>
      <w:widowControl w:val="0"/>
      <w:jc w:val="both"/>
    </w:pPr>
    <w:rPr>
      <w:rFonts w:ascii="Times New Roman" w:hAnsi="Times New Roman" w:cs="Times New Roman"/>
      <w:kern w:val="2"/>
      <w:sz w:val="21"/>
      <w:szCs w:val="21"/>
    </w:rPr>
  </w:style>
  <w:style w:type="paragraph" w:customStyle="1" w:styleId="322">
    <w:name w:val="列出段落2"/>
    <w:basedOn w:val="1"/>
    <w:qFormat/>
    <w:uiPriority w:val="99"/>
    <w:pPr>
      <w:widowControl w:val="0"/>
      <w:ind w:firstLine="420" w:firstLineChars="200"/>
      <w:jc w:val="both"/>
    </w:pPr>
    <w:rPr>
      <w:rFonts w:ascii="Calibri" w:hAnsi="Calibri" w:cs="Calibri"/>
      <w:kern w:val="2"/>
      <w:sz w:val="21"/>
      <w:szCs w:val="21"/>
    </w:rPr>
  </w:style>
  <w:style w:type="paragraph" w:customStyle="1" w:styleId="323">
    <w:name w:val="样式 样式 样式 样式 内容 + 首行缩进:  2 字符18 + 首行缩进:  5.71 厘米 + 首行缩进:  8.04 厘米..."/>
    <w:basedOn w:val="1"/>
    <w:qFormat/>
    <w:uiPriority w:val="99"/>
    <w:pPr>
      <w:spacing w:line="360" w:lineRule="auto"/>
      <w:ind w:firstLine="425" w:firstLineChars="177"/>
    </w:pPr>
    <w:rPr>
      <w:rFonts w:ascii="Trebuchet MS" w:hAnsi="Trebuchet MS" w:cs="Trebuchet MS"/>
      <w:color w:val="404040"/>
      <w:lang w:eastAsia="en-US"/>
    </w:rPr>
  </w:style>
  <w:style w:type="paragraph" w:customStyle="1" w:styleId="324">
    <w:name w:val="无间隔1"/>
    <w:qFormat/>
    <w:uiPriority w:val="99"/>
    <w:pPr>
      <w:widowControl w:val="0"/>
      <w:spacing w:line="360" w:lineRule="auto"/>
      <w:jc w:val="center"/>
    </w:pPr>
    <w:rPr>
      <w:rFonts w:ascii="Times New Roman" w:hAnsi="Times New Roman" w:eastAsia="宋体" w:cs="Times New Roman"/>
      <w:b/>
      <w:bCs/>
      <w:color w:val="000000"/>
      <w:kern w:val="2"/>
      <w:sz w:val="21"/>
      <w:szCs w:val="21"/>
      <w:lang w:val="zh-CN" w:eastAsia="zh-CN" w:bidi="ar-SA"/>
    </w:rPr>
  </w:style>
  <w:style w:type="character" w:customStyle="1" w:styleId="325">
    <w:name w:val="标题4 Char Char"/>
    <w:link w:val="326"/>
    <w:qFormat/>
    <w:locked/>
    <w:uiPriority w:val="0"/>
    <w:rPr>
      <w:rFonts w:ascii="Arial" w:hAnsi="Arial" w:cs="Arial"/>
      <w:b/>
      <w:bCs/>
      <w:sz w:val="32"/>
      <w:szCs w:val="32"/>
    </w:rPr>
  </w:style>
  <w:style w:type="paragraph" w:customStyle="1" w:styleId="326">
    <w:name w:val="标题4"/>
    <w:basedOn w:val="3"/>
    <w:next w:val="18"/>
    <w:link w:val="325"/>
    <w:qFormat/>
    <w:uiPriority w:val="0"/>
    <w:pPr>
      <w:widowControl w:val="0"/>
      <w:spacing w:line="413" w:lineRule="auto"/>
      <w:jc w:val="both"/>
    </w:pPr>
    <w:rPr>
      <w:rFonts w:ascii="Arial" w:hAnsi="Arial" w:cs="Arial"/>
      <w:bCs/>
      <w:szCs w:val="32"/>
    </w:rPr>
  </w:style>
  <w:style w:type="character" w:customStyle="1" w:styleId="327">
    <w:name w:val="明显强调1"/>
    <w:qFormat/>
    <w:uiPriority w:val="99"/>
    <w:rPr>
      <w:b/>
      <w:bCs/>
      <w:i/>
      <w:iCs/>
      <w:color w:val="4F81BD"/>
    </w:rPr>
  </w:style>
  <w:style w:type="character" w:customStyle="1" w:styleId="328">
    <w:name w:val="标题5 Char Char"/>
    <w:link w:val="329"/>
    <w:qFormat/>
    <w:locked/>
    <w:uiPriority w:val="0"/>
    <w:rPr>
      <w:rFonts w:ascii="Arial" w:hAnsi="Arial" w:cs="Arial"/>
      <w:b/>
      <w:bCs/>
      <w:sz w:val="32"/>
      <w:szCs w:val="32"/>
    </w:rPr>
  </w:style>
  <w:style w:type="paragraph" w:customStyle="1" w:styleId="329">
    <w:name w:val="标题5"/>
    <w:basedOn w:val="4"/>
    <w:link w:val="328"/>
    <w:qFormat/>
    <w:uiPriority w:val="0"/>
    <w:pPr>
      <w:widowControl w:val="0"/>
      <w:spacing w:line="413" w:lineRule="auto"/>
      <w:jc w:val="both"/>
    </w:pPr>
    <w:rPr>
      <w:rFonts w:ascii="Arial" w:hAnsi="Arial" w:cs="Arial"/>
      <w:bCs/>
      <w:szCs w:val="32"/>
    </w:rPr>
  </w:style>
  <w:style w:type="character" w:customStyle="1" w:styleId="330">
    <w:name w:val="批注文字 Char"/>
    <w:qFormat/>
    <w:uiPriority w:val="0"/>
    <w:rPr>
      <w:kern w:val="2"/>
      <w:sz w:val="22"/>
      <w:szCs w:val="22"/>
    </w:rPr>
  </w:style>
  <w:style w:type="character" w:customStyle="1" w:styleId="331">
    <w:name w:val="textcontents"/>
    <w:qFormat/>
    <w:uiPriority w:val="0"/>
  </w:style>
  <w:style w:type="character" w:customStyle="1" w:styleId="332">
    <w:name w:val="不明显强调1"/>
    <w:qFormat/>
    <w:uiPriority w:val="99"/>
    <w:rPr>
      <w:i/>
      <w:iCs/>
      <w:color w:val="808080"/>
    </w:rPr>
  </w:style>
  <w:style w:type="character" w:customStyle="1" w:styleId="333">
    <w:name w:val="不明显参考1"/>
    <w:qFormat/>
    <w:uiPriority w:val="99"/>
    <w:rPr>
      <w:smallCaps/>
      <w:color w:val="auto"/>
      <w:u w:val="single"/>
    </w:rPr>
  </w:style>
  <w:style w:type="character" w:customStyle="1" w:styleId="334">
    <w:name w:val="批注文字 Char Char"/>
    <w:qFormat/>
    <w:uiPriority w:val="0"/>
    <w:rPr>
      <w:rFonts w:ascii="宋体" w:hAnsi="Times New Roman" w:eastAsia="宋体" w:cs="宋体"/>
      <w:sz w:val="20"/>
      <w:szCs w:val="20"/>
    </w:rPr>
  </w:style>
  <w:style w:type="character" w:customStyle="1" w:styleId="335">
    <w:name w:val="引用 字符"/>
    <w:link w:val="336"/>
    <w:qFormat/>
    <w:locked/>
    <w:uiPriority w:val="99"/>
    <w:rPr>
      <w:i/>
      <w:iCs/>
      <w:color w:val="000000"/>
      <w:kern w:val="2"/>
      <w:sz w:val="21"/>
      <w:szCs w:val="21"/>
    </w:rPr>
  </w:style>
  <w:style w:type="paragraph" w:customStyle="1" w:styleId="336">
    <w:name w:val="引用1"/>
    <w:basedOn w:val="1"/>
    <w:next w:val="1"/>
    <w:link w:val="335"/>
    <w:qFormat/>
    <w:uiPriority w:val="99"/>
    <w:pPr>
      <w:widowControl w:val="0"/>
      <w:jc w:val="both"/>
    </w:pPr>
    <w:rPr>
      <w:rFonts w:ascii="Times New Roman" w:hAnsi="Times New Roman" w:cs="Times New Roman"/>
      <w:i/>
      <w:iCs/>
      <w:color w:val="000000"/>
      <w:kern w:val="2"/>
      <w:sz w:val="21"/>
      <w:szCs w:val="21"/>
    </w:rPr>
  </w:style>
  <w:style w:type="character" w:customStyle="1" w:styleId="337">
    <w:name w:val="明显引用 字符"/>
    <w:link w:val="338"/>
    <w:qFormat/>
    <w:locked/>
    <w:uiPriority w:val="99"/>
    <w:rPr>
      <w:b/>
      <w:bCs/>
      <w:i/>
      <w:iCs/>
      <w:color w:val="4F81BD"/>
      <w:kern w:val="2"/>
      <w:sz w:val="21"/>
      <w:szCs w:val="21"/>
    </w:rPr>
  </w:style>
  <w:style w:type="paragraph" w:customStyle="1" w:styleId="338">
    <w:name w:val="明显引用1"/>
    <w:basedOn w:val="1"/>
    <w:next w:val="1"/>
    <w:link w:val="337"/>
    <w:qFormat/>
    <w:uiPriority w:val="99"/>
    <w:pPr>
      <w:widowControl w:val="0"/>
      <w:pBdr>
        <w:bottom w:val="single" w:color="4F81BD" w:sz="4" w:space="4"/>
      </w:pBdr>
      <w:spacing w:before="200" w:after="280"/>
      <w:ind w:left="936" w:right="936"/>
      <w:jc w:val="both"/>
    </w:pPr>
    <w:rPr>
      <w:rFonts w:ascii="Times New Roman" w:hAnsi="Times New Roman" w:cs="Times New Roman"/>
      <w:b/>
      <w:bCs/>
      <w:i/>
      <w:iCs/>
      <w:color w:val="4F81BD"/>
      <w:kern w:val="2"/>
      <w:sz w:val="21"/>
      <w:szCs w:val="21"/>
    </w:rPr>
  </w:style>
  <w:style w:type="character" w:customStyle="1" w:styleId="339">
    <w:name w:val="明显参考1"/>
    <w:qFormat/>
    <w:uiPriority w:val="99"/>
    <w:rPr>
      <w:b/>
      <w:bCs/>
      <w:smallCaps/>
      <w:color w:val="auto"/>
      <w:spacing w:val="5"/>
      <w:u w:val="single"/>
    </w:rPr>
  </w:style>
  <w:style w:type="character" w:customStyle="1" w:styleId="340">
    <w:name w:val="批注主题 Char2"/>
    <w:qFormat/>
    <w:uiPriority w:val="99"/>
    <w:rPr>
      <w:rFonts w:ascii="宋体" w:hAnsi="宋体" w:eastAsia="宋体" w:cs="宋体"/>
      <w:kern w:val="2"/>
      <w:sz w:val="24"/>
      <w:szCs w:val="24"/>
    </w:rPr>
  </w:style>
  <w:style w:type="character" w:customStyle="1" w:styleId="341">
    <w:name w:val="引用 Char1"/>
    <w:qFormat/>
    <w:uiPriority w:val="99"/>
    <w:rPr>
      <w:i/>
      <w:iCs/>
      <w:color w:val="000000"/>
      <w:kern w:val="2"/>
      <w:sz w:val="24"/>
      <w:szCs w:val="24"/>
    </w:rPr>
  </w:style>
  <w:style w:type="paragraph" w:customStyle="1" w:styleId="342">
    <w:name w:val="修订1"/>
    <w:qFormat/>
    <w:uiPriority w:val="99"/>
    <w:rPr>
      <w:rFonts w:ascii="Times New Roman" w:hAnsi="Times New Roman" w:eastAsia="宋体" w:cs="Times New Roman"/>
      <w:kern w:val="2"/>
      <w:sz w:val="21"/>
      <w:szCs w:val="21"/>
      <w:lang w:val="en-US" w:eastAsia="zh-CN" w:bidi="ar-SA"/>
    </w:rPr>
  </w:style>
  <w:style w:type="paragraph" w:customStyle="1" w:styleId="343">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44">
    <w:name w:val="明显引用 Char1"/>
    <w:qFormat/>
    <w:uiPriority w:val="99"/>
    <w:rPr>
      <w:b/>
      <w:bCs/>
      <w:i/>
      <w:iCs/>
      <w:color w:val="4F81BD"/>
      <w:kern w:val="2"/>
      <w:sz w:val="24"/>
      <w:szCs w:val="24"/>
    </w:rPr>
  </w:style>
  <w:style w:type="paragraph" w:customStyle="1" w:styleId="345">
    <w:name w:val="flNote"/>
    <w:basedOn w:val="1"/>
    <w:qFormat/>
    <w:uiPriority w:val="0"/>
    <w:pPr>
      <w:widowControl w:val="0"/>
      <w:adjustRightInd w:val="0"/>
      <w:spacing w:before="320" w:after="160" w:line="360" w:lineRule="atLeast"/>
      <w:jc w:val="center"/>
      <w:textAlignment w:val="baseline"/>
    </w:pPr>
    <w:rPr>
      <w:rFonts w:ascii="Arial" w:hAnsi="Times New Roman" w:eastAsia="黑体" w:cs="Arial"/>
      <w:sz w:val="30"/>
      <w:szCs w:val="30"/>
    </w:rPr>
  </w:style>
  <w:style w:type="paragraph" w:customStyle="1" w:styleId="346">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sz w:val="30"/>
      <w:szCs w:val="30"/>
    </w:rPr>
  </w:style>
  <w:style w:type="character" w:customStyle="1" w:styleId="347">
    <w:name w:val="明显引用 Char"/>
    <w:qFormat/>
    <w:uiPriority w:val="0"/>
    <w:rPr>
      <w:b/>
      <w:bCs/>
      <w:i/>
      <w:iCs/>
      <w:color w:val="4F81BD"/>
    </w:rPr>
  </w:style>
  <w:style w:type="paragraph" w:styleId="348">
    <w:name w:val="Intense Quote"/>
    <w:basedOn w:val="1"/>
    <w:next w:val="1"/>
    <w:link w:val="350"/>
    <w:qFormat/>
    <w:uiPriority w:val="0"/>
    <w:pPr>
      <w:widowControl w:val="0"/>
      <w:pBdr>
        <w:bottom w:val="single" w:color="4F81BD" w:sz="4" w:space="4"/>
      </w:pBdr>
      <w:spacing w:before="200" w:after="280"/>
      <w:ind w:left="936" w:right="936"/>
      <w:jc w:val="both"/>
    </w:pPr>
    <w:rPr>
      <w:rFonts w:ascii="Calibri" w:hAnsi="Calibri" w:cs="Times New Roman"/>
      <w:b/>
      <w:bCs/>
      <w:i/>
      <w:iCs/>
      <w:color w:val="4F81BD"/>
      <w:sz w:val="20"/>
      <w:szCs w:val="20"/>
      <w:lang w:eastAsia="en-US"/>
    </w:rPr>
  </w:style>
  <w:style w:type="character" w:customStyle="1" w:styleId="349">
    <w:name w:val="明显引用 字符1"/>
    <w:basedOn w:val="42"/>
    <w:qFormat/>
    <w:uiPriority w:val="30"/>
    <w:rPr>
      <w:rFonts w:ascii="宋体" w:hAnsi="宋体" w:cs="宋体"/>
      <w:i/>
      <w:iCs/>
      <w:color w:val="4F81BD" w:themeColor="accent1"/>
      <w:sz w:val="24"/>
      <w:szCs w:val="24"/>
      <w14:textFill>
        <w14:solidFill>
          <w14:schemeClr w14:val="accent1"/>
        </w14:solidFill>
      </w14:textFill>
    </w:rPr>
  </w:style>
  <w:style w:type="character" w:customStyle="1" w:styleId="350">
    <w:name w:val="明显引用 Char3"/>
    <w:link w:val="348"/>
    <w:qFormat/>
    <w:uiPriority w:val="0"/>
    <w:rPr>
      <w:rFonts w:ascii="Calibri" w:hAnsi="Calibri"/>
      <w:b/>
      <w:bCs/>
      <w:i/>
      <w:iCs/>
      <w:color w:val="4F81BD"/>
      <w:lang w:eastAsia="en-US"/>
    </w:rPr>
  </w:style>
  <w:style w:type="character" w:customStyle="1" w:styleId="351">
    <w:name w:val="明显参考2"/>
    <w:qFormat/>
    <w:uiPriority w:val="0"/>
    <w:rPr>
      <w:b/>
      <w:bCs/>
      <w:smallCaps/>
      <w:color w:val="C0504D"/>
      <w:spacing w:val="5"/>
      <w:u w:val="single"/>
    </w:rPr>
  </w:style>
  <w:style w:type="character" w:customStyle="1" w:styleId="352">
    <w:name w:val="书籍标题2"/>
    <w:qFormat/>
    <w:uiPriority w:val="0"/>
    <w:rPr>
      <w:b/>
      <w:bCs/>
      <w:smallCaps/>
      <w:spacing w:val="5"/>
    </w:rPr>
  </w:style>
  <w:style w:type="character" w:customStyle="1" w:styleId="353">
    <w:name w:val="不明显强调2"/>
    <w:qFormat/>
    <w:uiPriority w:val="0"/>
    <w:rPr>
      <w:i/>
      <w:iCs/>
      <w:color w:val="808080"/>
    </w:rPr>
  </w:style>
  <w:style w:type="character" w:customStyle="1" w:styleId="354">
    <w:name w:val="明显强调2"/>
    <w:qFormat/>
    <w:uiPriority w:val="0"/>
    <w:rPr>
      <w:b/>
      <w:bCs/>
      <w:i/>
      <w:iCs/>
      <w:color w:val="4F81BD"/>
    </w:rPr>
  </w:style>
  <w:style w:type="character" w:customStyle="1" w:styleId="355">
    <w:name w:val="引用 Char"/>
    <w:qFormat/>
    <w:uiPriority w:val="0"/>
    <w:rPr>
      <w:i/>
      <w:iCs/>
      <w:color w:val="000000"/>
    </w:rPr>
  </w:style>
  <w:style w:type="paragraph" w:styleId="356">
    <w:name w:val="Quote"/>
    <w:basedOn w:val="1"/>
    <w:next w:val="1"/>
    <w:link w:val="358"/>
    <w:qFormat/>
    <w:uiPriority w:val="0"/>
    <w:pPr>
      <w:widowControl w:val="0"/>
      <w:jc w:val="both"/>
    </w:pPr>
    <w:rPr>
      <w:rFonts w:ascii="Calibri" w:hAnsi="Calibri" w:cs="Times New Roman"/>
      <w:i/>
      <w:iCs/>
      <w:color w:val="000000"/>
      <w:sz w:val="20"/>
      <w:szCs w:val="20"/>
      <w:lang w:eastAsia="en-US"/>
    </w:rPr>
  </w:style>
  <w:style w:type="character" w:customStyle="1" w:styleId="357">
    <w:name w:val="引用 字符1"/>
    <w:basedOn w:val="42"/>
    <w:qFormat/>
    <w:uiPriority w:val="29"/>
    <w:rPr>
      <w:rFonts w:ascii="宋体" w:hAnsi="宋体" w:cs="宋体"/>
      <w:i/>
      <w:iCs/>
      <w:color w:val="404040" w:themeColor="text1" w:themeTint="BF"/>
      <w:sz w:val="24"/>
      <w:szCs w:val="24"/>
      <w14:textFill>
        <w14:solidFill>
          <w14:schemeClr w14:val="tx1">
            <w14:lumMod w14:val="75000"/>
            <w14:lumOff w14:val="25000"/>
          </w14:schemeClr>
        </w14:solidFill>
      </w14:textFill>
    </w:rPr>
  </w:style>
  <w:style w:type="character" w:customStyle="1" w:styleId="358">
    <w:name w:val="引用 Char3"/>
    <w:link w:val="356"/>
    <w:qFormat/>
    <w:uiPriority w:val="0"/>
    <w:rPr>
      <w:rFonts w:ascii="Calibri" w:hAnsi="Calibri"/>
      <w:i/>
      <w:iCs/>
      <w:color w:val="000000"/>
      <w:lang w:eastAsia="en-US"/>
    </w:rPr>
  </w:style>
  <w:style w:type="character" w:customStyle="1" w:styleId="359">
    <w:name w:val="不明显参考2"/>
    <w:qFormat/>
    <w:uiPriority w:val="0"/>
    <w:rPr>
      <w:smallCaps/>
      <w:color w:val="C0504D"/>
      <w:u w:val="single"/>
    </w:rPr>
  </w:style>
  <w:style w:type="paragraph" w:customStyle="1" w:styleId="360">
    <w:name w:val="修订2"/>
    <w:qFormat/>
    <w:uiPriority w:val="0"/>
    <w:rPr>
      <w:rFonts w:ascii="Times New Roman" w:hAnsi="Times New Roman" w:eastAsia="宋体" w:cs="Times New Roman"/>
      <w:kern w:val="2"/>
      <w:sz w:val="21"/>
      <w:szCs w:val="24"/>
      <w:lang w:val="en-US" w:eastAsia="zh-CN" w:bidi="ar-SA"/>
    </w:rPr>
  </w:style>
  <w:style w:type="character" w:customStyle="1" w:styleId="361">
    <w:name w:val="标准文本 Char"/>
    <w:link w:val="362"/>
    <w:qFormat/>
    <w:uiPriority w:val="0"/>
    <w:rPr>
      <w:rFonts w:cs="宋体"/>
      <w:kern w:val="2"/>
      <w:sz w:val="24"/>
    </w:rPr>
  </w:style>
  <w:style w:type="paragraph" w:customStyle="1" w:styleId="362">
    <w:name w:val="标准文本"/>
    <w:basedOn w:val="1"/>
    <w:link w:val="36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63">
    <w:name w:val="TOC 标题2"/>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64">
    <w:name w:val="不明显参考3"/>
    <w:qFormat/>
    <w:uiPriority w:val="0"/>
    <w:rPr>
      <w:smallCaps/>
      <w:color w:val="C0504D"/>
      <w:u w:val="single"/>
    </w:rPr>
  </w:style>
  <w:style w:type="character" w:customStyle="1" w:styleId="365">
    <w:name w:val="明显参考3"/>
    <w:qFormat/>
    <w:uiPriority w:val="0"/>
    <w:rPr>
      <w:b/>
      <w:bCs/>
      <w:smallCaps/>
      <w:color w:val="C0504D"/>
      <w:spacing w:val="5"/>
      <w:u w:val="single"/>
    </w:rPr>
  </w:style>
  <w:style w:type="character" w:customStyle="1" w:styleId="366">
    <w:name w:val="明显强调3"/>
    <w:qFormat/>
    <w:uiPriority w:val="0"/>
    <w:rPr>
      <w:b/>
      <w:bCs/>
      <w:i/>
      <w:iCs/>
      <w:color w:val="4F81BD"/>
    </w:rPr>
  </w:style>
  <w:style w:type="character" w:customStyle="1" w:styleId="367">
    <w:name w:val="不明显强调3"/>
    <w:qFormat/>
    <w:uiPriority w:val="0"/>
    <w:rPr>
      <w:i/>
      <w:iCs/>
      <w:color w:val="808080"/>
    </w:rPr>
  </w:style>
  <w:style w:type="character" w:customStyle="1" w:styleId="368">
    <w:name w:val="书籍标题3"/>
    <w:qFormat/>
    <w:uiPriority w:val="0"/>
    <w:rPr>
      <w:b/>
      <w:bCs/>
      <w:smallCaps/>
      <w:spacing w:val="5"/>
    </w:rPr>
  </w:style>
  <w:style w:type="paragraph" w:customStyle="1" w:styleId="369">
    <w:name w:val="修订3"/>
    <w:qFormat/>
    <w:uiPriority w:val="0"/>
    <w:rPr>
      <w:rFonts w:ascii="Times New Roman" w:hAnsi="Times New Roman" w:eastAsia="宋体" w:cs="Times New Roman"/>
      <w:kern w:val="2"/>
      <w:sz w:val="21"/>
      <w:szCs w:val="24"/>
      <w:lang w:val="en-US" w:eastAsia="zh-CN" w:bidi="ar-SA"/>
    </w:rPr>
  </w:style>
  <w:style w:type="paragraph" w:customStyle="1" w:styleId="370">
    <w:name w:val="TOC 标题3"/>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71">
    <w:name w:val="不明显参考4"/>
    <w:qFormat/>
    <w:uiPriority w:val="0"/>
    <w:rPr>
      <w:smallCaps/>
      <w:color w:val="C0504D"/>
      <w:u w:val="single"/>
    </w:rPr>
  </w:style>
  <w:style w:type="character" w:customStyle="1" w:styleId="372">
    <w:name w:val="明显参考4"/>
    <w:qFormat/>
    <w:uiPriority w:val="0"/>
    <w:rPr>
      <w:b/>
      <w:bCs/>
      <w:smallCaps/>
      <w:color w:val="C0504D"/>
      <w:spacing w:val="5"/>
      <w:u w:val="single"/>
    </w:rPr>
  </w:style>
  <w:style w:type="character" w:customStyle="1" w:styleId="373">
    <w:name w:val="明显强调4"/>
    <w:qFormat/>
    <w:uiPriority w:val="0"/>
    <w:rPr>
      <w:b/>
      <w:bCs/>
      <w:i/>
      <w:iCs/>
      <w:color w:val="4F81BD"/>
    </w:rPr>
  </w:style>
  <w:style w:type="character" w:customStyle="1" w:styleId="374">
    <w:name w:val="不明显强调4"/>
    <w:qFormat/>
    <w:uiPriority w:val="0"/>
    <w:rPr>
      <w:i/>
      <w:iCs/>
      <w:color w:val="808080"/>
    </w:rPr>
  </w:style>
  <w:style w:type="character" w:customStyle="1" w:styleId="375">
    <w:name w:val="书籍标题4"/>
    <w:qFormat/>
    <w:uiPriority w:val="0"/>
    <w:rPr>
      <w:b/>
      <w:bCs/>
      <w:smallCaps/>
      <w:spacing w:val="5"/>
    </w:rPr>
  </w:style>
  <w:style w:type="paragraph" w:customStyle="1" w:styleId="376">
    <w:name w:val="修订4"/>
    <w:qFormat/>
    <w:uiPriority w:val="0"/>
    <w:rPr>
      <w:rFonts w:ascii="Times New Roman" w:hAnsi="Times New Roman" w:eastAsia="宋体" w:cs="Times New Roman"/>
      <w:kern w:val="2"/>
      <w:sz w:val="21"/>
      <w:szCs w:val="24"/>
      <w:lang w:val="en-US" w:eastAsia="zh-CN" w:bidi="ar-SA"/>
    </w:rPr>
  </w:style>
  <w:style w:type="table" w:customStyle="1" w:styleId="377">
    <w:name w:val="Table Normal11"/>
    <w:semiHidden/>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78">
    <w:name w:val="列出段落1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79">
    <w:name w:val="明显引用2"/>
    <w:basedOn w:val="1"/>
    <w:next w:val="1"/>
    <w:link w:val="380"/>
    <w:qFormat/>
    <w:uiPriority w:val="99"/>
    <w:pPr>
      <w:widowControl w:val="0"/>
      <w:pBdr>
        <w:bottom w:val="single" w:color="4F81BD" w:sz="4" w:space="4"/>
      </w:pBdr>
      <w:spacing w:before="200" w:after="280"/>
      <w:ind w:left="936" w:right="936" w:firstLine="640" w:firstLineChars="200"/>
      <w:jc w:val="both"/>
    </w:pPr>
    <w:rPr>
      <w:rFonts w:hAnsi="Times New Roman" w:cs="Times New Roman"/>
      <w:b/>
      <w:i/>
      <w:color w:val="4F81BD"/>
      <w:sz w:val="22"/>
      <w:szCs w:val="20"/>
      <w:lang w:eastAsia="en-US"/>
    </w:rPr>
  </w:style>
  <w:style w:type="character" w:customStyle="1" w:styleId="380">
    <w:name w:val="Intense Quote Char"/>
    <w:link w:val="379"/>
    <w:qFormat/>
    <w:locked/>
    <w:uiPriority w:val="99"/>
    <w:rPr>
      <w:rFonts w:ascii="宋体"/>
      <w:b/>
      <w:i/>
      <w:color w:val="4F81BD"/>
      <w:sz w:val="22"/>
      <w:lang w:eastAsia="en-US"/>
    </w:rPr>
  </w:style>
  <w:style w:type="paragraph" w:customStyle="1" w:styleId="381">
    <w:name w:val="引用2"/>
    <w:basedOn w:val="1"/>
    <w:next w:val="1"/>
    <w:link w:val="382"/>
    <w:qFormat/>
    <w:uiPriority w:val="99"/>
    <w:pPr>
      <w:widowControl w:val="0"/>
      <w:ind w:firstLine="640" w:firstLineChars="200"/>
      <w:jc w:val="both"/>
    </w:pPr>
    <w:rPr>
      <w:rFonts w:hAnsi="Times New Roman" w:cs="Times New Roman"/>
      <w:i/>
      <w:color w:val="000000"/>
      <w:sz w:val="22"/>
      <w:szCs w:val="20"/>
      <w:lang w:eastAsia="en-US"/>
    </w:rPr>
  </w:style>
  <w:style w:type="character" w:customStyle="1" w:styleId="382">
    <w:name w:val="Quote Char"/>
    <w:link w:val="381"/>
    <w:qFormat/>
    <w:locked/>
    <w:uiPriority w:val="99"/>
    <w:rPr>
      <w:rFonts w:ascii="宋体"/>
      <w:i/>
      <w:color w:val="000000"/>
      <w:sz w:val="22"/>
      <w:lang w:eastAsia="en-US"/>
    </w:rPr>
  </w:style>
  <w:style w:type="paragraph" w:customStyle="1" w:styleId="383">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4">
    <w:name w:val="Char Char19"/>
    <w:qFormat/>
    <w:locked/>
    <w:uiPriority w:val="99"/>
    <w:rPr>
      <w:rFonts w:eastAsia="宋体"/>
      <w:b/>
      <w:kern w:val="2"/>
      <w:sz w:val="28"/>
      <w:lang w:eastAsia="zh-CN"/>
    </w:rPr>
  </w:style>
  <w:style w:type="character" w:customStyle="1" w:styleId="385">
    <w:name w:val="Char Char21"/>
    <w:qFormat/>
    <w:locked/>
    <w:uiPriority w:val="99"/>
    <w:rPr>
      <w:rFonts w:eastAsia="宋体"/>
      <w:b/>
      <w:kern w:val="2"/>
      <w:sz w:val="32"/>
      <w:lang w:eastAsia="zh-CN"/>
    </w:rPr>
  </w:style>
  <w:style w:type="character" w:customStyle="1" w:styleId="386">
    <w:name w:val="标题 2 Char"/>
    <w:qFormat/>
    <w:locked/>
    <w:uiPriority w:val="0"/>
    <w:rPr>
      <w:rFonts w:ascii="Cambria" w:hAnsi="Cambria" w:eastAsia="宋体" w:cs="Cambria"/>
      <w:b/>
      <w:bCs/>
      <w:kern w:val="2"/>
      <w:sz w:val="32"/>
      <w:szCs w:val="32"/>
      <w:lang w:eastAsia="zh-CN"/>
    </w:rPr>
  </w:style>
  <w:style w:type="character" w:customStyle="1" w:styleId="387">
    <w:name w:val="标题 3 Char"/>
    <w:qFormat/>
    <w:locked/>
    <w:uiPriority w:val="0"/>
    <w:rPr>
      <w:rFonts w:ascii="Times New Roman" w:hAnsi="Times New Roman" w:eastAsia="宋体" w:cs="Times New Roman"/>
      <w:b/>
      <w:bCs/>
      <w:kern w:val="2"/>
      <w:sz w:val="32"/>
      <w:szCs w:val="32"/>
      <w:lang w:eastAsia="zh-CN"/>
    </w:rPr>
  </w:style>
  <w:style w:type="character" w:customStyle="1" w:styleId="388">
    <w:name w:val="标题 4 Char"/>
    <w:qFormat/>
    <w:locked/>
    <w:uiPriority w:val="0"/>
    <w:rPr>
      <w:rFonts w:ascii="Cambria" w:hAnsi="Cambria" w:eastAsia="宋体" w:cs="Cambria"/>
      <w:b/>
      <w:bCs/>
      <w:kern w:val="2"/>
      <w:sz w:val="28"/>
      <w:szCs w:val="28"/>
      <w:lang w:eastAsia="zh-CN"/>
    </w:rPr>
  </w:style>
  <w:style w:type="character" w:customStyle="1" w:styleId="389">
    <w:name w:val="标题 5 Char"/>
    <w:qFormat/>
    <w:locked/>
    <w:uiPriority w:val="0"/>
    <w:rPr>
      <w:rFonts w:ascii="Times New Roman" w:hAnsi="Times New Roman" w:eastAsia="宋体" w:cs="Times New Roman"/>
      <w:b/>
      <w:bCs/>
      <w:kern w:val="2"/>
      <w:sz w:val="28"/>
      <w:szCs w:val="28"/>
      <w:lang w:eastAsia="zh-CN"/>
    </w:rPr>
  </w:style>
  <w:style w:type="character" w:customStyle="1" w:styleId="390">
    <w:name w:val="标题 6 Char"/>
    <w:qFormat/>
    <w:locked/>
    <w:uiPriority w:val="0"/>
    <w:rPr>
      <w:rFonts w:ascii="Cambria" w:hAnsi="Cambria" w:eastAsia="宋体" w:cs="Cambria"/>
      <w:b/>
      <w:bCs/>
      <w:kern w:val="2"/>
      <w:sz w:val="24"/>
      <w:szCs w:val="24"/>
      <w:lang w:eastAsia="zh-CN"/>
    </w:rPr>
  </w:style>
  <w:style w:type="character" w:customStyle="1" w:styleId="391">
    <w:name w:val="标题 7 Char"/>
    <w:qFormat/>
    <w:locked/>
    <w:uiPriority w:val="0"/>
    <w:rPr>
      <w:rFonts w:ascii="Calibri" w:hAnsi="Calibri" w:eastAsia="宋体" w:cs="Calibri"/>
      <w:b/>
      <w:bCs/>
      <w:kern w:val="2"/>
      <w:sz w:val="24"/>
      <w:szCs w:val="24"/>
      <w:lang w:eastAsia="zh-CN"/>
    </w:rPr>
  </w:style>
  <w:style w:type="character" w:customStyle="1" w:styleId="392">
    <w:name w:val="标题 8 Char"/>
    <w:qFormat/>
    <w:locked/>
    <w:uiPriority w:val="0"/>
    <w:rPr>
      <w:rFonts w:ascii="Cambria" w:hAnsi="Cambria" w:eastAsia="宋体" w:cs="Cambria"/>
      <w:kern w:val="2"/>
      <w:sz w:val="24"/>
      <w:szCs w:val="24"/>
      <w:lang w:eastAsia="zh-CN"/>
    </w:rPr>
  </w:style>
  <w:style w:type="character" w:customStyle="1" w:styleId="393">
    <w:name w:val="标题 9 Char"/>
    <w:qFormat/>
    <w:locked/>
    <w:uiPriority w:val="0"/>
    <w:rPr>
      <w:rFonts w:ascii="Cambria" w:hAnsi="Cambria" w:eastAsia="宋体" w:cs="Cambria"/>
      <w:kern w:val="2"/>
      <w:sz w:val="21"/>
      <w:szCs w:val="21"/>
      <w:lang w:eastAsia="zh-CN"/>
    </w:rPr>
  </w:style>
  <w:style w:type="character" w:customStyle="1" w:styleId="394">
    <w:name w:val="正文文本 Char"/>
    <w:qFormat/>
    <w:locked/>
    <w:uiPriority w:val="0"/>
    <w:rPr>
      <w:rFonts w:ascii="宋体" w:hAnsi="宋体" w:eastAsia="宋体" w:cs="宋体"/>
      <w:sz w:val="21"/>
      <w:szCs w:val="21"/>
    </w:rPr>
  </w:style>
  <w:style w:type="character" w:customStyle="1" w:styleId="395">
    <w:name w:val="批注框文本 Char"/>
    <w:qFormat/>
    <w:locked/>
    <w:uiPriority w:val="0"/>
    <w:rPr>
      <w:rFonts w:ascii="宋体" w:hAnsi="宋体" w:eastAsia="宋体" w:cs="宋体"/>
      <w:sz w:val="18"/>
      <w:szCs w:val="18"/>
    </w:rPr>
  </w:style>
  <w:style w:type="character" w:customStyle="1" w:styleId="396">
    <w:name w:val="批注主题 Char"/>
    <w:qFormat/>
    <w:locked/>
    <w:uiPriority w:val="0"/>
    <w:rPr>
      <w:rFonts w:ascii="宋体" w:hAnsi="Times New Roman" w:eastAsia="宋体" w:cs="宋体"/>
      <w:b/>
      <w:bCs/>
      <w:sz w:val="20"/>
      <w:szCs w:val="20"/>
      <w:lang w:eastAsia="zh-CN"/>
    </w:rPr>
  </w:style>
  <w:style w:type="character" w:customStyle="1" w:styleId="397">
    <w:name w:val="正文缩进 Char"/>
    <w:qFormat/>
    <w:locked/>
    <w:uiPriority w:val="99"/>
    <w:rPr>
      <w:rFonts w:ascii="Times New Roman" w:hAnsi="Times New Roman" w:eastAsia="宋体" w:cs="Times New Roman"/>
      <w:sz w:val="20"/>
      <w:szCs w:val="20"/>
      <w:lang w:eastAsia="zh-CN"/>
    </w:rPr>
  </w:style>
  <w:style w:type="character" w:customStyle="1" w:styleId="398">
    <w:name w:val="文档结构图 Char2"/>
    <w:qFormat/>
    <w:uiPriority w:val="99"/>
    <w:rPr>
      <w:rFonts w:ascii="宋体" w:cs="宋体"/>
      <w:sz w:val="18"/>
      <w:szCs w:val="18"/>
    </w:rPr>
  </w:style>
  <w:style w:type="character" w:customStyle="1" w:styleId="399">
    <w:name w:val="正文文本缩进 Char"/>
    <w:qFormat/>
    <w:locked/>
    <w:uiPriority w:val="99"/>
    <w:rPr>
      <w:rFonts w:ascii="Times New Roman" w:hAnsi="Times New Roman" w:eastAsia="楷体_GB2312" w:cs="Times New Roman"/>
      <w:kern w:val="2"/>
      <w:sz w:val="20"/>
      <w:szCs w:val="20"/>
      <w:lang w:eastAsia="zh-CN"/>
    </w:rPr>
  </w:style>
  <w:style w:type="character" w:customStyle="1" w:styleId="400">
    <w:name w:val="日期 Char"/>
    <w:qFormat/>
    <w:locked/>
    <w:uiPriority w:val="0"/>
    <w:rPr>
      <w:rFonts w:ascii="宋体" w:hAnsi="Times New Roman" w:eastAsia="宋体" w:cs="宋体"/>
      <w:sz w:val="20"/>
      <w:szCs w:val="20"/>
      <w:lang w:eastAsia="zh-CN"/>
    </w:rPr>
  </w:style>
  <w:style w:type="character" w:customStyle="1" w:styleId="401">
    <w:name w:val="正文文本缩进 2 Char"/>
    <w:qFormat/>
    <w:locked/>
    <w:uiPriority w:val="99"/>
    <w:rPr>
      <w:rFonts w:ascii="宋体" w:hAnsi="宋体" w:eastAsia="宋体" w:cs="宋体"/>
      <w:kern w:val="2"/>
      <w:sz w:val="24"/>
      <w:szCs w:val="24"/>
      <w:lang w:eastAsia="zh-CN"/>
    </w:rPr>
  </w:style>
  <w:style w:type="character" w:customStyle="1" w:styleId="402">
    <w:name w:val="副标题 Char"/>
    <w:link w:val="27"/>
    <w:qFormat/>
    <w:locked/>
    <w:uiPriority w:val="0"/>
    <w:rPr>
      <w:rFonts w:ascii="Cambria" w:hAnsi="Cambria" w:eastAsia="宋体" w:cs="Cambria"/>
      <w:b/>
      <w:bCs/>
      <w:kern w:val="28"/>
      <w:sz w:val="32"/>
      <w:szCs w:val="32"/>
      <w:lang w:eastAsia="zh-CN"/>
    </w:rPr>
  </w:style>
  <w:style w:type="character" w:customStyle="1" w:styleId="403">
    <w:name w:val="正文文本缩进 3 Char"/>
    <w:qFormat/>
    <w:locked/>
    <w:uiPriority w:val="99"/>
    <w:rPr>
      <w:rFonts w:ascii="宋体" w:hAnsi="宋体" w:eastAsia="宋体" w:cs="宋体"/>
      <w:kern w:val="2"/>
      <w:sz w:val="20"/>
      <w:szCs w:val="20"/>
      <w:lang w:eastAsia="zh-CN"/>
    </w:rPr>
  </w:style>
  <w:style w:type="character" w:customStyle="1" w:styleId="404">
    <w:name w:val="引用 Char2"/>
    <w:qFormat/>
    <w:uiPriority w:val="29"/>
    <w:rPr>
      <w:rFonts w:ascii="宋体" w:hAnsi="宋体" w:cs="宋体"/>
      <w:i/>
      <w:iCs/>
      <w:color w:val="000000"/>
      <w:kern w:val="0"/>
      <w:sz w:val="22"/>
      <w:lang w:eastAsia="en-US"/>
    </w:rPr>
  </w:style>
  <w:style w:type="character" w:customStyle="1" w:styleId="405">
    <w:name w:val="明显引用 Char2"/>
    <w:qFormat/>
    <w:uiPriority w:val="30"/>
    <w:rPr>
      <w:rFonts w:ascii="宋体" w:hAnsi="宋体" w:cs="宋体"/>
      <w:b/>
      <w:bCs/>
      <w:i/>
      <w:iCs/>
      <w:color w:val="4F81BD"/>
      <w:kern w:val="0"/>
      <w:sz w:val="22"/>
      <w:lang w:eastAsia="en-US"/>
    </w:rPr>
  </w:style>
  <w:style w:type="paragraph" w:customStyle="1" w:styleId="406">
    <w:name w:val="合同-标题"/>
    <w:basedOn w:val="36"/>
    <w:qFormat/>
    <w:uiPriority w:val="0"/>
    <w:pPr>
      <w:spacing w:after="100" w:afterLines="100"/>
    </w:pPr>
    <w:rPr>
      <w:rFonts w:eastAsia="黑体" w:asciiTheme="minorAscii" w:hAnsiTheme="minorAscii"/>
      <w:sz w:val="36"/>
    </w:rPr>
  </w:style>
  <w:style w:type="paragraph" w:customStyle="1" w:styleId="407">
    <w:name w:val="合同-正文"/>
    <w:basedOn w:val="1"/>
    <w:qFormat/>
    <w:uiPriority w:val="0"/>
    <w:pPr>
      <w:spacing w:before="240" w:beforeLines="0" w:after="60" w:afterLines="0" w:line="240" w:lineRule="auto"/>
      <w:ind w:firstLine="723" w:firstLineChars="200"/>
      <w:jc w:val="left"/>
      <w:outlineLvl w:val="0"/>
    </w:pPr>
    <w:rPr>
      <w:rFonts w:eastAsia="宋体" w:asciiTheme="minorAscii" w:hAnsiTheme="minorAscii"/>
      <w:sz w:val="24"/>
    </w:rPr>
  </w:style>
  <w:style w:type="character" w:customStyle="1" w:styleId="408">
    <w:name w:val="正文头部订立方 Char"/>
    <w:link w:val="409"/>
    <w:qFormat/>
    <w:uiPriority w:val="0"/>
    <w:rPr>
      <w:rFonts w:eastAsia="黑体" w:asciiTheme="minorAscii" w:hAnsiTheme="minorAscii"/>
      <w:b/>
      <w:sz w:val="28"/>
    </w:rPr>
  </w:style>
  <w:style w:type="paragraph" w:customStyle="1" w:styleId="409">
    <w:name w:val="头部订立方"/>
    <w:basedOn w:val="1"/>
    <w:link w:val="408"/>
    <w:qFormat/>
    <w:uiPriority w:val="0"/>
    <w:pPr>
      <w:spacing w:beforeLines="0" w:afterLines="0"/>
      <w:jc w:val="left"/>
      <w:outlineLvl w:val="0"/>
    </w:pPr>
    <w:rPr>
      <w:rFonts w:eastAsia="黑体" w:asciiTheme="minorAscii" w:hAnsiTheme="minorAscii"/>
      <w:b/>
      <w:sz w:val="28"/>
    </w:rPr>
  </w:style>
  <w:style w:type="paragraph" w:customStyle="1" w:styleId="410">
    <w:name w:val="条款标题"/>
    <w:basedOn w:val="1"/>
    <w:qFormat/>
    <w:uiPriority w:val="0"/>
    <w:pPr>
      <w:spacing w:before="240" w:beforeLines="0" w:after="60" w:afterLines="0"/>
      <w:ind w:firstLine="723" w:firstLineChars="200"/>
      <w:jc w:val="left"/>
      <w:outlineLvl w:val="0"/>
    </w:pPr>
    <w:rPr>
      <w:rFonts w:eastAsia="宋体" w:asciiTheme="minorAscii" w:hAnsiTheme="minorAscii"/>
      <w:b/>
      <w:sz w:val="24"/>
    </w:rPr>
  </w:style>
  <w:style w:type="paragraph" w:customStyle="1" w:styleId="411">
    <w:name w:val="列表段落2"/>
    <w:basedOn w:val="1"/>
    <w:qFormat/>
    <w:uiPriority w:val="34"/>
    <w:pPr>
      <w:ind w:firstLine="420"/>
    </w:pPr>
    <w:rPr>
      <w:rFonts w:ascii="Calibri" w:hAnsi="Calibri"/>
      <w:szCs w:val="22"/>
    </w:rPr>
  </w:style>
  <w:style w:type="paragraph" w:customStyle="1" w:styleId="41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customStyle="1" w:styleId="413">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414">
    <w:name w:val="Table Text"/>
    <w:basedOn w:val="1"/>
    <w:semiHidden/>
    <w:qFormat/>
    <w:uiPriority w:val="0"/>
    <w:rPr>
      <w:rFonts w:ascii="Arial" w:hAnsi="Arial" w:eastAsia="Arial" w:cs="Arial"/>
      <w:sz w:val="21"/>
      <w:szCs w:val="21"/>
      <w:lang w:val="en-US" w:eastAsia="en-US" w:bidi="ar-SA"/>
    </w:rPr>
  </w:style>
  <w:style w:type="table" w:customStyle="1" w:styleId="415">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416">
    <w:name w:val="p2"/>
    <w:basedOn w:val="1"/>
    <w:qFormat/>
    <w:uiPriority w:val="0"/>
    <w:rPr>
      <w:rFonts w:ascii="Helvetica" w:hAnsi="Helvetica" w:eastAsia="Helvetica"/>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gfan\Library\Containers\com.kingsoft.wpsoffice.mac\Data\I:\Users\evhunter\Desktop\20250628-&#25307;&#26631;&#25991;&#20214;-2025&#24180;&#24230;&#20013;&#23567;&#23398;&#24188;&#20799;&#22253;&#25945;&#24072;&#22521;&#35757;&#20844;&#20849;&#26381;&#21153;&#24179;&#21488;&#21450;&#25945;&#23398;&#25945;&#21153;&#25903;&#25345;&#26381;&#21153;&#39033;&#30446;&#37319;&#36141;.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132caa-60d1-42d8-953d-b425f797a891}"/>
        <w:style w:val=""/>
        <w:category>
          <w:name w:val="常规"/>
          <w:gallery w:val="placeholder"/>
        </w:category>
        <w:types>
          <w:type w:val="bbPlcHdr"/>
        </w:types>
        <w:behaviors>
          <w:behavior w:val="content"/>
        </w:behaviors>
        <w:description w:val=""/>
        <w:guid w:val="{25132caa-60d1-42d8-953d-b425f797a891}"/>
      </w:docPartPr>
      <w:docPartBody>
        <w:p w14:paraId="7AAD6379">
          <w:r>
            <w:rPr>
              <w:color w:val="808080"/>
            </w:rPr>
            <w:t>单击此处输入文字。</w:t>
          </w:r>
        </w:p>
      </w:docPartBody>
    </w:docPart>
    <w:docPart>
      <w:docPartPr>
        <w:name w:val="{63775e41-7dba-4804-84c9-6a0cddbf2083}"/>
        <w:style w:val=""/>
        <w:category>
          <w:name w:val="常规"/>
          <w:gallery w:val="placeholder"/>
        </w:category>
        <w:types>
          <w:type w:val="bbPlcHdr"/>
        </w:types>
        <w:behaviors>
          <w:behavior w:val="content"/>
        </w:behaviors>
        <w:description w:val=""/>
        <w:guid w:val="{63775e41-7dba-4804-84c9-6a0cddbf2083}"/>
      </w:docPartPr>
      <w:docPartBody>
        <w:p w14:paraId="776339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20250628-招标文件-2025年度中小学幼儿园教师培训公共服务平台及教学教务支持服务项目采购.dotm</Template>
  <Pages>107</Pages>
  <Words>20042</Words>
  <Characters>21868</Characters>
  <Lines>409</Lines>
  <Paragraphs>115</Paragraphs>
  <TotalTime>4</TotalTime>
  <ScaleCrop>false</ScaleCrop>
  <LinksUpToDate>false</LinksUpToDate>
  <CharactersWithSpaces>22000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2025-07-01T12:09:00Z</dcterms:created>
  <dc:creator>王扬</dc:creator>
  <cp:lastModifiedBy>殷小胖</cp:lastModifiedBy>
  <dcterms:modified xsi:type="dcterms:W3CDTF">2025-07-04T08:06:11Z</dcterms:modified>
  <dc:title>新疆维吾尔自治区政府采购中心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BADC774FDE574F648B0DA8B74BB57518_13</vt:lpwstr>
  </property>
  <property fmtid="{D5CDD505-2E9C-101B-9397-08002B2CF9AE}" pid="4" name="KSOTemplateDocerSaveRecord">
    <vt:lpwstr>eyJoZGlkIjoiMTk5MGQ4OTVjMGFmMzU3NjRlODU2NGJkNmQzNzYzM2YiLCJ1c2VySWQiOiIxOTczNjkxNTMifQ==</vt:lpwstr>
  </property>
</Properties>
</file>