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ermStart w:id="0" w:edGrp="everyone"/>
    </w:p>
    <w:p w14:paraId="4A31B2EE">
      <w:pPr>
        <w:spacing w:line="360" w:lineRule="auto"/>
        <w:jc w:val="center"/>
        <w:rPr>
          <w:rFonts w:hint="eastAsia"/>
          <w:b/>
          <w:bCs/>
          <w:color w:val="auto"/>
          <w:sz w:val="48"/>
          <w:szCs w:val="48"/>
          <w:highlight w:val="none"/>
          <w:shd w:val="clear" w:color="auto" w:fill="auto"/>
          <w:lang w:eastAsia="zh-CN"/>
        </w:rPr>
      </w:pPr>
    </w:p>
    <w:p w14:paraId="0E4B0DFD">
      <w:pPr>
        <w:tabs>
          <w:tab w:val="left" w:pos="3120"/>
        </w:tabs>
        <w:spacing w:line="360" w:lineRule="auto"/>
        <w:jc w:val="center"/>
        <w:rPr>
          <w:rFonts w:hint="eastAsia"/>
          <w:b/>
          <w:bCs/>
          <w:color w:val="auto"/>
          <w:sz w:val="48"/>
          <w:szCs w:val="48"/>
          <w:highlight w:val="none"/>
          <w:shd w:val="clear" w:color="auto" w:fill="auto"/>
          <w:lang w:eastAsia="zh-CN"/>
        </w:rPr>
      </w:pPr>
      <w:r>
        <w:rPr>
          <w:rFonts w:hint="eastAsia"/>
          <w:b/>
          <w:bCs/>
          <w:color w:val="auto"/>
          <w:sz w:val="48"/>
          <w:szCs w:val="48"/>
          <w:highlight w:val="none"/>
          <w:shd w:val="clear" w:color="auto" w:fill="auto"/>
          <w:lang w:eastAsia="zh-CN"/>
        </w:rPr>
        <w:t>“国培计划”——基于教师数字素养提升和数字化赋能教学质量提升的示范校培育项目入校指导和成果孵化研修（片区一）</w:t>
      </w:r>
    </w:p>
    <w:p w14:paraId="68F5399F">
      <w:pPr>
        <w:tabs>
          <w:tab w:val="left" w:pos="3120"/>
        </w:tabs>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p>
    <w:p w14:paraId="0F3E8801">
      <w:pPr>
        <w:spacing w:line="360" w:lineRule="auto"/>
        <w:jc w:val="center"/>
        <w:rPr>
          <w:rFonts w:hint="eastAsia"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w:t>
      </w:r>
      <w:r>
        <w:rPr>
          <w:rFonts w:hint="eastAsia"/>
          <w:b/>
          <w:bCs/>
          <w:color w:val="auto"/>
          <w:sz w:val="28"/>
          <w:szCs w:val="28"/>
          <w:highlight w:val="none"/>
          <w:shd w:val="clear" w:color="auto" w:fill="auto"/>
          <w:lang w:eastAsia="zh-CN"/>
        </w:rPr>
        <w:t>XJCY2025-ZB-393</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1"/>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ermEnd w:id="0"/>
    <w:p w14:paraId="67A05C8F">
      <w:pPr>
        <w:pStyle w:val="22"/>
        <w:tabs>
          <w:tab w:val="right" w:leader="dot" w:pos="8640"/>
          <w:tab w:val="right" w:leader="dot" w:pos="8789"/>
          <w:tab w:val="clear" w:pos="9628"/>
        </w:tabs>
        <w:spacing w:line="360" w:lineRule="auto"/>
        <w:ind w:left="480"/>
        <w:rPr>
          <w:rStyle w:val="33"/>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第一章  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第三章  评审方法和评审标准</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第五章  合同草案条款</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第六章  响应文件格式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第七章 补充材料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62</w:t>
      </w:r>
    </w:p>
    <w:sdt>
      <w:sdtPr>
        <w:rPr>
          <w:rFonts w:ascii="宋体" w:hAnsi="宋体" w:eastAsia="宋体" w:cs="宋体"/>
          <w:color w:val="auto"/>
          <w:sz w:val="21"/>
          <w:szCs w:val="24"/>
          <w:highlight w:val="none"/>
          <w:lang w:val="en-US" w:eastAsia="zh-CN" w:bidi="ar-SA"/>
        </w:rPr>
        <w:id w:val="147467458"/>
        <w15:color w:val="DBDBDB"/>
        <w:docPartObj>
          <w:docPartGallery w:val="Table of Contents"/>
          <w:docPartUnique/>
        </w:docPartObj>
      </w:sdtPr>
      <w:sdtEndPr>
        <w:rPr>
          <w:rFonts w:hint="eastAsia" w:ascii="宋体" w:hAnsi="宋体" w:eastAsia="宋体" w:cs="宋体"/>
          <w:color w:val="auto"/>
          <w:sz w:val="28"/>
          <w:szCs w:val="28"/>
          <w:highlight w:val="none"/>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bookmarkStart w:id="0" w:name="_Toc6268_WPSOffice_Type3"/>
        </w:p>
        <w:p w14:paraId="3983422E">
          <w:pPr>
            <w:pStyle w:val="143"/>
            <w:tabs>
              <w:tab w:val="right" w:leader="dot" w:pos="8307"/>
            </w:tabs>
            <w:rPr>
              <w:rFonts w:hint="eastAsia" w:ascii="宋体" w:hAnsi="宋体" w:eastAsia="宋体" w:cs="宋体"/>
              <w:color w:val="auto"/>
              <w:sz w:val="28"/>
              <w:szCs w:val="28"/>
              <w:highlight w:val="none"/>
            </w:rPr>
          </w:pPr>
        </w:p>
        <w:bookmarkEnd w:id="0"/>
        <w:p w14:paraId="09F272B1">
          <w:pPr>
            <w:pStyle w:val="145"/>
            <w:tabs>
              <w:tab w:val="right" w:leader="dot" w:pos="8307"/>
            </w:tabs>
            <w:ind w:left="0" w:leftChars="0" w:firstLine="0" w:firstLineChars="0"/>
            <w:rPr>
              <w:rFonts w:hint="eastAsia" w:ascii="宋体" w:hAnsi="宋体" w:eastAsia="宋体" w:cs="宋体"/>
              <w:color w:val="auto"/>
              <w:sz w:val="28"/>
              <w:szCs w:val="28"/>
              <w:highlight w:val="none"/>
            </w:rPr>
          </w:pPr>
        </w:p>
      </w:sdtContent>
    </w:sdt>
    <w:p w14:paraId="46457070">
      <w:pPr>
        <w:rPr>
          <w:rFonts w:hint="eastAsia" w:ascii="宋体" w:hAnsi="宋体" w:eastAsia="宋体" w:cs="宋体"/>
          <w:color w:val="auto"/>
          <w:sz w:val="28"/>
          <w:szCs w:val="28"/>
          <w:highlight w:val="none"/>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25AFBC6A">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“国培计划”——基于教师数字素养提升和数字化赋能教学质量提升的示范校培育项目入校指导和成果孵化研修（片区一）</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lang w:eastAsia="zh-CN"/>
        </w:rPr>
        <w:t>“国培计划”——基于教师数字素养提升和数字化赋能教学质量提升的示范校培育项目入校指导和成果孵化研修（片区一）</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08</w:t>
      </w:r>
      <w:r>
        <w:rPr>
          <w:rFonts w:hint="eastAsia" w:cs="Arial"/>
          <w:color w:val="auto"/>
          <w:highlight w:val="none"/>
        </w:rPr>
        <w:t>日</w:t>
      </w:r>
      <w:r>
        <w:rPr>
          <w:rFonts w:cs="Arial"/>
          <w:color w:val="auto"/>
          <w:highlight w:val="none"/>
        </w:rPr>
        <w:t xml:space="preserve"> 11:00</w:t>
      </w:r>
      <w:r>
        <w:rPr>
          <w:rFonts w:cs="Arial"/>
          <w:color w:val="auto"/>
          <w:highlight w:val="none"/>
        </w:rPr>
        <w:t>（北京时间）前递交响应文件。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eastAsia"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XJCY2025-ZB-393</w:t>
      </w:r>
    </w:p>
    <w:p w14:paraId="197E8CEB">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“国培计划”——基于教师数字素养提升和数字化赋能教学质量提升的示范校培育项目入校指导和成果孵化研修（片区一）</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600000.00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600000.00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302597FA">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“国培计划”——基于教师数字素养提升和数字化赋能教学质量提升的示范校培育项目入校指导和成果孵化研修（片区一）</w:t>
      </w:r>
      <w:r>
        <w:rPr>
          <w:rFonts w:hint="eastAsia" w:ascii="宋体" w:hAnsi="宋体" w:eastAsia="宋体" w:cs="Times New Roman"/>
          <w:color w:val="auto"/>
          <w:sz w:val="24"/>
          <w:highlight w:val="none"/>
        </w:rPr>
        <w:t>数量:1</w:t>
      </w:r>
    </w:p>
    <w:p w14:paraId="09A01C16">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600000.00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451E88D6">
      <w:pPr>
        <w:keepNext w:val="0"/>
        <w:keepLines w:val="0"/>
        <w:pageBreakBefore w:val="0"/>
        <w:kinsoku/>
        <w:wordWrap/>
        <w:overflowPunct/>
        <w:topLinePunct w:val="0"/>
        <w:autoSpaceDE/>
        <w:autoSpaceDN/>
        <w:bidi w:val="0"/>
        <w:spacing w:before="60" w:after="60" w:line="400" w:lineRule="exact"/>
        <w:ind w:firstLine="480"/>
        <w:textAlignment w:val="auto"/>
        <w:rPr>
          <w:rStyle w:val="110"/>
          <w:rFonts w:hint="default"/>
          <w:color w:val="auto"/>
          <w:highlight w:val="none"/>
          <w:lang w:val="en-US" w:eastAsia="zh-CN"/>
        </w:rPr>
      </w:pPr>
      <w:r>
        <w:rPr>
          <w:rFonts w:cs="Arial"/>
          <w:color w:val="auto"/>
          <w:highlight w:val="none"/>
        </w:rPr>
        <w:t>合同履约期限：</w:t>
      </w:r>
      <w:r>
        <w:rPr>
          <w:rFonts w:hint="eastAsia" w:cs="Arial"/>
          <w:color w:val="auto"/>
          <w:highlight w:val="none"/>
          <w:lang w:val="en-US" w:eastAsia="zh-CN"/>
        </w:rPr>
        <w:t>2025年6-12月，具体以培训项目开班时间为准。</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27</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04</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08</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08</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7"/>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50131DF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noWrap w:val="0"/>
            <w:vAlign w:val="center"/>
          </w:tcPr>
          <w:p w14:paraId="58EC937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noWrap w:val="0"/>
            <w:vAlign w:val="center"/>
          </w:tcPr>
          <w:p w14:paraId="2505037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580EC94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noWrap w:val="0"/>
            <w:vAlign w:val="center"/>
          </w:tcPr>
          <w:p w14:paraId="46FB140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noWrap w:val="0"/>
            <w:vAlign w:val="center"/>
          </w:tcPr>
          <w:p w14:paraId="6BA6E70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val="en-US" w:eastAsia="zh-CN"/>
              </w:rPr>
            </w:pPr>
            <w:r>
              <w:rPr>
                <w:rFonts w:hint="eastAsia" w:cs="Arial"/>
                <w:color w:val="auto"/>
                <w:highlight w:val="none"/>
                <w:lang w:eastAsia="zh-CN"/>
              </w:rPr>
              <w:t>XJCY2025-ZB-393</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66A92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noWrap w:val="0"/>
            <w:vAlign w:val="center"/>
          </w:tcPr>
          <w:p w14:paraId="117BD2E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noWrap w:val="0"/>
            <w:vAlign w:val="center"/>
          </w:tcPr>
          <w:p w14:paraId="2D247B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eastAsia="zh-CN"/>
              </w:rPr>
              <w:t>“国培计划”——基于教师数字素养提升和数字化赋能教学质量提升的示范校培育项目入校指导和成果孵化研修（片区一）</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noWrap w:val="0"/>
            <w:vAlign w:val="center"/>
          </w:tcPr>
          <w:p w14:paraId="543DC4D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noWrap w:val="0"/>
            <w:vAlign w:val="center"/>
          </w:tcPr>
          <w:p w14:paraId="3197AF3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noWrap w:val="0"/>
            <w:vAlign w:val="center"/>
          </w:tcPr>
          <w:p w14:paraId="3B44DC5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采购人：新疆师范大学</w:t>
            </w:r>
          </w:p>
          <w:p w14:paraId="40A925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61DF6DD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联系电话：0991-4112288</w:t>
            </w:r>
          </w:p>
          <w:p w14:paraId="0D21B80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地址：新疆维吾尔自治区乌鲁木齐市水磨沟区观园路100号</w:t>
            </w:r>
          </w:p>
          <w:p w14:paraId="5732136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eastAsia="宋体"/>
                <w:color w:val="auto"/>
                <w:highlight w:val="none"/>
                <w:lang w:val="en-US" w:eastAsia="zh-CN"/>
              </w:rPr>
            </w:pPr>
            <w:r>
              <w:rPr>
                <w:rFonts w:hint="eastAsia"/>
                <w:color w:val="auto"/>
                <w:highlight w:val="none"/>
              </w:rPr>
              <w:t>项目联系人：赵箭、殷伟豪</w:t>
            </w:r>
          </w:p>
          <w:p w14:paraId="760EA05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noWrap w:val="0"/>
            <w:vAlign w:val="center"/>
          </w:tcPr>
          <w:p w14:paraId="0D48FFA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noWrap w:val="0"/>
            <w:vAlign w:val="center"/>
          </w:tcPr>
          <w:p w14:paraId="171238F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noWrap w:val="0"/>
            <w:vAlign w:val="center"/>
          </w:tcPr>
          <w:p w14:paraId="0A5C5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eastAsia="宋体"/>
                <w:color w:val="auto"/>
                <w:highlight w:val="none"/>
                <w:lang w:val="en-US" w:eastAsia="zh-CN"/>
              </w:rPr>
            </w:pPr>
            <w:r>
              <w:rPr>
                <w:rFonts w:hint="default" w:eastAsia="宋体"/>
                <w:color w:val="auto"/>
                <w:highlight w:val="none"/>
                <w:lang w:val="en-US" w:eastAsia="zh-CN"/>
              </w:rPr>
              <w:t>依托项目实施，以试点学校（乌鲁木齐市第五十中学、乌鲁木齐市第113中学、哈密市第十六中学、克拉玛依市独山子第三中学、阜康市第一小学、吐鲁番市高昌区第一中学）学科骨干教师校本研修成果展示为切入点，通过成果展示、专题辅导、研讨反馈、经验萃取、成果打磨等研修活动，指导试点学校学科骨干教师（校本研修指导团队）提升校本研修设计实施能力，更好的发挥其引领、辐射、带动作用；推动教师数字素养提升校本化、常态化，凝练校本研修成果，提升校本研修实效，形成可复制、可推广的实践成果。</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B5C325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noWrap w:val="0"/>
            <w:vAlign w:val="center"/>
          </w:tcPr>
          <w:p w14:paraId="1C65EF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noWrap w:val="0"/>
            <w:vAlign w:val="center"/>
          </w:tcPr>
          <w:p w14:paraId="0E5735C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最高限价：60万元</w:t>
            </w:r>
          </w:p>
          <w:p w14:paraId="5FFBF62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2"/>
              <w:keepNext w:val="0"/>
              <w:keepLines w:val="0"/>
              <w:pageBreakBefore w:val="0"/>
              <w:widowControl/>
              <w:suppressLineNumbers w:val="0"/>
              <w:kinsoku/>
              <w:wordWrap/>
              <w:topLinePunct w:val="0"/>
              <w:bidi w:val="0"/>
              <w:spacing w:before="0" w:beforeAutospacing="0" w:after="0" w:afterAutospacing="0" w:line="500" w:lineRule="exact"/>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B04B48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noWrap w:val="0"/>
            <w:vAlign w:val="center"/>
          </w:tcPr>
          <w:p w14:paraId="6639ADE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noWrap w:val="0"/>
            <w:vAlign w:val="center"/>
          </w:tcPr>
          <w:p w14:paraId="7F7D7F5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860F19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noWrap w:val="0"/>
            <w:vAlign w:val="center"/>
          </w:tcPr>
          <w:p w14:paraId="1DA2FCD2">
            <w:pPr>
              <w:pStyle w:val="106"/>
              <w:keepNext w:val="0"/>
              <w:keepLines w:val="0"/>
              <w:pageBreakBefore w:val="0"/>
              <w:suppressLineNumbers w:val="0"/>
              <w:kinsoku/>
              <w:wordWrap/>
              <w:topLinePunct w:val="0"/>
              <w:bidi w:val="0"/>
              <w:spacing w:before="0" w:beforeAutospacing="0" w:after="0" w:afterAutospacing="0" w:line="50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noWrap w:val="0"/>
            <w:vAlign w:val="center"/>
          </w:tcPr>
          <w:p w14:paraId="3094A5A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信用记录审查：</w:t>
            </w:r>
          </w:p>
          <w:p w14:paraId="2E1B231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029BC1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noWrap w:val="0"/>
            <w:vAlign w:val="center"/>
          </w:tcPr>
          <w:p w14:paraId="7CC929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noWrap w:val="0"/>
            <w:vAlign w:val="center"/>
          </w:tcPr>
          <w:p w14:paraId="6108E31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71326E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noWrap w:val="0"/>
            <w:vAlign w:val="center"/>
          </w:tcPr>
          <w:p w14:paraId="228BFC0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noWrap w:val="0"/>
            <w:vAlign w:val="center"/>
          </w:tcPr>
          <w:p w14:paraId="62AB904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27</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04</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176C1E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noWrap w:val="0"/>
            <w:vAlign w:val="center"/>
          </w:tcPr>
          <w:p w14:paraId="22756C8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noWrap w:val="0"/>
            <w:vAlign w:val="center"/>
          </w:tcPr>
          <w:p w14:paraId="119156E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noWrap w:val="0"/>
            <w:vAlign w:val="center"/>
          </w:tcPr>
          <w:p w14:paraId="64416192">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noWrap w:val="0"/>
            <w:vAlign w:val="center"/>
          </w:tcPr>
          <w:p w14:paraId="08C441B0">
            <w:pPr>
              <w:keepNext w:val="0"/>
              <w:keepLines w:val="0"/>
              <w:pageBreakBefore w:val="0"/>
              <w:widowControl/>
              <w:suppressLineNumbers w:val="0"/>
              <w:kinsoku/>
              <w:wordWrap/>
              <w:overflowPunct w:val="0"/>
              <w:topLinePunct w:val="0"/>
              <w:bidi w:val="0"/>
              <w:spacing w:before="0" w:beforeAutospacing="0" w:after="0" w:afterAutospacing="0" w:line="50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noWrap w:val="0"/>
            <w:vAlign w:val="center"/>
          </w:tcPr>
          <w:p w14:paraId="527FE2E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08</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4AC23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noWrap w:val="0"/>
            <w:vAlign w:val="center"/>
          </w:tcPr>
          <w:p w14:paraId="45AB257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noWrap w:val="0"/>
            <w:vAlign w:val="center"/>
          </w:tcPr>
          <w:p w14:paraId="0EAFC0D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noWrap w:val="0"/>
            <w:vAlign w:val="center"/>
          </w:tcPr>
          <w:p w14:paraId="11B23FF5">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noWrap w:val="0"/>
            <w:vAlign w:val="center"/>
          </w:tcPr>
          <w:p w14:paraId="5741C7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noWrap w:val="0"/>
            <w:vAlign w:val="center"/>
          </w:tcPr>
          <w:p w14:paraId="38A72B6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noWrap w:val="0"/>
            <w:vAlign w:val="center"/>
          </w:tcPr>
          <w:p w14:paraId="277987D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noWrap w:val="0"/>
            <w:vAlign w:val="center"/>
          </w:tcPr>
          <w:p w14:paraId="2C9D01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noWrap w:val="0"/>
            <w:vAlign w:val="center"/>
          </w:tcPr>
          <w:p w14:paraId="79FA95EA">
            <w:pPr>
              <w:keepNext w:val="0"/>
              <w:keepLines w:val="0"/>
              <w:pageBreakBefore w:val="0"/>
              <w:widowControl/>
              <w:suppressLineNumbers w:val="0"/>
              <w:kinsoku/>
              <w:wordWrap/>
              <w:topLinePunct w:val="0"/>
              <w:bidi w:val="0"/>
              <w:spacing w:before="0" w:beforeAutospacing="0" w:after="0" w:afterAutospacing="0" w:line="500" w:lineRule="exact"/>
              <w:ind w:left="0" w:right="0"/>
              <w:rPr>
                <w:rStyle w:val="110"/>
                <w:rFonts w:hint="default"/>
                <w:color w:val="auto"/>
                <w:highlight w:val="none"/>
                <w:lang w:val="en-US" w:eastAsia="zh-CN"/>
              </w:rPr>
            </w:pPr>
            <w:r>
              <w:rPr>
                <w:rStyle w:val="110"/>
                <w:rFonts w:hint="default"/>
                <w:color w:val="auto"/>
                <w:highlight w:val="none"/>
                <w:lang w:val="en-US" w:eastAsia="zh-CN"/>
              </w:rPr>
              <w:t>2025年6-12月，具体以培训项目开班时间为准。</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5D97B3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noWrap w:val="0"/>
            <w:vAlign w:val="center"/>
          </w:tcPr>
          <w:p w14:paraId="11E9FF4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noWrap w:val="0"/>
            <w:vAlign w:val="center"/>
          </w:tcPr>
          <w:p w14:paraId="5523E7A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按照项目实施要求，采取入校指导、教学示范、课例研磨、专题辅导等方式进行，具体以甲乙双方协商为主。</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3FA7A3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noWrap w:val="0"/>
            <w:vAlign w:val="center"/>
          </w:tcPr>
          <w:p w14:paraId="04EEDC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noWrap w:val="0"/>
            <w:vAlign w:val="center"/>
          </w:tcPr>
          <w:p w14:paraId="16B1FF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项目实施完成十个工作日内，按照项目总结材料清单要求向甲方提供培训实施材料纸质版和电子版，进行项目验收。</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79" w:type="dxa"/>
            <w:tcBorders>
              <w:tl2br w:val="nil"/>
              <w:tr2bl w:val="nil"/>
            </w:tcBorders>
            <w:noWrap w:val="0"/>
            <w:vAlign w:val="center"/>
          </w:tcPr>
          <w:p w14:paraId="5EE0DAB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noWrap w:val="0"/>
            <w:vAlign w:val="center"/>
          </w:tcPr>
          <w:p w14:paraId="426D0E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noWrap w:val="0"/>
            <w:vAlign w:val="center"/>
          </w:tcPr>
          <w:p w14:paraId="65EE745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项目实施结束后，借助在线平台，为教师发展、学校发展提供持续跟踪指导。组建专门专家团队、制定训后跟踪指导方案等。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7959058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noWrap w:val="0"/>
            <w:vAlign w:val="center"/>
          </w:tcPr>
          <w:p w14:paraId="0ADD63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noWrap w:val="0"/>
            <w:vAlign w:val="center"/>
          </w:tcPr>
          <w:p w14:paraId="7CDB6D3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FAA88BA">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noWrap w:val="0"/>
            <w:vAlign w:val="center"/>
          </w:tcPr>
          <w:p w14:paraId="07D4BCE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noWrap w:val="0"/>
            <w:vAlign w:val="center"/>
          </w:tcPr>
          <w:p w14:paraId="007DF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lang w:val="en-US" w:eastAsia="zh-CN"/>
              </w:rPr>
            </w:pPr>
            <w:r>
              <w:rPr>
                <w:rFonts w:hint="eastAsia"/>
                <w:b/>
                <w:bCs/>
                <w:color w:val="auto"/>
                <w:highlight w:val="none"/>
              </w:rPr>
              <w:t>保证金金额：</w:t>
            </w:r>
            <w:r>
              <w:rPr>
                <w:rFonts w:hint="eastAsia" w:cs="宋体"/>
                <w:b/>
                <w:bCs/>
                <w:color w:val="auto"/>
                <w:sz w:val="24"/>
                <w:szCs w:val="24"/>
                <w:highlight w:val="none"/>
                <w:lang w:val="en-US" w:eastAsia="zh-CN" w:bidi="ar-SA"/>
              </w:rPr>
              <w:t>6000.00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陆仟元整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141DECE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5DDC83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noWrap w:val="0"/>
            <w:vAlign w:val="center"/>
          </w:tcPr>
          <w:p w14:paraId="3D33EA3E">
            <w:pPr>
              <w:keepNext w:val="0"/>
              <w:keepLines w:val="0"/>
              <w:pageBreakBefore w:val="0"/>
              <w:widowControl/>
              <w:numPr>
                <w:ilvl w:val="0"/>
                <w:numId w:val="4"/>
              </w:numPr>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保证金缴纳方式：</w:t>
            </w:r>
          </w:p>
          <w:p w14:paraId="239CB35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投标保证金缴纳账号：</w:t>
            </w:r>
          </w:p>
          <w:p w14:paraId="4194AB8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pageBreakBefore w:val="0"/>
              <w:widowControl/>
              <w:suppressLineNumbers w:val="0"/>
              <w:kinsoku/>
              <w:wordWrap/>
              <w:topLinePunct w:val="0"/>
              <w:bidi w:val="0"/>
              <w:spacing w:before="0" w:beforeAutospacing="0" w:after="0" w:afterAutospacing="0" w:line="50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pageBreakBefore w:val="0"/>
              <w:widowControl/>
              <w:numPr>
                <w:ilvl w:val="0"/>
                <w:numId w:val="5"/>
              </w:numPr>
              <w:suppressLineNumbers w:val="0"/>
              <w:kinsoku/>
              <w:wordWrap/>
              <w:topLinePunct w:val="0"/>
              <w:bidi w:val="0"/>
              <w:spacing w:before="0" w:beforeAutospacing="0" w:after="0" w:afterAutospacing="0" w:line="50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pageBreakBefore w:val="0"/>
              <w:widowControl/>
              <w:suppressLineNumbers w:val="0"/>
              <w:kinsoku/>
              <w:wordWrap/>
              <w:topLinePunct w:val="0"/>
              <w:bidi w:val="0"/>
              <w:spacing w:before="0" w:beforeAutospacing="0" w:after="0" w:afterAutospacing="0" w:line="50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7BEB57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67BB43D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noWrap w:val="0"/>
            <w:vAlign w:val="center"/>
          </w:tcPr>
          <w:p w14:paraId="3531811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noWrap w:val="0"/>
            <w:vAlign w:val="center"/>
          </w:tcPr>
          <w:p w14:paraId="0914E6A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noWrap w:val="0"/>
            <w:vAlign w:val="center"/>
          </w:tcPr>
          <w:p w14:paraId="33DF28F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noWrap w:val="0"/>
            <w:vAlign w:val="center"/>
          </w:tcPr>
          <w:p w14:paraId="6189A65B">
            <w:pPr>
              <w:pStyle w:val="127"/>
              <w:keepNext w:val="0"/>
              <w:keepLines w:val="0"/>
              <w:pageBreakBefore w:val="0"/>
              <w:widowControl/>
              <w:suppressLineNumbers w:val="0"/>
              <w:kinsoku/>
              <w:wordWrap/>
              <w:topLinePunct w:val="0"/>
              <w:autoSpaceDE w:val="0"/>
              <w:autoSpaceDN w:val="0"/>
              <w:bidi w:val="0"/>
              <w:spacing w:before="0" w:beforeAutospacing="0" w:after="0" w:afterAutospacing="0" w:line="50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pageBreakBefore w:val="0"/>
              <w:suppressLineNumbers w:val="0"/>
              <w:kinsoku/>
              <w:wordWrap/>
              <w:topLinePunct w:val="0"/>
              <w:bidi w:val="0"/>
              <w:spacing w:before="0" w:beforeAutospacing="0" w:after="0" w:afterAutospacing="0" w:line="50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DE533D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noWrap w:val="0"/>
            <w:vAlign w:val="center"/>
          </w:tcPr>
          <w:p w14:paraId="13B8A94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noWrap w:val="0"/>
            <w:vAlign w:val="center"/>
          </w:tcPr>
          <w:p w14:paraId="3A6DA73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3DE938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noWrap w:val="0"/>
            <w:vAlign w:val="center"/>
          </w:tcPr>
          <w:p w14:paraId="6893285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noWrap w:val="0"/>
            <w:vAlign w:val="center"/>
          </w:tcPr>
          <w:p w14:paraId="1C868756">
            <w:pPr>
              <w:keepNext w:val="0"/>
              <w:keepLines w:val="0"/>
              <w:pageBreakBefore w:val="0"/>
              <w:widowControl/>
              <w:numPr>
                <w:ilvl w:val="0"/>
                <w:numId w:val="6"/>
              </w:numPr>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noWrap w:val="0"/>
            <w:vAlign w:val="center"/>
          </w:tcPr>
          <w:p w14:paraId="109728C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noWrap w:val="0"/>
            <w:vAlign w:val="center"/>
          </w:tcPr>
          <w:p w14:paraId="2EA5DB1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noWrap w:val="0"/>
            <w:vAlign w:val="center"/>
          </w:tcPr>
          <w:p w14:paraId="737F8E4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本次采购所述的项目资金均以人民币支付。</w:t>
            </w:r>
          </w:p>
          <w:p w14:paraId="2E6F15D7">
            <w:pPr>
              <w:keepNext w:val="0"/>
              <w:keepLines w:val="0"/>
              <w:pageBreakBefore w:val="0"/>
              <w:widowControl/>
              <w:numPr>
                <w:ilvl w:val="0"/>
                <w:numId w:val="7"/>
              </w:numPr>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付款方式：</w:t>
            </w:r>
          </w:p>
          <w:p w14:paraId="40010C76">
            <w:pPr>
              <w:keepNext w:val="0"/>
              <w:keepLines w:val="0"/>
              <w:pageBreakBefore w:val="0"/>
              <w:widowControl/>
              <w:numPr>
                <w:ilvl w:val="0"/>
                <w:numId w:val="0"/>
              </w:numPr>
              <w:suppressLineNumbers w:val="0"/>
              <w:kinsoku/>
              <w:wordWrap/>
              <w:topLinePunct w:val="0"/>
              <w:bidi w:val="0"/>
              <w:spacing w:before="0" w:beforeAutospacing="0" w:after="0" w:afterAutospacing="0" w:line="500" w:lineRule="exact"/>
              <w:ind w:left="0" w:right="0" w:rightChars="0"/>
              <w:rPr>
                <w:rFonts w:hint="default"/>
                <w:bCs/>
                <w:color w:val="auto"/>
                <w:highlight w:val="none"/>
              </w:rPr>
            </w:pPr>
            <w:r>
              <w:rPr>
                <w:rFonts w:hint="default"/>
                <w:bCs/>
                <w:color w:val="auto"/>
                <w:highlight w:val="none"/>
              </w:rPr>
              <w:t>合同签订后支付合同金额的</w:t>
            </w:r>
            <w:r>
              <w:rPr>
                <w:rFonts w:hint="default"/>
                <w:bCs/>
                <w:color w:val="auto"/>
                <w:highlight w:val="none"/>
              </w:rPr>
              <w:softHyphen/>
            </w:r>
            <w:r>
              <w:rPr>
                <w:rFonts w:hint="default"/>
                <w:bCs/>
                <w:color w:val="auto"/>
                <w:highlight w:val="none"/>
              </w:rPr>
              <w:softHyphen/>
            </w:r>
            <w:r>
              <w:rPr>
                <w:rFonts w:hint="default"/>
                <w:bCs/>
                <w:color w:val="auto"/>
                <w:highlight w:val="none"/>
              </w:rPr>
              <w:softHyphen/>
            </w:r>
            <w:r>
              <w:rPr>
                <w:rFonts w:hint="default"/>
                <w:bCs/>
                <w:color w:val="auto"/>
                <w:highlight w:val="none"/>
              </w:rPr>
              <w:t>_</w:t>
            </w:r>
            <w:r>
              <w:rPr>
                <w:rFonts w:hint="default"/>
                <w:bCs/>
                <w:color w:val="auto"/>
                <w:highlight w:val="none"/>
                <w:lang w:val="en-US" w:eastAsia="zh-CN"/>
              </w:rPr>
              <w:t>95</w:t>
            </w:r>
            <w:r>
              <w:rPr>
                <w:rFonts w:hint="default"/>
                <w:bCs/>
                <w:color w:val="auto"/>
                <w:highlight w:val="none"/>
              </w:rPr>
              <w:t>_%</w:t>
            </w:r>
            <w:r>
              <w:rPr>
                <w:rFonts w:hint="default"/>
                <w:bCs/>
                <w:color w:val="auto"/>
                <w:highlight w:val="none"/>
                <w:lang w:eastAsia="zh-CN"/>
              </w:rPr>
              <w:t>，</w:t>
            </w:r>
            <w:r>
              <w:rPr>
                <w:rFonts w:hint="default"/>
                <w:bCs/>
                <w:color w:val="auto"/>
                <w:highlight w:val="none"/>
                <w:lang w:val="en-US" w:eastAsia="zh-CN"/>
              </w:rPr>
              <w:t>培训结束后，</w:t>
            </w:r>
            <w:r>
              <w:rPr>
                <w:rFonts w:hint="default"/>
                <w:bCs/>
                <w:color w:val="auto"/>
                <w:highlight w:val="none"/>
              </w:rPr>
              <w:t>乙方的培训服务经甲方整体验收无异议后，五个工作日内向乙方支付剩余的培训费。</w:t>
            </w:r>
          </w:p>
          <w:p w14:paraId="67EABAA9">
            <w:pPr>
              <w:keepNext w:val="0"/>
              <w:keepLines w:val="0"/>
              <w:pageBreakBefore w:val="0"/>
              <w:widowControl/>
              <w:numPr>
                <w:ilvl w:val="0"/>
                <w:numId w:val="0"/>
              </w:numPr>
              <w:suppressLineNumbers w:val="0"/>
              <w:kinsoku/>
              <w:wordWrap/>
              <w:topLinePunct w:val="0"/>
              <w:bidi w:val="0"/>
              <w:spacing w:before="0" w:beforeAutospacing="0" w:after="0" w:afterAutospacing="0" w:line="500" w:lineRule="exact"/>
              <w:ind w:left="0" w:right="0" w:rightChars="0"/>
              <w:rPr>
                <w:rFonts w:hint="default"/>
                <w:bCs/>
                <w:color w:val="auto"/>
                <w:highlight w:val="none"/>
              </w:rPr>
            </w:pPr>
            <w:r>
              <w:rPr>
                <w:rFonts w:hint="default"/>
                <w:bCs/>
                <w:color w:val="auto"/>
                <w:highlight w:val="none"/>
              </w:rPr>
              <w:t>3、乙方须向甲方出具合法有效完整的完税发票及凭证资料进行支付结算。</w:t>
            </w:r>
          </w:p>
          <w:p w14:paraId="07A3883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43DDF23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noWrap w:val="0"/>
            <w:vAlign w:val="center"/>
          </w:tcPr>
          <w:p w14:paraId="3D3F9B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noWrap w:val="0"/>
            <w:vAlign w:val="center"/>
          </w:tcPr>
          <w:p w14:paraId="522F548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1F45FDE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noWrap w:val="0"/>
            <w:vAlign w:val="center"/>
          </w:tcPr>
          <w:p w14:paraId="13659DD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noWrap w:val="0"/>
            <w:vAlign w:val="center"/>
          </w:tcPr>
          <w:p w14:paraId="399FFD5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lang w:val="en-US" w:eastAsia="zh-CN"/>
              </w:rPr>
            </w:pPr>
            <w:r>
              <w:rPr>
                <w:rFonts w:hint="eastAsia"/>
                <w:color w:val="auto"/>
                <w:highlight w:val="none"/>
                <w:lang w:val="en-US" w:eastAsia="zh-CN"/>
              </w:rPr>
              <w:t>评标委员会构成：3人；</w:t>
            </w:r>
          </w:p>
          <w:p w14:paraId="74132CF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采购人代表：1人；抽取专家：2人。</w:t>
            </w:r>
          </w:p>
          <w:p w14:paraId="7A45EDE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评审专家确定方式：政采云系统专家库随机抽取</w:t>
            </w:r>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290B925">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noWrap w:val="0"/>
            <w:vAlign w:val="center"/>
          </w:tcPr>
          <w:p w14:paraId="67505E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eastAsia="宋体"/>
                <w:color w:val="auto"/>
                <w:highlight w:val="none"/>
              </w:rPr>
            </w:pPr>
            <w:r>
              <w:rPr>
                <w:rFonts w:hint="default" w:eastAsia="宋体"/>
                <w:color w:val="auto"/>
                <w:highlight w:val="none"/>
              </w:rPr>
              <w:t>确定成交供应商</w:t>
            </w:r>
          </w:p>
        </w:tc>
        <w:tc>
          <w:tcPr>
            <w:tcW w:w="7249" w:type="dxa"/>
            <w:tcBorders>
              <w:tl2br w:val="nil"/>
              <w:tr2bl w:val="nil"/>
            </w:tcBorders>
            <w:noWrap w:val="0"/>
            <w:vAlign w:val="center"/>
          </w:tcPr>
          <w:p w14:paraId="6493112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default" w:eastAsia="宋体"/>
                <w:color w:val="auto"/>
                <w:highlight w:val="none"/>
              </w:rPr>
              <w:t>采购人是否授权磋商小组直接确定成交供应商：</w:t>
            </w:r>
          </w:p>
          <w:p w14:paraId="584FF8C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eastAsia"/>
                <w:color w:val="auto"/>
                <w:highlight w:val="none"/>
                <w:lang w:eastAsia="zh-CN"/>
              </w:rPr>
              <w:t>☑</w:t>
            </w:r>
            <w:r>
              <w:rPr>
                <w:rFonts w:hint="default" w:eastAsia="宋体"/>
                <w:color w:val="auto"/>
                <w:highlight w:val="none"/>
              </w:rPr>
              <w:t>否</w:t>
            </w:r>
          </w:p>
          <w:p w14:paraId="476439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default" w:eastAsia="宋体"/>
                <w:color w:val="auto"/>
                <w:highlight w:val="none"/>
              </w:rPr>
              <w:t>□是</w:t>
            </w:r>
          </w:p>
          <w:p w14:paraId="7E250BE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eastAsia="宋体"/>
                <w:color w:val="auto"/>
                <w:highlight w:val="none"/>
              </w:rPr>
            </w:pPr>
            <w:r>
              <w:rPr>
                <w:rFonts w:hint="default" w:eastAsia="宋体"/>
                <w:color w:val="auto"/>
                <w:highlight w:val="none"/>
              </w:rPr>
              <w:t>成交候选人并列的，按照以下方式确定成交供应商：</w:t>
            </w:r>
            <w:r>
              <w:rPr>
                <w:rFonts w:hint="eastAsia"/>
                <w:b/>
                <w:bCs/>
                <w:color w:val="auto"/>
                <w:highlight w:val="none"/>
                <w:lang w:val="en-US" w:eastAsia="zh-CN"/>
              </w:rPr>
              <w:t>响应</w:t>
            </w:r>
            <w:r>
              <w:rPr>
                <w:rFonts w:hint="default" w:eastAsia="宋体"/>
                <w:b/>
                <w:bCs/>
                <w:color w:val="auto"/>
                <w:highlight w:val="none"/>
              </w:rPr>
              <w:t>文件满足</w:t>
            </w:r>
            <w:r>
              <w:rPr>
                <w:rFonts w:hint="eastAsia"/>
                <w:b/>
                <w:bCs/>
                <w:color w:val="auto"/>
                <w:highlight w:val="none"/>
                <w:lang w:val="en-US" w:eastAsia="zh-CN"/>
              </w:rPr>
              <w:t>磋商</w:t>
            </w:r>
            <w:r>
              <w:rPr>
                <w:rFonts w:hint="default" w:eastAsia="宋体"/>
                <w:b/>
                <w:bCs/>
                <w:color w:val="auto"/>
                <w:highlight w:val="none"/>
              </w:rPr>
              <w:t>文件全部实质性要求，且按照评审因素的量化指标评审得分最高的投标人为排名第一的</w:t>
            </w:r>
            <w:r>
              <w:rPr>
                <w:rFonts w:hint="eastAsia"/>
                <w:b/>
                <w:bCs/>
                <w:color w:val="auto"/>
                <w:highlight w:val="none"/>
                <w:lang w:val="en-US" w:eastAsia="zh-CN"/>
              </w:rPr>
              <w:t>成交</w:t>
            </w:r>
            <w:r>
              <w:rPr>
                <w:rFonts w:hint="default" w:eastAsia="宋体"/>
                <w:b/>
                <w:bCs/>
                <w:color w:val="auto"/>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5FA22860">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noWrap w:val="0"/>
            <w:vAlign w:val="center"/>
          </w:tcPr>
          <w:p w14:paraId="69287F8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投标文件份数</w:t>
            </w:r>
          </w:p>
        </w:tc>
        <w:tc>
          <w:tcPr>
            <w:tcW w:w="7249" w:type="dxa"/>
            <w:tcBorders>
              <w:tl2br w:val="nil"/>
              <w:tr2bl w:val="nil"/>
            </w:tcBorders>
            <w:noWrap w:val="0"/>
            <w:vAlign w:val="center"/>
          </w:tcPr>
          <w:p w14:paraId="6BAEE15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color w:val="auto"/>
                <w:highlight w:val="none"/>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455E0AF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noWrap w:val="0"/>
            <w:vAlign w:val="center"/>
          </w:tcPr>
          <w:p w14:paraId="3AC2298B">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jc w:val="center"/>
              <w:rPr>
                <w:rFonts w:hint="eastAsia"/>
                <w:color w:val="auto"/>
                <w:highlight w:val="none"/>
              </w:rPr>
            </w:pPr>
            <w:r>
              <w:rPr>
                <w:rFonts w:hint="eastAsia" w:ascii="宋体" w:eastAsia="宋体"/>
                <w:color w:val="auto"/>
                <w:sz w:val="24"/>
                <w:highlight w:val="none"/>
              </w:rPr>
              <w:t>电子投标文件签字、盖章要求</w:t>
            </w:r>
          </w:p>
        </w:tc>
        <w:tc>
          <w:tcPr>
            <w:tcW w:w="7249" w:type="dxa"/>
            <w:tcBorders>
              <w:tl2br w:val="nil"/>
              <w:tr2bl w:val="nil"/>
            </w:tcBorders>
            <w:noWrap w:val="0"/>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宋体" w:eastAsia="宋体"/>
                <w:color w:val="auto"/>
                <w:sz w:val="24"/>
                <w:highlight w:val="none"/>
              </w:rPr>
            </w:pPr>
            <w:r>
              <w:rPr>
                <w:rFonts w:hint="eastAsia" w:ascii="宋体" w:eastAsia="宋体"/>
                <w:color w:val="auto"/>
                <w:sz w:val="24"/>
                <w:highlight w:val="none"/>
              </w:rPr>
              <w:t>应按照第六章“投标文件格式与要求”，使用单位电子签章（</w:t>
            </w:r>
            <w:r>
              <w:rPr>
                <w:rFonts w:hint="default" w:ascii="宋体" w:eastAsia="宋体"/>
                <w:color w:val="auto"/>
                <w:sz w:val="24"/>
                <w:highlight w:val="none"/>
              </w:rPr>
              <w:t>CA）进行签字、</w:t>
            </w:r>
            <w:r>
              <w:rPr>
                <w:rFonts w:hint="eastAsia" w:ascii="宋体" w:eastAsia="宋体"/>
                <w:color w:val="auto"/>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color w:val="auto"/>
                <w:highlight w:val="none"/>
              </w:rPr>
            </w:pPr>
            <w:r>
              <w:rPr>
                <w:rFonts w:hint="eastAsia" w:ascii="宋体" w:eastAsia="宋体"/>
                <w:color w:val="auto"/>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CD04BD9">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noWrap w:val="0"/>
            <w:vAlign w:val="center"/>
          </w:tcPr>
          <w:p w14:paraId="2883667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采购</w:t>
            </w:r>
            <w:r>
              <w:rPr>
                <w:rFonts w:hint="eastAsia"/>
                <w:color w:val="auto"/>
                <w:highlight w:val="none"/>
              </w:rPr>
              <w:t>代理服务费</w:t>
            </w:r>
          </w:p>
        </w:tc>
        <w:tc>
          <w:tcPr>
            <w:tcW w:w="7249" w:type="dxa"/>
            <w:tcBorders>
              <w:tl2br w:val="nil"/>
              <w:tr2bl w:val="nil"/>
            </w:tcBorders>
            <w:noWrap w:val="0"/>
            <w:vAlign w:val="center"/>
          </w:tcPr>
          <w:p w14:paraId="4F1BCF22">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1、代理报酬的计算方法：国家计委关于《招标代理服务收费管理暂行办法》</w:t>
            </w:r>
            <w:r>
              <w:rPr>
                <w:rFonts w:hint="eastAsia"/>
                <w:b/>
                <w:bCs/>
                <w:color w:val="auto"/>
                <w:highlight w:val="none"/>
              </w:rPr>
              <w:t>（计价格[2002]1980号）</w:t>
            </w:r>
            <w:r>
              <w:rPr>
                <w:rFonts w:hint="eastAsia"/>
                <w:color w:val="auto"/>
                <w:highlight w:val="none"/>
              </w:rPr>
              <w:t>和国家发改价格【2011】534号文件“规定的服务费取费按标准收取。</w:t>
            </w:r>
          </w:p>
          <w:p w14:paraId="6349AF2C">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2、代理报酬支付方式：由中标人支付。</w:t>
            </w:r>
          </w:p>
          <w:p w14:paraId="6D41A2B5">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noWrap w:val="0"/>
            <w:vAlign w:val="center"/>
          </w:tcPr>
          <w:p w14:paraId="66E5F37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noWrap w:val="0"/>
            <w:vAlign w:val="center"/>
          </w:tcPr>
          <w:p w14:paraId="5B25876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noWrap w:val="0"/>
            <w:vAlign w:val="center"/>
          </w:tcPr>
          <w:p w14:paraId="7857D726">
            <w:pPr>
              <w:keepNext w:val="0"/>
              <w:keepLines w:val="0"/>
              <w:pageBreakBefore w:val="0"/>
              <w:widowControl/>
              <w:suppressLineNumbers w:val="0"/>
              <w:kinsoku/>
              <w:wordWrap/>
              <w:topLinePunct w:val="0"/>
              <w:bidi w:val="0"/>
              <w:spacing w:before="0" w:beforeAutospacing="0" w:after="0" w:afterAutospacing="0" w:line="50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CADAC2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noWrap w:val="0"/>
            <w:vAlign w:val="center"/>
          </w:tcPr>
          <w:p w14:paraId="0DEDA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noWrap w:val="0"/>
            <w:vAlign w:val="center"/>
          </w:tcPr>
          <w:p w14:paraId="61D1933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rPr>
              <w:t>租赁和商务服务业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14F088F">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noWrap w:val="0"/>
            <w:vAlign w:val="center"/>
          </w:tcPr>
          <w:p w14:paraId="50D97B46">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noWrap w:val="0"/>
            <w:vAlign w:val="center"/>
          </w:tcPr>
          <w:p w14:paraId="131F798A">
            <w:pPr>
              <w:pStyle w:val="106"/>
              <w:keepNext w:val="0"/>
              <w:keepLines w:val="0"/>
              <w:pageBreakBefore w:val="0"/>
              <w:suppressLineNumbers w:val="0"/>
              <w:kinsoku/>
              <w:wordWrap/>
              <w:topLinePunct w:val="0"/>
              <w:bidi w:val="0"/>
              <w:spacing w:before="0" w:beforeAutospacing="0" w:after="0" w:afterAutospacing="0" w:line="50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0FAB55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noWrap w:val="0"/>
            <w:vAlign w:val="center"/>
          </w:tcPr>
          <w:p w14:paraId="69AAECC7">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noWrap w:val="0"/>
            <w:vAlign w:val="center"/>
          </w:tcPr>
          <w:p w14:paraId="6F3DDA8C">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E4E515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noWrap w:val="0"/>
            <w:vAlign w:val="center"/>
          </w:tcPr>
          <w:p w14:paraId="23D4B390">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noWrap w:val="0"/>
            <w:vAlign w:val="center"/>
          </w:tcPr>
          <w:p w14:paraId="224CDA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color w:val="auto"/>
          <w:sz w:val="28"/>
          <w:szCs w:val="28"/>
          <w:highlight w:val="none"/>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color w:val="auto"/>
          <w:sz w:val="28"/>
          <w:szCs w:val="28"/>
          <w:highlight w:val="none"/>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小微企业价格评审优惠的政策调整：见第三章《评审方法和评审标准》</w:t>
      </w:r>
      <w:bookmarkStart w:id="16" w:name="_GoBack"/>
      <w:bookmarkEnd w:id="16"/>
      <w:r>
        <w:rPr>
          <w:rFonts w:hint="eastAsia" w:ascii="宋体" w:hAnsi="宋体" w:eastAsia="宋体" w:cs="宋体"/>
          <w:color w:val="auto"/>
          <w:sz w:val="24"/>
          <w:szCs w:val="24"/>
          <w:highlight w:val="none"/>
        </w:rPr>
        <w:t>。</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供应商的报价应包括为完成本项目所发生的一切费用和税费，采购人将不再支付报价以外的任何费用。供应商的报价应包括但不限于下列内容，《</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响应文件应在本竞争性磋商文件《</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本项目解密使用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》。成交候选人并列的，按照《</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采购人或采购代理机构将在成交供应商确定后2个工作日内，在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采购人允许采用分包方式履行合同的，成交供应商可以依法采取分包方式履行合同。本项目是否允许分包，见《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供应商对政府采购活动事项有疑问的，可依法提出询问，并按《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供应商应在法定质疑期内一次性提出针对同一采购程序环节的质疑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4"/>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《资格审查要求》见下表：</w:t>
      </w:r>
    </w:p>
    <w:p w14:paraId="6D639C0A">
      <w:pPr>
        <w:pStyle w:val="14"/>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noWrap w:val="0"/>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noWrap w:val="0"/>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noWrap w:val="0"/>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noWrap w:val="0"/>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noWrap w:val="0"/>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noWrap w:val="0"/>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noWrap w:val="0"/>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noWrap w:val="0"/>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noWrap w:val="0"/>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noWrap w:val="0"/>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noWrap w:val="0"/>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81" w:type="dxa"/>
            <w:tcBorders>
              <w:tl2br w:val="nil"/>
              <w:tr2bl w:val="nil"/>
            </w:tcBorders>
            <w:noWrap w:val="0"/>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noWrap w:val="0"/>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noWrap w:val="0"/>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noWrap w:val="0"/>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noWrap w:val="0"/>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noWrap w:val="0"/>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noWrap w:val="0"/>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noWrap w:val="0"/>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noWrap w:val="0"/>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noWrap w:val="0"/>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noWrap w:val="0"/>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noWrap w:val="0"/>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noWrap w:val="0"/>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noWrap w:val="0"/>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noWrap w:val="0"/>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noWrap w:val="0"/>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noWrap w:val="0"/>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noWrap w:val="0"/>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noWrap w:val="0"/>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noWrap w:val="0"/>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noWrap w:val="0"/>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noWrap w:val="0"/>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noWrap w:val="0"/>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noWrap w:val="0"/>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noWrap w:val="0"/>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noWrap w:val="0"/>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noWrap w:val="0"/>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noWrap w:val="0"/>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noWrap w:val="0"/>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noWrap w:val="0"/>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noWrap w:val="0"/>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noWrap w:val="0"/>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noWrap w:val="0"/>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noWrap w:val="0"/>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8857" w:type="dxa"/>
            <w:gridSpan w:val="3"/>
            <w:tcBorders>
              <w:tl2br w:val="nil"/>
              <w:tr2bl w:val="nil"/>
            </w:tcBorders>
            <w:noWrap w:val="0"/>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noWrap w:val="0"/>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noWrap w:val="0"/>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noWrap w:val="0"/>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7"/>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noWrap w:val="0"/>
            <w:vAlign w:val="center"/>
          </w:tcPr>
          <w:p w14:paraId="16623C07">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noWrap w:val="0"/>
            <w:vAlign w:val="center"/>
          </w:tcPr>
          <w:p w14:paraId="659F02DE">
            <w:pPr>
              <w:keepNext w:val="0"/>
              <w:keepLines w:val="0"/>
              <w:widowControl/>
              <w:suppressLineNumbers w:val="0"/>
              <w:spacing w:before="0" w:beforeAutospacing="0" w:after="0" w:afterAutospacing="0" w:line="360" w:lineRule="auto"/>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noWrap w:val="0"/>
            <w:vAlign w:val="center"/>
          </w:tcPr>
          <w:p w14:paraId="1A3ADF9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61" w:type="dxa"/>
            <w:tcBorders>
              <w:tl2br w:val="nil"/>
              <w:tr2bl w:val="nil"/>
            </w:tcBorders>
            <w:noWrap w:val="0"/>
            <w:vAlign w:val="center"/>
          </w:tcPr>
          <w:p w14:paraId="7E1D5C24">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noWrap w:val="0"/>
            <w:vAlign w:val="center"/>
          </w:tcPr>
          <w:p w14:paraId="42FDDC10">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noWrap w:val="0"/>
            <w:vAlign w:val="center"/>
          </w:tcPr>
          <w:p w14:paraId="41F83909">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noWrap w:val="0"/>
            <w:vAlign w:val="center"/>
          </w:tcPr>
          <w:p w14:paraId="51CE3A95">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304D9C4A">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noWrap w:val="0"/>
            <w:vAlign w:val="center"/>
          </w:tcPr>
          <w:p w14:paraId="4F701B26">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投标函有单位盖章及法定代表人或法定代表人授权的代理人签字或盖章的；</w:t>
            </w:r>
          </w:p>
        </w:tc>
        <w:tc>
          <w:tcPr>
            <w:tcW w:w="461" w:type="dxa"/>
            <w:tcBorders>
              <w:tl2br w:val="nil"/>
              <w:tr2bl w:val="nil"/>
            </w:tcBorders>
            <w:noWrap w:val="0"/>
            <w:vAlign w:val="center"/>
          </w:tcPr>
          <w:p w14:paraId="3B4308C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5E734F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4CF764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3038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141F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50" w:hRule="atLeast"/>
          <w:jc w:val="center"/>
        </w:trPr>
        <w:tc>
          <w:tcPr>
            <w:tcW w:w="802" w:type="dxa"/>
            <w:tcBorders>
              <w:tl2br w:val="nil"/>
              <w:tr2bl w:val="nil"/>
            </w:tcBorders>
            <w:noWrap w:val="0"/>
            <w:vAlign w:val="center"/>
          </w:tcPr>
          <w:p w14:paraId="50233AE5">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2</w:t>
            </w:r>
          </w:p>
        </w:tc>
        <w:tc>
          <w:tcPr>
            <w:tcW w:w="7730" w:type="dxa"/>
            <w:tcBorders>
              <w:tl2br w:val="nil"/>
              <w:tr2bl w:val="nil"/>
            </w:tcBorders>
            <w:noWrap w:val="0"/>
            <w:vAlign w:val="center"/>
          </w:tcPr>
          <w:p w14:paraId="76918042">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法定代表人身份证明书必须按竞争性磋商文件规定格式完整提供，并要盖投标人章。</w:t>
            </w:r>
          </w:p>
        </w:tc>
        <w:tc>
          <w:tcPr>
            <w:tcW w:w="461" w:type="dxa"/>
            <w:tcBorders>
              <w:tl2br w:val="nil"/>
              <w:tr2bl w:val="nil"/>
            </w:tcBorders>
            <w:noWrap w:val="0"/>
            <w:vAlign w:val="center"/>
          </w:tcPr>
          <w:p w14:paraId="68352D4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9A3216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600DDA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B64ECC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3157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60A33BA3">
            <w:pPr>
              <w:keepNext w:val="0"/>
              <w:keepLines w:val="0"/>
              <w:widowControl/>
              <w:suppressLineNumbers w:val="0"/>
              <w:spacing w:before="0" w:beforeAutospacing="0" w:after="0" w:afterAutospacing="0" w:line="360" w:lineRule="auto"/>
              <w:ind w:left="0" w:right="0"/>
              <w:jc w:val="center"/>
              <w:textAlignment w:val="center"/>
              <w:rPr>
                <w:rFonts w:hint="eastAsia" w:eastAsia="宋体"/>
                <w:color w:val="auto"/>
                <w:highlight w:val="none"/>
                <w:lang w:val="en-US" w:eastAsia="zh-CN"/>
              </w:rPr>
            </w:pPr>
            <w:r>
              <w:rPr>
                <w:rFonts w:hint="eastAsia"/>
                <w:color w:val="auto"/>
                <w:highlight w:val="none"/>
                <w:lang w:val="en-US" w:eastAsia="zh-CN"/>
              </w:rPr>
              <w:t>3</w:t>
            </w:r>
          </w:p>
        </w:tc>
        <w:tc>
          <w:tcPr>
            <w:tcW w:w="7730" w:type="dxa"/>
            <w:tcBorders>
              <w:tl2br w:val="nil"/>
              <w:tr2bl w:val="nil"/>
            </w:tcBorders>
            <w:noWrap w:val="0"/>
            <w:vAlign w:val="center"/>
          </w:tcPr>
          <w:p w14:paraId="35270F3C">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法定代表人授权委托书必须按竞争性磋商文件规定格式完整提供，并要盖投标人章、法定代表人章。</w:t>
            </w:r>
          </w:p>
        </w:tc>
        <w:tc>
          <w:tcPr>
            <w:tcW w:w="461" w:type="dxa"/>
            <w:tcBorders>
              <w:tl2br w:val="nil"/>
              <w:tr2bl w:val="nil"/>
            </w:tcBorders>
            <w:noWrap w:val="0"/>
            <w:vAlign w:val="center"/>
          </w:tcPr>
          <w:p w14:paraId="48A67F6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5486B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58FE4E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5ED39E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014DECA">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4</w:t>
            </w:r>
          </w:p>
        </w:tc>
        <w:tc>
          <w:tcPr>
            <w:tcW w:w="7730" w:type="dxa"/>
            <w:tcBorders>
              <w:tl2br w:val="nil"/>
              <w:tr2bl w:val="nil"/>
            </w:tcBorders>
            <w:noWrap w:val="0"/>
            <w:vAlign w:val="center"/>
          </w:tcPr>
          <w:p w14:paraId="5AAD1B6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noWrap w:val="0"/>
            <w:vAlign w:val="center"/>
          </w:tcPr>
          <w:p w14:paraId="71D125D8">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166A93D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B604C4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DD5907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AD2331B">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5</w:t>
            </w:r>
          </w:p>
        </w:tc>
        <w:tc>
          <w:tcPr>
            <w:tcW w:w="7730" w:type="dxa"/>
            <w:tcBorders>
              <w:tl2br w:val="nil"/>
              <w:tr2bl w:val="nil"/>
            </w:tcBorders>
            <w:noWrap w:val="0"/>
            <w:vAlign w:val="center"/>
          </w:tcPr>
          <w:p w14:paraId="6AA1F97C">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noWrap w:val="0"/>
            <w:vAlign w:val="center"/>
          </w:tcPr>
          <w:p w14:paraId="70795C3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D86483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25370F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3B77877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0DA8C625">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6</w:t>
            </w:r>
          </w:p>
        </w:tc>
        <w:tc>
          <w:tcPr>
            <w:tcW w:w="7730" w:type="dxa"/>
            <w:tcBorders>
              <w:tl2br w:val="nil"/>
              <w:tr2bl w:val="nil"/>
            </w:tcBorders>
            <w:noWrap w:val="0"/>
            <w:vAlign w:val="center"/>
          </w:tcPr>
          <w:p w14:paraId="7624837B">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noWrap w:val="0"/>
            <w:vAlign w:val="center"/>
          </w:tcPr>
          <w:p w14:paraId="3F9ED94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62716B2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11B9BC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1FCA4D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noWrap w:val="0"/>
            <w:vAlign w:val="center"/>
          </w:tcPr>
          <w:p w14:paraId="693FF536">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7</w:t>
            </w:r>
          </w:p>
        </w:tc>
        <w:tc>
          <w:tcPr>
            <w:tcW w:w="7730" w:type="dxa"/>
            <w:tcBorders>
              <w:tl2br w:val="nil"/>
              <w:tr2bl w:val="nil"/>
            </w:tcBorders>
            <w:noWrap w:val="0"/>
            <w:vAlign w:val="center"/>
          </w:tcPr>
          <w:p w14:paraId="38583203">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noWrap w:val="0"/>
            <w:vAlign w:val="center"/>
          </w:tcPr>
          <w:p w14:paraId="1DC4993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2F9CE40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A517D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41077B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531C66A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8</w:t>
            </w:r>
          </w:p>
        </w:tc>
        <w:tc>
          <w:tcPr>
            <w:tcW w:w="7730" w:type="dxa"/>
            <w:tcBorders>
              <w:tl2br w:val="nil"/>
              <w:tr2bl w:val="nil"/>
            </w:tcBorders>
            <w:noWrap w:val="0"/>
            <w:vAlign w:val="center"/>
          </w:tcPr>
          <w:p w14:paraId="075ADA7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noWrap w:val="0"/>
            <w:vAlign w:val="center"/>
          </w:tcPr>
          <w:p w14:paraId="077A545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0C01B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44E2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1EF65D7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noWrap w:val="0"/>
            <w:vAlign w:val="center"/>
          </w:tcPr>
          <w:p w14:paraId="2DACBADE">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noWrap w:val="0"/>
            <w:vAlign w:val="center"/>
          </w:tcPr>
          <w:p w14:paraId="3624E65A">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8CEC76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2B49B593">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CA5622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7" w:hRule="atLeast"/>
          <w:jc w:val="center"/>
        </w:trPr>
        <w:tc>
          <w:tcPr>
            <w:tcW w:w="8532" w:type="dxa"/>
            <w:gridSpan w:val="2"/>
            <w:tcBorders>
              <w:tl2br w:val="nil"/>
              <w:tr2bl w:val="nil"/>
            </w:tcBorders>
            <w:noWrap w:val="0"/>
            <w:vAlign w:val="center"/>
          </w:tcPr>
          <w:p w14:paraId="0EA7CC1F">
            <w:pPr>
              <w:keepNext w:val="0"/>
              <w:keepLines w:val="0"/>
              <w:widowControl/>
              <w:suppressLineNumbers w:val="0"/>
              <w:spacing w:before="0" w:beforeAutospacing="0" w:after="0" w:afterAutospacing="0" w:line="360" w:lineRule="auto"/>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noWrap w:val="0"/>
            <w:vAlign w:val="center"/>
          </w:tcPr>
          <w:p w14:paraId="3C60C07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3027C3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0557127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5E6458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3"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其他为落实政府采购政策实施的优先采购：</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磋商小组根据上述供应商排序，依次推荐排序前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二、评审标准</w:t>
      </w:r>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276"/>
        <w:gridCol w:w="745"/>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3" w:type="dxa"/>
            <w:tcBorders>
              <w:tl2br w:val="nil"/>
              <w:tr2bl w:val="nil"/>
            </w:tcBorders>
            <w:noWrap w:val="0"/>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评审项目</w:t>
            </w:r>
          </w:p>
        </w:tc>
        <w:tc>
          <w:tcPr>
            <w:tcW w:w="7276" w:type="dxa"/>
            <w:tcBorders>
              <w:tl2br w:val="nil"/>
              <w:tr2bl w:val="nil"/>
            </w:tcBorders>
            <w:noWrap w:val="0"/>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745" w:type="dxa"/>
            <w:tcBorders>
              <w:tl2br w:val="nil"/>
              <w:tr2bl w:val="nil"/>
            </w:tcBorders>
            <w:noWrap w:val="0"/>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noWrap w:val="0"/>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noWrap w:val="0"/>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3" w:type="dxa"/>
            <w:tcBorders>
              <w:tl2br w:val="nil"/>
              <w:tr2bl w:val="nil"/>
            </w:tcBorders>
            <w:noWrap w:val="0"/>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师资力量配备</w:t>
            </w:r>
          </w:p>
        </w:tc>
        <w:tc>
          <w:tcPr>
            <w:tcW w:w="7276" w:type="dxa"/>
            <w:tcBorders>
              <w:tl2br w:val="nil"/>
              <w:tr2bl w:val="nil"/>
            </w:tcBorders>
            <w:noWrap w:val="0"/>
            <w:vAlign w:val="center"/>
          </w:tcPr>
          <w:p w14:paraId="04A05C60">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1、投标人成立课程开发和项目管理小组，具有专职管理团队;</w:t>
            </w:r>
          </w:p>
          <w:p w14:paraId="46E9428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2、管理团队内部职责分工明确配备班主任，负责全程项目实施、现场服务、考勤管理、授课质量评价及教学支持，协助宣传、活动策划等工作；</w:t>
            </w:r>
          </w:p>
          <w:p w14:paraId="560790D5">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3、详细介绍拟投入本项目的培训师资队伍，包括在职专家学者、教学名师、特级教师人数及各培训老师的知识水平、教学能力、既往培训经历、职称证明等并提供相应证明材料；</w:t>
            </w:r>
          </w:p>
          <w:p w14:paraId="38BF1885">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4、授课团队机制建全，培训老师经验丰富，知识水平高，研学交流能力强。</w:t>
            </w:r>
          </w:p>
          <w:p w14:paraId="7CA9186C">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培训团队、培训授课团队完全符合要求，得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745" w:type="dxa"/>
            <w:tcBorders>
              <w:tl2br w:val="nil"/>
              <w:tr2bl w:val="nil"/>
            </w:tcBorders>
            <w:noWrap w:val="0"/>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91" w:type="dxa"/>
            <w:tcBorders>
              <w:tl2br w:val="nil"/>
              <w:tr2bl w:val="nil"/>
            </w:tcBorders>
            <w:noWrap w:val="0"/>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963" w:type="dxa"/>
            <w:tcBorders>
              <w:tl2br w:val="nil"/>
              <w:tr2bl w:val="nil"/>
            </w:tcBorders>
            <w:shd w:val="clear" w:color="auto" w:fill="auto"/>
            <w:noWrap w:val="0"/>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（类似业绩）</w:t>
            </w:r>
          </w:p>
        </w:tc>
        <w:tc>
          <w:tcPr>
            <w:tcW w:w="7276" w:type="dxa"/>
            <w:tcBorders>
              <w:tl2br w:val="nil"/>
              <w:tr2bl w:val="nil"/>
            </w:tcBorders>
            <w:shd w:val="clear" w:color="auto" w:fill="auto"/>
            <w:noWrap w:val="0"/>
            <w:vAlign w:val="center"/>
          </w:tcPr>
          <w:p w14:paraId="52CF561A">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投标人提供承担过类似项目业绩，每个业绩得2分，满分10分(提供加盖公章的中标通知书或合同或协议复印件或省级以上教育行政部下发的承训文件)。</w:t>
            </w:r>
          </w:p>
        </w:tc>
        <w:tc>
          <w:tcPr>
            <w:tcW w:w="745" w:type="dxa"/>
            <w:tcBorders>
              <w:tl2br w:val="nil"/>
              <w:tr2bl w:val="nil"/>
            </w:tcBorders>
            <w:shd w:val="clear" w:color="auto" w:fill="auto"/>
            <w:noWrap w:val="0"/>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75" w:type="dxa"/>
            <w:gridSpan w:val="4"/>
            <w:tcBorders>
              <w:tl2br w:val="nil"/>
              <w:tr2bl w:val="nil"/>
            </w:tcBorders>
            <w:noWrap w:val="0"/>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791" w:type="dxa"/>
            <w:tcBorders>
              <w:tl2br w:val="nil"/>
              <w:tr2bl w:val="nil"/>
            </w:tcBorders>
            <w:noWrap w:val="0"/>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3" w:type="dxa"/>
            <w:tcBorders>
              <w:tl2br w:val="nil"/>
              <w:tr2bl w:val="nil"/>
            </w:tcBorders>
            <w:noWrap w:val="0"/>
            <w:vAlign w:val="center"/>
          </w:tcPr>
          <w:p w14:paraId="138B17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w:t>
            </w:r>
          </w:p>
        </w:tc>
        <w:tc>
          <w:tcPr>
            <w:tcW w:w="7276" w:type="dxa"/>
            <w:tcBorders>
              <w:tl2br w:val="nil"/>
              <w:tr2bl w:val="nil"/>
            </w:tcBorders>
            <w:noWrap w:val="0"/>
            <w:vAlign w:val="center"/>
          </w:tcPr>
          <w:p w14:paraId="01F178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投标人针对本项目制定培训实施方案，方案应列明培训目标、培训内容、培训方式、考核评价、保障机制等。由评委会赋分：</w:t>
            </w:r>
          </w:p>
          <w:p w14:paraId="18127E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思路清晰，目标定位符合项目要求并有培训项目需求的考核评价制度及任务，涵盖内容全面，完全符合本项目采购需求，计15分；实施方案有缺项，每有一项缺项或漏项扣4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noWrap w:val="0"/>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3" w:type="dxa"/>
            <w:tcBorders>
              <w:tl2br w:val="nil"/>
              <w:tr2bl w:val="nil"/>
            </w:tcBorders>
            <w:noWrap w:val="0"/>
            <w:vAlign w:val="center"/>
          </w:tcPr>
          <w:p w14:paraId="22DACC4C">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6"/>
                <w:position w:val="7"/>
                <w:sz w:val="24"/>
                <w:szCs w:val="24"/>
                <w:highlight w:val="none"/>
                <w:lang w:val="en-US" w:eastAsia="zh-CN"/>
              </w:rPr>
              <w:t>管理</w:t>
            </w:r>
            <w:r>
              <w:rPr>
                <w:rFonts w:hint="eastAsia" w:asciiTheme="minorEastAsia" w:hAnsiTheme="minorEastAsia" w:eastAsiaTheme="minorEastAsia" w:cstheme="minorEastAsia"/>
                <w:color w:val="auto"/>
                <w:spacing w:val="6"/>
                <w:position w:val="7"/>
                <w:sz w:val="24"/>
                <w:szCs w:val="24"/>
                <w:highlight w:val="none"/>
              </w:rPr>
              <w:t>服务</w:t>
            </w:r>
            <w:r>
              <w:rPr>
                <w:rFonts w:hint="eastAsia" w:asciiTheme="minorEastAsia" w:hAnsiTheme="minorEastAsia" w:eastAsiaTheme="minorEastAsia" w:cstheme="minorEastAsia"/>
                <w:color w:val="auto"/>
                <w:spacing w:val="6"/>
                <w:position w:val="7"/>
                <w:sz w:val="24"/>
                <w:szCs w:val="24"/>
                <w:highlight w:val="none"/>
                <w:lang w:val="en-US" w:eastAsia="zh-CN"/>
              </w:rPr>
              <w:t>条件</w:t>
            </w:r>
          </w:p>
        </w:tc>
        <w:tc>
          <w:tcPr>
            <w:tcW w:w="7276" w:type="dxa"/>
            <w:tcBorders>
              <w:tl2br w:val="nil"/>
              <w:tr2bl w:val="nil"/>
            </w:tcBorders>
            <w:shd w:val="clear" w:color="auto" w:fill="auto"/>
            <w:noWrap w:val="0"/>
            <w:vAlign w:val="center"/>
          </w:tcPr>
          <w:p w14:paraId="2051A28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1、有完善的管理制度完成培训项目全流程服务和质量管控；</w:t>
            </w:r>
          </w:p>
          <w:p w14:paraId="17DE39C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2、具备完善的培训组织实施管理制度，管理制度详细可行，针对性强；</w:t>
            </w:r>
          </w:p>
          <w:p w14:paraId="4ED3CB4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此项满分8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noWrap w:val="0"/>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3" w:type="dxa"/>
            <w:tcBorders>
              <w:tl2br w:val="nil"/>
              <w:tr2bl w:val="nil"/>
            </w:tcBorders>
            <w:noWrap w:val="0"/>
            <w:vAlign w:val="center"/>
          </w:tcPr>
          <w:p w14:paraId="429970E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课程</w:t>
            </w:r>
            <w:r>
              <w:rPr>
                <w:rFonts w:hint="eastAsia" w:asciiTheme="minorEastAsia" w:hAnsiTheme="minorEastAsia" w:eastAsiaTheme="minorEastAsia" w:cstheme="minorEastAsia"/>
                <w:color w:val="auto"/>
                <w:spacing w:val="3"/>
                <w:sz w:val="24"/>
                <w:szCs w:val="24"/>
                <w:highlight w:val="none"/>
              </w:rPr>
              <w:t>设置</w:t>
            </w:r>
          </w:p>
        </w:tc>
        <w:tc>
          <w:tcPr>
            <w:tcW w:w="7276" w:type="dxa"/>
            <w:tcBorders>
              <w:tl2br w:val="nil"/>
              <w:tr2bl w:val="nil"/>
            </w:tcBorders>
            <w:shd w:val="clear" w:color="auto" w:fill="auto"/>
            <w:noWrap w:val="0"/>
            <w:vAlign w:val="center"/>
          </w:tcPr>
          <w:p w14:paraId="258E9D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1、课程体系设置紧密围绕培训主题，课程体系设置与本次活动主旨匹配程度高，内容丰富；</w:t>
            </w:r>
          </w:p>
          <w:p w14:paraId="3B218AF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2、理论课程与实践课程相结合，其中实践课程不少于50%。（须提供承诺书并在课表中对实践性课程进行标注）</w:t>
            </w:r>
          </w:p>
          <w:p w14:paraId="396389B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3、安排有丰富培训实践经验的国内高校知名专家学者、教学名师和一线正高级特级教师及其他专家结合本次培养目标需求进行培训；</w:t>
            </w:r>
          </w:p>
          <w:p w14:paraId="6AA1236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4、课程设计不限于学习课程安排、编写材料、现场观摩、辅导答疑、研习交流等。</w:t>
            </w:r>
          </w:p>
          <w:p w14:paraId="5B74FED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noWrap w:val="0"/>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3" w:type="dxa"/>
            <w:tcBorders>
              <w:tl2br w:val="nil"/>
              <w:tr2bl w:val="nil"/>
            </w:tcBorders>
            <w:noWrap w:val="0"/>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pacing w:val="9"/>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bidi="ar-SA"/>
              </w:rPr>
              <w:t>应急预案</w:t>
            </w:r>
          </w:p>
        </w:tc>
        <w:tc>
          <w:tcPr>
            <w:tcW w:w="7276" w:type="dxa"/>
            <w:tcBorders>
              <w:tl2br w:val="nil"/>
              <w:tr2bl w:val="nil"/>
            </w:tcBorders>
            <w:shd w:val="clear" w:color="auto" w:fill="auto"/>
            <w:noWrap w:val="0"/>
            <w:vAlign w:val="center"/>
          </w:tcPr>
          <w:p w14:paraId="082294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bidi="ar-SA"/>
              </w:rPr>
              <w:t>根据项目实施过程中可能出现的突发情况和风险，制定相应应急预案及处置措施。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745" w:type="dxa"/>
            <w:tcBorders>
              <w:tl2br w:val="nil"/>
              <w:tr2bl w:val="nil"/>
            </w:tcBorders>
            <w:noWrap w:val="0"/>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bl>
    <w:p w14:paraId="1AA5C8D0">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7"/>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noWrap w:val="0"/>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noWrap w:val="0"/>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noWrap w:val="0"/>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noWrap w:val="0"/>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noWrap w:val="0"/>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noWrap w:val="0"/>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noWrap w:val="0"/>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noWrap w:val="0"/>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3984CC7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rPr>
        <w:t>第四章</w:t>
      </w: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tbl>
      <w:tblPr>
        <w:tblStyle w:val="1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4289"/>
        <w:gridCol w:w="1411"/>
        <w:gridCol w:w="2543"/>
      </w:tblGrid>
      <w:tr w14:paraId="5C88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vAlign w:val="center"/>
          </w:tcPr>
          <w:p w14:paraId="5D89233E">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序号</w:t>
            </w:r>
          </w:p>
        </w:tc>
        <w:tc>
          <w:tcPr>
            <w:tcW w:w="4289" w:type="dxa"/>
            <w:vAlign w:val="center"/>
          </w:tcPr>
          <w:p w14:paraId="491DD4B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名称</w:t>
            </w:r>
          </w:p>
        </w:tc>
        <w:tc>
          <w:tcPr>
            <w:tcW w:w="1411" w:type="dxa"/>
            <w:vAlign w:val="center"/>
          </w:tcPr>
          <w:p w14:paraId="7BDFDC0B">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数量</w:t>
            </w:r>
          </w:p>
        </w:tc>
        <w:tc>
          <w:tcPr>
            <w:tcW w:w="2543" w:type="dxa"/>
            <w:vAlign w:val="center"/>
          </w:tcPr>
          <w:p w14:paraId="4EE7EA4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备注</w:t>
            </w:r>
            <w:r>
              <w:rPr>
                <w:rFonts w:hint="eastAsia" w:ascii="宋体" w:hAnsi="宋体" w:eastAsia="宋体" w:cs="Times New Roman"/>
                <w:color w:val="auto"/>
                <w:sz w:val="28"/>
                <w:szCs w:val="28"/>
                <w:highlight w:val="none"/>
              </w:rPr>
              <w:t>（可选）</w:t>
            </w:r>
          </w:p>
        </w:tc>
      </w:tr>
      <w:tr w14:paraId="5197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895" w:type="dxa"/>
            <w:vAlign w:val="center"/>
          </w:tcPr>
          <w:p w14:paraId="6A10CD69">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w:t>
            </w:r>
          </w:p>
        </w:tc>
        <w:tc>
          <w:tcPr>
            <w:tcW w:w="4289" w:type="dxa"/>
            <w:vAlign w:val="center"/>
          </w:tcPr>
          <w:p w14:paraId="7436A20C">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u w:val="none"/>
                <w:lang w:val="en-US" w:eastAsia="zh-CN"/>
              </w:rPr>
              <w:t>“国培计划”——基于教师数字素养提升和数字化赋能教学质量提升的示范校培育项目入校指导和成果孵化研修（片区一）</w:t>
            </w:r>
          </w:p>
        </w:tc>
        <w:tc>
          <w:tcPr>
            <w:tcW w:w="1411" w:type="dxa"/>
            <w:vAlign w:val="center"/>
          </w:tcPr>
          <w:p w14:paraId="43A99AEF">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lang w:val="en-US" w:eastAsia="zh-CN"/>
              </w:rPr>
            </w:pPr>
            <w:r>
              <w:rPr>
                <w:rFonts w:hint="default" w:ascii="宋体" w:hAnsi="宋体" w:eastAsia="宋体" w:cs="Times New Roman"/>
                <w:color w:val="auto"/>
                <w:sz w:val="28"/>
                <w:szCs w:val="28"/>
                <w:highlight w:val="none"/>
                <w:lang w:val="en-US" w:eastAsia="zh-CN"/>
              </w:rPr>
              <w:t>6所试点学校</w:t>
            </w:r>
          </w:p>
        </w:tc>
        <w:tc>
          <w:tcPr>
            <w:tcW w:w="2543" w:type="dxa"/>
            <w:vAlign w:val="center"/>
          </w:tcPr>
          <w:p w14:paraId="3EF93855">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p>
        </w:tc>
      </w:tr>
    </w:tbl>
    <w:p w14:paraId="5F8FE545">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培训对象：“国培计划”——基于教师数字素养提升和数字化赋能教学质量提升的示范校培育项目试点学校乌鲁木齐市第五十中学、乌鲁木齐市第113中学、哈密市第十六中学、克拉玛依市独山子第三中学、阜康市第一小学、吐鲁番市高昌区第一中学主要教学学科骨干教师</w:t>
      </w:r>
      <w:r>
        <w:rPr>
          <w:rFonts w:hint="eastAsia" w:ascii="宋体" w:hAnsi="宋体" w:eastAsia="宋体" w:cs="Times New Roman"/>
          <w:color w:val="auto"/>
          <w:kern w:val="2"/>
          <w:sz w:val="28"/>
          <w:szCs w:val="28"/>
          <w:highlight w:val="none"/>
          <w:lang w:val="en-US" w:eastAsia="zh-CN" w:bidi="ar-SA"/>
        </w:rPr>
        <w:t>（校本研修指导团队），每所学校50人</w:t>
      </w:r>
      <w:r>
        <w:rPr>
          <w:rFonts w:hint="eastAsia" w:ascii="宋体" w:hAnsi="宋体" w:eastAsia="宋体" w:cs="Times New Roman"/>
          <w:color w:val="auto"/>
          <w:sz w:val="28"/>
          <w:szCs w:val="28"/>
          <w:highlight w:val="none"/>
          <w:lang w:val="en-US" w:eastAsia="zh-CN"/>
        </w:rPr>
        <w:t>。</w:t>
      </w:r>
    </w:p>
    <w:p w14:paraId="75268DB0">
      <w:pPr>
        <w:pStyle w:val="2"/>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培训目标：提升试点学校学科骨干教师（校本研修指导团队）校本研修设计实施能力；构建形成技术支持的校本研修流程、工具和路径，常态化提升教师数字素养；萃取凝练数智支持的校本研修成果，形成可复制、可推广的实践成果。</w:t>
      </w:r>
    </w:p>
    <w:p w14:paraId="4014E503">
      <w:pPr>
        <w:pStyle w:val="2"/>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3）培训内容：聚焦试点学校学科骨干教师（校本研修指导团队）集体备课与成果应用、教研流程与工具开发、成果打磨与凝练、成果展示与指导开展专题辅导、研讨交流、经验萃取、成果打磨等专题研修活动。</w:t>
      </w:r>
    </w:p>
    <w:p w14:paraId="567D06D3">
      <w:pPr>
        <w:pStyle w:val="2"/>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（4）培训方式：以入校指导、在线指导等方式面向每所试点学校开展不少于3天的专题研修活动，其中入校指导不少于2天。</w:t>
      </w:r>
    </w:p>
    <w:p w14:paraId="337387A6">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5</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实施要求：</w:t>
      </w:r>
    </w:p>
    <w:p w14:paraId="3CD776F8">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a.课程设置：理论课程与实践课程相结合，其中实践课程不少于50%。</w:t>
      </w:r>
    </w:p>
    <w:p w14:paraId="4C78BD88">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5人（提供证明材料和人员信息列表，格式自拟）；培训经验丰富，培训效果突出，承担过省、市（地州）级以上教师培训任务，纳入教育部“国培计划”专家库的专家优先。</w:t>
      </w:r>
    </w:p>
    <w:p w14:paraId="24009B6D">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c.管理团队:管理团队配置合理，人员构成科学、专业性强、团队经验丰富，管理团队人数不少于5人，且拟投入本项目的具有副高级以上职称的自有管理团队人数不少于2人（提供证明材料和人员信息列表，格式自拟）。</w:t>
      </w:r>
    </w:p>
    <w:p w14:paraId="3B51B8B5">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6</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保障机制：</w:t>
      </w:r>
    </w:p>
    <w:p w14:paraId="3EEBEE4F">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保障。</w:t>
      </w:r>
    </w:p>
    <w:p w14:paraId="698AA3D8">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（7）培训经费：</w:t>
      </w:r>
    </w:p>
    <w:p w14:paraId="670E6052">
      <w:pPr>
        <w:spacing w:line="500" w:lineRule="exact"/>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中标单位自行联系培训场地、聘请授课教师、落实授课教师住宿就餐等事宜，涉及相关费用中标单位支付。涉及个人事项的支出由本人自理。</w:t>
      </w:r>
    </w:p>
    <w:p w14:paraId="0472FE0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24"/>
          <w:szCs w:val="24"/>
          <w:highlight w:val="none"/>
        </w:rPr>
      </w:pPr>
    </w:p>
    <w:bookmarkEnd w:id="4"/>
    <w:p w14:paraId="313ECF15">
      <w:pPr>
        <w:rPr>
          <w:rFonts w:hint="eastAsia" w:ascii="宋体" w:hAnsi="宋体" w:eastAsia="宋体" w:cs="宋体"/>
          <w:b/>
          <w:color w:val="auto"/>
          <w:sz w:val="32"/>
          <w:szCs w:val="32"/>
          <w:highlight w:val="none"/>
        </w:rPr>
      </w:pPr>
      <w:bookmarkStart w:id="5" w:name="_Toc80724672"/>
      <w:r>
        <w:rPr>
          <w:rFonts w:hint="eastAsia" w:ascii="宋体" w:hAnsi="宋体" w:eastAsia="宋体" w:cs="宋体"/>
          <w:b/>
          <w:color w:val="auto"/>
          <w:sz w:val="32"/>
          <w:szCs w:val="32"/>
          <w:highlight w:val="none"/>
        </w:rPr>
        <w:br w:type="page"/>
      </w:r>
    </w:p>
    <w:p w14:paraId="555082EC">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合同草案条款</w:t>
      </w:r>
    </w:p>
    <w:p w14:paraId="3A4EA03C">
      <w:pPr>
        <w:pStyle w:val="86"/>
        <w:spacing w:line="480" w:lineRule="auto"/>
        <w:jc w:val="center"/>
        <w:rPr>
          <w:rFonts w:hint="eastAsia" w:ascii="宋体" w:hAnsi="宋体" w:eastAsia="宋体" w:cs="宋体"/>
          <w:b/>
          <w:color w:val="auto"/>
          <w:sz w:val="24"/>
          <w:szCs w:val="24"/>
          <w:highlight w:val="none"/>
        </w:rPr>
      </w:pPr>
    </w:p>
    <w:p w14:paraId="483BAA18">
      <w:pPr>
        <w:pStyle w:val="86"/>
        <w:spacing w:line="480" w:lineRule="auto"/>
        <w:jc w:val="center"/>
        <w:rPr>
          <w:rFonts w:hint="eastAsia" w:ascii="宋体" w:hAnsi="宋体" w:eastAsia="宋体" w:cs="宋体"/>
          <w:b/>
          <w:color w:val="auto"/>
          <w:sz w:val="28"/>
          <w:szCs w:val="28"/>
          <w:highlight w:val="none"/>
        </w:rPr>
      </w:pPr>
    </w:p>
    <w:p w14:paraId="1034DDA2">
      <w:pPr>
        <w:pStyle w:val="86"/>
        <w:spacing w:line="480" w:lineRule="auto"/>
        <w:jc w:val="center"/>
        <w:rPr>
          <w:rFonts w:hint="eastAsia" w:ascii="宋体" w:hAnsi="宋体" w:eastAsia="宋体" w:cs="宋体"/>
          <w:b/>
          <w:color w:val="auto"/>
          <w:sz w:val="28"/>
          <w:szCs w:val="28"/>
          <w:highlight w:val="none"/>
        </w:rPr>
      </w:pPr>
    </w:p>
    <w:p w14:paraId="155325FB">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新疆师范大学服务合同</w:t>
      </w:r>
    </w:p>
    <w:p w14:paraId="1A1EA498">
      <w:pPr>
        <w:pStyle w:val="86"/>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（委托培训类）</w:t>
      </w:r>
    </w:p>
    <w:p w14:paraId="638C92E2">
      <w:pPr>
        <w:pStyle w:val="86"/>
        <w:spacing w:line="360" w:lineRule="auto"/>
        <w:rPr>
          <w:rFonts w:hint="eastAsia" w:ascii="宋体" w:hAnsi="宋体" w:eastAsia="宋体" w:cs="宋体"/>
          <w:color w:val="auto"/>
          <w:sz w:val="28"/>
          <w:szCs w:val="28"/>
          <w:highlight w:val="none"/>
        </w:rPr>
      </w:pPr>
    </w:p>
    <w:p w14:paraId="7218FEEB">
      <w:pPr>
        <w:pStyle w:val="8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BE67410">
      <w:pPr>
        <w:pStyle w:val="86"/>
        <w:spacing w:line="360" w:lineRule="auto"/>
        <w:ind w:firstLine="1680" w:firstLineChars="600"/>
        <w:rPr>
          <w:rFonts w:hint="eastAsia" w:ascii="宋体" w:hAnsi="宋体" w:eastAsia="宋体" w:cs="宋体"/>
          <w:color w:val="auto"/>
          <w:sz w:val="28"/>
          <w:szCs w:val="28"/>
          <w:highlight w:val="none"/>
        </w:rPr>
      </w:pPr>
    </w:p>
    <w:p w14:paraId="3751CF97">
      <w:pPr>
        <w:pStyle w:val="86"/>
        <w:spacing w:line="360" w:lineRule="auto"/>
        <w:ind w:firstLine="1680" w:firstLineChars="600"/>
        <w:rPr>
          <w:rFonts w:hint="eastAsia" w:ascii="宋体" w:hAnsi="宋体" w:eastAsia="宋体" w:cs="宋体"/>
          <w:color w:val="auto"/>
          <w:sz w:val="28"/>
          <w:szCs w:val="28"/>
          <w:highlight w:val="none"/>
        </w:rPr>
      </w:pPr>
    </w:p>
    <w:p w14:paraId="30C35E6A">
      <w:pPr>
        <w:pStyle w:val="86"/>
        <w:spacing w:line="360" w:lineRule="auto"/>
        <w:ind w:firstLine="1680" w:firstLineChars="600"/>
        <w:rPr>
          <w:rFonts w:hint="eastAsia" w:ascii="宋体" w:hAnsi="宋体" w:eastAsia="宋体" w:cs="宋体"/>
          <w:color w:val="auto"/>
          <w:sz w:val="28"/>
          <w:szCs w:val="28"/>
          <w:highlight w:val="none"/>
        </w:rPr>
      </w:pPr>
    </w:p>
    <w:p w14:paraId="12AFBECA">
      <w:pPr>
        <w:pStyle w:val="86"/>
        <w:spacing w:line="360" w:lineRule="auto"/>
        <w:ind w:firstLine="1680" w:firstLineChars="600"/>
        <w:rPr>
          <w:rFonts w:hint="eastAsia" w:ascii="宋体" w:hAnsi="宋体" w:eastAsia="宋体" w:cs="宋体"/>
          <w:color w:val="auto"/>
          <w:sz w:val="28"/>
          <w:szCs w:val="28"/>
          <w:highlight w:val="none"/>
        </w:rPr>
      </w:pPr>
    </w:p>
    <w:p w14:paraId="230EC044">
      <w:pPr>
        <w:pStyle w:val="86"/>
        <w:spacing w:line="360" w:lineRule="auto"/>
        <w:ind w:firstLine="1680" w:firstLineChars="600"/>
        <w:rPr>
          <w:rFonts w:hint="eastAsia" w:ascii="宋体" w:hAnsi="宋体" w:eastAsia="宋体" w:cs="宋体"/>
          <w:color w:val="auto"/>
          <w:sz w:val="28"/>
          <w:szCs w:val="28"/>
          <w:highlight w:val="none"/>
        </w:rPr>
      </w:pPr>
    </w:p>
    <w:p w14:paraId="6766AE00">
      <w:pPr>
        <w:pStyle w:val="86"/>
        <w:spacing w:line="360" w:lineRule="auto"/>
        <w:ind w:firstLine="1680" w:firstLineChars="600"/>
        <w:rPr>
          <w:rFonts w:hint="eastAsia" w:ascii="宋体" w:hAnsi="宋体" w:eastAsia="宋体" w:cs="宋体"/>
          <w:color w:val="auto"/>
          <w:sz w:val="28"/>
          <w:szCs w:val="28"/>
          <w:highlight w:val="none"/>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688555641"/>
        </w:rPr>
        <w:t>项目名称</w:t>
      </w:r>
      <w:r>
        <w:rPr>
          <w:rFonts w:hint="eastAsia" w:ascii="宋体" w:hAnsi="宋体" w:eastAsia="宋体" w:cs="宋体"/>
          <w:color w:val="auto"/>
          <w:spacing w:val="2"/>
          <w:kern w:val="0"/>
          <w:sz w:val="28"/>
          <w:szCs w:val="28"/>
          <w:highlight w:val="none"/>
          <w:fitText w:val="2100" w:id="1688555641"/>
        </w:rPr>
        <w:t>：</w:t>
      </w:r>
      <w:r>
        <w:rPr>
          <w:rFonts w:hint="eastAsia" w:ascii="宋体" w:hAnsi="宋体" w:eastAsia="宋体" w:cs="宋体"/>
          <w:color w:val="auto"/>
          <w:kern w:val="0"/>
          <w:sz w:val="28"/>
          <w:szCs w:val="28"/>
          <w:highlight w:val="none"/>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220011605"/>
        </w:rPr>
        <w:t>合同编号</w:t>
      </w:r>
      <w:r>
        <w:rPr>
          <w:rFonts w:hint="eastAsia" w:ascii="宋体" w:hAnsi="宋体" w:eastAsia="宋体" w:cs="宋体"/>
          <w:color w:val="auto"/>
          <w:spacing w:val="2"/>
          <w:kern w:val="0"/>
          <w:sz w:val="28"/>
          <w:szCs w:val="28"/>
          <w:highlight w:val="none"/>
          <w:fitText w:val="2100" w:id="220011605"/>
        </w:rPr>
        <w:t>：</w:t>
      </w:r>
      <w:r>
        <w:rPr>
          <w:rFonts w:hint="eastAsia" w:ascii="宋体" w:hAnsi="宋体" w:eastAsia="宋体" w:cs="宋体"/>
          <w:color w:val="auto"/>
          <w:kern w:val="0"/>
          <w:sz w:val="28"/>
          <w:szCs w:val="28"/>
          <w:highlight w:val="none"/>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0DF2B091">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71719461">
      <w:pPr>
        <w:autoSpaceDE w:val="0"/>
        <w:autoSpaceDN w:val="0"/>
        <w:adjustRightInd w:val="0"/>
        <w:spacing w:line="360" w:lineRule="auto"/>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 xml:space="preserve">      年   月</w:t>
      </w:r>
      <w:r>
        <w:rPr>
          <w:rFonts w:hint="eastAsia" w:cs="宋体"/>
          <w:color w:val="auto"/>
          <w:kern w:val="0"/>
          <w:sz w:val="28"/>
          <w:szCs w:val="28"/>
          <w:highlight w:val="none"/>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新疆师范大学</w:t>
      </w:r>
      <w:r>
        <w:rPr>
          <w:rFonts w:hint="eastAsia" w:ascii="宋体" w:hAnsi="宋体" w:eastAsia="宋体" w:cs="宋体"/>
          <w:color w:val="auto"/>
          <w:sz w:val="24"/>
          <w:szCs w:val="24"/>
          <w:highlight w:val="none"/>
          <w:u w:val="single"/>
        </w:rPr>
        <w:t>XXX（部门/学院）</w:t>
      </w:r>
      <w:r>
        <w:rPr>
          <w:rFonts w:hint="eastAsia" w:ascii="宋体" w:hAnsi="宋体" w:eastAsia="宋体" w:cs="宋体"/>
          <w:color w:val="auto"/>
          <w:sz w:val="24"/>
          <w:szCs w:val="24"/>
          <w:highlight w:val="none"/>
        </w:rPr>
        <w:t>根据《XXX》文件（通知）要求，经甲乙双方协商，甲方委托乙方负责组织实施</w:t>
      </w:r>
      <w:r>
        <w:rPr>
          <w:rFonts w:hint="eastAsia" w:ascii="宋体" w:hAnsi="宋体" w:eastAsia="宋体" w:cs="宋体"/>
          <w:color w:val="auto"/>
          <w:sz w:val="24"/>
          <w:szCs w:val="24"/>
          <w:highlight w:val="none"/>
          <w:u w:val="single"/>
        </w:rPr>
        <w:t>XXX培训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根据《中华人民共和国民法典》等相关法律法规规定，</w:t>
      </w:r>
      <w:r>
        <w:rPr>
          <w:rFonts w:hint="eastAsia" w:ascii="宋体" w:hAnsi="宋体" w:eastAsia="宋体" w:cs="宋体"/>
          <w:color w:val="auto"/>
          <w:sz w:val="24"/>
          <w:szCs w:val="24"/>
          <w:highlight w:val="none"/>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培训时间：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培训人数及地点</w:t>
      </w:r>
    </w:p>
    <w:p w14:paraId="4F9EF147">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培训人数： </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人。（按照项目类型、学科等分别填入人数）</w:t>
      </w:r>
    </w:p>
    <w:p w14:paraId="4C4912AE">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培训地点：</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元整），包含</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1.集中培训：培训经费按照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XXX人，</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/学时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学时，共计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人，合计</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培训周期、形式等</w:t>
      </w:r>
      <w:r>
        <w:rPr>
          <w:rFonts w:hint="eastAsia" w:ascii="宋体" w:hAnsi="宋体" w:eastAsia="宋体" w:cs="宋体"/>
          <w:color w:val="auto"/>
          <w:sz w:val="24"/>
          <w:szCs w:val="24"/>
          <w:highlight w:val="none"/>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注明汇款用途：</w:t>
      </w:r>
      <w:r>
        <w:rPr>
          <w:rFonts w:hint="eastAsia" w:ascii="宋体" w:hAnsi="宋体" w:eastAsia="宋体" w:cs="宋体"/>
          <w:color w:val="auto"/>
          <w:sz w:val="24"/>
          <w:szCs w:val="24"/>
          <w:highlight w:val="none"/>
          <w:u w:val="single"/>
        </w:rPr>
        <w:t>XXX培训项目</w:t>
      </w:r>
      <w:r>
        <w:rPr>
          <w:rFonts w:hint="eastAsia" w:ascii="宋体" w:hAnsi="宋体" w:eastAsia="宋体" w:cs="宋体"/>
          <w:color w:val="auto"/>
          <w:sz w:val="24"/>
          <w:szCs w:val="24"/>
          <w:highlight w:val="none"/>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140"/>
          <w:rFonts w:hint="eastAsia" w:ascii="宋体" w:hAnsi="宋体" w:eastAsia="宋体" w:cs="宋体"/>
          <w:color w:val="auto"/>
          <w:sz w:val="24"/>
          <w:szCs w:val="24"/>
          <w:highlight w:val="none"/>
        </w:rPr>
        <w:t>本合同为固定总价合同，上述合同价款已包含本次培训服务所产生的</w:t>
      </w:r>
      <w:r>
        <w:rPr>
          <w:rStyle w:val="140"/>
          <w:rFonts w:hint="eastAsia" w:ascii="宋体" w:hAnsi="宋体" w:eastAsia="宋体" w:cs="宋体"/>
          <w:color w:val="auto"/>
          <w:sz w:val="24"/>
          <w:szCs w:val="24"/>
          <w:highlight w:val="none"/>
          <w:lang w:val="en-US" w:eastAsia="zh-CN"/>
        </w:rPr>
        <w:t>所有相关费用及各项税费</w:t>
      </w:r>
      <w:r>
        <w:rPr>
          <w:rStyle w:val="140"/>
          <w:rFonts w:hint="eastAsia" w:ascii="宋体" w:hAnsi="宋体" w:eastAsia="宋体" w:cs="宋体"/>
          <w:color w:val="auto"/>
          <w:sz w:val="24"/>
          <w:szCs w:val="24"/>
          <w:highlight w:val="none"/>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Style w:val="140"/>
          <w:rFonts w:hint="eastAsia" w:ascii="宋体" w:hAnsi="宋体" w:eastAsia="宋体" w:cs="宋体"/>
          <w:color w:val="auto"/>
          <w:sz w:val="24"/>
          <w:szCs w:val="24"/>
          <w:highlight w:val="none"/>
        </w:rPr>
        <w:t>甲方在支付合同约定的</w:t>
      </w:r>
      <w:r>
        <w:rPr>
          <w:rStyle w:val="140"/>
          <w:rFonts w:hint="eastAsia" w:ascii="宋体" w:hAnsi="宋体" w:eastAsia="宋体" w:cs="宋体"/>
          <w:color w:val="auto"/>
          <w:sz w:val="24"/>
          <w:szCs w:val="24"/>
          <w:highlight w:val="none"/>
          <w:lang w:val="en-US" w:eastAsia="zh-CN"/>
        </w:rPr>
        <w:t>培训费用</w:t>
      </w:r>
      <w:r>
        <w:rPr>
          <w:rStyle w:val="140"/>
          <w:rFonts w:hint="eastAsia" w:ascii="宋体" w:hAnsi="宋体" w:eastAsia="宋体" w:cs="宋体"/>
          <w:color w:val="auto"/>
          <w:sz w:val="24"/>
          <w:szCs w:val="24"/>
          <w:highlight w:val="none"/>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b/>
          <w:color w:val="auto"/>
          <w:sz w:val="24"/>
          <w:szCs w:val="24"/>
          <w:highlight w:val="none"/>
          <w:lang w:val="en-US" w:eastAsia="zh-CN"/>
        </w:rPr>
        <w:t>双方</w:t>
      </w:r>
      <w:r>
        <w:rPr>
          <w:rFonts w:hint="eastAsia" w:ascii="宋体" w:hAnsi="宋体" w:eastAsia="宋体" w:cs="宋体"/>
          <w:b/>
          <w:color w:val="auto"/>
          <w:sz w:val="24"/>
          <w:szCs w:val="24"/>
          <w:highlight w:val="none"/>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除遇到不可抗力因素外，乙方出现上述（2）-（4）违约行为之一的，</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甲方</w:t>
      </w:r>
      <w:r>
        <w:rPr>
          <w:rFonts w:hint="eastAsia" w:ascii="宋体" w:hAnsi="宋体" w:eastAsia="宋体" w:cs="宋体"/>
          <w:color w:val="auto"/>
          <w:spacing w:val="0"/>
          <w:w w:val="100"/>
          <w:sz w:val="24"/>
          <w:szCs w:val="24"/>
          <w:highlight w:val="none"/>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highlight w:val="none"/>
          <w:lang w:val="en-US" w:eastAsia="zh-CN"/>
        </w:rPr>
        <w:t>每逾期一日</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支付该合同项培训费用总价</w:t>
      </w:r>
      <w:r>
        <w:rPr>
          <w:rFonts w:hint="eastAsia" w:ascii="宋体" w:hAnsi="宋体" w:eastAsia="宋体" w:cs="宋体"/>
          <w:color w:val="auto"/>
          <w:spacing w:val="0"/>
          <w:w w:val="100"/>
          <w:sz w:val="24"/>
          <w:szCs w:val="24"/>
          <w:highlight w:val="none"/>
          <w:lang w:val="en-US" w:eastAsia="zh-CN"/>
        </w:rPr>
        <w:t>中国人民银行同期存款利率</w:t>
      </w:r>
      <w:r>
        <w:rPr>
          <w:rFonts w:hint="eastAsia" w:ascii="宋体" w:hAnsi="宋体" w:eastAsia="宋体" w:cs="宋体"/>
          <w:color w:val="auto"/>
          <w:spacing w:val="0"/>
          <w:w w:val="100"/>
          <w:sz w:val="24"/>
          <w:szCs w:val="24"/>
          <w:highlight w:val="none"/>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highlight w:val="none"/>
        </w:rPr>
      </w:pPr>
      <w:r>
        <w:rPr>
          <w:rStyle w:val="140"/>
          <w:rFonts w:hint="eastAsia" w:ascii="宋体" w:hAnsi="宋体" w:eastAsia="宋体" w:cs="宋体"/>
          <w:color w:val="auto"/>
          <w:sz w:val="24"/>
          <w:szCs w:val="24"/>
          <w:highlight w:val="none"/>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1.本协议书一式</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份。甲方持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份，乙方持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3.本合作协议书自甲乙双方</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以下无正文，为合同签署页</w:t>
      </w:r>
      <w:r>
        <w:rPr>
          <w:rFonts w:hint="eastAsia" w:ascii="宋体" w:hAnsi="宋体" w:eastAsia="宋体" w:cs="宋体"/>
          <w:color w:val="auto"/>
          <w:sz w:val="24"/>
          <w:szCs w:val="24"/>
          <w:highlight w:val="none"/>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甲方：</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乙方:</w:t>
      </w:r>
      <w:r>
        <w:rPr>
          <w:rFonts w:hint="eastAsia" w:ascii="宋体" w:hAnsi="宋体" w:eastAsia="宋体" w:cs="宋体"/>
          <w:color w:val="auto"/>
          <w:spacing w:val="-4"/>
          <w:w w:val="99"/>
          <w:sz w:val="24"/>
          <w:szCs w:val="24"/>
          <w:highlight w:val="none"/>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单位名称：新疆师范大学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单位名称: </w:t>
      </w:r>
      <w:r>
        <w:rPr>
          <w:rFonts w:hint="eastAsia" w:ascii="宋体" w:hAnsi="宋体" w:eastAsia="宋体" w:cs="宋体"/>
          <w:color w:val="auto"/>
          <w:spacing w:val="-4"/>
          <w:w w:val="99"/>
          <w:sz w:val="24"/>
          <w:szCs w:val="24"/>
          <w:highlight w:val="none"/>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公章：</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公章:</w:t>
      </w:r>
      <w:r>
        <w:rPr>
          <w:rFonts w:hint="eastAsia" w:ascii="宋体" w:hAnsi="宋体" w:eastAsia="宋体" w:cs="宋体"/>
          <w:color w:val="auto"/>
          <w:spacing w:val="-4"/>
          <w:w w:val="99"/>
          <w:sz w:val="24"/>
          <w:szCs w:val="24"/>
          <w:highlight w:val="none"/>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 xml:space="preserve">或授权代表签字：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电话：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电话:</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传真：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传真:</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联系人：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联系人: </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开户银行:                         开户银行:</w:t>
      </w:r>
      <w:r>
        <w:rPr>
          <w:rFonts w:hint="eastAsia" w:ascii="宋体" w:hAnsi="宋体" w:eastAsia="宋体" w:cs="宋体"/>
          <w:color w:val="auto"/>
          <w:spacing w:val="-4"/>
          <w:w w:val="99"/>
          <w:sz w:val="24"/>
          <w:szCs w:val="24"/>
          <w:highlight w:val="none"/>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帐  号：                          帐    号：</w:t>
      </w:r>
      <w:r>
        <w:rPr>
          <w:rFonts w:hint="eastAsia" w:ascii="宋体" w:hAnsi="宋体" w:eastAsia="宋体" w:cs="宋体"/>
          <w:color w:val="auto"/>
          <w:spacing w:val="-4"/>
          <w:w w:val="99"/>
          <w:sz w:val="24"/>
          <w:szCs w:val="24"/>
          <w:highlight w:val="none"/>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44DE2CE0">
      <w:pPr>
        <w:pStyle w:val="3"/>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1F1B5199">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“国培计划（2024）”——“一对一”精准帮扶培训基础教育国家级优质教学成果区域孵化项目（塔什库尔干塔吉克自治县）</w:t>
      </w: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5"/>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074667C0">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“国培计划（2024）”——“一对一”精准帮扶培训基础教育国家级优质教学成果区域孵化项目（塔什库尔干塔吉克自治县）</w:t>
      </w: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8205"/>
      <w:bookmarkStart w:id="7" w:name="_Toc14936"/>
      <w:bookmarkStart w:id="8" w:name="_Toc19503"/>
      <w:bookmarkStart w:id="9" w:name="_Toc15731"/>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28913"/>
      <w:bookmarkStart w:id="11" w:name="_Toc7039"/>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26741"/>
      <w:bookmarkStart w:id="15" w:name="_Toc12725"/>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3"/>
        <w:rPr>
          <w:rFonts w:hint="eastAsia" w:ascii="宋体" w:hAnsi="宋体"/>
          <w:color w:val="auto"/>
          <w:highlight w:val="none"/>
        </w:rPr>
      </w:pPr>
    </w:p>
    <w:p w14:paraId="70E5F478">
      <w:pPr>
        <w:pStyle w:val="23"/>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0"/>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5FBDFBD4">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“国培计划（2024）”——“一对一”精准帮扶培训基础教育国家级优质教学成果区域孵化项目（塔什库尔干塔吉克自治县）</w:t>
      </w: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142"/>
              <w:widowControl w:val="0"/>
              <w:autoSpaceDE w:val="0"/>
              <w:autoSpaceDN w:val="0"/>
              <w:rPr>
                <w:color w:val="auto"/>
                <w:highlight w:val="none"/>
              </w:rPr>
            </w:pPr>
          </w:p>
        </w:tc>
        <w:tc>
          <w:tcPr>
            <w:tcW w:w="3244" w:type="dxa"/>
            <w:vAlign w:val="top"/>
          </w:tcPr>
          <w:p w14:paraId="764BFAEE">
            <w:pPr>
              <w:pStyle w:val="142"/>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142"/>
              <w:widowControl w:val="0"/>
              <w:autoSpaceDE w:val="0"/>
              <w:autoSpaceDN w:val="0"/>
              <w:rPr>
                <w:color w:val="auto"/>
                <w:highlight w:val="none"/>
              </w:rPr>
            </w:pPr>
          </w:p>
        </w:tc>
        <w:tc>
          <w:tcPr>
            <w:tcW w:w="3244" w:type="dxa"/>
            <w:vAlign w:val="top"/>
          </w:tcPr>
          <w:p w14:paraId="7018BB96">
            <w:pPr>
              <w:pStyle w:val="142"/>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142"/>
              <w:widowControl w:val="0"/>
              <w:autoSpaceDE w:val="0"/>
              <w:autoSpaceDN w:val="0"/>
              <w:rPr>
                <w:color w:val="auto"/>
                <w:highlight w:val="none"/>
              </w:rPr>
            </w:pPr>
          </w:p>
        </w:tc>
        <w:tc>
          <w:tcPr>
            <w:tcW w:w="3244" w:type="dxa"/>
            <w:vAlign w:val="top"/>
          </w:tcPr>
          <w:p w14:paraId="7537FEE0">
            <w:pPr>
              <w:pStyle w:val="142"/>
              <w:widowControl w:val="0"/>
              <w:autoSpaceDE w:val="0"/>
              <w:autoSpaceDN w:val="0"/>
              <w:rPr>
                <w:color w:val="auto"/>
                <w:highlight w:val="none"/>
              </w:rPr>
            </w:pPr>
          </w:p>
        </w:tc>
      </w:tr>
    </w:tbl>
    <w:p w14:paraId="12716430">
      <w:pPr>
        <w:pStyle w:val="12"/>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2"/>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2"/>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2"/>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43EFB040">
      <w:pPr>
        <w:spacing w:line="362" w:lineRule="auto"/>
        <w:rPr>
          <w:color w:val="auto"/>
          <w:sz w:val="24"/>
          <w:szCs w:val="24"/>
          <w:highlight w:val="none"/>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2"/>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2"/>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2"/>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进行磋商。</w:t>
      </w:r>
    </w:p>
    <w:p w14:paraId="61E6698D">
      <w:pPr>
        <w:pStyle w:val="12"/>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1.我方已详细审查全部竞争性磋商文件，自愿参与磋商并承诺</w:t>
      </w:r>
      <w:r>
        <w:rPr>
          <w:rFonts w:hint="eastAsia" w:ascii="宋体" w:hAnsi="宋体" w:eastAsia="宋体" w:cs="宋体"/>
          <w:color w:val="auto"/>
          <w:spacing w:val="-3"/>
          <w:sz w:val="24"/>
          <w:szCs w:val="24"/>
          <w:highlight w:val="none"/>
        </w:rPr>
        <w:t>如下：</w:t>
      </w:r>
    </w:p>
    <w:p w14:paraId="4E580661">
      <w:pPr>
        <w:pStyle w:val="12"/>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2"/>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（2）除合同条款及采购需求偏离表列出的偏离外，我方响应竞争性磋商文件的全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2"/>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2"/>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（4）如我方成交，我方将在法律规定的期限内与你方签订合同，按照竞争性磋商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2"/>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2"/>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与本磋商有关的一切正式往来信函请寄：</w:t>
      </w:r>
    </w:p>
    <w:p w14:paraId="3993A9A8">
      <w:pPr>
        <w:pStyle w:val="12"/>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2"/>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2"/>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2"/>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4791F392">
      <w:pPr>
        <w:spacing w:line="217" w:lineRule="auto"/>
        <w:rPr>
          <w:color w:val="auto"/>
          <w:sz w:val="24"/>
          <w:szCs w:val="24"/>
          <w:highlight w:val="none"/>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7"/>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3"/>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8"/>
        </w:numPr>
        <w:spacing w:line="440" w:lineRule="exact"/>
        <w:rPr>
          <w:b/>
          <w:color w:val="auto"/>
          <w:highlight w:val="none"/>
        </w:rPr>
      </w:pPr>
      <w:r>
        <w:rPr>
          <w:rFonts w:hint="eastAsia"/>
          <w:b/>
          <w:color w:val="auto"/>
          <w:highlight w:val="none"/>
        </w:rPr>
        <w:t>项目负责人简历表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8"/>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2"/>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竞争性磋商文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2"/>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8"/>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9"/>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DDC74E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1.实施方案</w:t>
      </w:r>
    </w:p>
    <w:p w14:paraId="7CB7E6DB">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2.管理服务条件</w:t>
      </w:r>
    </w:p>
    <w:p w14:paraId="7C41CC98">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3.课程设置</w:t>
      </w:r>
    </w:p>
    <w:p w14:paraId="3E70589C">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4.应急预案</w:t>
      </w:r>
    </w:p>
    <w:p w14:paraId="53E1B259">
      <w:pPr>
        <w:pStyle w:val="26"/>
        <w:rPr>
          <w:rFonts w:hint="eastAsia"/>
          <w:color w:val="auto"/>
          <w:highlight w:val="none"/>
          <w:lang w:val="en-US" w:eastAsia="zh-CN"/>
        </w:rPr>
      </w:pPr>
    </w:p>
    <w:p w14:paraId="05C239CC">
      <w:pPr>
        <w:pStyle w:val="26"/>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0"/>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2"/>
        <w:spacing w:before="117" w:line="21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最后报价一览表</w:t>
      </w:r>
    </w:p>
    <w:p w14:paraId="54721FFA">
      <w:pPr>
        <w:pStyle w:val="12"/>
        <w:spacing w:before="78" w:line="217" w:lineRule="auto"/>
        <w:ind w:left="373"/>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 xml:space="preserve">项目编号：______________  </w:t>
      </w:r>
      <w:r>
        <w:rPr>
          <w:rFonts w:hint="eastAsia" w:ascii="宋体" w:hAnsi="宋体" w:eastAsia="宋体" w:cs="宋体"/>
          <w:color w:val="auto"/>
          <w:spacing w:val="-3"/>
          <w:sz w:val="24"/>
          <w:szCs w:val="24"/>
          <w:highlight w:val="none"/>
        </w:rPr>
        <w:t xml:space="preserve">       </w:t>
      </w:r>
    </w:p>
    <w:p w14:paraId="245947D6">
      <w:pPr>
        <w:pStyle w:val="12"/>
        <w:spacing w:before="78" w:line="217"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项目名称：______________</w:t>
      </w:r>
    </w:p>
    <w:p w14:paraId="24B574A5">
      <w:pPr>
        <w:spacing w:line="147" w:lineRule="exact"/>
        <w:rPr>
          <w:rFonts w:hint="eastAsia" w:ascii="宋体" w:hAnsi="宋体" w:eastAsia="宋体" w:cs="宋体"/>
          <w:color w:val="auto"/>
          <w:sz w:val="24"/>
          <w:szCs w:val="24"/>
          <w:highlight w:val="none"/>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color w:val="auto"/>
                <w:highlight w:val="none"/>
              </w:rPr>
            </w:pPr>
          </w:p>
          <w:p w14:paraId="38123716">
            <w:pPr>
              <w:widowControl w:val="0"/>
              <w:autoSpaceDE w:val="0"/>
              <w:autoSpaceDN w:val="0"/>
              <w:jc w:val="center"/>
              <w:rPr>
                <w:rFonts w:hint="eastAsia"/>
                <w:color w:val="auto"/>
                <w:highlight w:val="none"/>
              </w:rPr>
            </w:pPr>
            <w:r>
              <w:rPr>
                <w:rFonts w:hint="eastAsia"/>
                <w:color w:val="auto"/>
                <w:highlight w:val="none"/>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color w:val="auto"/>
                <w:highlight w:val="none"/>
              </w:rPr>
            </w:pPr>
          </w:p>
          <w:p w14:paraId="510F8F13">
            <w:pPr>
              <w:widowControl w:val="0"/>
              <w:autoSpaceDE w:val="0"/>
              <w:autoSpaceDN w:val="0"/>
              <w:jc w:val="center"/>
              <w:rPr>
                <w:rFonts w:hint="eastAsia"/>
                <w:color w:val="auto"/>
                <w:highlight w:val="none"/>
              </w:rPr>
            </w:pPr>
            <w:r>
              <w:rPr>
                <w:rFonts w:hint="eastAsia"/>
                <w:color w:val="auto"/>
                <w:highlight w:val="none"/>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color w:val="auto"/>
                <w:highlight w:val="none"/>
              </w:rPr>
            </w:pPr>
            <w:r>
              <w:rPr>
                <w:rFonts w:hint="eastAsia"/>
                <w:color w:val="auto"/>
                <w:highlight w:val="none"/>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color w:val="auto"/>
                <w:highlight w:val="none"/>
              </w:rPr>
            </w:pPr>
          </w:p>
          <w:p w14:paraId="7A210CAC">
            <w:pPr>
              <w:widowControl w:val="0"/>
              <w:autoSpaceDE w:val="0"/>
              <w:autoSpaceDN w:val="0"/>
              <w:jc w:val="center"/>
              <w:rPr>
                <w:rFonts w:hint="eastAsia"/>
                <w:color w:val="auto"/>
                <w:highlight w:val="none"/>
              </w:rPr>
            </w:pPr>
            <w:r>
              <w:rPr>
                <w:rFonts w:hint="eastAsia"/>
                <w:color w:val="auto"/>
                <w:highlight w:val="none"/>
              </w:rPr>
              <w:t>其他</w:t>
            </w:r>
          </w:p>
          <w:p w14:paraId="5B7B7FC6">
            <w:pPr>
              <w:widowControl w:val="0"/>
              <w:autoSpaceDE w:val="0"/>
              <w:autoSpaceDN w:val="0"/>
              <w:jc w:val="center"/>
              <w:rPr>
                <w:rFonts w:hint="eastAsia"/>
                <w:color w:val="auto"/>
                <w:highlight w:val="none"/>
              </w:rPr>
            </w:pPr>
            <w:r>
              <w:rPr>
                <w:rFonts w:hint="eastAsia"/>
                <w:color w:val="auto"/>
                <w:highlight w:val="none"/>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color w:val="auto"/>
                <w:highlight w:val="none"/>
              </w:rPr>
            </w:pPr>
          </w:p>
        </w:tc>
        <w:tc>
          <w:tcPr>
            <w:tcW w:w="2993" w:type="dxa"/>
            <w:vMerge w:val="continue"/>
            <w:tcBorders>
              <w:tl2br w:val="nil"/>
              <w:tr2bl w:val="nil"/>
            </w:tcBorders>
            <w:vAlign w:val="center"/>
          </w:tcPr>
          <w:p w14:paraId="00384AC4">
            <w:pPr>
              <w:widowControl w:val="0"/>
              <w:autoSpaceDE w:val="0"/>
              <w:autoSpaceDN w:val="0"/>
              <w:rPr>
                <w:rFonts w:hint="eastAsia"/>
                <w:color w:val="auto"/>
                <w:highlight w:val="none"/>
              </w:rPr>
            </w:pPr>
          </w:p>
        </w:tc>
        <w:tc>
          <w:tcPr>
            <w:tcW w:w="2225" w:type="dxa"/>
            <w:tcBorders>
              <w:tl2br w:val="nil"/>
              <w:tr2bl w:val="nil"/>
            </w:tcBorders>
            <w:vAlign w:val="center"/>
          </w:tcPr>
          <w:p w14:paraId="2BE17032">
            <w:pPr>
              <w:widowControl w:val="0"/>
              <w:autoSpaceDE w:val="0"/>
              <w:autoSpaceDN w:val="0"/>
              <w:jc w:val="center"/>
              <w:rPr>
                <w:rFonts w:hint="eastAsia"/>
                <w:color w:val="auto"/>
                <w:highlight w:val="none"/>
              </w:rPr>
            </w:pPr>
            <w:r>
              <w:rPr>
                <w:rFonts w:hint="eastAsia"/>
                <w:color w:val="auto"/>
                <w:highlight w:val="none"/>
              </w:rPr>
              <w:t>大写</w:t>
            </w:r>
          </w:p>
        </w:tc>
        <w:tc>
          <w:tcPr>
            <w:tcW w:w="1981" w:type="dxa"/>
            <w:tcBorders>
              <w:tl2br w:val="nil"/>
              <w:tr2bl w:val="nil"/>
            </w:tcBorders>
            <w:vAlign w:val="center"/>
          </w:tcPr>
          <w:p w14:paraId="6415019C">
            <w:pPr>
              <w:widowControl w:val="0"/>
              <w:autoSpaceDE w:val="0"/>
              <w:autoSpaceDN w:val="0"/>
              <w:jc w:val="center"/>
              <w:rPr>
                <w:rFonts w:hint="eastAsia"/>
                <w:color w:val="auto"/>
                <w:highlight w:val="none"/>
              </w:rPr>
            </w:pPr>
            <w:r>
              <w:rPr>
                <w:rFonts w:hint="eastAsia"/>
                <w:color w:val="auto"/>
                <w:highlight w:val="none"/>
              </w:rPr>
              <w:t>小写</w:t>
            </w:r>
          </w:p>
        </w:tc>
        <w:tc>
          <w:tcPr>
            <w:tcW w:w="1902" w:type="dxa"/>
            <w:vMerge w:val="continue"/>
            <w:tcBorders>
              <w:tl2br w:val="nil"/>
              <w:tr2bl w:val="nil"/>
            </w:tcBorders>
            <w:vAlign w:val="center"/>
          </w:tcPr>
          <w:p w14:paraId="761A111A">
            <w:pPr>
              <w:widowControl w:val="0"/>
              <w:autoSpaceDE w:val="0"/>
              <w:autoSpaceDN w:val="0"/>
              <w:rPr>
                <w:rFonts w:hint="eastAsia"/>
                <w:color w:val="auto"/>
                <w:highlight w:val="none"/>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color w:val="auto"/>
                <w:highlight w:val="none"/>
              </w:rPr>
            </w:pPr>
          </w:p>
        </w:tc>
        <w:tc>
          <w:tcPr>
            <w:tcW w:w="2993" w:type="dxa"/>
            <w:tcBorders>
              <w:tl2br w:val="nil"/>
              <w:tr2bl w:val="nil"/>
            </w:tcBorders>
            <w:vAlign w:val="center"/>
          </w:tcPr>
          <w:p w14:paraId="310091AC">
            <w:pPr>
              <w:widowControl w:val="0"/>
              <w:autoSpaceDE w:val="0"/>
              <w:autoSpaceDN w:val="0"/>
              <w:rPr>
                <w:rFonts w:hint="eastAsia"/>
                <w:color w:val="auto"/>
                <w:highlight w:val="none"/>
              </w:rPr>
            </w:pPr>
          </w:p>
        </w:tc>
        <w:tc>
          <w:tcPr>
            <w:tcW w:w="2225" w:type="dxa"/>
            <w:tcBorders>
              <w:tl2br w:val="nil"/>
              <w:tr2bl w:val="nil"/>
            </w:tcBorders>
            <w:vAlign w:val="center"/>
          </w:tcPr>
          <w:p w14:paraId="589E68F2">
            <w:pPr>
              <w:widowControl w:val="0"/>
              <w:autoSpaceDE w:val="0"/>
              <w:autoSpaceDN w:val="0"/>
              <w:rPr>
                <w:rFonts w:hint="eastAsia"/>
                <w:color w:val="auto"/>
                <w:highlight w:val="none"/>
              </w:rPr>
            </w:pPr>
          </w:p>
        </w:tc>
        <w:tc>
          <w:tcPr>
            <w:tcW w:w="1981" w:type="dxa"/>
            <w:tcBorders>
              <w:tl2br w:val="nil"/>
              <w:tr2bl w:val="nil"/>
            </w:tcBorders>
            <w:vAlign w:val="center"/>
          </w:tcPr>
          <w:p w14:paraId="5A904BC8">
            <w:pPr>
              <w:widowControl w:val="0"/>
              <w:autoSpaceDE w:val="0"/>
              <w:autoSpaceDN w:val="0"/>
              <w:rPr>
                <w:rFonts w:hint="eastAsia"/>
                <w:color w:val="auto"/>
                <w:highlight w:val="none"/>
              </w:rPr>
            </w:pPr>
          </w:p>
        </w:tc>
        <w:tc>
          <w:tcPr>
            <w:tcW w:w="1902" w:type="dxa"/>
            <w:tcBorders>
              <w:tl2br w:val="nil"/>
              <w:tr2bl w:val="nil"/>
            </w:tcBorders>
            <w:vAlign w:val="center"/>
          </w:tcPr>
          <w:p w14:paraId="174A8CE7">
            <w:pPr>
              <w:widowControl w:val="0"/>
              <w:autoSpaceDE w:val="0"/>
              <w:autoSpaceDN w:val="0"/>
              <w:rPr>
                <w:rFonts w:hint="eastAsia"/>
                <w:color w:val="auto"/>
                <w:highlight w:val="none"/>
              </w:rPr>
            </w:pPr>
          </w:p>
        </w:tc>
      </w:tr>
    </w:tbl>
    <w:p w14:paraId="1C60D88D">
      <w:pPr>
        <w:spacing w:line="267" w:lineRule="auto"/>
        <w:rPr>
          <w:rFonts w:hint="eastAsia" w:ascii="宋体" w:hAnsi="宋体" w:eastAsia="宋体" w:cs="宋体"/>
          <w:color w:val="auto"/>
          <w:sz w:val="24"/>
          <w:szCs w:val="24"/>
          <w:highlight w:val="none"/>
        </w:rPr>
      </w:pPr>
    </w:p>
    <w:p w14:paraId="6B0E6E03">
      <w:pPr>
        <w:pStyle w:val="12"/>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注：1.此表中，每包的最后报价应和《最后分项报价表》中的总价相一致。</w:t>
      </w:r>
    </w:p>
    <w:p w14:paraId="0684B219">
      <w:pPr>
        <w:pStyle w:val="12"/>
        <w:spacing w:before="28"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2.本表必须按包分别填写。</w:t>
      </w:r>
    </w:p>
    <w:p w14:paraId="63F461A9">
      <w:pPr>
        <w:pStyle w:val="12"/>
        <w:spacing w:before="27"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8"/>
      <w:framePr w:wrap="around" w:vAnchor="text" w:hAnchor="margin" w:xAlign="center" w:y="1"/>
      <w:rPr>
        <w:rStyle w:val="31"/>
      </w:rPr>
    </w:pPr>
    <w:r>
      <w:fldChar w:fldCharType="begin"/>
    </w:r>
    <w:r>
      <w:rPr>
        <w:rStyle w:val="31"/>
      </w:rPr>
      <w:instrText xml:space="preserve">PAGE  </w:instrText>
    </w:r>
    <w:r>
      <w:fldChar w:fldCharType="end"/>
    </w:r>
  </w:p>
  <w:p w14:paraId="6F16C5F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DB1F2195"/>
    <w:multiLevelType w:val="singleLevel"/>
    <w:tmpl w:val="DB1F2195"/>
    <w:lvl w:ilvl="0" w:tentative="0">
      <w:start w:val="1"/>
      <w:numFmt w:val="decimal"/>
      <w:lvlText w:val="%1."/>
      <w:lvlJc w:val="left"/>
      <w:pPr>
        <w:tabs>
          <w:tab w:val="left" w:pos="312"/>
        </w:tabs>
      </w:pPr>
    </w:lvl>
  </w:abstractNum>
  <w:abstractNum w:abstractNumId="2">
    <w:nsid w:val="F1691BA3"/>
    <w:multiLevelType w:val="singleLevel"/>
    <w:tmpl w:val="F1691BA3"/>
    <w:lvl w:ilvl="0" w:tentative="0">
      <w:start w:val="2"/>
      <w:numFmt w:val="decimal"/>
      <w:suff w:val="nothing"/>
      <w:lvlText w:val="%1、"/>
      <w:lvlJc w:val="left"/>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7C6984F"/>
    <w:multiLevelType w:val="singleLevel"/>
    <w:tmpl w:val="47C6984F"/>
    <w:lvl w:ilvl="0" w:tentative="0">
      <w:start w:val="7"/>
      <w:numFmt w:val="chineseCounting"/>
      <w:suff w:val="space"/>
      <w:lvlText w:val="第%1章"/>
      <w:lvlJc w:val="left"/>
      <w:rPr>
        <w:rFonts w:hint="eastAsia"/>
      </w:rPr>
    </w:lvl>
  </w:abstractNum>
  <w:abstractNum w:abstractNumId="5">
    <w:nsid w:val="4EE97EC9"/>
    <w:multiLevelType w:val="singleLevel"/>
    <w:tmpl w:val="4EE97EC9"/>
    <w:lvl w:ilvl="0" w:tentative="0">
      <w:start w:val="2"/>
      <w:numFmt w:val="decimal"/>
      <w:lvlText w:val="%1."/>
      <w:lvlJc w:val="left"/>
      <w:pPr>
        <w:tabs>
          <w:tab w:val="left" w:pos="312"/>
        </w:tabs>
      </w:pPr>
    </w:lvl>
  </w:abstractNum>
  <w:abstractNum w:abstractNumId="6">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57ED0B0"/>
    <w:multiLevelType w:val="singleLevel"/>
    <w:tmpl w:val="757ED0B0"/>
    <w:lvl w:ilvl="0" w:tentative="0">
      <w:start w:val="2"/>
      <w:numFmt w:val="chineseCounting"/>
      <w:suff w:val="nothing"/>
      <w:lvlText w:val="%1、"/>
      <w:lvlJc w:val="left"/>
      <w:rPr>
        <w:rFonts w:hint="eastAsia"/>
      </w:rPr>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B"/>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515C4"/>
    <w:rsid w:val="01261DF4"/>
    <w:rsid w:val="01282AC9"/>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D0225D"/>
    <w:rsid w:val="05E037E5"/>
    <w:rsid w:val="05E727A2"/>
    <w:rsid w:val="06027AF8"/>
    <w:rsid w:val="060D42B3"/>
    <w:rsid w:val="067526A6"/>
    <w:rsid w:val="06A32593"/>
    <w:rsid w:val="06A62830"/>
    <w:rsid w:val="06BE2160"/>
    <w:rsid w:val="06D52905"/>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3E0186"/>
    <w:rsid w:val="09644C54"/>
    <w:rsid w:val="09873A46"/>
    <w:rsid w:val="0997570E"/>
    <w:rsid w:val="09A100F4"/>
    <w:rsid w:val="09FE10BE"/>
    <w:rsid w:val="0A1C4694"/>
    <w:rsid w:val="0A463B01"/>
    <w:rsid w:val="0A4F45AA"/>
    <w:rsid w:val="0A6C1AB8"/>
    <w:rsid w:val="0A8B1F94"/>
    <w:rsid w:val="0A9B408E"/>
    <w:rsid w:val="0AA76432"/>
    <w:rsid w:val="0AC322D0"/>
    <w:rsid w:val="0AD50A25"/>
    <w:rsid w:val="0ADD6A6C"/>
    <w:rsid w:val="0AF55441"/>
    <w:rsid w:val="0AFF02E3"/>
    <w:rsid w:val="0B2B491D"/>
    <w:rsid w:val="0B5821EF"/>
    <w:rsid w:val="0B711092"/>
    <w:rsid w:val="0B810663"/>
    <w:rsid w:val="0B856175"/>
    <w:rsid w:val="0B904371"/>
    <w:rsid w:val="0B9335CE"/>
    <w:rsid w:val="0BA7412C"/>
    <w:rsid w:val="0BBB552C"/>
    <w:rsid w:val="0BC01EEC"/>
    <w:rsid w:val="0BC62D73"/>
    <w:rsid w:val="0BE64483"/>
    <w:rsid w:val="0BEB1BE2"/>
    <w:rsid w:val="0BF24052"/>
    <w:rsid w:val="0C29520D"/>
    <w:rsid w:val="0C4452AF"/>
    <w:rsid w:val="0C5C7E64"/>
    <w:rsid w:val="0C5E1E2E"/>
    <w:rsid w:val="0C6041D7"/>
    <w:rsid w:val="0C9646E6"/>
    <w:rsid w:val="0CB11A6E"/>
    <w:rsid w:val="0CC5444A"/>
    <w:rsid w:val="0CCD50C2"/>
    <w:rsid w:val="0CCE2357"/>
    <w:rsid w:val="0CCF4ADA"/>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CF32FA"/>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210C75"/>
    <w:rsid w:val="13302411"/>
    <w:rsid w:val="13313B1F"/>
    <w:rsid w:val="1372255A"/>
    <w:rsid w:val="138C6D10"/>
    <w:rsid w:val="138E124B"/>
    <w:rsid w:val="139B5526"/>
    <w:rsid w:val="13B36968"/>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44C48"/>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236DF"/>
    <w:rsid w:val="15D56B63"/>
    <w:rsid w:val="15DF6355"/>
    <w:rsid w:val="15F45A28"/>
    <w:rsid w:val="15F64F4F"/>
    <w:rsid w:val="15F86E50"/>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D05CA5"/>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5F3A9B"/>
    <w:rsid w:val="1F6979E7"/>
    <w:rsid w:val="1F6D440A"/>
    <w:rsid w:val="1F7237CF"/>
    <w:rsid w:val="1F750A08"/>
    <w:rsid w:val="1F967D7C"/>
    <w:rsid w:val="1FA244B0"/>
    <w:rsid w:val="1FA328F8"/>
    <w:rsid w:val="1FA642C4"/>
    <w:rsid w:val="1FA772D7"/>
    <w:rsid w:val="1FAF67D1"/>
    <w:rsid w:val="1FB17124"/>
    <w:rsid w:val="1FD93C9C"/>
    <w:rsid w:val="1FDA60AB"/>
    <w:rsid w:val="1FE25FB2"/>
    <w:rsid w:val="1FE3647B"/>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961F8"/>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23BCF"/>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1374BB"/>
    <w:rsid w:val="25463823"/>
    <w:rsid w:val="254A257D"/>
    <w:rsid w:val="25612DE4"/>
    <w:rsid w:val="257302A1"/>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15690A"/>
    <w:rsid w:val="27286FB7"/>
    <w:rsid w:val="272E6E29"/>
    <w:rsid w:val="274F43F6"/>
    <w:rsid w:val="27507456"/>
    <w:rsid w:val="276E2D59"/>
    <w:rsid w:val="278609DD"/>
    <w:rsid w:val="279803ED"/>
    <w:rsid w:val="27AA1A6E"/>
    <w:rsid w:val="27AC786C"/>
    <w:rsid w:val="27AF714A"/>
    <w:rsid w:val="27B212DD"/>
    <w:rsid w:val="27E15995"/>
    <w:rsid w:val="28147F8F"/>
    <w:rsid w:val="281A59A3"/>
    <w:rsid w:val="28212E22"/>
    <w:rsid w:val="28217C2E"/>
    <w:rsid w:val="28712EEB"/>
    <w:rsid w:val="2874419E"/>
    <w:rsid w:val="288A498F"/>
    <w:rsid w:val="288D1E6A"/>
    <w:rsid w:val="28AF15F0"/>
    <w:rsid w:val="28BA7F95"/>
    <w:rsid w:val="28D03B04"/>
    <w:rsid w:val="28F14F66"/>
    <w:rsid w:val="28F811E9"/>
    <w:rsid w:val="28F81E62"/>
    <w:rsid w:val="290D291B"/>
    <w:rsid w:val="291017C1"/>
    <w:rsid w:val="29266367"/>
    <w:rsid w:val="29365433"/>
    <w:rsid w:val="29387837"/>
    <w:rsid w:val="294C1054"/>
    <w:rsid w:val="295A6FEB"/>
    <w:rsid w:val="295E42C2"/>
    <w:rsid w:val="29762802"/>
    <w:rsid w:val="29950374"/>
    <w:rsid w:val="29A2407B"/>
    <w:rsid w:val="29BA46F0"/>
    <w:rsid w:val="29F456B3"/>
    <w:rsid w:val="2A187669"/>
    <w:rsid w:val="2A2131CB"/>
    <w:rsid w:val="2A247E66"/>
    <w:rsid w:val="2A265B00"/>
    <w:rsid w:val="2A4A5C57"/>
    <w:rsid w:val="2A6A1E08"/>
    <w:rsid w:val="2A6A38F4"/>
    <w:rsid w:val="2A732EBC"/>
    <w:rsid w:val="2A8B3997"/>
    <w:rsid w:val="2A992FD3"/>
    <w:rsid w:val="2AA76CB7"/>
    <w:rsid w:val="2AB05831"/>
    <w:rsid w:val="2AB86B60"/>
    <w:rsid w:val="2ABA2946"/>
    <w:rsid w:val="2AC444DE"/>
    <w:rsid w:val="2AC526B5"/>
    <w:rsid w:val="2ADB2B70"/>
    <w:rsid w:val="2AE64553"/>
    <w:rsid w:val="2AEF34B7"/>
    <w:rsid w:val="2AF63BDF"/>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A84CD4"/>
    <w:rsid w:val="2CD0422B"/>
    <w:rsid w:val="2CF83235"/>
    <w:rsid w:val="2D064E55"/>
    <w:rsid w:val="2D114F87"/>
    <w:rsid w:val="2D1F5542"/>
    <w:rsid w:val="2D293BE4"/>
    <w:rsid w:val="2D311C05"/>
    <w:rsid w:val="2D446F31"/>
    <w:rsid w:val="2D532463"/>
    <w:rsid w:val="2D894935"/>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445FD"/>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ED56C2"/>
    <w:rsid w:val="33F24A86"/>
    <w:rsid w:val="33F8070C"/>
    <w:rsid w:val="3404068C"/>
    <w:rsid w:val="340C3D9A"/>
    <w:rsid w:val="342310E4"/>
    <w:rsid w:val="343C24E1"/>
    <w:rsid w:val="34457564"/>
    <w:rsid w:val="34553D29"/>
    <w:rsid w:val="346C2AF7"/>
    <w:rsid w:val="34811922"/>
    <w:rsid w:val="34917CAB"/>
    <w:rsid w:val="34963664"/>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5C91817"/>
    <w:rsid w:val="36184525"/>
    <w:rsid w:val="361A0FA2"/>
    <w:rsid w:val="36655CAB"/>
    <w:rsid w:val="366E244F"/>
    <w:rsid w:val="36727CC7"/>
    <w:rsid w:val="36740F40"/>
    <w:rsid w:val="369055B0"/>
    <w:rsid w:val="369B18B9"/>
    <w:rsid w:val="369F292C"/>
    <w:rsid w:val="36A26C14"/>
    <w:rsid w:val="36A93383"/>
    <w:rsid w:val="36AA5201"/>
    <w:rsid w:val="36AC5AB1"/>
    <w:rsid w:val="36BC5B6B"/>
    <w:rsid w:val="36C546D4"/>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D83F93"/>
    <w:rsid w:val="37F46DA2"/>
    <w:rsid w:val="380217E9"/>
    <w:rsid w:val="3805642C"/>
    <w:rsid w:val="382656F6"/>
    <w:rsid w:val="3852030E"/>
    <w:rsid w:val="38545F3D"/>
    <w:rsid w:val="385639A3"/>
    <w:rsid w:val="38710670"/>
    <w:rsid w:val="38872AC5"/>
    <w:rsid w:val="38AF73EA"/>
    <w:rsid w:val="38B03021"/>
    <w:rsid w:val="38C519CF"/>
    <w:rsid w:val="392E366E"/>
    <w:rsid w:val="39371642"/>
    <w:rsid w:val="394C1291"/>
    <w:rsid w:val="39567866"/>
    <w:rsid w:val="39580E43"/>
    <w:rsid w:val="399565E0"/>
    <w:rsid w:val="399824E9"/>
    <w:rsid w:val="399D57D2"/>
    <w:rsid w:val="39A22631"/>
    <w:rsid w:val="39A6412A"/>
    <w:rsid w:val="39DE6AFE"/>
    <w:rsid w:val="39E07271"/>
    <w:rsid w:val="39E724B2"/>
    <w:rsid w:val="39FD348B"/>
    <w:rsid w:val="3A1E6E1F"/>
    <w:rsid w:val="3A2160C5"/>
    <w:rsid w:val="3A2B0C62"/>
    <w:rsid w:val="3A3A12F7"/>
    <w:rsid w:val="3A404C6B"/>
    <w:rsid w:val="3A8B6D97"/>
    <w:rsid w:val="3A8E088F"/>
    <w:rsid w:val="3AA80595"/>
    <w:rsid w:val="3AB74334"/>
    <w:rsid w:val="3AC46B2F"/>
    <w:rsid w:val="3AD54E5B"/>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E949C1"/>
    <w:rsid w:val="3BF027DE"/>
    <w:rsid w:val="3C2854E9"/>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EB717E"/>
    <w:rsid w:val="3CFA4AC8"/>
    <w:rsid w:val="3CFE26EE"/>
    <w:rsid w:val="3D091EED"/>
    <w:rsid w:val="3D0A6D4B"/>
    <w:rsid w:val="3D1C42B4"/>
    <w:rsid w:val="3D3046CF"/>
    <w:rsid w:val="3D432C51"/>
    <w:rsid w:val="3D5E0746"/>
    <w:rsid w:val="3D96772E"/>
    <w:rsid w:val="3D9F5DA2"/>
    <w:rsid w:val="3DA71D61"/>
    <w:rsid w:val="3DEA460C"/>
    <w:rsid w:val="3DF956F9"/>
    <w:rsid w:val="3E0569D8"/>
    <w:rsid w:val="3E22580F"/>
    <w:rsid w:val="3E3E7246"/>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6588A"/>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DD65EB"/>
    <w:rsid w:val="3FE60119"/>
    <w:rsid w:val="400010CF"/>
    <w:rsid w:val="4007456B"/>
    <w:rsid w:val="400C6A15"/>
    <w:rsid w:val="401914D7"/>
    <w:rsid w:val="4022617C"/>
    <w:rsid w:val="40441617"/>
    <w:rsid w:val="40587630"/>
    <w:rsid w:val="4066762F"/>
    <w:rsid w:val="40687C0A"/>
    <w:rsid w:val="406C4F6B"/>
    <w:rsid w:val="406E215E"/>
    <w:rsid w:val="407077FC"/>
    <w:rsid w:val="40885CFC"/>
    <w:rsid w:val="408A04C2"/>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1B51"/>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104BA"/>
    <w:rsid w:val="43B52EB0"/>
    <w:rsid w:val="43BC74FF"/>
    <w:rsid w:val="43C505C7"/>
    <w:rsid w:val="43D50AAC"/>
    <w:rsid w:val="43FA3C0F"/>
    <w:rsid w:val="4403419F"/>
    <w:rsid w:val="440D3DE2"/>
    <w:rsid w:val="441311AD"/>
    <w:rsid w:val="44184399"/>
    <w:rsid w:val="441B033A"/>
    <w:rsid w:val="441B2290"/>
    <w:rsid w:val="441F48E6"/>
    <w:rsid w:val="44206DF4"/>
    <w:rsid w:val="44316F05"/>
    <w:rsid w:val="445631E2"/>
    <w:rsid w:val="4457559D"/>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40F9"/>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4D4AF8"/>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A2430"/>
    <w:rsid w:val="4EE346C3"/>
    <w:rsid w:val="4EED234D"/>
    <w:rsid w:val="4F0168BF"/>
    <w:rsid w:val="4F1A3BDC"/>
    <w:rsid w:val="4F332BAD"/>
    <w:rsid w:val="4F36695D"/>
    <w:rsid w:val="4F39238A"/>
    <w:rsid w:val="4F3E5630"/>
    <w:rsid w:val="4F632C03"/>
    <w:rsid w:val="4F8B1BBF"/>
    <w:rsid w:val="4F8D40DB"/>
    <w:rsid w:val="4F977ABB"/>
    <w:rsid w:val="4FA5315B"/>
    <w:rsid w:val="4FB04568"/>
    <w:rsid w:val="4FBC72F1"/>
    <w:rsid w:val="4FC1002A"/>
    <w:rsid w:val="4FC7054C"/>
    <w:rsid w:val="4FD25A40"/>
    <w:rsid w:val="4FF87792"/>
    <w:rsid w:val="503C110B"/>
    <w:rsid w:val="504C0A3B"/>
    <w:rsid w:val="50753D27"/>
    <w:rsid w:val="507A3DB4"/>
    <w:rsid w:val="509542A0"/>
    <w:rsid w:val="509B22D6"/>
    <w:rsid w:val="50A845CE"/>
    <w:rsid w:val="50AE5BBD"/>
    <w:rsid w:val="50BD7E7B"/>
    <w:rsid w:val="50C25AB5"/>
    <w:rsid w:val="50E21CB3"/>
    <w:rsid w:val="50F85490"/>
    <w:rsid w:val="511621A9"/>
    <w:rsid w:val="511D7CAD"/>
    <w:rsid w:val="512A7764"/>
    <w:rsid w:val="513C2E56"/>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D02EF"/>
    <w:rsid w:val="534D53DE"/>
    <w:rsid w:val="53533B18"/>
    <w:rsid w:val="53591993"/>
    <w:rsid w:val="535F0552"/>
    <w:rsid w:val="5370018E"/>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1F58B2"/>
    <w:rsid w:val="5B2714AA"/>
    <w:rsid w:val="5B337221"/>
    <w:rsid w:val="5B4938C7"/>
    <w:rsid w:val="5B5A58B4"/>
    <w:rsid w:val="5B62245C"/>
    <w:rsid w:val="5B637E94"/>
    <w:rsid w:val="5B73308B"/>
    <w:rsid w:val="5B780C22"/>
    <w:rsid w:val="5B786E37"/>
    <w:rsid w:val="5B8322E4"/>
    <w:rsid w:val="5B881FF3"/>
    <w:rsid w:val="5B9849BD"/>
    <w:rsid w:val="5BD668B8"/>
    <w:rsid w:val="5BE54CA1"/>
    <w:rsid w:val="5C0C3140"/>
    <w:rsid w:val="5C1543A0"/>
    <w:rsid w:val="5C194941"/>
    <w:rsid w:val="5C197DE1"/>
    <w:rsid w:val="5C2B4F30"/>
    <w:rsid w:val="5C5E233B"/>
    <w:rsid w:val="5C637FF5"/>
    <w:rsid w:val="5C6778DA"/>
    <w:rsid w:val="5C6C2D78"/>
    <w:rsid w:val="5C807DFE"/>
    <w:rsid w:val="5C822DE4"/>
    <w:rsid w:val="5C887487"/>
    <w:rsid w:val="5C9A2DCD"/>
    <w:rsid w:val="5C9C75B0"/>
    <w:rsid w:val="5CA32680"/>
    <w:rsid w:val="5CA52976"/>
    <w:rsid w:val="5CBA121E"/>
    <w:rsid w:val="5CC17175"/>
    <w:rsid w:val="5CCE5B09"/>
    <w:rsid w:val="5CD40AD7"/>
    <w:rsid w:val="5CE0071B"/>
    <w:rsid w:val="5CF33FCE"/>
    <w:rsid w:val="5CF613DA"/>
    <w:rsid w:val="5CFA704D"/>
    <w:rsid w:val="5D0D0126"/>
    <w:rsid w:val="5D186C36"/>
    <w:rsid w:val="5D1D26EC"/>
    <w:rsid w:val="5D1E00BD"/>
    <w:rsid w:val="5D1F1498"/>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FA4C08"/>
    <w:rsid w:val="5E2B7E4B"/>
    <w:rsid w:val="5E392107"/>
    <w:rsid w:val="5E4D08AF"/>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53F98"/>
    <w:rsid w:val="5F5D012D"/>
    <w:rsid w:val="5F7A657A"/>
    <w:rsid w:val="5F7B6664"/>
    <w:rsid w:val="5F816B3B"/>
    <w:rsid w:val="5F922B50"/>
    <w:rsid w:val="5F977F6F"/>
    <w:rsid w:val="5FA21AE6"/>
    <w:rsid w:val="5FB23198"/>
    <w:rsid w:val="5FBA69EA"/>
    <w:rsid w:val="5FDA18C8"/>
    <w:rsid w:val="5FE265EC"/>
    <w:rsid w:val="5FF75C40"/>
    <w:rsid w:val="601278F7"/>
    <w:rsid w:val="601C4D80"/>
    <w:rsid w:val="601F7F47"/>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F566C0"/>
    <w:rsid w:val="60FA6BA5"/>
    <w:rsid w:val="610466BA"/>
    <w:rsid w:val="611F37ED"/>
    <w:rsid w:val="61266A8A"/>
    <w:rsid w:val="613C2129"/>
    <w:rsid w:val="61466780"/>
    <w:rsid w:val="614D4202"/>
    <w:rsid w:val="6158338D"/>
    <w:rsid w:val="618B5A4F"/>
    <w:rsid w:val="61AE6F66"/>
    <w:rsid w:val="61B53C02"/>
    <w:rsid w:val="61B81119"/>
    <w:rsid w:val="61C34ED2"/>
    <w:rsid w:val="61CE33AD"/>
    <w:rsid w:val="61D05B58"/>
    <w:rsid w:val="61EF0DEA"/>
    <w:rsid w:val="61F91E36"/>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3B34A5"/>
    <w:rsid w:val="63477CB5"/>
    <w:rsid w:val="636F6295"/>
    <w:rsid w:val="63703B3A"/>
    <w:rsid w:val="638D2401"/>
    <w:rsid w:val="63C74863"/>
    <w:rsid w:val="63CC090D"/>
    <w:rsid w:val="64004E9D"/>
    <w:rsid w:val="642204A6"/>
    <w:rsid w:val="64265F03"/>
    <w:rsid w:val="643C1282"/>
    <w:rsid w:val="6449399F"/>
    <w:rsid w:val="646C387B"/>
    <w:rsid w:val="647F701D"/>
    <w:rsid w:val="64806903"/>
    <w:rsid w:val="64895B6A"/>
    <w:rsid w:val="64955AF1"/>
    <w:rsid w:val="649E1243"/>
    <w:rsid w:val="64A93764"/>
    <w:rsid w:val="64AE7CC1"/>
    <w:rsid w:val="64B235A1"/>
    <w:rsid w:val="64DA0078"/>
    <w:rsid w:val="64DF291C"/>
    <w:rsid w:val="64FD3107"/>
    <w:rsid w:val="65190F15"/>
    <w:rsid w:val="654B6900"/>
    <w:rsid w:val="654B7F90"/>
    <w:rsid w:val="65537BAD"/>
    <w:rsid w:val="6554040F"/>
    <w:rsid w:val="657D1B52"/>
    <w:rsid w:val="659747BC"/>
    <w:rsid w:val="659A297A"/>
    <w:rsid w:val="659B022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6C00D0"/>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2467A"/>
    <w:rsid w:val="69ED61B3"/>
    <w:rsid w:val="69FB18C4"/>
    <w:rsid w:val="6A074546"/>
    <w:rsid w:val="6A0D2AE1"/>
    <w:rsid w:val="6A101BBF"/>
    <w:rsid w:val="6A3203AA"/>
    <w:rsid w:val="6A4F638F"/>
    <w:rsid w:val="6A537BB9"/>
    <w:rsid w:val="6A6432E1"/>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E93066"/>
    <w:rsid w:val="6F0F23A5"/>
    <w:rsid w:val="6F3323B6"/>
    <w:rsid w:val="6F6B6EC0"/>
    <w:rsid w:val="6F71208D"/>
    <w:rsid w:val="6F8B486A"/>
    <w:rsid w:val="6F8D3411"/>
    <w:rsid w:val="6FAD74D8"/>
    <w:rsid w:val="6FB47548"/>
    <w:rsid w:val="6FB97C2B"/>
    <w:rsid w:val="6FCC6779"/>
    <w:rsid w:val="6FCF4500"/>
    <w:rsid w:val="6FDB0845"/>
    <w:rsid w:val="6FE609DE"/>
    <w:rsid w:val="70117A67"/>
    <w:rsid w:val="70495453"/>
    <w:rsid w:val="70633D8A"/>
    <w:rsid w:val="70692127"/>
    <w:rsid w:val="70BE10E3"/>
    <w:rsid w:val="70D74143"/>
    <w:rsid w:val="70DC48F6"/>
    <w:rsid w:val="70E518FD"/>
    <w:rsid w:val="70F1652D"/>
    <w:rsid w:val="70FF65BA"/>
    <w:rsid w:val="7119570C"/>
    <w:rsid w:val="713F4630"/>
    <w:rsid w:val="714902CF"/>
    <w:rsid w:val="714E0847"/>
    <w:rsid w:val="71605F43"/>
    <w:rsid w:val="7165112A"/>
    <w:rsid w:val="716B0037"/>
    <w:rsid w:val="71706FA5"/>
    <w:rsid w:val="71766319"/>
    <w:rsid w:val="717F2180"/>
    <w:rsid w:val="718970FD"/>
    <w:rsid w:val="7190209C"/>
    <w:rsid w:val="71A053FA"/>
    <w:rsid w:val="71B52622"/>
    <w:rsid w:val="71C06E4D"/>
    <w:rsid w:val="71C203D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530396"/>
    <w:rsid w:val="73583909"/>
    <w:rsid w:val="735F1462"/>
    <w:rsid w:val="735F55B9"/>
    <w:rsid w:val="7365703A"/>
    <w:rsid w:val="737607CF"/>
    <w:rsid w:val="73797119"/>
    <w:rsid w:val="73946613"/>
    <w:rsid w:val="739B263D"/>
    <w:rsid w:val="739D5609"/>
    <w:rsid w:val="73A17D9D"/>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EB43D9"/>
    <w:rsid w:val="75ED2F6B"/>
    <w:rsid w:val="75F34139"/>
    <w:rsid w:val="75FE0A8D"/>
    <w:rsid w:val="76046FA0"/>
    <w:rsid w:val="760D5704"/>
    <w:rsid w:val="760E16C9"/>
    <w:rsid w:val="762229CE"/>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1B2C50"/>
    <w:rsid w:val="7C1F350C"/>
    <w:rsid w:val="7C203F33"/>
    <w:rsid w:val="7C53562A"/>
    <w:rsid w:val="7C5C153A"/>
    <w:rsid w:val="7C653614"/>
    <w:rsid w:val="7C660C1B"/>
    <w:rsid w:val="7C776D68"/>
    <w:rsid w:val="7C80688E"/>
    <w:rsid w:val="7C9B47B2"/>
    <w:rsid w:val="7CA50AAA"/>
    <w:rsid w:val="7CAE0A0F"/>
    <w:rsid w:val="7CBB3364"/>
    <w:rsid w:val="7CDB7433"/>
    <w:rsid w:val="7CFC2730"/>
    <w:rsid w:val="7D1924C1"/>
    <w:rsid w:val="7D1E01AA"/>
    <w:rsid w:val="7D2F3E0A"/>
    <w:rsid w:val="7D3035F3"/>
    <w:rsid w:val="7D360E0D"/>
    <w:rsid w:val="7D3923AB"/>
    <w:rsid w:val="7D902D92"/>
    <w:rsid w:val="7D9926E7"/>
    <w:rsid w:val="7D9C5444"/>
    <w:rsid w:val="7DBA210A"/>
    <w:rsid w:val="7DD02D0F"/>
    <w:rsid w:val="7DDC7906"/>
    <w:rsid w:val="7DFA3120"/>
    <w:rsid w:val="7DFD433F"/>
    <w:rsid w:val="7E007EB0"/>
    <w:rsid w:val="7E18353D"/>
    <w:rsid w:val="7E1E1F19"/>
    <w:rsid w:val="7E2D328F"/>
    <w:rsid w:val="7E3234F7"/>
    <w:rsid w:val="7E334B6A"/>
    <w:rsid w:val="7E7A3A8F"/>
    <w:rsid w:val="7E8135FE"/>
    <w:rsid w:val="7E876220"/>
    <w:rsid w:val="7E9A05A6"/>
    <w:rsid w:val="7E9A27AF"/>
    <w:rsid w:val="7E9A45D3"/>
    <w:rsid w:val="7EA75B1D"/>
    <w:rsid w:val="7EA8311F"/>
    <w:rsid w:val="7EB57675"/>
    <w:rsid w:val="7EBF74C0"/>
    <w:rsid w:val="7EC13AEA"/>
    <w:rsid w:val="7ED531B1"/>
    <w:rsid w:val="7ED62E26"/>
    <w:rsid w:val="7ED63080"/>
    <w:rsid w:val="7ED76320"/>
    <w:rsid w:val="7F143802"/>
    <w:rsid w:val="7F2D0230"/>
    <w:rsid w:val="7F2F64CE"/>
    <w:rsid w:val="7F357714"/>
    <w:rsid w:val="7F822F3C"/>
    <w:rsid w:val="7F937FB5"/>
    <w:rsid w:val="7FA5005E"/>
    <w:rsid w:val="7FB37AB4"/>
    <w:rsid w:val="7FB977D3"/>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0"/>
    <w:qFormat/>
    <w:uiPriority w:val="99"/>
    <w:pPr>
      <w:jc w:val="left"/>
    </w:pPr>
    <w:rPr>
      <w:rFonts w:ascii="Times New Roman" w:hAnsi="Times New Roman" w:cs="Times New Roman"/>
      <w:kern w:val="2"/>
      <w:sz w:val="28"/>
      <w:szCs w:val="20"/>
    </w:rPr>
  </w:style>
  <w:style w:type="paragraph" w:styleId="12">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4">
    <w:name w:val="Plain Text"/>
    <w:basedOn w:val="1"/>
    <w:link w:val="43"/>
    <w:qFormat/>
    <w:uiPriority w:val="99"/>
    <w:rPr>
      <w:rFonts w:hAnsi="Courier New" w:cs="Times New Roman"/>
      <w:kern w:val="2"/>
      <w:sz w:val="21"/>
      <w:szCs w:val="20"/>
    </w:rPr>
  </w:style>
  <w:style w:type="paragraph" w:styleId="15">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5"/>
    <w:qFormat/>
    <w:uiPriority w:val="0"/>
    <w:pPr>
      <w:ind w:firstLine="480"/>
    </w:pPr>
    <w:rPr>
      <w:rFonts w:ascii="Times New Roman" w:hAnsi="Times New Roman" w:cs="Times New Roman"/>
      <w:sz w:val="20"/>
      <w:szCs w:val="20"/>
    </w:rPr>
  </w:style>
  <w:style w:type="paragraph" w:styleId="17">
    <w:name w:val="Balloon Text"/>
    <w:basedOn w:val="1"/>
    <w:link w:val="46"/>
    <w:qFormat/>
    <w:locked/>
    <w:uiPriority w:val="0"/>
    <w:rPr>
      <w:sz w:val="18"/>
      <w:szCs w:val="18"/>
    </w:rPr>
  </w:style>
  <w:style w:type="paragraph" w:styleId="18">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widowControl/>
      <w:spacing w:line="360" w:lineRule="auto"/>
    </w:pPr>
    <w:rPr>
      <w:rFonts w:ascii="Courier New" w:hAnsi="Courier New"/>
      <w:sz w:val="20"/>
      <w:szCs w:val="20"/>
    </w:rPr>
  </w:style>
  <w:style w:type="paragraph" w:styleId="24">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5">
    <w:name w:val="annotation subject"/>
    <w:basedOn w:val="11"/>
    <w:next w:val="11"/>
    <w:link w:val="51"/>
    <w:qFormat/>
    <w:locked/>
    <w:uiPriority w:val="0"/>
    <w:rPr>
      <w:b/>
      <w:bCs/>
    </w:rPr>
  </w:style>
  <w:style w:type="paragraph" w:styleId="26">
    <w:name w:val="Body Text First Indent 2"/>
    <w:basedOn w:val="13"/>
    <w:semiHidden/>
    <w:unhideWhenUsed/>
    <w:qFormat/>
    <w:locked/>
    <w:uiPriority w:val="99"/>
    <w:pPr>
      <w:spacing w:after="120"/>
      <w:ind w:left="420" w:leftChars="200" w:firstLine="420" w:firstLineChars="200"/>
    </w:pPr>
    <w:rPr>
      <w:rFonts w:eastAsia="宋体"/>
      <w:sz w:val="21"/>
      <w:szCs w:val="24"/>
      <w:lang w:val="en-US"/>
    </w:rPr>
  </w:style>
  <w:style w:type="table" w:styleId="28">
    <w:name w:val="Table Grid"/>
    <w:basedOn w:val="2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customStyle="1" w:styleId="35">
    <w:name w:val="标题 1 字符"/>
    <w:link w:val="3"/>
    <w:qFormat/>
    <w:locked/>
    <w:uiPriority w:val="0"/>
    <w:rPr>
      <w:b/>
      <w:kern w:val="44"/>
      <w:sz w:val="44"/>
    </w:rPr>
  </w:style>
  <w:style w:type="character" w:customStyle="1" w:styleId="36">
    <w:name w:val="标题 2 字符"/>
    <w:link w:val="4"/>
    <w:semiHidden/>
    <w:qFormat/>
    <w:locked/>
    <w:uiPriority w:val="0"/>
    <w:rPr>
      <w:rFonts w:ascii="Cambria" w:hAnsi="Cambria" w:eastAsia="宋体"/>
      <w:b/>
      <w:sz w:val="32"/>
    </w:rPr>
  </w:style>
  <w:style w:type="character" w:customStyle="1" w:styleId="37">
    <w:name w:val="标题 3 字符"/>
    <w:link w:val="5"/>
    <w:semiHidden/>
    <w:qFormat/>
    <w:locked/>
    <w:uiPriority w:val="0"/>
    <w:rPr>
      <w:b/>
      <w:sz w:val="32"/>
    </w:rPr>
  </w:style>
  <w:style w:type="character" w:customStyle="1" w:styleId="38">
    <w:name w:val="标题 6 字符"/>
    <w:link w:val="7"/>
    <w:semiHidden/>
    <w:qFormat/>
    <w:uiPriority w:val="0"/>
    <w:rPr>
      <w:rFonts w:ascii="等线 Light" w:hAnsi="等线 Light" w:eastAsia="等线 Light" w:cs="Times New Roman"/>
      <w:b/>
      <w:bCs/>
      <w:kern w:val="2"/>
      <w:sz w:val="24"/>
      <w:szCs w:val="24"/>
    </w:rPr>
  </w:style>
  <w:style w:type="character" w:customStyle="1" w:styleId="39">
    <w:name w:val="文档结构图 字符"/>
    <w:link w:val="9"/>
    <w:semiHidden/>
    <w:qFormat/>
    <w:locked/>
    <w:uiPriority w:val="0"/>
    <w:rPr>
      <w:sz w:val="2"/>
    </w:rPr>
  </w:style>
  <w:style w:type="character" w:customStyle="1" w:styleId="40">
    <w:name w:val="批注文字 字符"/>
    <w:link w:val="11"/>
    <w:qFormat/>
    <w:locked/>
    <w:uiPriority w:val="99"/>
    <w:rPr>
      <w:rFonts w:eastAsia="宋体" w:cs="Times New Roman"/>
      <w:kern w:val="2"/>
      <w:sz w:val="28"/>
      <w:lang w:val="en-US" w:eastAsia="zh-CN" w:bidi="ar-SA"/>
    </w:rPr>
  </w:style>
  <w:style w:type="character" w:customStyle="1" w:styleId="41">
    <w:name w:val="正文文本 字符"/>
    <w:link w:val="12"/>
    <w:semiHidden/>
    <w:qFormat/>
    <w:locked/>
    <w:uiPriority w:val="0"/>
    <w:rPr>
      <w:sz w:val="20"/>
    </w:rPr>
  </w:style>
  <w:style w:type="character" w:customStyle="1" w:styleId="42">
    <w:name w:val="正文文本缩进 字符"/>
    <w:link w:val="13"/>
    <w:semiHidden/>
    <w:qFormat/>
    <w:locked/>
    <w:uiPriority w:val="0"/>
    <w:rPr>
      <w:sz w:val="20"/>
    </w:rPr>
  </w:style>
  <w:style w:type="character" w:customStyle="1" w:styleId="43">
    <w:name w:val="纯文本 字符"/>
    <w:link w:val="14"/>
    <w:qFormat/>
    <w:locked/>
    <w:uiPriority w:val="99"/>
    <w:rPr>
      <w:rFonts w:ascii="宋体" w:hAnsi="Courier New" w:eastAsia="宋体"/>
      <w:kern w:val="2"/>
      <w:sz w:val="21"/>
      <w:lang w:val="en-US" w:eastAsia="zh-CN"/>
    </w:rPr>
  </w:style>
  <w:style w:type="character" w:customStyle="1" w:styleId="44">
    <w:name w:val="日期 字符"/>
    <w:link w:val="15"/>
    <w:semiHidden/>
    <w:qFormat/>
    <w:locked/>
    <w:uiPriority w:val="0"/>
    <w:rPr>
      <w:sz w:val="20"/>
    </w:rPr>
  </w:style>
  <w:style w:type="character" w:customStyle="1" w:styleId="45">
    <w:name w:val="正文文本缩进 2 字符"/>
    <w:link w:val="16"/>
    <w:semiHidden/>
    <w:qFormat/>
    <w:locked/>
    <w:uiPriority w:val="0"/>
    <w:rPr>
      <w:sz w:val="20"/>
    </w:rPr>
  </w:style>
  <w:style w:type="character" w:customStyle="1" w:styleId="46">
    <w:name w:val="批注框文本 字符"/>
    <w:link w:val="17"/>
    <w:qFormat/>
    <w:uiPriority w:val="0"/>
    <w:rPr>
      <w:rFonts w:ascii="宋体" w:hAnsi="宋体" w:cs="宋体"/>
      <w:sz w:val="18"/>
      <w:szCs w:val="18"/>
    </w:rPr>
  </w:style>
  <w:style w:type="character" w:customStyle="1" w:styleId="47">
    <w:name w:val="页脚 字符"/>
    <w:link w:val="18"/>
    <w:qFormat/>
    <w:locked/>
    <w:uiPriority w:val="0"/>
    <w:rPr>
      <w:sz w:val="18"/>
    </w:rPr>
  </w:style>
  <w:style w:type="character" w:customStyle="1" w:styleId="48">
    <w:name w:val="页眉 字符"/>
    <w:link w:val="19"/>
    <w:qFormat/>
    <w:locked/>
    <w:uiPriority w:val="0"/>
    <w:rPr>
      <w:sz w:val="18"/>
    </w:rPr>
  </w:style>
  <w:style w:type="character" w:customStyle="1" w:styleId="49">
    <w:name w:val="脚注文本 字符"/>
    <w:link w:val="21"/>
    <w:qFormat/>
    <w:uiPriority w:val="0"/>
    <w:rPr>
      <w:kern w:val="2"/>
      <w:sz w:val="18"/>
      <w:szCs w:val="21"/>
    </w:rPr>
  </w:style>
  <w:style w:type="character" w:customStyle="1" w:styleId="50">
    <w:name w:val="普通(网站) 字符"/>
    <w:link w:val="24"/>
    <w:qFormat/>
    <w:uiPriority w:val="99"/>
    <w:rPr>
      <w:rFonts w:ascii="宋体" w:hAnsi="宋体"/>
      <w:kern w:val="0"/>
      <w:sz w:val="24"/>
      <w:szCs w:val="24"/>
    </w:rPr>
  </w:style>
  <w:style w:type="character" w:customStyle="1" w:styleId="51">
    <w:name w:val="批注主题 字符"/>
    <w:link w:val="25"/>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9"/>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4"/>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9"/>
    <w:qFormat/>
    <w:uiPriority w:val="0"/>
  </w:style>
  <w:style w:type="table" w:customStyle="1" w:styleId="14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13873</Words>
  <Characters>15355</Characters>
  <Lines>224</Lines>
  <Paragraphs>63</Paragraphs>
  <TotalTime>9</TotalTime>
  <ScaleCrop>false</ScaleCrop>
  <LinksUpToDate>false</LinksUpToDate>
  <CharactersWithSpaces>15427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123</dc:creator>
  <cp:lastModifiedBy>殷小胖</cp:lastModifiedBy>
  <cp:lastPrinted>2024-12-25T02:36:00Z</cp:lastPrinted>
  <dcterms:modified xsi:type="dcterms:W3CDTF">2025-06-26T04:18:18Z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7619395883E54D479D1DF0B630DDC527_13</vt:lpwstr>
  </property>
  <property fmtid="{D5CDD505-2E9C-101B-9397-08002B2CF9AE}" pid="4" name="KSOTemplateDocerSaveRecord">
    <vt:lpwstr>eyJoZGlkIjoiYjkyZDU0ODdiMDFmZTk0ODkyYTU1YTU5ZjNhNDUyMmQiLCJ1c2VySWQiOiIxOTczNjkxNTMifQ==</vt:lpwstr>
  </property>
</Properties>
</file>