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Calibri" w:hAnsi="Calibri" w:cs="宋体"/>
          <w:b/>
          <w:bCs/>
          <w:color w:val="auto"/>
          <w:sz w:val="36"/>
          <w:szCs w:val="36"/>
          <w:lang w:val="en-US" w:eastAsia="zh-CN"/>
        </w:rPr>
      </w:pPr>
      <w:r>
        <w:rPr>
          <w:rFonts w:hint="eastAsia" w:ascii="Calibri" w:hAnsi="Calibri" w:cs="宋体"/>
          <w:b/>
          <w:bCs/>
          <w:color w:val="auto"/>
          <w:sz w:val="36"/>
          <w:szCs w:val="36"/>
          <w:lang w:val="en-US" w:eastAsia="zh-CN"/>
        </w:rPr>
        <w:t>布尔津县各中小学塑胶运动场建设项目塑胶面层、硅PU、人造草采购</w:t>
      </w:r>
    </w:p>
    <w:p>
      <w:pPr>
        <w:jc w:val="center"/>
        <w:outlineLvl w:val="0"/>
        <w:rPr>
          <w:rFonts w:hint="default"/>
          <w:color w:val="auto"/>
          <w:lang w:val="en-US"/>
        </w:rPr>
      </w:pPr>
      <w:r>
        <w:rPr>
          <w:rFonts w:hint="eastAsia" w:ascii="Calibri" w:hAnsi="Calibri" w:cs="宋体"/>
          <w:b/>
          <w:bCs/>
          <w:color w:val="auto"/>
          <w:sz w:val="36"/>
          <w:szCs w:val="36"/>
          <w:lang w:val="en-US" w:eastAsia="zh-CN"/>
        </w:rPr>
        <w:t>招标公告</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一、项目名称：布尔津县各中小学塑胶运动场建设项目塑胶面层、硅PU、人造草采购</w:t>
      </w:r>
    </w:p>
    <w:p>
      <w:pPr>
        <w:keepNext w:val="0"/>
        <w:keepLines w:val="0"/>
        <w:pageBreakBefore w:val="0"/>
        <w:widowControl/>
        <w:tabs>
          <w:tab w:val="left" w:pos="9360"/>
        </w:tabs>
        <w:kinsoku/>
        <w:wordWrap/>
        <w:overflowPunct/>
        <w:topLinePunct w:val="0"/>
        <w:autoSpaceDE/>
        <w:autoSpaceDN/>
        <w:bidi w:val="0"/>
        <w:adjustRightInd/>
        <w:snapToGrid/>
        <w:spacing w:line="480" w:lineRule="auto"/>
        <w:ind w:left="16" w:leftChars="0" w:right="210" w:rightChars="100" w:hanging="16" w:hangingChars="7"/>
        <w:textAlignment w:val="auto"/>
        <w:outlineLvl w:val="9"/>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 xml:space="preserve">二、采购内容：布尔津县第二中学400米环形跑道田径运动场面层；杜来提乡寄宿制中心小学250米跑道塑胶面层及人造草足球场；窝依莫克镇寄宿制中学300米跑道塑胶面层及人造草足球场、篮球场面层；窝依莫克镇寄宿制中心小学300米跑道塑胶面层及4个篮球场、2个排球场；布尔津镇白湖路小学300米跑道塑胶面层（含篮球场）及人造草足球场；布尔津县阔斯特克镇寄宿制中心小学2个篮球场硅pu870平方米；冲乎尔镇寄宿制中学6个篮球场、3个排球场、2个羽毛球场硅pu6956平方米；齐巴尔托布勒格村小学1个篮球场硅pu576平方米。               </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default" w:ascii="仿宋" w:hAnsi="仿宋" w:eastAsia="仿宋" w:cs="仿宋"/>
          <w:color w:val="auto"/>
          <w:kern w:val="0"/>
          <w:sz w:val="24"/>
          <w:szCs w:val="24"/>
          <w:lang w:val="en-US" w:eastAsia="zh-CN" w:bidi="ar"/>
        </w:rPr>
      </w:pPr>
      <w:r>
        <w:rPr>
          <w:rFonts w:hint="eastAsia" w:ascii="仿宋" w:hAnsi="仿宋" w:eastAsia="仿宋" w:cs="仿宋"/>
          <w:bCs/>
          <w:color w:val="auto"/>
          <w:kern w:val="0"/>
          <w:sz w:val="24"/>
          <w:szCs w:val="24"/>
          <w:lang w:val="en-US" w:eastAsia="zh-CN"/>
        </w:rPr>
        <w:t>三、</w:t>
      </w:r>
      <w:r>
        <w:rPr>
          <w:rFonts w:hint="eastAsia" w:ascii="仿宋" w:hAnsi="仿宋" w:eastAsia="仿宋" w:cs="仿宋"/>
          <w:color w:val="auto"/>
          <w:kern w:val="0"/>
          <w:sz w:val="24"/>
          <w:szCs w:val="24"/>
          <w:lang w:val="en-US" w:eastAsia="zh-CN" w:bidi="ar"/>
        </w:rPr>
        <w:t>项目编号</w:t>
      </w:r>
      <w:r>
        <w:rPr>
          <w:rFonts w:hint="eastAsia" w:ascii="仿宋" w:hAnsi="仿宋" w:eastAsia="仿宋" w:cs="仿宋"/>
          <w:bCs/>
          <w:color w:val="auto"/>
          <w:kern w:val="0"/>
          <w:sz w:val="24"/>
          <w:szCs w:val="24"/>
          <w:lang w:val="en-US" w:eastAsia="zh-CN"/>
        </w:rPr>
        <w:t>：BEJ</w:t>
      </w:r>
      <w:r>
        <w:rPr>
          <w:rFonts w:hint="eastAsia" w:ascii="仿宋" w:hAnsi="仿宋" w:eastAsia="仿宋" w:cs="仿宋"/>
          <w:color w:val="auto"/>
          <w:kern w:val="0"/>
          <w:sz w:val="24"/>
          <w:szCs w:val="24"/>
          <w:lang w:val="en-US" w:eastAsia="zh-CN" w:bidi="ar"/>
        </w:rPr>
        <w:t>ZFCG-XJLZB2022002</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四、采购预算：1316.6万元</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五、采购方式：公开招标</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六、具体技术参数详见招标文件；</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七、资质或资格要求：</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sz w:val="24"/>
          <w:szCs w:val="24"/>
        </w:rPr>
        <w:t>1.投标人应具备《政府采购法》第二十二条规定的投标人条件：</w:t>
      </w:r>
    </w:p>
    <w:p>
      <w:pPr>
        <w:keepNext w:val="0"/>
        <w:keepLines w:val="0"/>
        <w:widowControl/>
        <w:suppressLineNumbers w:val="0"/>
        <w:spacing w:line="48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具有独立承担民事责任的能力</w:t>
      </w:r>
      <w:r>
        <w:rPr>
          <w:rFonts w:hint="eastAsia" w:ascii="仿宋" w:hAnsi="仿宋" w:eastAsia="仿宋" w:cs="仿宋"/>
          <w:color w:val="auto"/>
          <w:sz w:val="24"/>
          <w:szCs w:val="24"/>
          <w:lang w:val="en-US" w:eastAsia="zh-CN"/>
        </w:rPr>
        <w:t>；</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具有良好的商业信誉和健全的财务会计制度；</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具有履行合同所必需的设备和专业技术能力；</w:t>
      </w:r>
    </w:p>
    <w:p>
      <w:pPr>
        <w:pageBreakBefore w:val="0"/>
        <w:kinsoku/>
        <w:wordWrap/>
        <w:overflowPunct/>
        <w:topLinePunct w:val="0"/>
        <w:snapToGrid/>
        <w:spacing w:line="5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5.供应商须具有独立的法人资格，有效的营业执照；单位负责人为同一人或者存在直接控股、管理关系的不同供应商，不得参加同一合同项下的政府采购活动。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有依法缴纳税收和社会保障资金的良好记录；</w:t>
      </w:r>
    </w:p>
    <w:p>
      <w:pPr>
        <w:keepNext w:val="0"/>
        <w:keepLines w:val="0"/>
        <w:pageBreakBefore w:val="0"/>
        <w:widowControl/>
        <w:suppressLineNumbers w:val="0"/>
        <w:kinsoku/>
        <w:wordWrap/>
        <w:overflowPunct/>
        <w:topLinePunct w:val="0"/>
        <w:autoSpaceDE/>
        <w:autoSpaceDN/>
        <w:bidi w:val="0"/>
        <w:snapToGrid/>
        <w:spacing w:line="48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参加政府采购活动前三年内，在经营活动中没有重大违法记录</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snapToGrid/>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符合法律、行政法规规定的其他条件；</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本次采购不接受联合体投标。</w:t>
      </w:r>
    </w:p>
    <w:p>
      <w:pPr>
        <w:keepNext w:val="0"/>
        <w:keepLines w:val="0"/>
        <w:pageBreakBefore w:val="0"/>
        <w:widowControl/>
        <w:suppressLineNumbers w:val="0"/>
        <w:kinsoku/>
        <w:wordWrap/>
        <w:overflowPunct/>
        <w:topLinePunct w:val="0"/>
        <w:autoSpaceDE/>
        <w:autoSpaceDN/>
        <w:bidi w:val="0"/>
        <w:snapToGrid/>
        <w:spacing w:line="48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八、须提供的证明材料：</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 xml:space="preserve">以下证明文件需提供原件和加盖投标人单位公章的复印件一式三份：1.企业营业执照副本原件；2.法定代表人证明资料及法定代表人身份证件原件或法定代表人授权委托书及代理人身份证件原件,委托代理人近期社保；3.网上信用记录证明打印件加盖公章：含“信用中国”网站（www.creditchina.gov.cn）中企业信用信息查询结果；“中国政府采购网”（ </w:t>
      </w:r>
      <w:r>
        <w:rPr>
          <w:rFonts w:hint="eastAsia" w:ascii="仿宋" w:hAnsi="仿宋" w:eastAsia="仿宋" w:cs="仿宋"/>
          <w:color w:val="auto"/>
          <w:kern w:val="0"/>
          <w:sz w:val="24"/>
          <w:szCs w:val="24"/>
          <w:lang w:val="en-US" w:eastAsia="zh-CN" w:bidi="ar"/>
        </w:rPr>
        <w:fldChar w:fldCharType="begin"/>
      </w:r>
      <w:r>
        <w:rPr>
          <w:rFonts w:hint="eastAsia" w:ascii="仿宋" w:hAnsi="仿宋" w:eastAsia="仿宋" w:cs="仿宋"/>
          <w:color w:val="auto"/>
          <w:kern w:val="0"/>
          <w:sz w:val="24"/>
          <w:szCs w:val="24"/>
          <w:lang w:val="en-US" w:eastAsia="zh-CN" w:bidi="ar"/>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以上证件必须提供原件，逾期送达或不符合规定要求的投标人不予接受报名及出售招标文件。" </w:instrText>
      </w:r>
      <w:r>
        <w:rPr>
          <w:rFonts w:hint="eastAsia" w:ascii="仿宋" w:hAnsi="仿宋" w:eastAsia="仿宋" w:cs="仿宋"/>
          <w:color w:val="auto"/>
          <w:kern w:val="0"/>
          <w:sz w:val="24"/>
          <w:szCs w:val="24"/>
          <w:lang w:val="en-US" w:eastAsia="zh-CN" w:bidi="ar"/>
        </w:rPr>
        <w:fldChar w:fldCharType="separate"/>
      </w:r>
      <w:r>
        <w:rPr>
          <w:rFonts w:hint="eastAsia" w:ascii="仿宋" w:hAnsi="仿宋" w:eastAsia="仿宋" w:cs="仿宋"/>
          <w:color w:val="auto"/>
          <w:kern w:val="0"/>
          <w:sz w:val="24"/>
          <w:szCs w:val="24"/>
          <w:lang w:val="en-US" w:eastAsia="zh-CN" w:bidi="ar"/>
        </w:rPr>
        <w:t>www.ccgp.gov.cn）中“政府采购严重违法失信行为信息记录”查询结果。（提供“信用中国”信用报告、“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以上证件必须提供原件，逾期送达或不符合规定要求的投标人不予接受报名及出售招标文件。</w:t>
      </w:r>
      <w:r>
        <w:rPr>
          <w:rFonts w:hint="eastAsia" w:ascii="仿宋" w:hAnsi="仿宋" w:eastAsia="仿宋" w:cs="仿宋"/>
          <w:color w:val="auto"/>
          <w:kern w:val="0"/>
          <w:sz w:val="24"/>
          <w:szCs w:val="24"/>
          <w:lang w:val="en-US" w:eastAsia="zh-CN" w:bidi="ar"/>
        </w:rPr>
        <w:fldChar w:fldCharType="end"/>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九、报名及获取招标文件时间：2022年3月7日起至2022年3月14日19时30分止（节假日休息）。</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十、报名及发售招标文件地点：</w:t>
      </w:r>
      <w:r>
        <w:rPr>
          <w:rFonts w:hint="eastAsia" w:ascii="仿宋" w:hAnsi="仿宋" w:eastAsia="仿宋" w:cs="仿宋"/>
          <w:color w:val="auto"/>
          <w:sz w:val="24"/>
          <w:szCs w:val="24"/>
        </w:rPr>
        <w:t>新疆新建联项目管理咨询有限公</w:t>
      </w:r>
      <w:bookmarkStart w:id="0" w:name="_GoBack"/>
      <w:bookmarkEnd w:id="0"/>
      <w:r>
        <w:rPr>
          <w:rFonts w:hint="eastAsia" w:ascii="仿宋" w:hAnsi="仿宋" w:eastAsia="仿宋" w:cs="仿宋"/>
          <w:color w:val="auto"/>
          <w:sz w:val="24"/>
          <w:szCs w:val="24"/>
        </w:rPr>
        <w:t>司</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szCs w:val="24"/>
        </w:rPr>
        <w:t>新疆阿勒泰市文化路6区天润嘉园1栋第三层</w:t>
      </w:r>
      <w:r>
        <w:rPr>
          <w:rFonts w:hint="eastAsia" w:ascii="仿宋" w:hAnsi="仿宋" w:eastAsia="仿宋" w:cs="仿宋"/>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十一、招标文件售价：500元人民币/包/单位，售后不退回。</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宋体" w:hAnsi="宋体" w:eastAsia="宋体" w:cs="宋体"/>
          <w:kern w:val="0"/>
          <w:sz w:val="24"/>
          <w:szCs w:val="24"/>
          <w:lang w:val="en-US" w:eastAsia="zh-CN" w:bidi="ar"/>
        </w:rPr>
      </w:pPr>
      <w:r>
        <w:rPr>
          <w:rFonts w:hint="eastAsia" w:ascii="仿宋" w:hAnsi="仿宋" w:eastAsia="仿宋" w:cs="仿宋"/>
          <w:color w:val="auto"/>
          <w:kern w:val="0"/>
          <w:sz w:val="24"/>
          <w:szCs w:val="24"/>
          <w:lang w:val="en-US" w:eastAsia="zh-CN" w:bidi="ar"/>
        </w:rPr>
        <w:t>十二、投标截止时间：2022年3月28日下午16：00时</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十三、开标时间：2022年3月28日下午16:00时</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十四、开标地点：</w:t>
      </w:r>
      <w:r>
        <w:rPr>
          <w:rFonts w:hint="eastAsia" w:ascii="仿宋" w:hAnsi="仿宋" w:eastAsia="仿宋" w:cs="仿宋"/>
          <w:color w:val="auto"/>
          <w:sz w:val="24"/>
          <w:szCs w:val="24"/>
        </w:rPr>
        <w:t>新疆新建联项目管理咨询有限公司</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szCs w:val="24"/>
        </w:rPr>
        <w:t>新疆阿勒泰市文化路6区天润嘉园1栋第三层</w:t>
      </w:r>
      <w:r>
        <w:rPr>
          <w:rFonts w:hint="eastAsia" w:ascii="仿宋" w:hAnsi="仿宋" w:eastAsia="仿宋" w:cs="仿宋"/>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十五、采购单位：布尔津县教育局</w:t>
      </w:r>
    </w:p>
    <w:p>
      <w:pPr>
        <w:keepNext w:val="0"/>
        <w:keepLines w:val="0"/>
        <w:pageBreakBefore w:val="0"/>
        <w:widowControl/>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联系人：庞华       联系电话：0906-6522354</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招标代理机构：</w:t>
      </w:r>
      <w:r>
        <w:rPr>
          <w:rFonts w:hint="eastAsia" w:ascii="仿宋" w:hAnsi="仿宋" w:eastAsia="仿宋" w:cs="仿宋"/>
          <w:color w:val="auto"/>
          <w:sz w:val="24"/>
          <w:szCs w:val="24"/>
        </w:rPr>
        <w:t>新疆新建联项目管理咨询有限公司</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right="0" w:rightChars="0" w:firstLine="720" w:firstLineChars="300"/>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联系人：冯丽       联系电话：18809067677</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right"/>
        <w:textAlignment w:val="auto"/>
        <w:outlineLvl w:val="9"/>
      </w:pP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sz w:val="24"/>
          <w:szCs w:val="24"/>
        </w:rPr>
        <w:t>新疆新建联项目管理咨询有限公司</w:t>
      </w:r>
      <w:r>
        <w:rPr>
          <w:rFonts w:hint="eastAsia" w:ascii="仿宋" w:hAnsi="仿宋" w:eastAsia="仿宋" w:cs="仿宋"/>
          <w:color w:val="auto"/>
          <w:kern w:val="0"/>
          <w:sz w:val="24"/>
          <w:szCs w:val="24"/>
          <w:lang w:val="en-US" w:eastAsia="zh-CN" w:bidi="ar"/>
        </w:rPr>
        <w:t xml:space="preserve">                                                         2022年3月7日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C32B5"/>
    <w:multiLevelType w:val="singleLevel"/>
    <w:tmpl w:val="4EFC32B5"/>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F9E"/>
    <w:rsid w:val="07DC0503"/>
    <w:rsid w:val="0EC953C7"/>
    <w:rsid w:val="111F0B0C"/>
    <w:rsid w:val="215520C1"/>
    <w:rsid w:val="25ED008B"/>
    <w:rsid w:val="2EE45D81"/>
    <w:rsid w:val="35EE1624"/>
    <w:rsid w:val="395273DF"/>
    <w:rsid w:val="3AE72E6B"/>
    <w:rsid w:val="3D745DFB"/>
    <w:rsid w:val="3DDD0555"/>
    <w:rsid w:val="3E426F4B"/>
    <w:rsid w:val="3ED25BE0"/>
    <w:rsid w:val="417D639F"/>
    <w:rsid w:val="464A4D7A"/>
    <w:rsid w:val="467E1605"/>
    <w:rsid w:val="4A7E09CA"/>
    <w:rsid w:val="5039486B"/>
    <w:rsid w:val="536B2C7B"/>
    <w:rsid w:val="5567666B"/>
    <w:rsid w:val="58C01F38"/>
    <w:rsid w:val="5E2C6171"/>
    <w:rsid w:val="6E650DC9"/>
    <w:rsid w:val="72D15421"/>
    <w:rsid w:val="773513C0"/>
    <w:rsid w:val="7CF07B61"/>
    <w:rsid w:val="7DB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cs="Times New Roman"/>
      <w:kern w:val="2"/>
      <w:sz w:val="21"/>
      <w:szCs w:val="24"/>
    </w:rPr>
  </w:style>
  <w:style w:type="paragraph" w:customStyle="1" w:styleId="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2022-03-07T04:49:07Z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0CD35E82FE724A81A9312DD10685D71E</vt:lpwstr>
  </property>
</Properties>
</file>