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bidi w:val="0"/>
        <w:adjustRightInd w:val="0"/>
        <w:snapToGrid w:val="0"/>
        <w:spacing w:line="360" w:lineRule="auto"/>
        <w:ind w:left="0" w:leftChars="0" w:right="0" w:rightChars="0"/>
        <w:jc w:val="both"/>
        <w:rPr>
          <w:rFonts w:hint="eastAsia" w:ascii="仿宋" w:hAnsi="仿宋" w:eastAsia="仿宋" w:cs="仿宋"/>
          <w:b/>
          <w:color w:val="auto"/>
          <w:spacing w:val="-60"/>
          <w:sz w:val="84"/>
          <w:szCs w:val="84"/>
          <w:highlight w:val="none"/>
        </w:rPr>
      </w:pPr>
    </w:p>
    <w:p>
      <w:pPr>
        <w:pageBreakBefore w:val="0"/>
        <w:kinsoku/>
        <w:wordWrap/>
        <w:bidi w:val="0"/>
        <w:adjustRightInd w:val="0"/>
        <w:snapToGrid w:val="0"/>
        <w:spacing w:line="360" w:lineRule="auto"/>
        <w:ind w:left="0" w:leftChars="0" w:right="0" w:rightChars="0"/>
        <w:jc w:val="center"/>
        <w:rPr>
          <w:rFonts w:hint="eastAsia" w:ascii="仿宋" w:hAnsi="仿宋" w:eastAsia="仿宋" w:cs="仿宋"/>
          <w:b/>
          <w:color w:val="auto"/>
          <w:spacing w:val="-60"/>
          <w:sz w:val="84"/>
          <w:szCs w:val="84"/>
          <w:highlight w:val="none"/>
          <w:lang w:eastAsia="zh-Hans"/>
        </w:rPr>
      </w:pPr>
      <w:r>
        <w:rPr>
          <w:rFonts w:hint="eastAsia" w:ascii="仿宋" w:hAnsi="仿宋" w:eastAsia="仿宋" w:cs="仿宋"/>
          <w:b/>
          <w:color w:val="auto"/>
          <w:spacing w:val="-60"/>
          <w:sz w:val="84"/>
          <w:szCs w:val="84"/>
          <w:highlight w:val="none"/>
          <w:lang w:eastAsia="zh-Hans"/>
        </w:rPr>
        <w:t>招标文件</w:t>
      </w:r>
    </w:p>
    <w:p>
      <w:pPr>
        <w:pageBreakBefore w:val="0"/>
        <w:kinsoku/>
        <w:wordWrap/>
        <w:bidi w:val="0"/>
        <w:adjustRightInd w:val="0"/>
        <w:snapToGrid w:val="0"/>
        <w:spacing w:line="360" w:lineRule="auto"/>
        <w:ind w:left="0" w:leftChars="0" w:right="0" w:rightChars="0"/>
        <w:rPr>
          <w:rFonts w:hint="eastAsia" w:ascii="仿宋" w:hAnsi="仿宋" w:eastAsia="仿宋" w:cs="仿宋"/>
          <w:color w:val="auto"/>
          <w:highlight w:val="none"/>
        </w:rPr>
      </w:pPr>
    </w:p>
    <w:p>
      <w:pPr>
        <w:pageBreakBefore w:val="0"/>
        <w:kinsoku/>
        <w:wordWrap/>
        <w:bidi w:val="0"/>
        <w:adjustRightInd w:val="0"/>
        <w:snapToGrid w:val="0"/>
        <w:spacing w:line="360" w:lineRule="auto"/>
        <w:ind w:left="0" w:leftChars="0" w:right="0" w:rightChars="0"/>
        <w:rPr>
          <w:rFonts w:hint="eastAsia" w:ascii="仿宋" w:hAnsi="仿宋" w:eastAsia="仿宋" w:cs="仿宋"/>
          <w:color w:val="auto"/>
          <w:highlight w:val="none"/>
        </w:rPr>
      </w:pPr>
    </w:p>
    <w:p>
      <w:pPr>
        <w:pageBreakBefore w:val="0"/>
        <w:kinsoku/>
        <w:wordWrap/>
        <w:bidi w:val="0"/>
        <w:adjustRightInd w:val="0"/>
        <w:snapToGrid w:val="0"/>
        <w:spacing w:line="360" w:lineRule="auto"/>
        <w:ind w:left="0" w:leftChars="0" w:right="0" w:rightChars="0"/>
        <w:rPr>
          <w:rFonts w:hint="eastAsia" w:ascii="仿宋" w:hAnsi="仿宋" w:eastAsia="仿宋" w:cs="仿宋"/>
          <w:color w:val="auto"/>
          <w:highlight w:val="none"/>
        </w:rPr>
      </w:pPr>
    </w:p>
    <w:p>
      <w:pPr>
        <w:pageBreakBefore w:val="0"/>
        <w:kinsoku/>
        <w:wordWrap/>
        <w:bidi w:val="0"/>
        <w:adjustRightInd w:val="0"/>
        <w:snapToGrid w:val="0"/>
        <w:spacing w:line="360" w:lineRule="auto"/>
        <w:ind w:left="0" w:leftChars="0" w:right="0" w:rightChars="0"/>
        <w:rPr>
          <w:rFonts w:hint="eastAsia" w:ascii="仿宋" w:hAnsi="仿宋" w:eastAsia="仿宋" w:cs="仿宋"/>
          <w:color w:val="auto"/>
          <w:highlight w:val="none"/>
        </w:rPr>
      </w:pPr>
    </w:p>
    <w:p>
      <w:pPr>
        <w:adjustRightInd w:val="0"/>
        <w:snapToGrid w:val="0"/>
        <w:spacing w:line="360" w:lineRule="auto"/>
        <w:jc w:val="left"/>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项目名称：2022年水磨沟区公共安全相关设备补点建设项目设备采购</w:t>
      </w:r>
    </w:p>
    <w:p>
      <w:pPr>
        <w:adjustRightInd w:val="0"/>
        <w:snapToGrid w:val="0"/>
        <w:spacing w:line="360" w:lineRule="auto"/>
        <w:jc w:val="left"/>
        <w:rPr>
          <w:rFonts w:hint="default" w:ascii="仿宋" w:hAnsi="仿宋" w:eastAsia="仿宋" w:cs="仿宋"/>
          <w:color w:val="auto"/>
          <w:highlight w:val="none"/>
          <w:lang w:val="en-US" w:eastAsia="zh-CN"/>
        </w:rPr>
      </w:pPr>
      <w:r>
        <w:rPr>
          <w:rFonts w:hint="eastAsia" w:ascii="仿宋" w:hAnsi="仿宋" w:eastAsia="仿宋" w:cs="仿宋"/>
          <w:b/>
          <w:bCs/>
          <w:color w:val="auto"/>
          <w:sz w:val="32"/>
          <w:szCs w:val="32"/>
          <w:highlight w:val="none"/>
        </w:rPr>
        <w:t>项目编号：</w:t>
      </w:r>
      <w:r>
        <w:rPr>
          <w:rFonts w:hint="eastAsia" w:ascii="仿宋" w:hAnsi="仿宋" w:eastAsia="仿宋" w:cs="仿宋"/>
          <w:b/>
          <w:bCs/>
          <w:color w:val="auto"/>
          <w:sz w:val="32"/>
          <w:szCs w:val="32"/>
          <w:highlight w:val="none"/>
          <w:lang w:val="en-US" w:eastAsia="zh-CN"/>
        </w:rPr>
        <w:t>ZSZC-HW-2022004</w:t>
      </w:r>
    </w:p>
    <w:p>
      <w:pPr>
        <w:adjustRightInd w:val="0"/>
        <w:snapToGrid w:val="0"/>
        <w:spacing w:line="360" w:lineRule="auto"/>
        <w:rPr>
          <w:rFonts w:hint="eastAsia" w:ascii="仿宋" w:hAnsi="仿宋" w:eastAsia="仿宋" w:cs="仿宋"/>
          <w:color w:val="auto"/>
          <w:highlight w:val="none"/>
        </w:rPr>
      </w:pPr>
    </w:p>
    <w:p>
      <w:pPr>
        <w:adjustRightInd w:val="0"/>
        <w:snapToGrid w:val="0"/>
        <w:spacing w:line="360" w:lineRule="auto"/>
        <w:rPr>
          <w:rFonts w:hint="eastAsia" w:ascii="仿宋" w:hAnsi="仿宋" w:eastAsia="仿宋" w:cs="仿宋"/>
          <w:color w:val="auto"/>
          <w:highlight w:val="none"/>
        </w:rPr>
      </w:pPr>
    </w:p>
    <w:p>
      <w:pPr>
        <w:adjustRightInd w:val="0"/>
        <w:snapToGrid w:val="0"/>
        <w:spacing w:line="360" w:lineRule="auto"/>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招 标 人：中共乌鲁木齐市水磨沟区委员会政法委员会</w:t>
      </w:r>
    </w:p>
    <w:p>
      <w:pPr>
        <w:pStyle w:val="9"/>
        <w:ind w:left="0" w:leftChars="0" w:firstLine="0" w:firstLineChars="0"/>
        <w:rPr>
          <w:rFonts w:hint="eastAsia" w:ascii="仿宋" w:hAnsi="仿宋" w:eastAsia="仿宋" w:cs="仿宋"/>
          <w:b/>
          <w:color w:val="auto"/>
          <w:sz w:val="32"/>
          <w:szCs w:val="32"/>
          <w:highlight w:val="none"/>
          <w:lang w:val="en-US" w:eastAsia="zh-CN"/>
        </w:rPr>
      </w:pPr>
      <w:r>
        <w:rPr>
          <w:rFonts w:hint="eastAsia" w:ascii="仿宋" w:hAnsi="仿宋" w:eastAsia="仿宋" w:cs="仿宋"/>
          <w:b/>
          <w:color w:val="auto"/>
          <w:sz w:val="32"/>
          <w:szCs w:val="32"/>
          <w:highlight w:val="none"/>
          <w:lang w:val="en-US" w:eastAsia="zh-CN"/>
        </w:rPr>
        <w:t>联系人：王鹏</w:t>
      </w:r>
    </w:p>
    <w:p>
      <w:pPr>
        <w:rPr>
          <w:rFonts w:hint="eastAsia" w:ascii="仿宋" w:hAnsi="仿宋" w:eastAsia="仿宋" w:cs="仿宋"/>
          <w:b/>
          <w:color w:val="auto"/>
          <w:sz w:val="32"/>
          <w:szCs w:val="32"/>
          <w:highlight w:val="none"/>
          <w:lang w:val="en-US" w:eastAsia="zh-CN"/>
        </w:rPr>
      </w:pPr>
      <w:r>
        <w:rPr>
          <w:rFonts w:hint="eastAsia" w:ascii="仿宋" w:hAnsi="仿宋" w:eastAsia="仿宋" w:cs="仿宋"/>
          <w:b/>
          <w:color w:val="auto"/>
          <w:sz w:val="32"/>
          <w:szCs w:val="32"/>
          <w:highlight w:val="none"/>
          <w:lang w:val="en-US" w:eastAsia="zh-CN"/>
        </w:rPr>
        <w:t>联系电话：</w:t>
      </w:r>
      <w:r>
        <w:rPr>
          <w:rFonts w:hint="eastAsia" w:ascii="仿宋" w:hAnsi="仿宋" w:eastAsia="仿宋" w:cs="仿宋"/>
          <w:b/>
          <w:color w:val="auto"/>
          <w:kern w:val="2"/>
          <w:sz w:val="32"/>
          <w:szCs w:val="32"/>
          <w:highlight w:val="none"/>
          <w:lang w:val="en-US" w:eastAsia="zh-CN" w:bidi="ar-SA"/>
        </w:rPr>
        <w:t>0991-4186027</w:t>
      </w:r>
    </w:p>
    <w:p>
      <w:pPr>
        <w:rPr>
          <w:rFonts w:hint="eastAsia" w:ascii="仿宋" w:hAnsi="仿宋" w:eastAsia="仿宋" w:cs="仿宋"/>
          <w:b/>
          <w:color w:val="auto"/>
          <w:sz w:val="32"/>
          <w:szCs w:val="32"/>
          <w:highlight w:val="none"/>
          <w:lang w:val="en-US" w:eastAsia="zh-CN"/>
        </w:rPr>
      </w:pPr>
    </w:p>
    <w:p>
      <w:pPr>
        <w:pStyle w:val="9"/>
        <w:rPr>
          <w:rFonts w:hint="eastAsia" w:ascii="仿宋" w:hAnsi="仿宋" w:eastAsia="仿宋" w:cs="仿宋"/>
          <w:color w:val="auto"/>
          <w:highlight w:val="none"/>
          <w:lang w:val="en-US" w:eastAsia="zh-CN"/>
        </w:rPr>
      </w:pPr>
    </w:p>
    <w:p>
      <w:pPr>
        <w:adjustRightInd w:val="0"/>
        <w:snapToGrid w:val="0"/>
        <w:spacing w:line="360" w:lineRule="auto"/>
        <w:rPr>
          <w:rFonts w:hint="eastAsia" w:ascii="仿宋" w:hAnsi="仿宋" w:eastAsia="仿宋" w:cs="仿宋"/>
          <w:b/>
          <w:color w:val="auto"/>
          <w:sz w:val="32"/>
          <w:szCs w:val="32"/>
          <w:highlight w:val="none"/>
          <w:lang w:eastAsia="zh-Hans"/>
        </w:rPr>
      </w:pPr>
      <w:r>
        <w:rPr>
          <w:rFonts w:hint="eastAsia" w:ascii="仿宋" w:hAnsi="仿宋" w:eastAsia="仿宋" w:cs="仿宋"/>
          <w:b/>
          <w:color w:val="auto"/>
          <w:sz w:val="32"/>
          <w:szCs w:val="32"/>
          <w:highlight w:val="none"/>
        </w:rPr>
        <w:t>招标代理机构：</w:t>
      </w:r>
      <w:r>
        <w:rPr>
          <w:rFonts w:hint="eastAsia" w:ascii="仿宋" w:hAnsi="仿宋" w:eastAsia="仿宋" w:cs="仿宋"/>
          <w:b/>
          <w:color w:val="auto"/>
          <w:sz w:val="32"/>
          <w:szCs w:val="32"/>
          <w:highlight w:val="none"/>
          <w:lang w:eastAsia="zh-Hans"/>
        </w:rPr>
        <w:t>新疆筑石工程项目管理有限公司</w:t>
      </w:r>
    </w:p>
    <w:p>
      <w:pPr>
        <w:pStyle w:val="9"/>
        <w:rPr>
          <w:rFonts w:hint="default" w:ascii="仿宋" w:hAnsi="仿宋" w:eastAsia="仿宋" w:cs="仿宋"/>
          <w:b/>
          <w:color w:val="auto"/>
          <w:sz w:val="32"/>
          <w:szCs w:val="32"/>
          <w:highlight w:val="none"/>
          <w:lang w:val="en-US" w:eastAsia="zh-CN"/>
        </w:rPr>
      </w:pPr>
      <w:r>
        <w:rPr>
          <w:rFonts w:hint="eastAsia" w:ascii="仿宋" w:hAnsi="仿宋" w:eastAsia="仿宋" w:cs="仿宋"/>
          <w:b/>
          <w:color w:val="auto"/>
          <w:sz w:val="32"/>
          <w:szCs w:val="32"/>
          <w:highlight w:val="none"/>
          <w:lang w:val="en-US" w:eastAsia="zh-CN"/>
        </w:rPr>
        <w:t>联系人：魏薪宇</w:t>
      </w:r>
    </w:p>
    <w:p>
      <w:pPr>
        <w:rPr>
          <w:rFonts w:hint="default" w:ascii="仿宋" w:hAnsi="仿宋" w:eastAsia="仿宋" w:cs="仿宋"/>
          <w:b/>
          <w:color w:val="auto"/>
          <w:sz w:val="32"/>
          <w:szCs w:val="32"/>
          <w:highlight w:val="none"/>
          <w:lang w:val="en-US" w:eastAsia="zh-CN"/>
        </w:rPr>
      </w:pPr>
      <w:r>
        <w:rPr>
          <w:rFonts w:hint="eastAsia" w:ascii="仿宋" w:hAnsi="仿宋" w:eastAsia="仿宋" w:cs="仿宋"/>
          <w:b/>
          <w:color w:val="auto"/>
          <w:sz w:val="32"/>
          <w:szCs w:val="32"/>
          <w:highlight w:val="none"/>
          <w:lang w:val="en-US" w:eastAsia="zh-CN"/>
        </w:rPr>
        <w:t>联系电话：17799779282</w:t>
      </w:r>
    </w:p>
    <w:p>
      <w:pPr>
        <w:pStyle w:val="9"/>
        <w:rPr>
          <w:rFonts w:hint="eastAsia" w:ascii="仿宋" w:hAnsi="仿宋" w:eastAsia="仿宋" w:cs="仿宋"/>
          <w:color w:val="auto"/>
          <w:highlight w:val="none"/>
        </w:rPr>
      </w:pPr>
    </w:p>
    <w:p>
      <w:pPr>
        <w:pageBreakBefore w:val="0"/>
        <w:kinsoku/>
        <w:wordWrap/>
        <w:bidi w:val="0"/>
        <w:adjustRightInd w:val="0"/>
        <w:snapToGrid w:val="0"/>
        <w:spacing w:line="360" w:lineRule="auto"/>
        <w:ind w:right="0" w:rightChars="0"/>
        <w:rPr>
          <w:rFonts w:hint="eastAsia" w:ascii="仿宋" w:hAnsi="仿宋" w:eastAsia="仿宋" w:cs="仿宋"/>
          <w:b/>
          <w:color w:val="auto"/>
          <w:sz w:val="32"/>
          <w:szCs w:val="32"/>
          <w:highlight w:val="none"/>
        </w:rPr>
      </w:pPr>
    </w:p>
    <w:p>
      <w:pPr>
        <w:pageBreakBefore w:val="0"/>
        <w:kinsoku/>
        <w:wordWrap/>
        <w:bidi w:val="0"/>
        <w:adjustRightInd w:val="0"/>
        <w:snapToGrid w:val="0"/>
        <w:spacing w:line="360" w:lineRule="auto"/>
        <w:ind w:left="0" w:leftChars="0" w:right="0" w:rightChars="0"/>
        <w:jc w:val="center"/>
        <w:rPr>
          <w:rFonts w:hint="eastAsia" w:ascii="仿宋" w:hAnsi="仿宋" w:eastAsia="仿宋" w:cs="仿宋"/>
          <w:b/>
          <w:bCs/>
          <w:color w:val="auto"/>
          <w:sz w:val="32"/>
          <w:szCs w:val="32"/>
          <w:highlight w:val="none"/>
        </w:rPr>
        <w:sectPr>
          <w:pgSz w:w="11906" w:h="16838"/>
          <w:pgMar w:top="1440" w:right="1800" w:bottom="1440" w:left="1800" w:header="851" w:footer="992" w:gutter="0"/>
          <w:cols w:space="425" w:num="1"/>
          <w:docGrid w:type="lines" w:linePitch="312" w:charSpace="0"/>
        </w:sectPr>
      </w:pPr>
      <w:r>
        <w:rPr>
          <w:rFonts w:hint="eastAsia" w:ascii="仿宋" w:hAnsi="仿宋" w:eastAsia="仿宋" w:cs="仿宋"/>
          <w:b/>
          <w:bCs/>
          <w:color w:val="auto"/>
          <w:sz w:val="32"/>
          <w:szCs w:val="32"/>
          <w:highlight w:val="none"/>
        </w:rPr>
        <w:t>202</w:t>
      </w:r>
      <w:r>
        <w:rPr>
          <w:rFonts w:hint="eastAsia" w:ascii="仿宋" w:hAnsi="仿宋" w:eastAsia="仿宋" w:cs="仿宋"/>
          <w:b/>
          <w:bCs/>
          <w:color w:val="auto"/>
          <w:sz w:val="32"/>
          <w:szCs w:val="32"/>
          <w:highlight w:val="none"/>
          <w:lang w:val="en-US" w:eastAsia="zh-CN"/>
        </w:rPr>
        <w:t>2</w:t>
      </w:r>
      <w:r>
        <w:rPr>
          <w:rFonts w:hint="eastAsia" w:ascii="仿宋" w:hAnsi="仿宋" w:eastAsia="仿宋" w:cs="仿宋"/>
          <w:b/>
          <w:bCs/>
          <w:color w:val="auto"/>
          <w:sz w:val="32"/>
          <w:szCs w:val="32"/>
          <w:highlight w:val="none"/>
        </w:rPr>
        <w:t>年</w:t>
      </w:r>
      <w:r>
        <w:rPr>
          <w:rFonts w:hint="eastAsia" w:ascii="仿宋" w:hAnsi="仿宋" w:eastAsia="仿宋" w:cs="仿宋"/>
          <w:b/>
          <w:bCs/>
          <w:color w:val="auto"/>
          <w:sz w:val="32"/>
          <w:szCs w:val="32"/>
          <w:highlight w:val="none"/>
          <w:lang w:val="en-US" w:eastAsia="zh-CN"/>
        </w:rPr>
        <w:t>8</w:t>
      </w:r>
      <w:r>
        <w:rPr>
          <w:rFonts w:hint="eastAsia" w:ascii="仿宋" w:hAnsi="仿宋" w:eastAsia="仿宋" w:cs="仿宋"/>
          <w:b/>
          <w:bCs/>
          <w:color w:val="auto"/>
          <w:sz w:val="32"/>
          <w:szCs w:val="32"/>
          <w:highlight w:val="none"/>
        </w:rPr>
        <w:t>月</w:t>
      </w:r>
    </w:p>
    <w:p>
      <w:pPr>
        <w:pageBreakBefore w:val="0"/>
        <w:kinsoku/>
        <w:wordWrap/>
        <w:bidi w:val="0"/>
        <w:adjustRightInd w:val="0"/>
        <w:snapToGrid w:val="0"/>
        <w:spacing w:line="360" w:lineRule="auto"/>
        <w:ind w:left="0" w:leftChars="0" w:right="0" w:rightChars="0"/>
        <w:jc w:val="center"/>
        <w:rPr>
          <w:rFonts w:hint="eastAsia" w:ascii="仿宋" w:hAnsi="仿宋" w:eastAsia="仿宋" w:cs="仿宋"/>
          <w:b/>
          <w:bCs/>
          <w:color w:val="auto"/>
          <w:sz w:val="32"/>
          <w:szCs w:val="32"/>
          <w:highlight w:val="none"/>
          <w:lang w:val="en-US" w:eastAsia="zh-Hans"/>
        </w:rPr>
      </w:pPr>
      <w:r>
        <w:rPr>
          <w:rFonts w:hint="eastAsia" w:ascii="仿宋" w:hAnsi="仿宋" w:eastAsia="仿宋" w:cs="仿宋"/>
          <w:b/>
          <w:bCs/>
          <w:color w:val="auto"/>
          <w:sz w:val="32"/>
          <w:szCs w:val="32"/>
          <w:highlight w:val="none"/>
          <w:lang w:eastAsia="zh-Hans"/>
        </w:rPr>
        <w:t>招标文件</w:t>
      </w:r>
      <w:r>
        <w:rPr>
          <w:rFonts w:hint="eastAsia" w:ascii="仿宋" w:hAnsi="仿宋" w:eastAsia="仿宋" w:cs="仿宋"/>
          <w:b/>
          <w:bCs/>
          <w:color w:val="auto"/>
          <w:sz w:val="32"/>
          <w:szCs w:val="32"/>
          <w:highlight w:val="none"/>
          <w:lang w:val="en-US" w:eastAsia="zh-Hans"/>
        </w:rPr>
        <w:t>须知</w:t>
      </w:r>
    </w:p>
    <w:p>
      <w:pPr>
        <w:pageBreakBefore w:val="0"/>
        <w:kinsoku/>
        <w:wordWrap/>
        <w:bidi w:val="0"/>
        <w:adjustRightInd w:val="0"/>
        <w:snapToGrid w:val="0"/>
        <w:spacing w:line="360" w:lineRule="auto"/>
        <w:ind w:left="0" w:leftChars="0" w:right="0" w:rightChars="0"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一、全文</w:t>
      </w:r>
      <w:r>
        <w:rPr>
          <w:rFonts w:hint="eastAsia" w:ascii="仿宋" w:hAnsi="仿宋" w:eastAsia="仿宋" w:cs="仿宋"/>
          <w:b/>
          <w:color w:val="auto"/>
          <w:sz w:val="24"/>
          <w:highlight w:val="none"/>
          <w:lang w:eastAsia="zh-Hans"/>
        </w:rPr>
        <w:t>招标文件</w:t>
      </w:r>
      <w:r>
        <w:rPr>
          <w:rFonts w:hint="eastAsia" w:ascii="仿宋" w:hAnsi="仿宋" w:eastAsia="仿宋" w:cs="仿宋"/>
          <w:b/>
          <w:color w:val="auto"/>
          <w:sz w:val="24"/>
          <w:highlight w:val="none"/>
        </w:rPr>
        <w:t>中重点加粗突出字体为重要内容，请投标人认真详细阅读，按照招标文件中的要求认真编制投标文件。</w:t>
      </w:r>
    </w:p>
    <w:p>
      <w:pPr>
        <w:pageBreakBefore w:val="0"/>
        <w:kinsoku/>
        <w:wordWrap/>
        <w:bidi w:val="0"/>
        <w:adjustRightInd w:val="0"/>
        <w:snapToGrid w:val="0"/>
        <w:spacing w:line="360" w:lineRule="auto"/>
        <w:ind w:left="0" w:leftChars="0" w:right="0" w:rightChars="0"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二、严禁弄虚作假、提供虚假材料和资质证明资料，一经发现，依照《中华人民共和国</w:t>
      </w:r>
      <w:r>
        <w:rPr>
          <w:rFonts w:hint="eastAsia" w:ascii="仿宋" w:hAnsi="仿宋" w:eastAsia="仿宋" w:cs="仿宋"/>
          <w:b/>
          <w:color w:val="auto"/>
          <w:sz w:val="24"/>
          <w:highlight w:val="none"/>
          <w:lang w:val="en-US" w:eastAsia="zh-Hans"/>
        </w:rPr>
        <w:t>政府采购法</w:t>
      </w:r>
      <w:r>
        <w:rPr>
          <w:rFonts w:hint="eastAsia" w:ascii="仿宋" w:hAnsi="仿宋" w:eastAsia="仿宋" w:cs="仿宋"/>
          <w:b/>
          <w:color w:val="auto"/>
          <w:sz w:val="24"/>
          <w:highlight w:val="none"/>
        </w:rPr>
        <w:t>》及其实施条例之规定从严处理。</w:t>
      </w:r>
    </w:p>
    <w:p>
      <w:pPr>
        <w:pageBreakBefore w:val="0"/>
        <w:kinsoku/>
        <w:wordWrap/>
        <w:bidi w:val="0"/>
        <w:adjustRightInd w:val="0"/>
        <w:snapToGrid w:val="0"/>
        <w:spacing w:line="360" w:lineRule="auto"/>
        <w:ind w:left="0" w:leftChars="0" w:right="0" w:rightChars="0"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三、投标人</w:t>
      </w:r>
      <w:r>
        <w:rPr>
          <w:rFonts w:hint="eastAsia" w:ascii="仿宋" w:hAnsi="仿宋" w:eastAsia="仿宋" w:cs="仿宋"/>
          <w:b/>
          <w:color w:val="auto"/>
          <w:sz w:val="24"/>
          <w:highlight w:val="none"/>
          <w:lang w:val="en-US" w:eastAsia="zh-Hans"/>
        </w:rPr>
        <w:t>获取</w:t>
      </w:r>
      <w:r>
        <w:rPr>
          <w:rFonts w:hint="eastAsia" w:ascii="仿宋" w:hAnsi="仿宋" w:eastAsia="仿宋" w:cs="仿宋"/>
          <w:b/>
          <w:color w:val="auto"/>
          <w:sz w:val="24"/>
          <w:highlight w:val="none"/>
        </w:rPr>
        <w:t>招标文件后即核查是否有遗漏，并请于领取招标文件后3日内立即与招标代理公司联系，否则因此而产生的后果，均由投标人自行承担。</w:t>
      </w:r>
    </w:p>
    <w:p>
      <w:pPr>
        <w:pageBreakBefore w:val="0"/>
        <w:kinsoku/>
        <w:wordWrap/>
        <w:bidi w:val="0"/>
        <w:adjustRightInd w:val="0"/>
        <w:snapToGrid w:val="0"/>
        <w:spacing w:line="360" w:lineRule="auto"/>
        <w:ind w:left="0" w:leftChars="0" w:right="0" w:rightChars="0"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四、严禁个人以现金或转账等形式递交投标保证金。</w:t>
      </w:r>
    </w:p>
    <w:p>
      <w:pPr>
        <w:pageBreakBefore w:val="0"/>
        <w:kinsoku/>
        <w:wordWrap/>
        <w:bidi w:val="0"/>
        <w:adjustRightInd w:val="0"/>
        <w:snapToGrid w:val="0"/>
        <w:spacing w:line="360" w:lineRule="auto"/>
        <w:ind w:left="0" w:leftChars="0" w:right="0" w:rightChars="0"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五、建议各投标人在投标截止时间前3日，按招标文件的要求向指定的账户递交投标保证金。投标保证金请以投标人的对公帐户汇入“保证金专用账户”， 务必将项目编号“</w:t>
      </w:r>
      <w:r>
        <w:rPr>
          <w:rFonts w:hint="eastAsia" w:ascii="仿宋" w:hAnsi="仿宋" w:eastAsia="仿宋" w:cs="仿宋"/>
          <w:b/>
          <w:color w:val="auto"/>
          <w:sz w:val="24"/>
          <w:highlight w:val="none"/>
          <w:lang w:val="en-US" w:eastAsia="zh-CN"/>
        </w:rPr>
        <w:t>ZSZC-HW-2022004标段X</w:t>
      </w:r>
      <w:r>
        <w:rPr>
          <w:rFonts w:hint="eastAsia" w:ascii="仿宋" w:hAnsi="仿宋" w:eastAsia="仿宋" w:cs="仿宋"/>
          <w:b/>
          <w:color w:val="auto"/>
          <w:sz w:val="24"/>
          <w:highlight w:val="none"/>
        </w:rPr>
        <w:t>投标保证金”字样写在汇款用途栏里，否则，因款项用途不明导致投标无效等后果由投标人自行承担。投标截止时间之后递交的投标保证金将被拒绝。</w:t>
      </w:r>
    </w:p>
    <w:p>
      <w:pPr>
        <w:pageBreakBefore w:val="0"/>
        <w:kinsoku/>
        <w:wordWrap/>
        <w:bidi w:val="0"/>
        <w:adjustRightInd w:val="0"/>
        <w:snapToGrid w:val="0"/>
        <w:spacing w:line="360" w:lineRule="auto"/>
        <w:ind w:left="0" w:leftChars="0" w:right="0" w:rightChars="0" w:firstLine="482" w:firstLineChars="200"/>
        <w:rPr>
          <w:rFonts w:hint="eastAsia" w:ascii="仿宋" w:hAnsi="仿宋" w:eastAsia="仿宋" w:cs="仿宋"/>
          <w:b/>
          <w:color w:val="auto"/>
          <w:sz w:val="24"/>
          <w:highlight w:val="none"/>
          <w:u w:val="single"/>
        </w:rPr>
      </w:pPr>
      <w:r>
        <w:rPr>
          <w:rFonts w:hint="eastAsia" w:ascii="仿宋" w:hAnsi="仿宋" w:eastAsia="仿宋" w:cs="仿宋"/>
          <w:b/>
          <w:bCs/>
          <w:color w:val="auto"/>
          <w:sz w:val="24"/>
          <w:highlight w:val="none"/>
          <w:u w:val="single"/>
          <w:lang w:val="en-US" w:eastAsia="zh-Hans"/>
        </w:rPr>
        <w:t>汇款</w:t>
      </w:r>
      <w:r>
        <w:rPr>
          <w:rFonts w:hint="eastAsia" w:ascii="仿宋" w:hAnsi="仿宋" w:eastAsia="仿宋" w:cs="仿宋"/>
          <w:b/>
          <w:bCs/>
          <w:color w:val="auto"/>
          <w:sz w:val="24"/>
          <w:highlight w:val="none"/>
          <w:u w:val="single"/>
        </w:rPr>
        <w:t>账户</w:t>
      </w:r>
    </w:p>
    <w:p>
      <w:pPr>
        <w:pageBreakBefore w:val="0"/>
        <w:kinsoku/>
        <w:wordWrap/>
        <w:bidi w:val="0"/>
        <w:adjustRightInd w:val="0"/>
        <w:snapToGrid w:val="0"/>
        <w:spacing w:line="360" w:lineRule="auto"/>
        <w:ind w:left="0" w:leftChars="0" w:right="0" w:rightChars="0" w:firstLine="482" w:firstLineChars="200"/>
        <w:rPr>
          <w:rFonts w:hint="eastAsia" w:ascii="仿宋" w:hAnsi="仿宋" w:eastAsia="仿宋" w:cs="仿宋"/>
          <w:b/>
          <w:color w:val="auto"/>
          <w:sz w:val="32"/>
          <w:szCs w:val="32"/>
          <w:highlight w:val="none"/>
          <w:lang w:val="en-US" w:eastAsia="zh-Hans"/>
        </w:rPr>
      </w:pPr>
      <w:r>
        <w:rPr>
          <w:rFonts w:hint="eastAsia" w:ascii="仿宋" w:hAnsi="仿宋" w:eastAsia="仿宋" w:cs="仿宋"/>
          <w:b/>
          <w:color w:val="auto"/>
          <w:sz w:val="24"/>
          <w:highlight w:val="none"/>
          <w:u w:val="single"/>
        </w:rPr>
        <w:t>单位名称：</w:t>
      </w:r>
      <w:r>
        <w:rPr>
          <w:rFonts w:hint="eastAsia" w:ascii="仿宋" w:hAnsi="仿宋" w:eastAsia="仿宋" w:cs="仿宋"/>
          <w:b/>
          <w:color w:val="auto"/>
          <w:sz w:val="32"/>
          <w:szCs w:val="32"/>
          <w:highlight w:val="none"/>
          <w:u w:val="single"/>
          <w:lang w:val="en-US" w:eastAsia="zh-CN"/>
        </w:rPr>
        <w:t>：</w:t>
      </w:r>
      <w:r>
        <w:rPr>
          <w:rFonts w:hint="eastAsia" w:ascii="仿宋" w:hAnsi="仿宋" w:eastAsia="仿宋" w:cs="仿宋"/>
          <w:b/>
          <w:color w:val="auto"/>
          <w:sz w:val="24"/>
          <w:highlight w:val="none"/>
          <w:u w:val="single"/>
          <w:lang w:val="en-US" w:eastAsia="zh-Hans"/>
        </w:rPr>
        <w:t>新疆筑石工程项目管理有限公司</w:t>
      </w:r>
    </w:p>
    <w:p>
      <w:pPr>
        <w:pageBreakBefore w:val="0"/>
        <w:kinsoku/>
        <w:wordWrap/>
        <w:bidi w:val="0"/>
        <w:adjustRightInd w:val="0"/>
        <w:snapToGrid w:val="0"/>
        <w:spacing w:line="360" w:lineRule="auto"/>
        <w:ind w:left="0" w:leftChars="0" w:right="0" w:rightChars="0" w:firstLine="482" w:firstLineChars="200"/>
        <w:rPr>
          <w:rFonts w:hint="eastAsia" w:ascii="仿宋" w:hAnsi="仿宋" w:eastAsia="仿宋" w:cs="仿宋"/>
          <w:b/>
          <w:color w:val="auto"/>
          <w:sz w:val="24"/>
          <w:highlight w:val="none"/>
          <w:u w:val="single"/>
        </w:rPr>
      </w:pPr>
      <w:r>
        <w:rPr>
          <w:rFonts w:hint="eastAsia" w:ascii="仿宋" w:hAnsi="仿宋" w:eastAsia="仿宋" w:cs="仿宋"/>
          <w:b/>
          <w:color w:val="auto"/>
          <w:sz w:val="24"/>
          <w:highlight w:val="none"/>
          <w:u w:val="single"/>
        </w:rPr>
        <w:t>开 户 行：</w:t>
      </w:r>
      <w:r>
        <w:rPr>
          <w:rFonts w:hint="eastAsia" w:ascii="仿宋" w:hAnsi="仿宋" w:eastAsia="仿宋" w:cs="仿宋"/>
          <w:b/>
          <w:color w:val="auto"/>
          <w:sz w:val="24"/>
          <w:highlight w:val="none"/>
          <w:u w:val="single"/>
          <w:lang w:val="en-US" w:eastAsia="zh-Hans"/>
        </w:rPr>
        <w:t>中国农业银行乌鲁木齐龙腾路兵团支行</w:t>
      </w:r>
    </w:p>
    <w:p>
      <w:pPr>
        <w:pageBreakBefore w:val="0"/>
        <w:kinsoku/>
        <w:wordWrap/>
        <w:bidi w:val="0"/>
        <w:adjustRightInd w:val="0"/>
        <w:snapToGrid w:val="0"/>
        <w:spacing w:line="360" w:lineRule="auto"/>
        <w:ind w:left="0" w:leftChars="0" w:right="0" w:rightChars="0" w:firstLine="482" w:firstLineChars="200"/>
        <w:rPr>
          <w:rFonts w:hint="eastAsia" w:ascii="仿宋" w:hAnsi="仿宋" w:eastAsia="仿宋" w:cs="仿宋"/>
          <w:b/>
          <w:color w:val="auto"/>
          <w:sz w:val="24"/>
          <w:highlight w:val="none"/>
          <w:u w:val="single"/>
        </w:rPr>
      </w:pPr>
      <w:r>
        <w:rPr>
          <w:rFonts w:hint="eastAsia" w:ascii="仿宋" w:hAnsi="仿宋" w:eastAsia="仿宋" w:cs="仿宋"/>
          <w:b/>
          <w:color w:val="auto"/>
          <w:sz w:val="24"/>
          <w:highlight w:val="none"/>
          <w:u w:val="single"/>
        </w:rPr>
        <w:t xml:space="preserve">开户行号：103881001270 </w:t>
      </w:r>
    </w:p>
    <w:p>
      <w:pPr>
        <w:pageBreakBefore w:val="0"/>
        <w:kinsoku/>
        <w:wordWrap/>
        <w:bidi w:val="0"/>
        <w:adjustRightInd w:val="0"/>
        <w:snapToGrid w:val="0"/>
        <w:spacing w:line="360" w:lineRule="auto"/>
        <w:ind w:left="0" w:leftChars="0" w:right="0" w:rightChars="0" w:firstLine="482" w:firstLineChars="200"/>
        <w:rPr>
          <w:rFonts w:hint="eastAsia" w:ascii="仿宋" w:hAnsi="仿宋" w:eastAsia="仿宋" w:cs="仿宋"/>
          <w:b/>
          <w:color w:val="auto"/>
          <w:sz w:val="24"/>
          <w:highlight w:val="none"/>
          <w:u w:val="single"/>
        </w:rPr>
      </w:pPr>
      <w:r>
        <w:rPr>
          <w:rFonts w:hint="eastAsia" w:ascii="仿宋" w:hAnsi="仿宋" w:eastAsia="仿宋" w:cs="仿宋"/>
          <w:b/>
          <w:color w:val="auto"/>
          <w:sz w:val="24"/>
          <w:highlight w:val="none"/>
          <w:u w:val="single"/>
        </w:rPr>
        <w:t>账    号：30705701040001183</w:t>
      </w:r>
    </w:p>
    <w:p>
      <w:pPr>
        <w:pageBreakBefore w:val="0"/>
        <w:kinsoku/>
        <w:wordWrap/>
        <w:bidi w:val="0"/>
        <w:adjustRightInd w:val="0"/>
        <w:snapToGrid w:val="0"/>
        <w:spacing w:line="360" w:lineRule="auto"/>
        <w:ind w:left="0" w:leftChars="0" w:right="0" w:rightChars="0"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六、填写投标单位名称、公章、汇款单位账户名称三者必须一致。否则，因此造成不便由投标人自行承担。</w:t>
      </w:r>
    </w:p>
    <w:p>
      <w:pPr>
        <w:pageBreakBefore w:val="0"/>
        <w:kinsoku/>
        <w:wordWrap/>
        <w:bidi w:val="0"/>
        <w:adjustRightInd w:val="0"/>
        <w:snapToGrid w:val="0"/>
        <w:spacing w:line="360" w:lineRule="auto"/>
        <w:ind w:left="0" w:leftChars="0" w:right="0" w:rightChars="0"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七、投标人代表请务必填写真实、有效的联系人、联系电话及邮箱信息，以便后续工作及时与投标方取得联系。</w:t>
      </w:r>
    </w:p>
    <w:p>
      <w:pPr>
        <w:pageBreakBefore w:val="0"/>
        <w:kinsoku/>
        <w:wordWrap/>
        <w:bidi w:val="0"/>
        <w:adjustRightInd w:val="0"/>
        <w:snapToGrid w:val="0"/>
        <w:spacing w:line="360" w:lineRule="auto"/>
        <w:ind w:left="0" w:leftChars="0" w:right="0" w:rightChars="0"/>
        <w:jc w:val="center"/>
        <w:rPr>
          <w:rFonts w:hint="eastAsia" w:ascii="仿宋" w:hAnsi="仿宋" w:eastAsia="仿宋" w:cs="仿宋"/>
          <w:b/>
          <w:color w:val="auto"/>
          <w:sz w:val="44"/>
          <w:szCs w:val="44"/>
          <w:highlight w:val="none"/>
        </w:rPr>
        <w:sectPr>
          <w:footerReference r:id="rId3" w:type="default"/>
          <w:pgSz w:w="11906" w:h="16838"/>
          <w:pgMar w:top="1440" w:right="1800" w:bottom="1440" w:left="1800" w:header="851" w:footer="992" w:gutter="0"/>
          <w:pgNumType w:start="1"/>
          <w:cols w:space="720" w:num="1"/>
          <w:docGrid w:type="lines" w:linePitch="312" w:charSpace="0"/>
        </w:sectPr>
      </w:pPr>
    </w:p>
    <w:p>
      <w:pPr>
        <w:pageBreakBefore w:val="0"/>
        <w:kinsoku/>
        <w:wordWrap/>
        <w:bidi w:val="0"/>
        <w:adjustRightInd w:val="0"/>
        <w:snapToGrid w:val="0"/>
        <w:spacing w:line="360" w:lineRule="auto"/>
        <w:ind w:left="0" w:leftChars="0" w:right="0" w:rightChars="0"/>
        <w:jc w:val="center"/>
        <w:rPr>
          <w:rFonts w:hint="eastAsia" w:ascii="仿宋" w:hAnsi="仿宋" w:eastAsia="仿宋" w:cs="仿宋"/>
          <w:b/>
          <w:bCs/>
          <w:color w:val="auto"/>
          <w:sz w:val="32"/>
          <w:szCs w:val="32"/>
          <w:highlight w:val="none"/>
          <w:lang w:val="en-US" w:eastAsia="zh-Hans"/>
        </w:rPr>
      </w:pPr>
      <w:r>
        <w:rPr>
          <w:rFonts w:hint="eastAsia" w:ascii="仿宋" w:hAnsi="仿宋" w:eastAsia="仿宋" w:cs="仿宋"/>
          <w:b/>
          <w:bCs/>
          <w:color w:val="auto"/>
          <w:sz w:val="32"/>
          <w:szCs w:val="32"/>
          <w:highlight w:val="none"/>
          <w:lang w:val="en-US" w:eastAsia="zh-Hans"/>
        </w:rPr>
        <w:t>目录</w:t>
      </w:r>
    </w:p>
    <w:p>
      <w:pPr>
        <w:pageBreakBefore w:val="0"/>
        <w:kinsoku/>
        <w:wordWrap/>
        <w:bidi w:val="0"/>
        <w:adjustRightInd w:val="0"/>
        <w:snapToGrid w:val="0"/>
        <w:spacing w:line="360" w:lineRule="auto"/>
        <w:ind w:left="0" w:leftChars="0" w:right="0" w:rightChars="0"/>
        <w:jc w:val="center"/>
        <w:rPr>
          <w:rFonts w:hint="eastAsia" w:ascii="仿宋" w:hAnsi="仿宋" w:eastAsia="仿宋" w:cs="仿宋"/>
          <w:b/>
          <w:bCs/>
          <w:color w:val="auto"/>
          <w:sz w:val="32"/>
          <w:szCs w:val="32"/>
          <w:highlight w:val="none"/>
          <w:lang w:val="en-US" w:eastAsia="zh-Hans"/>
        </w:rPr>
      </w:pPr>
    </w:p>
    <w:sdt>
      <w:sdtPr>
        <w:rPr>
          <w:rFonts w:hint="eastAsia" w:ascii="仿宋" w:hAnsi="仿宋" w:eastAsia="仿宋" w:cs="仿宋"/>
          <w:b/>
          <w:bCs/>
          <w:color w:val="auto"/>
          <w:kern w:val="2"/>
          <w:sz w:val="32"/>
          <w:szCs w:val="32"/>
          <w:highlight w:val="none"/>
          <w:lang w:val="en-US" w:eastAsia="zh-CN" w:bidi="ar-SA"/>
        </w:rPr>
        <w:id w:val="873039943"/>
        <w15:color w:val="DBDBDB"/>
      </w:sdtPr>
      <w:sdtEndPr>
        <w:rPr>
          <w:rFonts w:hint="eastAsia" w:ascii="仿宋" w:hAnsi="仿宋" w:eastAsia="仿宋" w:cs="仿宋"/>
          <w:b/>
          <w:bCs/>
          <w:color w:val="auto"/>
          <w:kern w:val="2"/>
          <w:sz w:val="32"/>
          <w:szCs w:val="32"/>
          <w:highlight w:val="none"/>
          <w:lang w:val="en-US" w:eastAsia="zh-CN" w:bidi="ar-SA"/>
        </w:rPr>
      </w:sdtEndPr>
      <w:sdtContent>
        <w:p>
          <w:pPr>
            <w:pStyle w:val="34"/>
            <w:pageBreakBefore w:val="0"/>
            <w:tabs>
              <w:tab w:val="right" w:leader="dot" w:pos="8306"/>
            </w:tabs>
            <w:kinsoku/>
            <w:wordWrap/>
            <w:bidi w:val="0"/>
            <w:adjustRightInd w:val="0"/>
            <w:snapToGrid w:val="0"/>
            <w:spacing w:line="360" w:lineRule="auto"/>
            <w:ind w:left="0" w:leftChars="0" w:right="0" w:rightChars="0"/>
            <w:rPr>
              <w:rFonts w:hint="eastAsia" w:ascii="仿宋" w:hAnsi="仿宋" w:eastAsia="仿宋" w:cs="仿宋"/>
              <w:b/>
              <w:bCs/>
              <w:color w:val="auto"/>
              <w:kern w:val="2"/>
              <w:sz w:val="32"/>
              <w:szCs w:val="32"/>
              <w:highlight w:val="none"/>
              <w:lang w:val="en-US" w:eastAsia="zh-CN" w:bidi="ar-SA"/>
            </w:rPr>
          </w:pPr>
        </w:p>
        <w:sdt>
          <w:sdtPr>
            <w:rPr>
              <w:rFonts w:hint="eastAsia" w:ascii="仿宋" w:hAnsi="仿宋" w:eastAsia="仿宋" w:cs="仿宋"/>
              <w:b/>
              <w:bCs/>
              <w:color w:val="auto"/>
              <w:kern w:val="2"/>
              <w:sz w:val="36"/>
              <w:szCs w:val="36"/>
              <w:highlight w:val="none"/>
              <w:lang w:val="en-US" w:eastAsia="zh-CN" w:bidi="ar-SA"/>
            </w:rPr>
            <w:id w:val="540634351"/>
            <w15:color w:val="DBDBDB"/>
          </w:sdtPr>
          <w:sdtEndPr>
            <w:rPr>
              <w:rFonts w:hint="eastAsia" w:ascii="仿宋" w:hAnsi="仿宋" w:eastAsia="仿宋" w:cs="仿宋"/>
              <w:b/>
              <w:bCs/>
              <w:color w:val="auto"/>
              <w:kern w:val="2"/>
              <w:sz w:val="20"/>
              <w:szCs w:val="20"/>
              <w:highlight w:val="none"/>
              <w:lang w:val="en-US" w:eastAsia="zh-CN" w:bidi="ar-SA"/>
            </w:rPr>
          </w:sdtEndPr>
          <w:sdtContent>
            <w:p>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outlineLvl w:val="9"/>
                <w:rPr>
                  <w:rFonts w:hint="eastAsia" w:ascii="仿宋" w:hAnsi="仿宋" w:eastAsia="仿宋" w:cs="仿宋"/>
                  <w:b/>
                  <w:bCs/>
                  <w:color w:val="auto"/>
                  <w:sz w:val="36"/>
                  <w:szCs w:val="36"/>
                  <w:highlight w:val="none"/>
                </w:rPr>
              </w:pPr>
              <w:bookmarkStart w:id="0" w:name="_Toc916278269_WPSOffice_Type1"/>
            </w:p>
            <w:p>
              <w:pPr>
                <w:pStyle w:val="34"/>
                <w:keepNext w:val="0"/>
                <w:keepLines w:val="0"/>
                <w:pageBreakBefore w:val="0"/>
                <w:tabs>
                  <w:tab w:val="right" w:leader="dot" w:pos="8306"/>
                </w:tabs>
                <w:kinsoku/>
                <w:wordWrap/>
                <w:overflowPunct/>
                <w:topLinePunct w:val="0"/>
                <w:autoSpaceDE/>
                <w:autoSpaceDN/>
                <w:bidi w:val="0"/>
                <w:adjustRightInd w:val="0"/>
                <w:snapToGrid w:val="0"/>
                <w:spacing w:line="360" w:lineRule="auto"/>
                <w:ind w:left="0" w:leftChars="0" w:right="0" w:rightChars="0" w:firstLine="0" w:firstLineChars="0"/>
                <w:textAlignment w:val="auto"/>
                <w:outlineLvl w:val="9"/>
                <w:rPr>
                  <w:rFonts w:hint="eastAsia"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fldChar w:fldCharType="begin"/>
              </w:r>
              <w:r>
                <w:rPr>
                  <w:rFonts w:hint="eastAsia" w:ascii="仿宋" w:hAnsi="仿宋" w:eastAsia="仿宋" w:cs="仿宋"/>
                  <w:b/>
                  <w:bCs/>
                  <w:color w:val="auto"/>
                  <w:sz w:val="36"/>
                  <w:szCs w:val="36"/>
                  <w:highlight w:val="none"/>
                </w:rPr>
                <w:instrText xml:space="preserve"> HYPERLINK \l _Toc2106484703_WPSOffice_Level1 </w:instrText>
              </w:r>
              <w:r>
                <w:rPr>
                  <w:rFonts w:hint="eastAsia" w:ascii="仿宋" w:hAnsi="仿宋" w:eastAsia="仿宋" w:cs="仿宋"/>
                  <w:b/>
                  <w:bCs/>
                  <w:color w:val="auto"/>
                  <w:sz w:val="36"/>
                  <w:szCs w:val="36"/>
                  <w:highlight w:val="none"/>
                </w:rPr>
                <w:fldChar w:fldCharType="separate"/>
              </w:r>
              <w:sdt>
                <w:sdtPr>
                  <w:rPr>
                    <w:rFonts w:hint="eastAsia" w:ascii="仿宋" w:hAnsi="仿宋" w:eastAsia="仿宋" w:cs="仿宋"/>
                    <w:b/>
                    <w:bCs/>
                    <w:color w:val="auto"/>
                    <w:sz w:val="36"/>
                    <w:szCs w:val="36"/>
                    <w:highlight w:val="none"/>
                  </w:rPr>
                  <w:id w:val="540634351"/>
                  <w:placeholder>
                    <w:docPart w:val="{13ab6eca-d3c5-451d-9287-c105b3981ec1}"/>
                  </w:placeholder>
                  <w15:color w:val="509DF3"/>
                </w:sdtPr>
                <w:sdtEndPr>
                  <w:rPr>
                    <w:rFonts w:hint="eastAsia" w:ascii="仿宋" w:hAnsi="仿宋" w:eastAsia="仿宋" w:cs="仿宋"/>
                    <w:b/>
                    <w:bCs/>
                    <w:color w:val="auto"/>
                    <w:sz w:val="36"/>
                    <w:szCs w:val="36"/>
                    <w:highlight w:val="none"/>
                  </w:rPr>
                </w:sdtEndPr>
                <w:sdtContent>
                  <w:r>
                    <w:rPr>
                      <w:rFonts w:hint="eastAsia" w:ascii="仿宋" w:hAnsi="仿宋" w:eastAsia="仿宋" w:cs="仿宋"/>
                      <w:b/>
                      <w:bCs/>
                      <w:color w:val="auto"/>
                      <w:sz w:val="36"/>
                      <w:szCs w:val="36"/>
                      <w:highlight w:val="none"/>
                    </w:rPr>
                    <w:t>第一章 招标公告</w:t>
                  </w:r>
                </w:sdtContent>
              </w:sdt>
              <w:r>
                <w:rPr>
                  <w:rFonts w:hint="eastAsia" w:ascii="仿宋" w:hAnsi="仿宋" w:eastAsia="仿宋" w:cs="仿宋"/>
                  <w:b/>
                  <w:bCs/>
                  <w:color w:val="auto"/>
                  <w:sz w:val="36"/>
                  <w:szCs w:val="36"/>
                  <w:highlight w:val="none"/>
                </w:rPr>
                <w:tab/>
              </w:r>
              <w:bookmarkStart w:id="1" w:name="_Toc2106484703_WPSOffice_Level1Page"/>
              <w:r>
                <w:rPr>
                  <w:rFonts w:hint="eastAsia" w:ascii="仿宋" w:hAnsi="仿宋" w:eastAsia="仿宋" w:cs="仿宋"/>
                  <w:b/>
                  <w:bCs/>
                  <w:color w:val="auto"/>
                  <w:sz w:val="36"/>
                  <w:szCs w:val="36"/>
                  <w:highlight w:val="none"/>
                </w:rPr>
                <w:t>3</w:t>
              </w:r>
              <w:bookmarkEnd w:id="1"/>
              <w:r>
                <w:rPr>
                  <w:rFonts w:hint="eastAsia" w:ascii="仿宋" w:hAnsi="仿宋" w:eastAsia="仿宋" w:cs="仿宋"/>
                  <w:b/>
                  <w:bCs/>
                  <w:color w:val="auto"/>
                  <w:sz w:val="36"/>
                  <w:szCs w:val="36"/>
                  <w:highlight w:val="none"/>
                </w:rPr>
                <w:fldChar w:fldCharType="end"/>
              </w:r>
            </w:p>
            <w:p>
              <w:pPr>
                <w:pStyle w:val="34"/>
                <w:keepNext w:val="0"/>
                <w:keepLines w:val="0"/>
                <w:pageBreakBefore w:val="0"/>
                <w:tabs>
                  <w:tab w:val="right" w:leader="dot" w:pos="8306"/>
                </w:tabs>
                <w:kinsoku/>
                <w:wordWrap/>
                <w:overflowPunct/>
                <w:topLinePunct w:val="0"/>
                <w:autoSpaceDE/>
                <w:autoSpaceDN/>
                <w:bidi w:val="0"/>
                <w:adjustRightInd w:val="0"/>
                <w:snapToGrid w:val="0"/>
                <w:spacing w:line="360" w:lineRule="auto"/>
                <w:ind w:left="0" w:leftChars="0" w:right="0" w:rightChars="0" w:firstLine="0" w:firstLineChars="0"/>
                <w:textAlignment w:val="auto"/>
                <w:outlineLvl w:val="9"/>
                <w:rPr>
                  <w:rFonts w:hint="eastAsia"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fldChar w:fldCharType="begin"/>
              </w:r>
              <w:r>
                <w:rPr>
                  <w:rFonts w:hint="eastAsia" w:ascii="仿宋" w:hAnsi="仿宋" w:eastAsia="仿宋" w:cs="仿宋"/>
                  <w:b/>
                  <w:bCs/>
                  <w:color w:val="auto"/>
                  <w:sz w:val="36"/>
                  <w:szCs w:val="36"/>
                  <w:highlight w:val="none"/>
                </w:rPr>
                <w:instrText xml:space="preserve"> HYPERLINK \l _Toc916278269_WPSOffice_Level1 </w:instrText>
              </w:r>
              <w:r>
                <w:rPr>
                  <w:rFonts w:hint="eastAsia" w:ascii="仿宋" w:hAnsi="仿宋" w:eastAsia="仿宋" w:cs="仿宋"/>
                  <w:b/>
                  <w:bCs/>
                  <w:color w:val="auto"/>
                  <w:sz w:val="36"/>
                  <w:szCs w:val="36"/>
                  <w:highlight w:val="none"/>
                </w:rPr>
                <w:fldChar w:fldCharType="separate"/>
              </w:r>
              <w:sdt>
                <w:sdtPr>
                  <w:rPr>
                    <w:rFonts w:hint="eastAsia" w:ascii="仿宋" w:hAnsi="仿宋" w:eastAsia="仿宋" w:cs="仿宋"/>
                    <w:b/>
                    <w:bCs/>
                    <w:color w:val="auto"/>
                    <w:sz w:val="36"/>
                    <w:szCs w:val="36"/>
                    <w:highlight w:val="none"/>
                  </w:rPr>
                  <w:id w:val="540634351"/>
                  <w:placeholder>
                    <w:docPart w:val="{24d9f258-283b-4be9-971f-2db4518d93a5}"/>
                  </w:placeholder>
                  <w15:color w:val="509DF3"/>
                </w:sdtPr>
                <w:sdtEndPr>
                  <w:rPr>
                    <w:rFonts w:hint="eastAsia" w:ascii="仿宋" w:hAnsi="仿宋" w:eastAsia="仿宋" w:cs="仿宋"/>
                    <w:b/>
                    <w:bCs/>
                    <w:color w:val="auto"/>
                    <w:sz w:val="36"/>
                    <w:szCs w:val="36"/>
                    <w:highlight w:val="none"/>
                  </w:rPr>
                </w:sdtEndPr>
                <w:sdtContent>
                  <w:r>
                    <w:rPr>
                      <w:rFonts w:hint="eastAsia" w:ascii="仿宋" w:hAnsi="仿宋" w:eastAsia="仿宋" w:cs="仿宋"/>
                      <w:b/>
                      <w:bCs/>
                      <w:color w:val="auto"/>
                      <w:sz w:val="36"/>
                      <w:szCs w:val="36"/>
                      <w:highlight w:val="none"/>
                    </w:rPr>
                    <w:t>第二章 投标须知</w:t>
                  </w:r>
                </w:sdtContent>
              </w:sdt>
              <w:r>
                <w:rPr>
                  <w:rFonts w:hint="eastAsia" w:ascii="仿宋" w:hAnsi="仿宋" w:eastAsia="仿宋" w:cs="仿宋"/>
                  <w:b/>
                  <w:bCs/>
                  <w:color w:val="auto"/>
                  <w:sz w:val="36"/>
                  <w:szCs w:val="36"/>
                  <w:highlight w:val="none"/>
                </w:rPr>
                <w:tab/>
              </w:r>
              <w:bookmarkStart w:id="2" w:name="_Toc916278269_WPSOffice_Level1Page"/>
              <w:r>
                <w:rPr>
                  <w:rFonts w:hint="eastAsia" w:ascii="仿宋" w:hAnsi="仿宋" w:eastAsia="仿宋" w:cs="仿宋"/>
                  <w:b/>
                  <w:bCs/>
                  <w:color w:val="auto"/>
                  <w:sz w:val="36"/>
                  <w:szCs w:val="36"/>
                  <w:highlight w:val="none"/>
                </w:rPr>
                <w:t>7</w:t>
              </w:r>
              <w:bookmarkEnd w:id="2"/>
              <w:r>
                <w:rPr>
                  <w:rFonts w:hint="eastAsia" w:ascii="仿宋" w:hAnsi="仿宋" w:eastAsia="仿宋" w:cs="仿宋"/>
                  <w:b/>
                  <w:bCs/>
                  <w:color w:val="auto"/>
                  <w:sz w:val="36"/>
                  <w:szCs w:val="36"/>
                  <w:highlight w:val="none"/>
                </w:rPr>
                <w:fldChar w:fldCharType="end"/>
              </w:r>
            </w:p>
            <w:p>
              <w:pPr>
                <w:pStyle w:val="34"/>
                <w:keepNext w:val="0"/>
                <w:keepLines w:val="0"/>
                <w:pageBreakBefore w:val="0"/>
                <w:tabs>
                  <w:tab w:val="right" w:leader="dot" w:pos="8306"/>
                </w:tabs>
                <w:kinsoku/>
                <w:wordWrap/>
                <w:overflowPunct/>
                <w:topLinePunct w:val="0"/>
                <w:autoSpaceDE/>
                <w:autoSpaceDN/>
                <w:bidi w:val="0"/>
                <w:adjustRightInd w:val="0"/>
                <w:snapToGrid w:val="0"/>
                <w:spacing w:line="360" w:lineRule="auto"/>
                <w:ind w:left="0" w:leftChars="0" w:right="0" w:rightChars="0" w:firstLine="0" w:firstLineChars="0"/>
                <w:textAlignment w:val="auto"/>
                <w:outlineLvl w:val="9"/>
                <w:rPr>
                  <w:rFonts w:hint="eastAsia"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fldChar w:fldCharType="begin"/>
              </w:r>
              <w:r>
                <w:rPr>
                  <w:rFonts w:hint="eastAsia" w:ascii="仿宋" w:hAnsi="仿宋" w:eastAsia="仿宋" w:cs="仿宋"/>
                  <w:b/>
                  <w:bCs/>
                  <w:color w:val="auto"/>
                  <w:sz w:val="36"/>
                  <w:szCs w:val="36"/>
                  <w:highlight w:val="none"/>
                </w:rPr>
                <w:instrText xml:space="preserve"> HYPERLINK \l _Toc283634446_WPSOffice_Level1 </w:instrText>
              </w:r>
              <w:r>
                <w:rPr>
                  <w:rFonts w:hint="eastAsia" w:ascii="仿宋" w:hAnsi="仿宋" w:eastAsia="仿宋" w:cs="仿宋"/>
                  <w:b/>
                  <w:bCs/>
                  <w:color w:val="auto"/>
                  <w:sz w:val="36"/>
                  <w:szCs w:val="36"/>
                  <w:highlight w:val="none"/>
                </w:rPr>
                <w:fldChar w:fldCharType="separate"/>
              </w:r>
              <w:sdt>
                <w:sdtPr>
                  <w:rPr>
                    <w:rFonts w:hint="eastAsia" w:ascii="仿宋" w:hAnsi="仿宋" w:eastAsia="仿宋" w:cs="仿宋"/>
                    <w:b/>
                    <w:bCs/>
                    <w:color w:val="auto"/>
                    <w:sz w:val="36"/>
                    <w:szCs w:val="36"/>
                    <w:highlight w:val="none"/>
                  </w:rPr>
                  <w:id w:val="540634351"/>
                  <w:placeholder>
                    <w:docPart w:val="{3d868eec-8c5d-478a-879e-35d47cae5540}"/>
                  </w:placeholder>
                  <w15:color w:val="509DF3"/>
                </w:sdtPr>
                <w:sdtEndPr>
                  <w:rPr>
                    <w:rFonts w:hint="eastAsia" w:ascii="仿宋" w:hAnsi="仿宋" w:eastAsia="仿宋" w:cs="仿宋"/>
                    <w:b/>
                    <w:bCs/>
                    <w:color w:val="auto"/>
                    <w:sz w:val="36"/>
                    <w:szCs w:val="36"/>
                    <w:highlight w:val="none"/>
                  </w:rPr>
                </w:sdtEndPr>
                <w:sdtContent>
                  <w:r>
                    <w:rPr>
                      <w:rFonts w:hint="eastAsia" w:ascii="仿宋" w:hAnsi="仿宋" w:eastAsia="仿宋" w:cs="仿宋"/>
                      <w:b/>
                      <w:bCs/>
                      <w:color w:val="auto"/>
                      <w:sz w:val="36"/>
                      <w:szCs w:val="36"/>
                      <w:highlight w:val="none"/>
                    </w:rPr>
                    <w:t>第三章 评标办法（综合评分法）</w:t>
                  </w:r>
                </w:sdtContent>
              </w:sdt>
              <w:r>
                <w:rPr>
                  <w:rFonts w:hint="eastAsia" w:ascii="仿宋" w:hAnsi="仿宋" w:eastAsia="仿宋" w:cs="仿宋"/>
                  <w:b/>
                  <w:bCs/>
                  <w:color w:val="auto"/>
                  <w:sz w:val="36"/>
                  <w:szCs w:val="36"/>
                  <w:highlight w:val="none"/>
                </w:rPr>
                <w:tab/>
              </w:r>
              <w:bookmarkStart w:id="3" w:name="_Toc283634446_WPSOffice_Level1Page"/>
              <w:r>
                <w:rPr>
                  <w:rFonts w:hint="eastAsia" w:ascii="仿宋" w:hAnsi="仿宋" w:eastAsia="仿宋" w:cs="仿宋"/>
                  <w:b/>
                  <w:bCs/>
                  <w:color w:val="auto"/>
                  <w:sz w:val="36"/>
                  <w:szCs w:val="36"/>
                  <w:highlight w:val="none"/>
                </w:rPr>
                <w:t>31</w:t>
              </w:r>
              <w:bookmarkEnd w:id="3"/>
              <w:r>
                <w:rPr>
                  <w:rFonts w:hint="eastAsia" w:ascii="仿宋" w:hAnsi="仿宋" w:eastAsia="仿宋" w:cs="仿宋"/>
                  <w:b/>
                  <w:bCs/>
                  <w:color w:val="auto"/>
                  <w:sz w:val="36"/>
                  <w:szCs w:val="36"/>
                  <w:highlight w:val="none"/>
                </w:rPr>
                <w:fldChar w:fldCharType="end"/>
              </w:r>
            </w:p>
            <w:p>
              <w:pPr>
                <w:pStyle w:val="34"/>
                <w:keepNext w:val="0"/>
                <w:keepLines w:val="0"/>
                <w:pageBreakBefore w:val="0"/>
                <w:tabs>
                  <w:tab w:val="right" w:leader="dot" w:pos="8306"/>
                </w:tabs>
                <w:kinsoku/>
                <w:wordWrap/>
                <w:overflowPunct/>
                <w:topLinePunct w:val="0"/>
                <w:autoSpaceDE/>
                <w:autoSpaceDN/>
                <w:bidi w:val="0"/>
                <w:adjustRightInd w:val="0"/>
                <w:snapToGrid w:val="0"/>
                <w:spacing w:line="360" w:lineRule="auto"/>
                <w:ind w:left="0" w:leftChars="0" w:right="0" w:rightChars="0" w:firstLine="0" w:firstLineChars="0"/>
                <w:textAlignment w:val="auto"/>
                <w:outlineLvl w:val="9"/>
                <w:rPr>
                  <w:rFonts w:hint="eastAsia"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fldChar w:fldCharType="begin"/>
              </w:r>
              <w:r>
                <w:rPr>
                  <w:rFonts w:hint="eastAsia" w:ascii="仿宋" w:hAnsi="仿宋" w:eastAsia="仿宋" w:cs="仿宋"/>
                  <w:b/>
                  <w:bCs/>
                  <w:color w:val="auto"/>
                  <w:sz w:val="36"/>
                  <w:szCs w:val="36"/>
                  <w:highlight w:val="none"/>
                </w:rPr>
                <w:instrText xml:space="preserve"> HYPERLINK \l _Toc1777921229_WPSOffice_Level1 </w:instrText>
              </w:r>
              <w:r>
                <w:rPr>
                  <w:rFonts w:hint="eastAsia" w:ascii="仿宋" w:hAnsi="仿宋" w:eastAsia="仿宋" w:cs="仿宋"/>
                  <w:b/>
                  <w:bCs/>
                  <w:color w:val="auto"/>
                  <w:sz w:val="36"/>
                  <w:szCs w:val="36"/>
                  <w:highlight w:val="none"/>
                </w:rPr>
                <w:fldChar w:fldCharType="separate"/>
              </w:r>
              <w:sdt>
                <w:sdtPr>
                  <w:rPr>
                    <w:rFonts w:hint="eastAsia" w:ascii="仿宋" w:hAnsi="仿宋" w:eastAsia="仿宋" w:cs="仿宋"/>
                    <w:b/>
                    <w:bCs/>
                    <w:color w:val="auto"/>
                    <w:sz w:val="36"/>
                    <w:szCs w:val="36"/>
                    <w:highlight w:val="none"/>
                  </w:rPr>
                  <w:id w:val="540634351"/>
                  <w:placeholder>
                    <w:docPart w:val="{9c6c7a6b-4bda-4759-b627-154a6bbda8bd}"/>
                  </w:placeholder>
                  <w15:color w:val="509DF3"/>
                </w:sdtPr>
                <w:sdtEndPr>
                  <w:rPr>
                    <w:rFonts w:hint="eastAsia" w:ascii="仿宋" w:hAnsi="仿宋" w:eastAsia="仿宋" w:cs="仿宋"/>
                    <w:b/>
                    <w:bCs/>
                    <w:color w:val="auto"/>
                    <w:sz w:val="36"/>
                    <w:szCs w:val="36"/>
                    <w:highlight w:val="none"/>
                  </w:rPr>
                </w:sdtEndPr>
                <w:sdtContent>
                  <w:r>
                    <w:rPr>
                      <w:rFonts w:hint="eastAsia" w:ascii="仿宋" w:hAnsi="仿宋" w:eastAsia="仿宋" w:cs="仿宋"/>
                      <w:b/>
                      <w:bCs/>
                      <w:color w:val="auto"/>
                      <w:sz w:val="36"/>
                      <w:szCs w:val="36"/>
                      <w:highlight w:val="none"/>
                    </w:rPr>
                    <w:t>第四章 合同主要条款</w:t>
                  </w:r>
                </w:sdtContent>
              </w:sdt>
              <w:r>
                <w:rPr>
                  <w:rFonts w:hint="eastAsia" w:ascii="仿宋" w:hAnsi="仿宋" w:eastAsia="仿宋" w:cs="仿宋"/>
                  <w:b/>
                  <w:bCs/>
                  <w:color w:val="auto"/>
                  <w:sz w:val="36"/>
                  <w:szCs w:val="36"/>
                  <w:highlight w:val="none"/>
                </w:rPr>
                <w:tab/>
              </w:r>
              <w:bookmarkStart w:id="4" w:name="_Toc1777921229_WPSOffice_Level1Page"/>
              <w:r>
                <w:rPr>
                  <w:rFonts w:hint="eastAsia" w:ascii="仿宋" w:hAnsi="仿宋" w:eastAsia="仿宋" w:cs="仿宋"/>
                  <w:b/>
                  <w:bCs/>
                  <w:color w:val="auto"/>
                  <w:sz w:val="36"/>
                  <w:szCs w:val="36"/>
                  <w:highlight w:val="none"/>
                </w:rPr>
                <w:t>40</w:t>
              </w:r>
              <w:bookmarkEnd w:id="4"/>
              <w:r>
                <w:rPr>
                  <w:rFonts w:hint="eastAsia" w:ascii="仿宋" w:hAnsi="仿宋" w:eastAsia="仿宋" w:cs="仿宋"/>
                  <w:b/>
                  <w:bCs/>
                  <w:color w:val="auto"/>
                  <w:sz w:val="36"/>
                  <w:szCs w:val="36"/>
                  <w:highlight w:val="none"/>
                </w:rPr>
                <w:fldChar w:fldCharType="end"/>
              </w:r>
            </w:p>
            <w:p>
              <w:pPr>
                <w:pStyle w:val="34"/>
                <w:keepNext w:val="0"/>
                <w:keepLines w:val="0"/>
                <w:pageBreakBefore w:val="0"/>
                <w:tabs>
                  <w:tab w:val="right" w:leader="dot" w:pos="8306"/>
                </w:tabs>
                <w:kinsoku/>
                <w:wordWrap/>
                <w:overflowPunct/>
                <w:topLinePunct w:val="0"/>
                <w:autoSpaceDE/>
                <w:autoSpaceDN/>
                <w:bidi w:val="0"/>
                <w:adjustRightInd w:val="0"/>
                <w:snapToGrid w:val="0"/>
                <w:spacing w:line="360" w:lineRule="auto"/>
                <w:ind w:left="0" w:leftChars="0" w:right="0" w:rightChars="0" w:firstLine="0" w:firstLineChars="0"/>
                <w:textAlignment w:val="auto"/>
                <w:outlineLvl w:val="9"/>
                <w:rPr>
                  <w:rFonts w:hint="eastAsia"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fldChar w:fldCharType="begin"/>
              </w:r>
              <w:r>
                <w:rPr>
                  <w:rFonts w:hint="eastAsia" w:ascii="仿宋" w:hAnsi="仿宋" w:eastAsia="仿宋" w:cs="仿宋"/>
                  <w:b/>
                  <w:bCs/>
                  <w:color w:val="auto"/>
                  <w:sz w:val="36"/>
                  <w:szCs w:val="36"/>
                  <w:highlight w:val="none"/>
                </w:rPr>
                <w:instrText xml:space="preserve"> HYPERLINK \l _Toc1434631445_WPSOffice_Level1 </w:instrText>
              </w:r>
              <w:r>
                <w:rPr>
                  <w:rFonts w:hint="eastAsia" w:ascii="仿宋" w:hAnsi="仿宋" w:eastAsia="仿宋" w:cs="仿宋"/>
                  <w:b/>
                  <w:bCs/>
                  <w:color w:val="auto"/>
                  <w:sz w:val="36"/>
                  <w:szCs w:val="36"/>
                  <w:highlight w:val="none"/>
                </w:rPr>
                <w:fldChar w:fldCharType="separate"/>
              </w:r>
              <w:sdt>
                <w:sdtPr>
                  <w:rPr>
                    <w:rFonts w:hint="eastAsia" w:ascii="仿宋" w:hAnsi="仿宋" w:eastAsia="仿宋" w:cs="仿宋"/>
                    <w:b/>
                    <w:bCs/>
                    <w:color w:val="auto"/>
                    <w:sz w:val="36"/>
                    <w:szCs w:val="36"/>
                    <w:highlight w:val="none"/>
                  </w:rPr>
                  <w:id w:val="540634351"/>
                  <w:placeholder>
                    <w:docPart w:val="{32d05670-1a36-49cd-8545-b23a40f19d7d}"/>
                  </w:placeholder>
                  <w15:color w:val="509DF3"/>
                </w:sdtPr>
                <w:sdtEndPr>
                  <w:rPr>
                    <w:rFonts w:hint="eastAsia" w:ascii="仿宋" w:hAnsi="仿宋" w:eastAsia="仿宋" w:cs="仿宋"/>
                    <w:b/>
                    <w:bCs/>
                    <w:color w:val="auto"/>
                    <w:sz w:val="36"/>
                    <w:szCs w:val="36"/>
                    <w:highlight w:val="none"/>
                  </w:rPr>
                </w:sdtEndPr>
                <w:sdtContent>
                  <w:r>
                    <w:rPr>
                      <w:rFonts w:hint="eastAsia" w:ascii="仿宋" w:hAnsi="仿宋" w:eastAsia="仿宋" w:cs="仿宋"/>
                      <w:b/>
                      <w:bCs/>
                      <w:color w:val="auto"/>
                      <w:sz w:val="36"/>
                      <w:szCs w:val="36"/>
                      <w:highlight w:val="none"/>
                    </w:rPr>
                    <w:t>第五章 采购需求</w:t>
                  </w:r>
                </w:sdtContent>
              </w:sdt>
              <w:r>
                <w:rPr>
                  <w:rFonts w:hint="eastAsia" w:ascii="仿宋" w:hAnsi="仿宋" w:eastAsia="仿宋" w:cs="仿宋"/>
                  <w:b/>
                  <w:bCs/>
                  <w:color w:val="auto"/>
                  <w:sz w:val="36"/>
                  <w:szCs w:val="36"/>
                  <w:highlight w:val="none"/>
                </w:rPr>
                <w:tab/>
              </w:r>
              <w:bookmarkStart w:id="5" w:name="_Toc1434631445_WPSOffice_Level1Page"/>
              <w:r>
                <w:rPr>
                  <w:rFonts w:hint="eastAsia" w:ascii="仿宋" w:hAnsi="仿宋" w:eastAsia="仿宋" w:cs="仿宋"/>
                  <w:b/>
                  <w:bCs/>
                  <w:color w:val="auto"/>
                  <w:sz w:val="36"/>
                  <w:szCs w:val="36"/>
                  <w:highlight w:val="none"/>
                </w:rPr>
                <w:t>44</w:t>
              </w:r>
              <w:bookmarkEnd w:id="5"/>
              <w:r>
                <w:rPr>
                  <w:rFonts w:hint="eastAsia" w:ascii="仿宋" w:hAnsi="仿宋" w:eastAsia="仿宋" w:cs="仿宋"/>
                  <w:b/>
                  <w:bCs/>
                  <w:color w:val="auto"/>
                  <w:sz w:val="36"/>
                  <w:szCs w:val="36"/>
                  <w:highlight w:val="none"/>
                </w:rPr>
                <w:fldChar w:fldCharType="end"/>
              </w:r>
            </w:p>
            <w:p>
              <w:pPr>
                <w:pStyle w:val="34"/>
                <w:keepNext w:val="0"/>
                <w:keepLines w:val="0"/>
                <w:pageBreakBefore w:val="0"/>
                <w:tabs>
                  <w:tab w:val="right" w:leader="dot" w:pos="8306"/>
                </w:tabs>
                <w:kinsoku/>
                <w:wordWrap/>
                <w:overflowPunct/>
                <w:topLinePunct w:val="0"/>
                <w:autoSpaceDE/>
                <w:autoSpaceDN/>
                <w:bidi w:val="0"/>
                <w:adjustRightInd w:val="0"/>
                <w:snapToGrid w:val="0"/>
                <w:spacing w:line="360" w:lineRule="auto"/>
                <w:ind w:left="0" w:leftChars="0" w:right="0" w:rightChars="0" w:firstLine="0" w:firstLineChars="0"/>
                <w:textAlignment w:val="auto"/>
                <w:outlineLvl w:val="9"/>
                <w:rPr>
                  <w:rFonts w:hint="eastAsia"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fldChar w:fldCharType="begin"/>
              </w:r>
              <w:r>
                <w:rPr>
                  <w:rFonts w:hint="eastAsia" w:ascii="仿宋" w:hAnsi="仿宋" w:eastAsia="仿宋" w:cs="仿宋"/>
                  <w:b/>
                  <w:bCs/>
                  <w:color w:val="auto"/>
                  <w:sz w:val="36"/>
                  <w:szCs w:val="36"/>
                  <w:highlight w:val="none"/>
                </w:rPr>
                <w:instrText xml:space="preserve"> HYPERLINK \l _Toc2051791246_WPSOffice_Level1 </w:instrText>
              </w:r>
              <w:r>
                <w:rPr>
                  <w:rFonts w:hint="eastAsia" w:ascii="仿宋" w:hAnsi="仿宋" w:eastAsia="仿宋" w:cs="仿宋"/>
                  <w:b/>
                  <w:bCs/>
                  <w:color w:val="auto"/>
                  <w:sz w:val="36"/>
                  <w:szCs w:val="36"/>
                  <w:highlight w:val="none"/>
                </w:rPr>
                <w:fldChar w:fldCharType="separate"/>
              </w:r>
              <w:sdt>
                <w:sdtPr>
                  <w:rPr>
                    <w:rFonts w:hint="eastAsia" w:ascii="仿宋" w:hAnsi="仿宋" w:eastAsia="仿宋" w:cs="仿宋"/>
                    <w:b/>
                    <w:bCs/>
                    <w:color w:val="auto"/>
                    <w:sz w:val="36"/>
                    <w:szCs w:val="36"/>
                    <w:highlight w:val="none"/>
                  </w:rPr>
                  <w:id w:val="540634351"/>
                  <w:placeholder>
                    <w:docPart w:val="{4afa0626-4e6f-4935-a23f-5ebb38a499cd}"/>
                  </w:placeholder>
                  <w15:color w:val="509DF3"/>
                </w:sdtPr>
                <w:sdtEndPr>
                  <w:rPr>
                    <w:rFonts w:hint="eastAsia" w:ascii="仿宋" w:hAnsi="仿宋" w:eastAsia="仿宋" w:cs="仿宋"/>
                    <w:b/>
                    <w:bCs/>
                    <w:color w:val="auto"/>
                    <w:sz w:val="36"/>
                    <w:szCs w:val="36"/>
                    <w:highlight w:val="none"/>
                  </w:rPr>
                </w:sdtEndPr>
                <w:sdtContent>
                  <w:r>
                    <w:rPr>
                      <w:rFonts w:hint="eastAsia" w:ascii="仿宋" w:hAnsi="仿宋" w:eastAsia="仿宋" w:cs="仿宋"/>
                      <w:b/>
                      <w:bCs/>
                      <w:color w:val="auto"/>
                      <w:sz w:val="36"/>
                      <w:szCs w:val="36"/>
                      <w:highlight w:val="none"/>
                    </w:rPr>
                    <w:t>第六章 投标文件主要参考格式</w:t>
                  </w:r>
                </w:sdtContent>
              </w:sdt>
              <w:r>
                <w:rPr>
                  <w:rFonts w:hint="eastAsia" w:ascii="仿宋" w:hAnsi="仿宋" w:eastAsia="仿宋" w:cs="仿宋"/>
                  <w:b/>
                  <w:bCs/>
                  <w:color w:val="auto"/>
                  <w:sz w:val="36"/>
                  <w:szCs w:val="36"/>
                  <w:highlight w:val="none"/>
                </w:rPr>
                <w:tab/>
              </w:r>
              <w:bookmarkStart w:id="6" w:name="_Toc2051791246_WPSOffice_Level1Page"/>
              <w:r>
                <w:rPr>
                  <w:rFonts w:hint="eastAsia" w:ascii="仿宋" w:hAnsi="仿宋" w:eastAsia="仿宋" w:cs="仿宋"/>
                  <w:b/>
                  <w:bCs/>
                  <w:color w:val="auto"/>
                  <w:sz w:val="36"/>
                  <w:szCs w:val="36"/>
                  <w:highlight w:val="none"/>
                </w:rPr>
                <w:t>75</w:t>
              </w:r>
              <w:bookmarkEnd w:id="6"/>
              <w:r>
                <w:rPr>
                  <w:rFonts w:hint="eastAsia" w:ascii="仿宋" w:hAnsi="仿宋" w:eastAsia="仿宋" w:cs="仿宋"/>
                  <w:b/>
                  <w:bCs/>
                  <w:color w:val="auto"/>
                  <w:sz w:val="36"/>
                  <w:szCs w:val="36"/>
                  <w:highlight w:val="none"/>
                </w:rPr>
                <w:fldChar w:fldCharType="end"/>
              </w:r>
              <w:bookmarkEnd w:id="0"/>
            </w:p>
            <w:p>
              <w:pPr>
                <w:pageBreakBefore w:val="0"/>
                <w:kinsoku/>
                <w:wordWrap/>
                <w:bidi w:val="0"/>
                <w:adjustRightInd w:val="0"/>
                <w:snapToGrid w:val="0"/>
                <w:spacing w:line="360" w:lineRule="auto"/>
                <w:ind w:left="0" w:leftChars="0" w:right="0" w:rightChars="0"/>
                <w:jc w:val="center"/>
                <w:rPr>
                  <w:rFonts w:hint="eastAsia" w:ascii="仿宋" w:hAnsi="仿宋" w:eastAsia="仿宋" w:cs="仿宋"/>
                  <w:b/>
                  <w:bCs/>
                  <w:color w:val="auto"/>
                  <w:sz w:val="32"/>
                  <w:szCs w:val="32"/>
                  <w:highlight w:val="none"/>
                  <w:lang w:val="en-US" w:eastAsia="zh-Hans"/>
                </w:rPr>
                <w:sectPr>
                  <w:pgSz w:w="11906" w:h="16838"/>
                  <w:pgMar w:top="1440" w:right="1800" w:bottom="1440" w:left="1800" w:header="851" w:footer="992" w:gutter="0"/>
                  <w:cols w:space="425" w:num="1"/>
                  <w:docGrid w:type="lines" w:linePitch="312" w:charSpace="0"/>
                </w:sectPr>
              </w:pPr>
            </w:p>
          </w:sdtContent>
        </w:sdt>
      </w:sdtContent>
    </w:sdt>
    <w:p>
      <w:pPr>
        <w:pStyle w:val="3"/>
        <w:bidi w:val="0"/>
        <w:rPr>
          <w:rFonts w:hint="eastAsia" w:ascii="仿宋" w:hAnsi="仿宋" w:eastAsia="仿宋" w:cs="仿宋"/>
          <w:color w:val="auto"/>
          <w:highlight w:val="none"/>
          <w:lang w:val="en-US" w:eastAsia="zh-Hans"/>
        </w:rPr>
      </w:pPr>
      <w:bookmarkStart w:id="7" w:name="_Toc2106484703_WPSOffice_Level1"/>
      <w:bookmarkStart w:id="8" w:name="_Toc823684507_WPSOffice_Level1"/>
      <w:bookmarkStart w:id="9" w:name="_Toc916278269_WPSOffice_Level1"/>
      <w:r>
        <w:rPr>
          <w:rFonts w:hint="eastAsia" w:ascii="仿宋" w:hAnsi="仿宋" w:eastAsia="仿宋" w:cs="仿宋"/>
          <w:color w:val="auto"/>
          <w:highlight w:val="none"/>
          <w:lang w:val="en-US" w:eastAsia="zh-Hans"/>
        </w:rPr>
        <w:t>第一章</w:t>
      </w:r>
      <w:r>
        <w:rPr>
          <w:rFonts w:hint="eastAsia" w:ascii="仿宋" w:hAnsi="仿宋" w:eastAsia="仿宋" w:cs="仿宋"/>
          <w:color w:val="auto"/>
          <w:highlight w:val="none"/>
          <w:lang w:eastAsia="zh-Hans"/>
        </w:rPr>
        <w:t xml:space="preserve"> </w:t>
      </w:r>
      <w:r>
        <w:rPr>
          <w:rFonts w:hint="eastAsia" w:ascii="仿宋" w:hAnsi="仿宋" w:eastAsia="仿宋" w:cs="仿宋"/>
          <w:color w:val="auto"/>
          <w:highlight w:val="none"/>
          <w:lang w:val="en-US" w:eastAsia="zh-Hans"/>
        </w:rPr>
        <w:t>招标公告</w:t>
      </w:r>
      <w:bookmarkEnd w:id="7"/>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jc w:val="center"/>
        <w:textAlignment w:val="auto"/>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Hans"/>
        </w:rPr>
        <w:t>新疆筑石工程项目管理有限公司</w:t>
      </w:r>
      <w:r>
        <w:rPr>
          <w:rFonts w:hint="eastAsia" w:ascii="仿宋" w:hAnsi="仿宋" w:eastAsia="仿宋" w:cs="仿宋"/>
          <w:b/>
          <w:bCs/>
          <w:color w:val="auto"/>
          <w:sz w:val="28"/>
          <w:szCs w:val="28"/>
          <w:highlight w:val="none"/>
          <w:lang w:val="en-US" w:eastAsia="zh-CN"/>
        </w:rPr>
        <w:t>关</w:t>
      </w:r>
      <w:r>
        <w:rPr>
          <w:rFonts w:hint="eastAsia" w:ascii="仿宋" w:hAnsi="仿宋" w:eastAsia="仿宋" w:cs="仿宋"/>
          <w:b/>
          <w:bCs/>
          <w:color w:val="auto"/>
          <w:sz w:val="28"/>
          <w:szCs w:val="28"/>
          <w:highlight w:val="none"/>
        </w:rPr>
        <w:t>于</w:t>
      </w:r>
      <w:r>
        <w:rPr>
          <w:rFonts w:hint="eastAsia" w:ascii="仿宋" w:hAnsi="仿宋" w:eastAsia="仿宋" w:cs="仿宋"/>
          <w:b/>
          <w:color w:val="auto"/>
          <w:sz w:val="28"/>
          <w:szCs w:val="28"/>
          <w:highlight w:val="none"/>
          <w:lang w:eastAsia="zh-CN"/>
        </w:rPr>
        <w:t>2022年水磨沟区公共安全相关设备补点建设项目设备采购</w:t>
      </w:r>
      <w:r>
        <w:rPr>
          <w:rFonts w:hint="eastAsia" w:ascii="仿宋" w:hAnsi="仿宋" w:eastAsia="仿宋" w:cs="仿宋"/>
          <w:b/>
          <w:color w:val="auto"/>
          <w:sz w:val="28"/>
          <w:szCs w:val="28"/>
          <w:highlight w:val="none"/>
          <w:lang w:val="en-US" w:eastAsia="zh-CN"/>
        </w:rPr>
        <w:t>的公开招标公告</w:t>
      </w:r>
    </w:p>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lang w:val="en-US" w:eastAsia="zh-CN"/>
        </w:rPr>
        <mc:AlternateContent>
          <mc:Choice Requires="wps">
            <w:drawing>
              <wp:anchor distT="0" distB="0" distL="114300" distR="114300" simplePos="0" relativeHeight="251661312" behindDoc="0" locked="0" layoutInCell="1" allowOverlap="1">
                <wp:simplePos x="0" y="0"/>
                <wp:positionH relativeFrom="column">
                  <wp:posOffset>-74930</wp:posOffset>
                </wp:positionH>
                <wp:positionV relativeFrom="paragraph">
                  <wp:posOffset>62865</wp:posOffset>
                </wp:positionV>
                <wp:extent cx="5577205" cy="1350010"/>
                <wp:effectExtent l="4445" t="4445" r="19050" b="17145"/>
                <wp:wrapNone/>
                <wp:docPr id="5" name="文本框 5"/>
                <wp:cNvGraphicFramePr/>
                <a:graphic xmlns:a="http://schemas.openxmlformats.org/drawingml/2006/main">
                  <a:graphicData uri="http://schemas.microsoft.com/office/word/2010/wordprocessingShape">
                    <wps:wsp>
                      <wps:cNvSpPr txBox="1"/>
                      <wps:spPr>
                        <a:xfrm>
                          <a:off x="1030605" y="1481455"/>
                          <a:ext cx="5577205" cy="135001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spacing w:line="360" w:lineRule="auto"/>
                              <w:rPr>
                                <w:rFonts w:hint="eastAsia" w:ascii="宋体" w:hAnsi="宋体" w:cs="宋体"/>
                                <w:b/>
                                <w:bCs/>
                                <w:sz w:val="24"/>
                                <w:szCs w:val="32"/>
                              </w:rPr>
                            </w:pPr>
                            <w:r>
                              <w:rPr>
                                <w:rFonts w:hint="eastAsia" w:ascii="宋体" w:hAnsi="宋体" w:cs="宋体"/>
                                <w:b/>
                                <w:bCs/>
                                <w:sz w:val="24"/>
                                <w:szCs w:val="32"/>
                              </w:rPr>
                              <w:t>项目概况</w:t>
                            </w:r>
                          </w:p>
                          <w:p>
                            <w:pPr>
                              <w:spacing w:line="360" w:lineRule="auto"/>
                              <w:ind w:firstLine="480" w:firstLineChars="200"/>
                              <w:rPr>
                                <w:rFonts w:hint="eastAsia" w:ascii="宋体" w:hAnsi="宋体" w:cs="宋体"/>
                                <w:sz w:val="24"/>
                                <w:szCs w:val="32"/>
                              </w:rPr>
                            </w:pPr>
                            <w:r>
                              <w:rPr>
                                <w:rFonts w:hint="eastAsia" w:ascii="宋体" w:hAnsi="宋体" w:cs="宋体"/>
                                <w:sz w:val="24"/>
                                <w:szCs w:val="32"/>
                                <w:lang w:eastAsia="zh-CN"/>
                              </w:rPr>
                              <w:t>2022年水磨沟区公共安全相关设备补点建设项目设备采购</w:t>
                            </w:r>
                            <w:r>
                              <w:rPr>
                                <w:rFonts w:hint="eastAsia" w:ascii="宋体" w:hAnsi="宋体" w:cs="宋体"/>
                                <w:sz w:val="24"/>
                                <w:szCs w:val="32"/>
                              </w:rPr>
                              <w:t>采购的潜在投标人应在</w:t>
                            </w:r>
                            <w:r>
                              <w:rPr>
                                <w:rFonts w:hint="eastAsia" w:ascii="宋体" w:hAnsi="宋体" w:eastAsia="宋体" w:cs="宋体"/>
                                <w:sz w:val="24"/>
                                <w:highlight w:val="none"/>
                                <w:lang w:bidi="ar"/>
                              </w:rPr>
                              <w:t>新疆乌鲁木齐市</w:t>
                            </w:r>
                            <w:r>
                              <w:rPr>
                                <w:rFonts w:hint="eastAsia" w:ascii="宋体" w:hAnsi="宋体" w:eastAsia="宋体" w:cs="宋体"/>
                                <w:sz w:val="24"/>
                                <w:highlight w:val="none"/>
                                <w:lang w:val="en-US" w:eastAsia="zh-Hans" w:bidi="ar"/>
                              </w:rPr>
                              <w:t>水磨沟区鸿泰路</w:t>
                            </w:r>
                            <w:r>
                              <w:rPr>
                                <w:rFonts w:hint="eastAsia" w:ascii="宋体" w:hAnsi="宋体" w:eastAsia="宋体" w:cs="宋体"/>
                                <w:sz w:val="24"/>
                                <w:highlight w:val="none"/>
                                <w:lang w:eastAsia="zh-Hans" w:bidi="ar"/>
                              </w:rPr>
                              <w:t>66</w:t>
                            </w:r>
                            <w:r>
                              <w:rPr>
                                <w:rFonts w:hint="eastAsia" w:ascii="宋体" w:hAnsi="宋体" w:eastAsia="宋体" w:cs="宋体"/>
                                <w:sz w:val="24"/>
                                <w:highlight w:val="none"/>
                                <w:lang w:val="en-US" w:eastAsia="zh-Hans" w:bidi="ar"/>
                              </w:rPr>
                              <w:t>号万科大都会</w:t>
                            </w:r>
                            <w:r>
                              <w:rPr>
                                <w:rFonts w:hint="eastAsia" w:ascii="宋体" w:hAnsi="宋体" w:eastAsia="宋体" w:cs="宋体"/>
                                <w:sz w:val="24"/>
                                <w:highlight w:val="none"/>
                                <w:lang w:eastAsia="zh-Hans" w:bidi="ar"/>
                              </w:rPr>
                              <w:t>9</w:t>
                            </w:r>
                            <w:r>
                              <w:rPr>
                                <w:rFonts w:hint="eastAsia" w:ascii="宋体" w:hAnsi="宋体" w:eastAsia="宋体" w:cs="宋体"/>
                                <w:sz w:val="24"/>
                                <w:highlight w:val="none"/>
                                <w:lang w:val="en-US" w:eastAsia="zh-Hans" w:bidi="ar"/>
                              </w:rPr>
                              <w:t>号综合办公楼</w:t>
                            </w:r>
                            <w:r>
                              <w:rPr>
                                <w:rFonts w:hint="eastAsia" w:ascii="宋体" w:hAnsi="宋体" w:cs="宋体"/>
                                <w:sz w:val="24"/>
                                <w:highlight w:val="none"/>
                                <w:lang w:eastAsia="zh-CN" w:bidi="ar"/>
                              </w:rPr>
                              <w:t>506</w:t>
                            </w:r>
                            <w:r>
                              <w:rPr>
                                <w:rFonts w:hint="eastAsia" w:ascii="宋体" w:hAnsi="宋体" w:cs="宋体"/>
                                <w:sz w:val="24"/>
                                <w:szCs w:val="32"/>
                              </w:rPr>
                              <w:t>获取招标文件，并于</w:t>
                            </w:r>
                            <w:r>
                              <w:rPr>
                                <w:rFonts w:hint="eastAsia" w:ascii="宋体" w:hAnsi="宋体" w:cs="宋体"/>
                                <w:sz w:val="24"/>
                                <w:szCs w:val="32"/>
                                <w:lang w:val="en-US" w:eastAsia="zh-CN"/>
                              </w:rPr>
                              <w:t>2022</w:t>
                            </w:r>
                            <w:r>
                              <w:rPr>
                                <w:rFonts w:hint="eastAsia" w:ascii="宋体" w:hAnsi="宋体" w:cs="宋体"/>
                                <w:sz w:val="24"/>
                                <w:szCs w:val="32"/>
                              </w:rPr>
                              <w:t>年</w:t>
                            </w:r>
                            <w:r>
                              <w:rPr>
                                <w:rFonts w:hint="eastAsia" w:ascii="宋体" w:hAnsi="宋体" w:cs="宋体"/>
                                <w:sz w:val="24"/>
                                <w:szCs w:val="32"/>
                                <w:lang w:val="en-US" w:eastAsia="zh-CN"/>
                              </w:rPr>
                              <w:t>8</w:t>
                            </w:r>
                            <w:r>
                              <w:rPr>
                                <w:rFonts w:hint="eastAsia" w:ascii="宋体" w:hAnsi="宋体" w:cs="宋体"/>
                                <w:sz w:val="24"/>
                                <w:szCs w:val="32"/>
                              </w:rPr>
                              <w:t>月</w:t>
                            </w:r>
                            <w:r>
                              <w:rPr>
                                <w:rFonts w:hint="eastAsia" w:ascii="宋体" w:hAnsi="宋体" w:cs="宋体"/>
                                <w:sz w:val="24"/>
                                <w:szCs w:val="32"/>
                                <w:lang w:val="en-US" w:eastAsia="zh-CN"/>
                              </w:rPr>
                              <w:t>29</w:t>
                            </w:r>
                            <w:r>
                              <w:rPr>
                                <w:rFonts w:hint="eastAsia" w:ascii="宋体" w:hAnsi="宋体" w:cs="宋体"/>
                                <w:sz w:val="24"/>
                                <w:szCs w:val="32"/>
                              </w:rPr>
                              <w:t>日</w:t>
                            </w:r>
                            <w:r>
                              <w:rPr>
                                <w:rFonts w:hint="eastAsia" w:ascii="宋体" w:hAnsi="宋体" w:cs="宋体"/>
                                <w:sz w:val="24"/>
                                <w:szCs w:val="32"/>
                                <w:lang w:val="en-US" w:eastAsia="zh-CN"/>
                              </w:rPr>
                              <w:t>11:00</w:t>
                            </w:r>
                            <w:r>
                              <w:rPr>
                                <w:rFonts w:hint="eastAsia" w:ascii="宋体" w:hAnsi="宋体" w:cs="宋体"/>
                                <w:sz w:val="24"/>
                                <w:szCs w:val="32"/>
                              </w:rPr>
                              <w:t>（北京时间）前递交投标文件。</w:t>
                            </w: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pt;margin-top:4.95pt;height:106.3pt;width:439.15pt;z-index:251661312;mso-width-relative:page;mso-height-relative:page;" fillcolor="#FFFFFF [3201]" filled="t" stroked="t" coordsize="21600,21600" o:gfxdata="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FcM76XXAAAACQEAAA8AAAAAAAAAAQAgAAAAIgAAAGRycy9kb3ducmV2LnhtbFBLAQIUABQAAAAI&#10;AIdO4kDRJf7jYAIAAMQEAAAOAAAAAAAAAAEAIAAAACYBAABkcnMvZTJvRG9jLnhtbFBLBQYAAAAA&#10;BgAGAFkBAAD4BQAAAAA=&#10;">
                <v:fill on="t" focussize="0,0"/>
                <v:stroke weight="0.5pt" color="#000000 [3204]" joinstyle="round"/>
                <v:imagedata o:title=""/>
                <o:lock v:ext="edit" aspectratio="f"/>
                <v:textbox>
                  <w:txbxContent>
                    <w:p>
                      <w:pPr>
                        <w:spacing w:line="360" w:lineRule="auto"/>
                        <w:rPr>
                          <w:rFonts w:hint="eastAsia" w:ascii="宋体" w:hAnsi="宋体" w:cs="宋体"/>
                          <w:b/>
                          <w:bCs/>
                          <w:sz w:val="24"/>
                          <w:szCs w:val="32"/>
                        </w:rPr>
                      </w:pPr>
                      <w:r>
                        <w:rPr>
                          <w:rFonts w:hint="eastAsia" w:ascii="宋体" w:hAnsi="宋体" w:cs="宋体"/>
                          <w:b/>
                          <w:bCs/>
                          <w:sz w:val="24"/>
                          <w:szCs w:val="32"/>
                        </w:rPr>
                        <w:t>项目概况</w:t>
                      </w:r>
                    </w:p>
                    <w:p>
                      <w:pPr>
                        <w:spacing w:line="360" w:lineRule="auto"/>
                        <w:ind w:firstLine="480" w:firstLineChars="200"/>
                        <w:rPr>
                          <w:rFonts w:hint="eastAsia" w:ascii="宋体" w:hAnsi="宋体" w:cs="宋体"/>
                          <w:sz w:val="24"/>
                          <w:szCs w:val="32"/>
                        </w:rPr>
                      </w:pPr>
                      <w:r>
                        <w:rPr>
                          <w:rFonts w:hint="eastAsia" w:ascii="宋体" w:hAnsi="宋体" w:cs="宋体"/>
                          <w:sz w:val="24"/>
                          <w:szCs w:val="32"/>
                          <w:lang w:eastAsia="zh-CN"/>
                        </w:rPr>
                        <w:t>2022年水磨沟区公共安全相关设备补点建设项目设备采购</w:t>
                      </w:r>
                      <w:r>
                        <w:rPr>
                          <w:rFonts w:hint="eastAsia" w:ascii="宋体" w:hAnsi="宋体" w:cs="宋体"/>
                          <w:sz w:val="24"/>
                          <w:szCs w:val="32"/>
                        </w:rPr>
                        <w:t>采购的潜在投标人应在</w:t>
                      </w:r>
                      <w:r>
                        <w:rPr>
                          <w:rFonts w:hint="eastAsia" w:ascii="宋体" w:hAnsi="宋体" w:eastAsia="宋体" w:cs="宋体"/>
                          <w:sz w:val="24"/>
                          <w:highlight w:val="none"/>
                          <w:lang w:bidi="ar"/>
                        </w:rPr>
                        <w:t>新疆乌鲁木齐市</w:t>
                      </w:r>
                      <w:r>
                        <w:rPr>
                          <w:rFonts w:hint="eastAsia" w:ascii="宋体" w:hAnsi="宋体" w:eastAsia="宋体" w:cs="宋体"/>
                          <w:sz w:val="24"/>
                          <w:highlight w:val="none"/>
                          <w:lang w:val="en-US" w:eastAsia="zh-Hans" w:bidi="ar"/>
                        </w:rPr>
                        <w:t>水磨沟区鸿泰路</w:t>
                      </w:r>
                      <w:r>
                        <w:rPr>
                          <w:rFonts w:hint="eastAsia" w:ascii="宋体" w:hAnsi="宋体" w:eastAsia="宋体" w:cs="宋体"/>
                          <w:sz w:val="24"/>
                          <w:highlight w:val="none"/>
                          <w:lang w:eastAsia="zh-Hans" w:bidi="ar"/>
                        </w:rPr>
                        <w:t>66</w:t>
                      </w:r>
                      <w:r>
                        <w:rPr>
                          <w:rFonts w:hint="eastAsia" w:ascii="宋体" w:hAnsi="宋体" w:eastAsia="宋体" w:cs="宋体"/>
                          <w:sz w:val="24"/>
                          <w:highlight w:val="none"/>
                          <w:lang w:val="en-US" w:eastAsia="zh-Hans" w:bidi="ar"/>
                        </w:rPr>
                        <w:t>号万科大都会</w:t>
                      </w:r>
                      <w:r>
                        <w:rPr>
                          <w:rFonts w:hint="eastAsia" w:ascii="宋体" w:hAnsi="宋体" w:eastAsia="宋体" w:cs="宋体"/>
                          <w:sz w:val="24"/>
                          <w:highlight w:val="none"/>
                          <w:lang w:eastAsia="zh-Hans" w:bidi="ar"/>
                        </w:rPr>
                        <w:t>9</w:t>
                      </w:r>
                      <w:r>
                        <w:rPr>
                          <w:rFonts w:hint="eastAsia" w:ascii="宋体" w:hAnsi="宋体" w:eastAsia="宋体" w:cs="宋体"/>
                          <w:sz w:val="24"/>
                          <w:highlight w:val="none"/>
                          <w:lang w:val="en-US" w:eastAsia="zh-Hans" w:bidi="ar"/>
                        </w:rPr>
                        <w:t>号综合办公楼</w:t>
                      </w:r>
                      <w:r>
                        <w:rPr>
                          <w:rFonts w:hint="eastAsia" w:ascii="宋体" w:hAnsi="宋体" w:cs="宋体"/>
                          <w:sz w:val="24"/>
                          <w:highlight w:val="none"/>
                          <w:lang w:eastAsia="zh-CN" w:bidi="ar"/>
                        </w:rPr>
                        <w:t>506</w:t>
                      </w:r>
                      <w:r>
                        <w:rPr>
                          <w:rFonts w:hint="eastAsia" w:ascii="宋体" w:hAnsi="宋体" w:cs="宋体"/>
                          <w:sz w:val="24"/>
                          <w:szCs w:val="32"/>
                        </w:rPr>
                        <w:t>获取招标文件，并于</w:t>
                      </w:r>
                      <w:r>
                        <w:rPr>
                          <w:rFonts w:hint="eastAsia" w:ascii="宋体" w:hAnsi="宋体" w:cs="宋体"/>
                          <w:sz w:val="24"/>
                          <w:szCs w:val="32"/>
                          <w:lang w:val="en-US" w:eastAsia="zh-CN"/>
                        </w:rPr>
                        <w:t>2022</w:t>
                      </w:r>
                      <w:r>
                        <w:rPr>
                          <w:rFonts w:hint="eastAsia" w:ascii="宋体" w:hAnsi="宋体" w:cs="宋体"/>
                          <w:sz w:val="24"/>
                          <w:szCs w:val="32"/>
                        </w:rPr>
                        <w:t>年</w:t>
                      </w:r>
                      <w:r>
                        <w:rPr>
                          <w:rFonts w:hint="eastAsia" w:ascii="宋体" w:hAnsi="宋体" w:cs="宋体"/>
                          <w:sz w:val="24"/>
                          <w:szCs w:val="32"/>
                          <w:lang w:val="en-US" w:eastAsia="zh-CN"/>
                        </w:rPr>
                        <w:t>8</w:t>
                      </w:r>
                      <w:r>
                        <w:rPr>
                          <w:rFonts w:hint="eastAsia" w:ascii="宋体" w:hAnsi="宋体" w:cs="宋体"/>
                          <w:sz w:val="24"/>
                          <w:szCs w:val="32"/>
                        </w:rPr>
                        <w:t>月</w:t>
                      </w:r>
                      <w:r>
                        <w:rPr>
                          <w:rFonts w:hint="eastAsia" w:ascii="宋体" w:hAnsi="宋体" w:cs="宋体"/>
                          <w:sz w:val="24"/>
                          <w:szCs w:val="32"/>
                          <w:lang w:val="en-US" w:eastAsia="zh-CN"/>
                        </w:rPr>
                        <w:t>29</w:t>
                      </w:r>
                      <w:r>
                        <w:rPr>
                          <w:rFonts w:hint="eastAsia" w:ascii="宋体" w:hAnsi="宋体" w:cs="宋体"/>
                          <w:sz w:val="24"/>
                          <w:szCs w:val="32"/>
                        </w:rPr>
                        <w:t>日</w:t>
                      </w:r>
                      <w:r>
                        <w:rPr>
                          <w:rFonts w:hint="eastAsia" w:ascii="宋体" w:hAnsi="宋体" w:cs="宋体"/>
                          <w:sz w:val="24"/>
                          <w:szCs w:val="32"/>
                          <w:lang w:val="en-US" w:eastAsia="zh-CN"/>
                        </w:rPr>
                        <w:t>11:00</w:t>
                      </w:r>
                      <w:r>
                        <w:rPr>
                          <w:rFonts w:hint="eastAsia" w:ascii="宋体" w:hAnsi="宋体" w:cs="宋体"/>
                          <w:sz w:val="24"/>
                          <w:szCs w:val="32"/>
                        </w:rPr>
                        <w:t>（北京时间）前递交投标文件。</w:t>
                      </w:r>
                    </w:p>
                    <w:p/>
                  </w:txbxContent>
                </v:textbox>
              </v:shape>
            </w:pict>
          </mc:Fallback>
        </mc:AlternateContent>
      </w:r>
    </w:p>
    <w:p>
      <w:pPr>
        <w:spacing w:line="440" w:lineRule="exact"/>
        <w:jc w:val="center"/>
        <w:rPr>
          <w:rFonts w:hint="eastAsia" w:ascii="仿宋" w:hAnsi="仿宋" w:eastAsia="仿宋" w:cs="仿宋"/>
          <w:b/>
          <w:bCs/>
          <w:color w:val="auto"/>
          <w:sz w:val="28"/>
          <w:szCs w:val="28"/>
          <w:highlight w:val="none"/>
        </w:rPr>
      </w:pPr>
    </w:p>
    <w:p>
      <w:pPr>
        <w:spacing w:line="360" w:lineRule="auto"/>
        <w:rPr>
          <w:rFonts w:hint="eastAsia" w:ascii="仿宋" w:hAnsi="仿宋" w:eastAsia="仿宋" w:cs="仿宋"/>
          <w:b/>
          <w:bCs/>
          <w:color w:val="auto"/>
          <w:sz w:val="24"/>
          <w:szCs w:val="32"/>
          <w:highlight w:val="none"/>
        </w:rPr>
      </w:pPr>
    </w:p>
    <w:p>
      <w:pPr>
        <w:spacing w:line="360" w:lineRule="auto"/>
        <w:rPr>
          <w:rFonts w:hint="eastAsia" w:ascii="仿宋" w:hAnsi="仿宋" w:eastAsia="仿宋" w:cs="仿宋"/>
          <w:b/>
          <w:bCs/>
          <w:color w:val="auto"/>
          <w:sz w:val="24"/>
          <w:szCs w:val="32"/>
          <w:highlight w:val="none"/>
        </w:rPr>
      </w:pPr>
    </w:p>
    <w:p>
      <w:pPr>
        <w:spacing w:line="360" w:lineRule="auto"/>
        <w:rPr>
          <w:rFonts w:hint="eastAsia" w:ascii="仿宋" w:hAnsi="仿宋" w:eastAsia="仿宋" w:cs="仿宋"/>
          <w:b/>
          <w:bCs/>
          <w:color w:val="auto"/>
          <w:sz w:val="24"/>
          <w:szCs w:val="32"/>
          <w:highlight w:val="none"/>
        </w:rPr>
      </w:pPr>
    </w:p>
    <w:p>
      <w:pPr>
        <w:pStyle w:val="19"/>
        <w:keepNext w:val="0"/>
        <w:keepLines w:val="0"/>
        <w:widowControl/>
        <w:suppressLineNumbers w:val="0"/>
        <w:spacing w:before="255" w:beforeAutospacing="0" w:after="255" w:afterAutospacing="0" w:line="300" w:lineRule="atLeast"/>
        <w:ind w:left="0" w:right="0"/>
        <w:jc w:val="both"/>
        <w:rPr>
          <w:rFonts w:ascii="黑体" w:hAnsi="宋体" w:eastAsia="黑体" w:cs="黑体"/>
          <w:sz w:val="27"/>
          <w:szCs w:val="27"/>
        </w:rPr>
      </w:pPr>
      <w:r>
        <w:rPr>
          <w:rStyle w:val="23"/>
          <w:rFonts w:ascii="黑体" w:hAnsi="宋体" w:eastAsia="黑体" w:cs="黑体"/>
          <w:sz w:val="27"/>
          <w:szCs w:val="27"/>
        </w:rPr>
        <w:t>一、项目基本情况</w:t>
      </w:r>
    </w:p>
    <w:p>
      <w:pPr>
        <w:pStyle w:val="19"/>
        <w:keepNext w:val="0"/>
        <w:keepLines w:val="0"/>
        <w:widowControl/>
        <w:suppressLineNumbers w:val="0"/>
        <w:spacing w:before="75" w:beforeAutospacing="0" w:after="75" w:afterAutospacing="0" w:line="240" w:lineRule="auto"/>
        <w:ind w:left="0" w:right="0" w:firstLine="420"/>
        <w:rPr>
          <w:rFonts w:hint="eastAsia" w:eastAsia="仿宋"/>
          <w:lang w:val="en-US" w:eastAsia="zh-CN"/>
        </w:rPr>
      </w:pPr>
      <w:r>
        <w:rPr>
          <w:rFonts w:ascii="仿宋" w:hAnsi="仿宋" w:eastAsia="仿宋" w:cs="仿宋"/>
          <w:sz w:val="27"/>
          <w:szCs w:val="27"/>
        </w:rPr>
        <w:t>项目编号：</w:t>
      </w:r>
      <w:r>
        <w:rPr>
          <w:rFonts w:hint="eastAsia" w:ascii="仿宋" w:hAnsi="仿宋" w:eastAsia="仿宋" w:cs="仿宋"/>
          <w:sz w:val="27"/>
          <w:szCs w:val="27"/>
        </w:rPr>
        <w:t>ZSZC-HW-202200</w:t>
      </w:r>
      <w:r>
        <w:rPr>
          <w:rFonts w:hint="eastAsia" w:ascii="仿宋" w:hAnsi="仿宋" w:eastAsia="仿宋" w:cs="仿宋"/>
          <w:sz w:val="27"/>
          <w:szCs w:val="27"/>
          <w:lang w:val="en-US" w:eastAsia="zh-CN"/>
        </w:rPr>
        <w:t>4</w:t>
      </w:r>
    </w:p>
    <w:p>
      <w:pPr>
        <w:pStyle w:val="19"/>
        <w:keepNext w:val="0"/>
        <w:keepLines w:val="0"/>
        <w:widowControl/>
        <w:suppressLineNumbers w:val="0"/>
        <w:spacing w:before="75" w:beforeAutospacing="0" w:after="75" w:afterAutospacing="0" w:line="240" w:lineRule="auto"/>
        <w:ind w:left="0" w:right="0" w:firstLine="420"/>
      </w:pPr>
      <w:r>
        <w:rPr>
          <w:rFonts w:hint="eastAsia" w:ascii="仿宋" w:hAnsi="仿宋" w:eastAsia="仿宋" w:cs="仿宋"/>
          <w:sz w:val="27"/>
          <w:szCs w:val="27"/>
        </w:rPr>
        <w:t>项目名称：2022年水磨沟区公共安全相关设备补点建设项目设备采购</w:t>
      </w:r>
    </w:p>
    <w:p>
      <w:pPr>
        <w:pStyle w:val="19"/>
        <w:keepNext w:val="0"/>
        <w:keepLines w:val="0"/>
        <w:widowControl/>
        <w:suppressLineNumbers w:val="0"/>
        <w:spacing w:before="75" w:beforeAutospacing="0" w:after="75" w:afterAutospacing="0" w:line="240" w:lineRule="auto"/>
        <w:ind w:left="0" w:right="0" w:firstLine="420"/>
      </w:pPr>
      <w:r>
        <w:rPr>
          <w:rFonts w:hint="eastAsia" w:ascii="仿宋" w:hAnsi="仿宋" w:eastAsia="仿宋" w:cs="仿宋"/>
          <w:sz w:val="27"/>
          <w:szCs w:val="27"/>
        </w:rPr>
        <w:t>采购方式：公开招标</w:t>
      </w:r>
    </w:p>
    <w:p>
      <w:pPr>
        <w:pStyle w:val="19"/>
        <w:keepNext w:val="0"/>
        <w:keepLines w:val="0"/>
        <w:widowControl/>
        <w:suppressLineNumbers w:val="0"/>
        <w:spacing w:before="75" w:beforeAutospacing="0" w:after="75" w:afterAutospacing="0" w:line="240" w:lineRule="auto"/>
        <w:ind w:left="0" w:right="0" w:firstLine="420"/>
      </w:pPr>
      <w:r>
        <w:rPr>
          <w:rFonts w:hint="eastAsia" w:ascii="仿宋" w:hAnsi="仿宋" w:eastAsia="仿宋" w:cs="仿宋"/>
          <w:sz w:val="27"/>
          <w:szCs w:val="27"/>
        </w:rPr>
        <w:t>预算金额（元）：40998800</w:t>
      </w:r>
    </w:p>
    <w:p>
      <w:pPr>
        <w:pStyle w:val="19"/>
        <w:keepNext w:val="0"/>
        <w:keepLines w:val="0"/>
        <w:widowControl/>
        <w:suppressLineNumbers w:val="0"/>
        <w:spacing w:before="75" w:beforeAutospacing="0" w:after="75" w:afterAutospacing="0" w:line="240" w:lineRule="auto"/>
        <w:ind w:left="0" w:right="0" w:firstLine="420"/>
        <w:rPr>
          <w:rFonts w:hint="eastAsia" w:ascii="仿宋" w:hAnsi="仿宋" w:eastAsia="仿宋" w:cs="仿宋"/>
          <w:sz w:val="27"/>
          <w:szCs w:val="27"/>
        </w:rPr>
      </w:pPr>
      <w:r>
        <w:rPr>
          <w:rFonts w:hint="eastAsia" w:ascii="仿宋" w:hAnsi="仿宋" w:eastAsia="仿宋" w:cs="仿宋"/>
          <w:sz w:val="27"/>
          <w:szCs w:val="27"/>
        </w:rPr>
        <w:t>最高限价（元）：4255800，3405800，4741400，4329300，3560200.7593400，502600，1071700，386300，1855000，2121300，2007700，2520900，472100，2175300</w:t>
      </w:r>
    </w:p>
    <w:p>
      <w:pPr>
        <w:pStyle w:val="19"/>
        <w:keepNext w:val="0"/>
        <w:keepLines w:val="0"/>
        <w:widowControl/>
        <w:suppressLineNumbers w:val="0"/>
        <w:spacing w:before="75" w:beforeAutospacing="0" w:after="75" w:afterAutospacing="0" w:line="240" w:lineRule="auto"/>
        <w:ind w:left="0" w:right="0" w:firstLine="420"/>
      </w:pPr>
      <w:r>
        <w:rPr>
          <w:rFonts w:hint="eastAsia" w:ascii="仿宋" w:hAnsi="仿宋" w:eastAsia="仿宋" w:cs="仿宋"/>
          <w:sz w:val="27"/>
          <w:szCs w:val="27"/>
        </w:rPr>
        <w:t>采购需求：</w:t>
      </w:r>
    </w:p>
    <w:p>
      <w:pPr>
        <w:pStyle w:val="19"/>
        <w:keepNext w:val="0"/>
        <w:keepLines w:val="0"/>
        <w:widowControl/>
        <w:suppressLineNumbers w:val="0"/>
        <w:spacing w:before="75" w:beforeAutospacing="0" w:after="75" w:afterAutospacing="0" w:line="240" w:lineRule="auto"/>
        <w:ind w:left="0" w:right="0" w:firstLine="420"/>
        <w:rPr>
          <w:rFonts w:hint="eastAsia" w:ascii="仿宋" w:hAnsi="仿宋" w:eastAsia="仿宋" w:cs="仿宋"/>
        </w:rPr>
      </w:pPr>
      <w:r>
        <w:rPr>
          <w:rFonts w:hint="eastAsia" w:ascii="仿宋" w:hAnsi="仿宋" w:eastAsia="仿宋" w:cs="仿宋"/>
        </w:rPr>
        <w:t>采购需求：标项一</w:t>
      </w:r>
    </w:p>
    <w:p>
      <w:pPr>
        <w:pStyle w:val="19"/>
        <w:keepNext w:val="0"/>
        <w:keepLines w:val="0"/>
        <w:widowControl/>
        <w:suppressLineNumbers w:val="0"/>
        <w:spacing w:before="75" w:beforeAutospacing="0" w:after="75" w:afterAutospacing="0" w:line="240" w:lineRule="auto"/>
        <w:ind w:left="0" w:right="0" w:firstLine="420"/>
        <w:rPr>
          <w:rFonts w:hint="eastAsia" w:ascii="仿宋" w:hAnsi="仿宋" w:eastAsia="仿宋" w:cs="仿宋"/>
        </w:rPr>
      </w:pPr>
      <w:r>
        <w:rPr>
          <w:rFonts w:hint="eastAsia" w:ascii="仿宋" w:hAnsi="仿宋" w:eastAsia="仿宋" w:cs="仿宋"/>
        </w:rPr>
        <w:t>   标项名称:南湖北路片区管委会项目</w:t>
      </w:r>
    </w:p>
    <w:p>
      <w:pPr>
        <w:pStyle w:val="19"/>
        <w:keepNext w:val="0"/>
        <w:keepLines w:val="0"/>
        <w:widowControl/>
        <w:suppressLineNumbers w:val="0"/>
        <w:spacing w:before="75" w:beforeAutospacing="0" w:after="75" w:afterAutospacing="0" w:line="240" w:lineRule="auto"/>
        <w:ind w:left="0" w:right="0" w:firstLine="420"/>
        <w:rPr>
          <w:rFonts w:hint="eastAsia" w:ascii="仿宋" w:hAnsi="仿宋" w:eastAsia="仿宋" w:cs="仿宋"/>
        </w:rPr>
      </w:pPr>
      <w:r>
        <w:rPr>
          <w:rFonts w:hint="eastAsia" w:ascii="仿宋" w:hAnsi="仿宋" w:eastAsia="仿宋" w:cs="仿宋"/>
        </w:rPr>
        <w:t>   数量:不限</w:t>
      </w:r>
    </w:p>
    <w:p>
      <w:pPr>
        <w:pStyle w:val="19"/>
        <w:keepNext w:val="0"/>
        <w:keepLines w:val="0"/>
        <w:widowControl/>
        <w:suppressLineNumbers w:val="0"/>
        <w:spacing w:before="75" w:beforeAutospacing="0" w:after="75" w:afterAutospacing="0" w:line="240" w:lineRule="auto"/>
        <w:ind w:left="0" w:right="0" w:firstLine="420"/>
        <w:rPr>
          <w:rFonts w:hint="eastAsia" w:ascii="仿宋" w:hAnsi="仿宋" w:eastAsia="仿宋" w:cs="仿宋"/>
        </w:rPr>
      </w:pPr>
      <w:r>
        <w:rPr>
          <w:rFonts w:hint="eastAsia" w:ascii="仿宋" w:hAnsi="仿宋" w:eastAsia="仿宋" w:cs="仿宋"/>
        </w:rPr>
        <w:t>   预算金额（元）:4255800</w:t>
      </w:r>
    </w:p>
    <w:p>
      <w:pPr>
        <w:pStyle w:val="19"/>
        <w:keepNext w:val="0"/>
        <w:keepLines w:val="0"/>
        <w:widowControl/>
        <w:suppressLineNumbers w:val="0"/>
        <w:spacing w:before="75" w:beforeAutospacing="0" w:after="75" w:afterAutospacing="0" w:line="240" w:lineRule="auto"/>
        <w:ind w:left="0" w:right="0" w:firstLine="420"/>
        <w:rPr>
          <w:rFonts w:hint="eastAsia" w:ascii="仿宋" w:hAnsi="仿宋" w:eastAsia="仿宋" w:cs="仿宋"/>
        </w:rPr>
      </w:pPr>
      <w:r>
        <w:rPr>
          <w:rFonts w:hint="eastAsia" w:ascii="仿宋" w:hAnsi="仿宋" w:eastAsia="仿宋" w:cs="仿宋"/>
        </w:rPr>
        <w:t>   简要规格描述或项目基本概况介绍、用途：公共安全相关设备补点建设设备采购</w:t>
      </w:r>
    </w:p>
    <w:p>
      <w:pPr>
        <w:pStyle w:val="19"/>
        <w:keepNext w:val="0"/>
        <w:keepLines w:val="0"/>
        <w:widowControl/>
        <w:suppressLineNumbers w:val="0"/>
        <w:spacing w:before="75" w:beforeAutospacing="0" w:after="75" w:afterAutospacing="0" w:line="240" w:lineRule="auto"/>
        <w:ind w:left="0" w:right="0" w:firstLine="420"/>
        <w:rPr>
          <w:rFonts w:hint="eastAsia" w:ascii="仿宋" w:hAnsi="仿宋" w:eastAsia="仿宋" w:cs="仿宋"/>
        </w:rPr>
      </w:pPr>
      <w:r>
        <w:rPr>
          <w:rFonts w:hint="eastAsia" w:ascii="仿宋" w:hAnsi="仿宋" w:eastAsia="仿宋" w:cs="仿宋"/>
        </w:rPr>
        <w:t>   备注：</w:t>
      </w:r>
    </w:p>
    <w:p>
      <w:pPr>
        <w:pStyle w:val="19"/>
        <w:keepNext w:val="0"/>
        <w:keepLines w:val="0"/>
        <w:widowControl/>
        <w:suppressLineNumbers w:val="0"/>
        <w:spacing w:before="75" w:beforeAutospacing="0" w:after="75" w:afterAutospacing="0" w:line="240" w:lineRule="auto"/>
        <w:ind w:left="0" w:right="0" w:firstLine="420"/>
        <w:rPr>
          <w:rFonts w:hint="eastAsia" w:ascii="仿宋" w:hAnsi="仿宋" w:eastAsia="仿宋" w:cs="仿宋"/>
        </w:rPr>
      </w:pPr>
      <w:r>
        <w:rPr>
          <w:rFonts w:hint="eastAsia" w:ascii="仿宋" w:hAnsi="仿宋" w:eastAsia="仿宋" w:cs="仿宋"/>
        </w:rPr>
        <w:t>标项二</w:t>
      </w:r>
    </w:p>
    <w:p>
      <w:pPr>
        <w:pStyle w:val="19"/>
        <w:keepNext w:val="0"/>
        <w:keepLines w:val="0"/>
        <w:widowControl/>
        <w:suppressLineNumbers w:val="0"/>
        <w:spacing w:before="75" w:beforeAutospacing="0" w:after="75" w:afterAutospacing="0" w:line="240" w:lineRule="auto"/>
        <w:ind w:left="0" w:right="0" w:firstLine="420"/>
        <w:rPr>
          <w:rFonts w:hint="eastAsia" w:ascii="仿宋" w:hAnsi="仿宋" w:eastAsia="仿宋" w:cs="仿宋"/>
        </w:rPr>
      </w:pPr>
      <w:r>
        <w:rPr>
          <w:rFonts w:hint="eastAsia" w:ascii="仿宋" w:hAnsi="仿宋" w:eastAsia="仿宋" w:cs="仿宋"/>
        </w:rPr>
        <w:t>   标项名称:龙盛街片区管委会项目</w:t>
      </w:r>
    </w:p>
    <w:p>
      <w:pPr>
        <w:pStyle w:val="19"/>
        <w:keepNext w:val="0"/>
        <w:keepLines w:val="0"/>
        <w:widowControl/>
        <w:suppressLineNumbers w:val="0"/>
        <w:spacing w:before="75" w:beforeAutospacing="0" w:after="75" w:afterAutospacing="0" w:line="240" w:lineRule="auto"/>
        <w:ind w:left="0" w:right="0" w:firstLine="420"/>
        <w:rPr>
          <w:rFonts w:hint="eastAsia" w:ascii="仿宋" w:hAnsi="仿宋" w:eastAsia="仿宋" w:cs="仿宋"/>
        </w:rPr>
      </w:pPr>
      <w:r>
        <w:rPr>
          <w:rFonts w:hint="eastAsia" w:ascii="仿宋" w:hAnsi="仿宋" w:eastAsia="仿宋" w:cs="仿宋"/>
        </w:rPr>
        <w:t>   数量:不限</w:t>
      </w:r>
    </w:p>
    <w:p>
      <w:pPr>
        <w:pStyle w:val="19"/>
        <w:keepNext w:val="0"/>
        <w:keepLines w:val="0"/>
        <w:widowControl/>
        <w:suppressLineNumbers w:val="0"/>
        <w:spacing w:before="75" w:beforeAutospacing="0" w:after="75" w:afterAutospacing="0" w:line="240" w:lineRule="auto"/>
        <w:ind w:left="0" w:right="0" w:firstLine="420"/>
        <w:rPr>
          <w:rFonts w:hint="eastAsia" w:ascii="仿宋" w:hAnsi="仿宋" w:eastAsia="仿宋" w:cs="仿宋"/>
        </w:rPr>
      </w:pPr>
      <w:r>
        <w:rPr>
          <w:rFonts w:hint="eastAsia" w:ascii="仿宋" w:hAnsi="仿宋" w:eastAsia="仿宋" w:cs="仿宋"/>
        </w:rPr>
        <w:t>   预算金额（元）:3405800</w:t>
      </w:r>
    </w:p>
    <w:p>
      <w:pPr>
        <w:pStyle w:val="19"/>
        <w:keepNext w:val="0"/>
        <w:keepLines w:val="0"/>
        <w:widowControl/>
        <w:suppressLineNumbers w:val="0"/>
        <w:spacing w:before="75" w:beforeAutospacing="0" w:after="75" w:afterAutospacing="0" w:line="240" w:lineRule="auto"/>
        <w:ind w:left="0" w:right="0" w:firstLine="420"/>
        <w:rPr>
          <w:rFonts w:hint="eastAsia" w:ascii="仿宋" w:hAnsi="仿宋" w:eastAsia="仿宋" w:cs="仿宋"/>
        </w:rPr>
      </w:pPr>
      <w:r>
        <w:rPr>
          <w:rFonts w:hint="eastAsia" w:ascii="仿宋" w:hAnsi="仿宋" w:eastAsia="仿宋" w:cs="仿宋"/>
        </w:rPr>
        <w:t>   简要规格描述或项目基本概况介绍、用途：公共安全相关设备补点建设设备采购</w:t>
      </w:r>
    </w:p>
    <w:p>
      <w:pPr>
        <w:pStyle w:val="19"/>
        <w:keepNext w:val="0"/>
        <w:keepLines w:val="0"/>
        <w:widowControl/>
        <w:suppressLineNumbers w:val="0"/>
        <w:spacing w:before="75" w:beforeAutospacing="0" w:after="75" w:afterAutospacing="0" w:line="240" w:lineRule="auto"/>
        <w:ind w:left="0" w:right="0" w:firstLine="420"/>
        <w:rPr>
          <w:rFonts w:hint="eastAsia" w:ascii="仿宋" w:hAnsi="仿宋" w:eastAsia="仿宋" w:cs="仿宋"/>
        </w:rPr>
      </w:pPr>
      <w:r>
        <w:rPr>
          <w:rFonts w:hint="eastAsia" w:ascii="仿宋" w:hAnsi="仿宋" w:eastAsia="仿宋" w:cs="仿宋"/>
        </w:rPr>
        <w:t>   备注：</w:t>
      </w:r>
    </w:p>
    <w:p>
      <w:pPr>
        <w:pStyle w:val="19"/>
        <w:keepNext w:val="0"/>
        <w:keepLines w:val="0"/>
        <w:widowControl/>
        <w:suppressLineNumbers w:val="0"/>
        <w:spacing w:before="75" w:beforeAutospacing="0" w:after="75" w:afterAutospacing="0" w:line="240" w:lineRule="auto"/>
        <w:ind w:left="0" w:right="0" w:firstLine="420"/>
        <w:rPr>
          <w:rFonts w:hint="eastAsia" w:ascii="仿宋" w:hAnsi="仿宋" w:eastAsia="仿宋" w:cs="仿宋"/>
        </w:rPr>
      </w:pPr>
      <w:r>
        <w:rPr>
          <w:rFonts w:hint="eastAsia" w:ascii="仿宋" w:hAnsi="仿宋" w:eastAsia="仿宋" w:cs="仿宋"/>
        </w:rPr>
        <w:t>标项三</w:t>
      </w:r>
    </w:p>
    <w:p>
      <w:pPr>
        <w:pStyle w:val="19"/>
        <w:keepNext w:val="0"/>
        <w:keepLines w:val="0"/>
        <w:widowControl/>
        <w:suppressLineNumbers w:val="0"/>
        <w:spacing w:before="75" w:beforeAutospacing="0" w:after="75" w:afterAutospacing="0" w:line="240" w:lineRule="auto"/>
        <w:ind w:left="0" w:right="0" w:firstLine="420"/>
        <w:rPr>
          <w:rFonts w:hint="eastAsia" w:ascii="仿宋" w:hAnsi="仿宋" w:eastAsia="仿宋" w:cs="仿宋"/>
        </w:rPr>
      </w:pPr>
      <w:r>
        <w:rPr>
          <w:rFonts w:hint="eastAsia" w:ascii="仿宋" w:hAnsi="仿宋" w:eastAsia="仿宋" w:cs="仿宋"/>
        </w:rPr>
        <w:t>   标项名称:苇胡梁片区管委会项目</w:t>
      </w:r>
    </w:p>
    <w:p>
      <w:pPr>
        <w:pStyle w:val="19"/>
        <w:keepNext w:val="0"/>
        <w:keepLines w:val="0"/>
        <w:widowControl/>
        <w:suppressLineNumbers w:val="0"/>
        <w:spacing w:before="75" w:beforeAutospacing="0" w:after="75" w:afterAutospacing="0" w:line="240" w:lineRule="auto"/>
        <w:ind w:left="0" w:right="0" w:firstLine="420"/>
        <w:rPr>
          <w:rFonts w:hint="eastAsia" w:ascii="仿宋" w:hAnsi="仿宋" w:eastAsia="仿宋" w:cs="仿宋"/>
        </w:rPr>
      </w:pPr>
      <w:r>
        <w:rPr>
          <w:rFonts w:hint="eastAsia" w:ascii="仿宋" w:hAnsi="仿宋" w:eastAsia="仿宋" w:cs="仿宋"/>
        </w:rPr>
        <w:t>   数量:不限</w:t>
      </w:r>
    </w:p>
    <w:p>
      <w:pPr>
        <w:pStyle w:val="19"/>
        <w:keepNext w:val="0"/>
        <w:keepLines w:val="0"/>
        <w:widowControl/>
        <w:suppressLineNumbers w:val="0"/>
        <w:spacing w:before="75" w:beforeAutospacing="0" w:after="75" w:afterAutospacing="0" w:line="240" w:lineRule="auto"/>
        <w:ind w:left="0" w:right="0" w:firstLine="420"/>
        <w:rPr>
          <w:rFonts w:hint="eastAsia" w:ascii="仿宋" w:hAnsi="仿宋" w:eastAsia="仿宋" w:cs="仿宋"/>
        </w:rPr>
      </w:pPr>
      <w:r>
        <w:rPr>
          <w:rFonts w:hint="eastAsia" w:ascii="仿宋" w:hAnsi="仿宋" w:eastAsia="仿宋" w:cs="仿宋"/>
        </w:rPr>
        <w:t>   预算金额（元）:4741400</w:t>
      </w:r>
    </w:p>
    <w:p>
      <w:pPr>
        <w:pStyle w:val="19"/>
        <w:keepNext w:val="0"/>
        <w:keepLines w:val="0"/>
        <w:widowControl/>
        <w:suppressLineNumbers w:val="0"/>
        <w:spacing w:before="75" w:beforeAutospacing="0" w:after="75" w:afterAutospacing="0" w:line="240" w:lineRule="auto"/>
        <w:ind w:left="0" w:right="0" w:firstLine="420"/>
        <w:rPr>
          <w:rFonts w:hint="eastAsia" w:ascii="仿宋" w:hAnsi="仿宋" w:eastAsia="仿宋" w:cs="仿宋"/>
        </w:rPr>
      </w:pPr>
      <w:r>
        <w:rPr>
          <w:rFonts w:hint="eastAsia" w:ascii="仿宋" w:hAnsi="仿宋" w:eastAsia="仿宋" w:cs="仿宋"/>
        </w:rPr>
        <w:t>   简要规格描述或项目基本概况介绍、用途：公共安全相关设备补点建设设备采购</w:t>
      </w:r>
    </w:p>
    <w:p>
      <w:pPr>
        <w:pStyle w:val="19"/>
        <w:keepNext w:val="0"/>
        <w:keepLines w:val="0"/>
        <w:widowControl/>
        <w:suppressLineNumbers w:val="0"/>
        <w:spacing w:before="75" w:beforeAutospacing="0" w:after="75" w:afterAutospacing="0" w:line="240" w:lineRule="auto"/>
        <w:ind w:left="0" w:right="0" w:firstLine="420"/>
        <w:rPr>
          <w:rFonts w:hint="eastAsia" w:ascii="仿宋" w:hAnsi="仿宋" w:eastAsia="仿宋" w:cs="仿宋"/>
        </w:rPr>
      </w:pPr>
      <w:r>
        <w:rPr>
          <w:rFonts w:hint="eastAsia" w:ascii="仿宋" w:hAnsi="仿宋" w:eastAsia="仿宋" w:cs="仿宋"/>
        </w:rPr>
        <w:t>   备注：</w:t>
      </w:r>
    </w:p>
    <w:p>
      <w:pPr>
        <w:pStyle w:val="19"/>
        <w:keepNext w:val="0"/>
        <w:keepLines w:val="0"/>
        <w:widowControl/>
        <w:suppressLineNumbers w:val="0"/>
        <w:spacing w:before="75" w:beforeAutospacing="0" w:after="75" w:afterAutospacing="0" w:line="240" w:lineRule="auto"/>
        <w:ind w:left="0" w:right="0" w:firstLine="420"/>
        <w:rPr>
          <w:rFonts w:hint="eastAsia" w:ascii="仿宋" w:hAnsi="仿宋" w:eastAsia="仿宋" w:cs="仿宋"/>
        </w:rPr>
      </w:pPr>
      <w:r>
        <w:rPr>
          <w:rFonts w:hint="eastAsia" w:ascii="仿宋" w:hAnsi="仿宋" w:eastAsia="仿宋" w:cs="仿宋"/>
        </w:rPr>
        <w:t>标项四</w:t>
      </w:r>
    </w:p>
    <w:p>
      <w:pPr>
        <w:pStyle w:val="19"/>
        <w:keepNext w:val="0"/>
        <w:keepLines w:val="0"/>
        <w:widowControl/>
        <w:suppressLineNumbers w:val="0"/>
        <w:spacing w:before="75" w:beforeAutospacing="0" w:after="75" w:afterAutospacing="0" w:line="240" w:lineRule="auto"/>
        <w:ind w:left="0" w:right="0" w:firstLine="420"/>
        <w:rPr>
          <w:rFonts w:hint="eastAsia" w:ascii="仿宋" w:hAnsi="仿宋" w:eastAsia="仿宋" w:cs="仿宋"/>
        </w:rPr>
      </w:pPr>
      <w:r>
        <w:rPr>
          <w:rFonts w:hint="eastAsia" w:ascii="仿宋" w:hAnsi="仿宋" w:eastAsia="仿宋" w:cs="仿宋"/>
        </w:rPr>
        <w:t>   标项名称:振安街片区管委会项目</w:t>
      </w:r>
    </w:p>
    <w:p>
      <w:pPr>
        <w:pStyle w:val="19"/>
        <w:keepNext w:val="0"/>
        <w:keepLines w:val="0"/>
        <w:widowControl/>
        <w:suppressLineNumbers w:val="0"/>
        <w:spacing w:before="75" w:beforeAutospacing="0" w:after="75" w:afterAutospacing="0" w:line="240" w:lineRule="auto"/>
        <w:ind w:left="0" w:right="0" w:firstLine="420"/>
        <w:rPr>
          <w:rFonts w:hint="eastAsia" w:ascii="仿宋" w:hAnsi="仿宋" w:eastAsia="仿宋" w:cs="仿宋"/>
        </w:rPr>
      </w:pPr>
      <w:r>
        <w:rPr>
          <w:rFonts w:hint="eastAsia" w:ascii="仿宋" w:hAnsi="仿宋" w:eastAsia="仿宋" w:cs="仿宋"/>
        </w:rPr>
        <w:t>   数量:不限</w:t>
      </w:r>
    </w:p>
    <w:p>
      <w:pPr>
        <w:pStyle w:val="19"/>
        <w:keepNext w:val="0"/>
        <w:keepLines w:val="0"/>
        <w:widowControl/>
        <w:suppressLineNumbers w:val="0"/>
        <w:spacing w:before="75" w:beforeAutospacing="0" w:after="75" w:afterAutospacing="0" w:line="240" w:lineRule="auto"/>
        <w:ind w:left="0" w:right="0" w:firstLine="420"/>
        <w:rPr>
          <w:rFonts w:hint="eastAsia" w:ascii="仿宋" w:hAnsi="仿宋" w:eastAsia="仿宋" w:cs="仿宋"/>
        </w:rPr>
      </w:pPr>
      <w:r>
        <w:rPr>
          <w:rFonts w:hint="eastAsia" w:ascii="仿宋" w:hAnsi="仿宋" w:eastAsia="仿宋" w:cs="仿宋"/>
        </w:rPr>
        <w:t>   预算金额（元）:4329300</w:t>
      </w:r>
    </w:p>
    <w:p>
      <w:pPr>
        <w:pStyle w:val="19"/>
        <w:keepNext w:val="0"/>
        <w:keepLines w:val="0"/>
        <w:widowControl/>
        <w:suppressLineNumbers w:val="0"/>
        <w:spacing w:before="75" w:beforeAutospacing="0" w:after="75" w:afterAutospacing="0" w:line="240" w:lineRule="auto"/>
        <w:ind w:left="0" w:right="0" w:firstLine="420"/>
        <w:rPr>
          <w:rFonts w:hint="eastAsia" w:ascii="仿宋" w:hAnsi="仿宋" w:eastAsia="仿宋" w:cs="仿宋"/>
        </w:rPr>
      </w:pPr>
      <w:r>
        <w:rPr>
          <w:rFonts w:hint="eastAsia" w:ascii="仿宋" w:hAnsi="仿宋" w:eastAsia="仿宋" w:cs="仿宋"/>
        </w:rPr>
        <w:t>   简要规格描述或项目基本概况介绍、用途：公共安全相关设备补点建设设备采购</w:t>
      </w:r>
    </w:p>
    <w:p>
      <w:pPr>
        <w:pStyle w:val="19"/>
        <w:keepNext w:val="0"/>
        <w:keepLines w:val="0"/>
        <w:widowControl/>
        <w:suppressLineNumbers w:val="0"/>
        <w:spacing w:before="75" w:beforeAutospacing="0" w:after="75" w:afterAutospacing="0" w:line="240" w:lineRule="auto"/>
        <w:ind w:left="0" w:right="0" w:firstLine="420"/>
        <w:rPr>
          <w:rFonts w:hint="eastAsia" w:ascii="仿宋" w:hAnsi="仿宋" w:eastAsia="仿宋" w:cs="仿宋"/>
        </w:rPr>
      </w:pPr>
      <w:r>
        <w:rPr>
          <w:rFonts w:hint="eastAsia" w:ascii="仿宋" w:hAnsi="仿宋" w:eastAsia="仿宋" w:cs="仿宋"/>
        </w:rPr>
        <w:t>   备注：</w:t>
      </w:r>
    </w:p>
    <w:p>
      <w:pPr>
        <w:pStyle w:val="19"/>
        <w:keepNext w:val="0"/>
        <w:keepLines w:val="0"/>
        <w:widowControl/>
        <w:suppressLineNumbers w:val="0"/>
        <w:spacing w:before="75" w:beforeAutospacing="0" w:after="75" w:afterAutospacing="0" w:line="240" w:lineRule="auto"/>
        <w:ind w:left="0" w:right="0" w:firstLine="420"/>
        <w:rPr>
          <w:rFonts w:hint="eastAsia" w:ascii="仿宋" w:hAnsi="仿宋" w:eastAsia="仿宋" w:cs="仿宋"/>
        </w:rPr>
      </w:pPr>
      <w:r>
        <w:rPr>
          <w:rFonts w:hint="eastAsia" w:ascii="仿宋" w:hAnsi="仿宋" w:eastAsia="仿宋" w:cs="仿宋"/>
        </w:rPr>
        <w:t>标项五</w:t>
      </w:r>
    </w:p>
    <w:p>
      <w:pPr>
        <w:pStyle w:val="19"/>
        <w:keepNext w:val="0"/>
        <w:keepLines w:val="0"/>
        <w:widowControl/>
        <w:suppressLineNumbers w:val="0"/>
        <w:spacing w:before="75" w:beforeAutospacing="0" w:after="75" w:afterAutospacing="0" w:line="240" w:lineRule="auto"/>
        <w:ind w:left="0" w:right="0" w:firstLine="420"/>
        <w:rPr>
          <w:rFonts w:hint="eastAsia" w:ascii="仿宋" w:hAnsi="仿宋" w:eastAsia="仿宋" w:cs="仿宋"/>
        </w:rPr>
      </w:pPr>
      <w:r>
        <w:rPr>
          <w:rFonts w:hint="eastAsia" w:ascii="仿宋" w:hAnsi="仿宋" w:eastAsia="仿宋" w:cs="仿宋"/>
        </w:rPr>
        <w:t>   标项名称:榆树沟片区管委会项目</w:t>
      </w:r>
    </w:p>
    <w:p>
      <w:pPr>
        <w:pStyle w:val="19"/>
        <w:keepNext w:val="0"/>
        <w:keepLines w:val="0"/>
        <w:widowControl/>
        <w:suppressLineNumbers w:val="0"/>
        <w:spacing w:before="75" w:beforeAutospacing="0" w:after="75" w:afterAutospacing="0" w:line="240" w:lineRule="auto"/>
        <w:ind w:left="0" w:right="0" w:firstLine="420"/>
        <w:rPr>
          <w:rFonts w:hint="eastAsia" w:ascii="仿宋" w:hAnsi="仿宋" w:eastAsia="仿宋" w:cs="仿宋"/>
        </w:rPr>
      </w:pPr>
      <w:r>
        <w:rPr>
          <w:rFonts w:hint="eastAsia" w:ascii="仿宋" w:hAnsi="仿宋" w:eastAsia="仿宋" w:cs="仿宋"/>
        </w:rPr>
        <w:t>   数量:不限</w:t>
      </w:r>
    </w:p>
    <w:p>
      <w:pPr>
        <w:pStyle w:val="19"/>
        <w:keepNext w:val="0"/>
        <w:keepLines w:val="0"/>
        <w:widowControl/>
        <w:suppressLineNumbers w:val="0"/>
        <w:spacing w:before="75" w:beforeAutospacing="0" w:after="75" w:afterAutospacing="0" w:line="240" w:lineRule="auto"/>
        <w:ind w:left="0" w:right="0" w:firstLine="420"/>
        <w:rPr>
          <w:rFonts w:hint="eastAsia" w:ascii="仿宋" w:hAnsi="仿宋" w:eastAsia="仿宋" w:cs="仿宋"/>
        </w:rPr>
      </w:pPr>
      <w:r>
        <w:rPr>
          <w:rFonts w:hint="eastAsia" w:ascii="仿宋" w:hAnsi="仿宋" w:eastAsia="仿宋" w:cs="仿宋"/>
        </w:rPr>
        <w:t>   预算金额（元）:3560200</w:t>
      </w:r>
    </w:p>
    <w:p>
      <w:pPr>
        <w:pStyle w:val="19"/>
        <w:keepNext w:val="0"/>
        <w:keepLines w:val="0"/>
        <w:widowControl/>
        <w:suppressLineNumbers w:val="0"/>
        <w:spacing w:before="75" w:beforeAutospacing="0" w:after="75" w:afterAutospacing="0" w:line="240" w:lineRule="auto"/>
        <w:ind w:left="0" w:right="0" w:firstLine="420"/>
        <w:rPr>
          <w:rFonts w:hint="eastAsia" w:ascii="仿宋" w:hAnsi="仿宋" w:eastAsia="仿宋" w:cs="仿宋"/>
        </w:rPr>
      </w:pPr>
      <w:r>
        <w:rPr>
          <w:rFonts w:hint="eastAsia" w:ascii="仿宋" w:hAnsi="仿宋" w:eastAsia="仿宋" w:cs="仿宋"/>
        </w:rPr>
        <w:t>   简要规格描述或项目基本概况介绍、用途：公共安全相关设备补点建设设备采购</w:t>
      </w:r>
    </w:p>
    <w:p>
      <w:pPr>
        <w:pStyle w:val="19"/>
        <w:keepNext w:val="0"/>
        <w:keepLines w:val="0"/>
        <w:widowControl/>
        <w:suppressLineNumbers w:val="0"/>
        <w:spacing w:before="75" w:beforeAutospacing="0" w:after="75" w:afterAutospacing="0" w:line="240" w:lineRule="auto"/>
        <w:ind w:left="0" w:right="0" w:firstLine="420"/>
        <w:rPr>
          <w:rFonts w:hint="eastAsia" w:ascii="仿宋" w:hAnsi="仿宋" w:eastAsia="仿宋" w:cs="仿宋"/>
        </w:rPr>
      </w:pPr>
      <w:r>
        <w:rPr>
          <w:rFonts w:hint="eastAsia" w:ascii="仿宋" w:hAnsi="仿宋" w:eastAsia="仿宋" w:cs="仿宋"/>
        </w:rPr>
        <w:t>   备注：</w:t>
      </w:r>
    </w:p>
    <w:p>
      <w:pPr>
        <w:pStyle w:val="19"/>
        <w:keepNext w:val="0"/>
        <w:keepLines w:val="0"/>
        <w:widowControl/>
        <w:suppressLineNumbers w:val="0"/>
        <w:spacing w:before="75" w:beforeAutospacing="0" w:after="75" w:afterAutospacing="0" w:line="240" w:lineRule="auto"/>
        <w:ind w:left="0" w:right="0" w:firstLine="420"/>
        <w:rPr>
          <w:rFonts w:hint="eastAsia" w:ascii="仿宋" w:hAnsi="仿宋" w:eastAsia="仿宋" w:cs="仿宋"/>
        </w:rPr>
      </w:pPr>
      <w:r>
        <w:rPr>
          <w:rFonts w:hint="eastAsia" w:ascii="仿宋" w:hAnsi="仿宋" w:eastAsia="仿宋" w:cs="仿宋"/>
        </w:rPr>
        <w:t>标项六</w:t>
      </w:r>
    </w:p>
    <w:p>
      <w:pPr>
        <w:pStyle w:val="19"/>
        <w:keepNext w:val="0"/>
        <w:keepLines w:val="0"/>
        <w:widowControl/>
        <w:suppressLineNumbers w:val="0"/>
        <w:spacing w:before="75" w:beforeAutospacing="0" w:after="75" w:afterAutospacing="0" w:line="240" w:lineRule="auto"/>
        <w:ind w:left="0" w:right="0" w:firstLine="420"/>
        <w:rPr>
          <w:rFonts w:hint="eastAsia" w:ascii="仿宋" w:hAnsi="仿宋" w:eastAsia="仿宋" w:cs="仿宋"/>
        </w:rPr>
      </w:pPr>
      <w:r>
        <w:rPr>
          <w:rFonts w:hint="eastAsia" w:ascii="仿宋" w:hAnsi="仿宋" w:eastAsia="仿宋" w:cs="仿宋"/>
        </w:rPr>
        <w:t>   标项名称:七道湾片区管委会项目</w:t>
      </w:r>
    </w:p>
    <w:p>
      <w:pPr>
        <w:pStyle w:val="19"/>
        <w:keepNext w:val="0"/>
        <w:keepLines w:val="0"/>
        <w:widowControl/>
        <w:suppressLineNumbers w:val="0"/>
        <w:spacing w:before="75" w:beforeAutospacing="0" w:after="75" w:afterAutospacing="0" w:line="240" w:lineRule="auto"/>
        <w:ind w:left="0" w:right="0" w:firstLine="420"/>
        <w:rPr>
          <w:rFonts w:hint="eastAsia" w:ascii="仿宋" w:hAnsi="仿宋" w:eastAsia="仿宋" w:cs="仿宋"/>
        </w:rPr>
      </w:pPr>
      <w:r>
        <w:rPr>
          <w:rFonts w:hint="eastAsia" w:ascii="仿宋" w:hAnsi="仿宋" w:eastAsia="仿宋" w:cs="仿宋"/>
        </w:rPr>
        <w:t>   数量:不限</w:t>
      </w:r>
    </w:p>
    <w:p>
      <w:pPr>
        <w:pStyle w:val="19"/>
        <w:keepNext w:val="0"/>
        <w:keepLines w:val="0"/>
        <w:widowControl/>
        <w:suppressLineNumbers w:val="0"/>
        <w:spacing w:before="75" w:beforeAutospacing="0" w:after="75" w:afterAutospacing="0" w:line="240" w:lineRule="auto"/>
        <w:ind w:left="0" w:right="0" w:firstLine="420"/>
        <w:rPr>
          <w:rFonts w:hint="eastAsia" w:ascii="仿宋" w:hAnsi="仿宋" w:eastAsia="仿宋" w:cs="仿宋"/>
        </w:rPr>
      </w:pPr>
      <w:r>
        <w:rPr>
          <w:rFonts w:hint="eastAsia" w:ascii="仿宋" w:hAnsi="仿宋" w:eastAsia="仿宋" w:cs="仿宋"/>
        </w:rPr>
        <w:t>   预算金额（元）:7593400</w:t>
      </w:r>
    </w:p>
    <w:p>
      <w:pPr>
        <w:pStyle w:val="19"/>
        <w:keepNext w:val="0"/>
        <w:keepLines w:val="0"/>
        <w:widowControl/>
        <w:suppressLineNumbers w:val="0"/>
        <w:spacing w:before="75" w:beforeAutospacing="0" w:after="75" w:afterAutospacing="0" w:line="240" w:lineRule="auto"/>
        <w:ind w:left="0" w:right="0" w:firstLine="420"/>
        <w:rPr>
          <w:rFonts w:hint="eastAsia" w:ascii="仿宋" w:hAnsi="仿宋" w:eastAsia="仿宋" w:cs="仿宋"/>
        </w:rPr>
      </w:pPr>
      <w:r>
        <w:rPr>
          <w:rFonts w:hint="eastAsia" w:ascii="仿宋" w:hAnsi="仿宋" w:eastAsia="仿宋" w:cs="仿宋"/>
        </w:rPr>
        <w:t>   简要规格描述或项目基本概况介绍、用途：公共安全相关设备补点建设设备采购</w:t>
      </w:r>
    </w:p>
    <w:p>
      <w:pPr>
        <w:pStyle w:val="19"/>
        <w:keepNext w:val="0"/>
        <w:keepLines w:val="0"/>
        <w:widowControl/>
        <w:suppressLineNumbers w:val="0"/>
        <w:spacing w:before="75" w:beforeAutospacing="0" w:after="75" w:afterAutospacing="0" w:line="240" w:lineRule="auto"/>
        <w:ind w:left="0" w:right="0" w:firstLine="420"/>
        <w:rPr>
          <w:rFonts w:hint="eastAsia" w:ascii="仿宋" w:hAnsi="仿宋" w:eastAsia="仿宋" w:cs="仿宋"/>
        </w:rPr>
      </w:pPr>
      <w:r>
        <w:rPr>
          <w:rFonts w:hint="eastAsia" w:ascii="仿宋" w:hAnsi="仿宋" w:eastAsia="仿宋" w:cs="仿宋"/>
        </w:rPr>
        <w:t>   备注：</w:t>
      </w:r>
    </w:p>
    <w:p>
      <w:pPr>
        <w:pStyle w:val="19"/>
        <w:keepNext w:val="0"/>
        <w:keepLines w:val="0"/>
        <w:widowControl/>
        <w:suppressLineNumbers w:val="0"/>
        <w:spacing w:before="75" w:beforeAutospacing="0" w:after="75" w:afterAutospacing="0" w:line="240" w:lineRule="auto"/>
        <w:ind w:left="0" w:right="0" w:firstLine="420"/>
        <w:rPr>
          <w:rFonts w:hint="eastAsia" w:ascii="仿宋" w:hAnsi="仿宋" w:eastAsia="仿宋" w:cs="仿宋"/>
        </w:rPr>
      </w:pPr>
      <w:r>
        <w:rPr>
          <w:rFonts w:hint="eastAsia" w:ascii="仿宋" w:hAnsi="仿宋" w:eastAsia="仿宋" w:cs="仿宋"/>
        </w:rPr>
        <w:t>标项七</w:t>
      </w:r>
    </w:p>
    <w:p>
      <w:pPr>
        <w:pStyle w:val="19"/>
        <w:keepNext w:val="0"/>
        <w:keepLines w:val="0"/>
        <w:widowControl/>
        <w:suppressLineNumbers w:val="0"/>
        <w:spacing w:before="75" w:beforeAutospacing="0" w:after="75" w:afterAutospacing="0" w:line="240" w:lineRule="auto"/>
        <w:ind w:left="0" w:right="0" w:firstLine="420"/>
        <w:rPr>
          <w:rFonts w:hint="eastAsia" w:ascii="仿宋" w:hAnsi="仿宋" w:eastAsia="仿宋" w:cs="仿宋"/>
        </w:rPr>
      </w:pPr>
      <w:r>
        <w:rPr>
          <w:rFonts w:hint="eastAsia" w:ascii="仿宋" w:hAnsi="仿宋" w:eastAsia="仿宋" w:cs="仿宋"/>
        </w:rPr>
        <w:t>   标项名称:河马泉片区管委会项目</w:t>
      </w:r>
    </w:p>
    <w:p>
      <w:pPr>
        <w:pStyle w:val="19"/>
        <w:keepNext w:val="0"/>
        <w:keepLines w:val="0"/>
        <w:widowControl/>
        <w:suppressLineNumbers w:val="0"/>
        <w:spacing w:before="75" w:beforeAutospacing="0" w:after="75" w:afterAutospacing="0" w:line="240" w:lineRule="auto"/>
        <w:ind w:left="0" w:right="0" w:firstLine="420"/>
        <w:rPr>
          <w:rFonts w:hint="eastAsia" w:ascii="仿宋" w:hAnsi="仿宋" w:eastAsia="仿宋" w:cs="仿宋"/>
        </w:rPr>
      </w:pPr>
      <w:r>
        <w:rPr>
          <w:rFonts w:hint="eastAsia" w:ascii="仿宋" w:hAnsi="仿宋" w:eastAsia="仿宋" w:cs="仿宋"/>
        </w:rPr>
        <w:t>   数量:不限</w:t>
      </w:r>
    </w:p>
    <w:p>
      <w:pPr>
        <w:pStyle w:val="19"/>
        <w:keepNext w:val="0"/>
        <w:keepLines w:val="0"/>
        <w:widowControl/>
        <w:suppressLineNumbers w:val="0"/>
        <w:spacing w:before="75" w:beforeAutospacing="0" w:after="75" w:afterAutospacing="0" w:line="240" w:lineRule="auto"/>
        <w:ind w:left="0" w:right="0" w:firstLine="420"/>
        <w:rPr>
          <w:rFonts w:hint="eastAsia" w:ascii="仿宋" w:hAnsi="仿宋" w:eastAsia="仿宋" w:cs="仿宋"/>
        </w:rPr>
      </w:pPr>
      <w:r>
        <w:rPr>
          <w:rFonts w:hint="eastAsia" w:ascii="仿宋" w:hAnsi="仿宋" w:eastAsia="仿宋" w:cs="仿宋"/>
        </w:rPr>
        <w:t>   预算金额（元）:502600</w:t>
      </w:r>
    </w:p>
    <w:p>
      <w:pPr>
        <w:pStyle w:val="19"/>
        <w:keepNext w:val="0"/>
        <w:keepLines w:val="0"/>
        <w:widowControl/>
        <w:suppressLineNumbers w:val="0"/>
        <w:spacing w:before="75" w:beforeAutospacing="0" w:after="75" w:afterAutospacing="0" w:line="240" w:lineRule="auto"/>
        <w:ind w:left="0" w:right="0" w:firstLine="420"/>
        <w:rPr>
          <w:rFonts w:hint="eastAsia" w:ascii="仿宋" w:hAnsi="仿宋" w:eastAsia="仿宋" w:cs="仿宋"/>
        </w:rPr>
      </w:pPr>
      <w:r>
        <w:rPr>
          <w:rFonts w:hint="eastAsia" w:ascii="仿宋" w:hAnsi="仿宋" w:eastAsia="仿宋" w:cs="仿宋"/>
        </w:rPr>
        <w:t>   简要规格描述或项目基本概况介绍、用途：公共安全相关设备补点建设设备采购</w:t>
      </w:r>
    </w:p>
    <w:p>
      <w:pPr>
        <w:pStyle w:val="19"/>
        <w:keepNext w:val="0"/>
        <w:keepLines w:val="0"/>
        <w:widowControl/>
        <w:suppressLineNumbers w:val="0"/>
        <w:spacing w:before="75" w:beforeAutospacing="0" w:after="75" w:afterAutospacing="0" w:line="240" w:lineRule="auto"/>
        <w:ind w:left="0" w:right="0" w:firstLine="420"/>
        <w:rPr>
          <w:rFonts w:hint="eastAsia" w:ascii="仿宋" w:hAnsi="仿宋" w:eastAsia="仿宋" w:cs="仿宋"/>
        </w:rPr>
      </w:pPr>
      <w:r>
        <w:rPr>
          <w:rFonts w:hint="eastAsia" w:ascii="仿宋" w:hAnsi="仿宋" w:eastAsia="仿宋" w:cs="仿宋"/>
        </w:rPr>
        <w:t>   备注：</w:t>
      </w:r>
    </w:p>
    <w:p>
      <w:pPr>
        <w:pStyle w:val="19"/>
        <w:keepNext w:val="0"/>
        <w:keepLines w:val="0"/>
        <w:widowControl/>
        <w:suppressLineNumbers w:val="0"/>
        <w:spacing w:before="75" w:beforeAutospacing="0" w:after="75" w:afterAutospacing="0" w:line="240" w:lineRule="auto"/>
        <w:ind w:left="0" w:right="0" w:firstLine="420"/>
        <w:rPr>
          <w:rFonts w:hint="eastAsia" w:ascii="仿宋" w:hAnsi="仿宋" w:eastAsia="仿宋" w:cs="仿宋"/>
        </w:rPr>
      </w:pPr>
      <w:r>
        <w:rPr>
          <w:rFonts w:hint="eastAsia" w:ascii="仿宋" w:hAnsi="仿宋" w:eastAsia="仿宋" w:cs="仿宋"/>
        </w:rPr>
        <w:t>标项八</w:t>
      </w:r>
    </w:p>
    <w:p>
      <w:pPr>
        <w:pStyle w:val="19"/>
        <w:keepNext w:val="0"/>
        <w:keepLines w:val="0"/>
        <w:widowControl/>
        <w:suppressLineNumbers w:val="0"/>
        <w:spacing w:before="75" w:beforeAutospacing="0" w:after="75" w:afterAutospacing="0" w:line="240" w:lineRule="auto"/>
        <w:ind w:left="0" w:right="0" w:firstLine="420"/>
        <w:rPr>
          <w:rFonts w:hint="eastAsia" w:ascii="仿宋" w:hAnsi="仿宋" w:eastAsia="仿宋" w:cs="仿宋"/>
        </w:rPr>
      </w:pPr>
      <w:r>
        <w:rPr>
          <w:rFonts w:hint="eastAsia" w:ascii="仿宋" w:hAnsi="仿宋" w:eastAsia="仿宋" w:cs="仿宋"/>
        </w:rPr>
        <w:t>   标项名称:华光街片区管委会项目</w:t>
      </w:r>
    </w:p>
    <w:p>
      <w:pPr>
        <w:pStyle w:val="19"/>
        <w:keepNext w:val="0"/>
        <w:keepLines w:val="0"/>
        <w:widowControl/>
        <w:suppressLineNumbers w:val="0"/>
        <w:spacing w:before="75" w:beforeAutospacing="0" w:after="75" w:afterAutospacing="0" w:line="240" w:lineRule="auto"/>
        <w:ind w:left="0" w:right="0" w:firstLine="420"/>
        <w:rPr>
          <w:rFonts w:hint="eastAsia" w:ascii="仿宋" w:hAnsi="仿宋" w:eastAsia="仿宋" w:cs="仿宋"/>
        </w:rPr>
      </w:pPr>
      <w:r>
        <w:rPr>
          <w:rFonts w:hint="eastAsia" w:ascii="仿宋" w:hAnsi="仿宋" w:eastAsia="仿宋" w:cs="仿宋"/>
        </w:rPr>
        <w:t>   数量:不限</w:t>
      </w:r>
    </w:p>
    <w:p>
      <w:pPr>
        <w:pStyle w:val="19"/>
        <w:keepNext w:val="0"/>
        <w:keepLines w:val="0"/>
        <w:widowControl/>
        <w:suppressLineNumbers w:val="0"/>
        <w:spacing w:before="75" w:beforeAutospacing="0" w:after="75" w:afterAutospacing="0" w:line="240" w:lineRule="auto"/>
        <w:ind w:left="0" w:right="0" w:firstLine="420"/>
        <w:rPr>
          <w:rFonts w:hint="eastAsia" w:ascii="仿宋" w:hAnsi="仿宋" w:eastAsia="仿宋" w:cs="仿宋"/>
        </w:rPr>
      </w:pPr>
      <w:r>
        <w:rPr>
          <w:rFonts w:hint="eastAsia" w:ascii="仿宋" w:hAnsi="仿宋" w:eastAsia="仿宋" w:cs="仿宋"/>
        </w:rPr>
        <w:t>   预算金额（元）:1071700</w:t>
      </w:r>
    </w:p>
    <w:p>
      <w:pPr>
        <w:pStyle w:val="19"/>
        <w:keepNext w:val="0"/>
        <w:keepLines w:val="0"/>
        <w:widowControl/>
        <w:suppressLineNumbers w:val="0"/>
        <w:spacing w:before="75" w:beforeAutospacing="0" w:after="75" w:afterAutospacing="0" w:line="240" w:lineRule="auto"/>
        <w:ind w:left="0" w:right="0" w:firstLine="420"/>
        <w:rPr>
          <w:rFonts w:hint="eastAsia" w:ascii="仿宋" w:hAnsi="仿宋" w:eastAsia="仿宋" w:cs="仿宋"/>
        </w:rPr>
      </w:pPr>
      <w:r>
        <w:rPr>
          <w:rFonts w:hint="eastAsia" w:ascii="仿宋" w:hAnsi="仿宋" w:eastAsia="仿宋" w:cs="仿宋"/>
        </w:rPr>
        <w:t>   简要规格描述或项目基本概况介绍、用途：公共安全相关设备补点建设设备采购</w:t>
      </w:r>
    </w:p>
    <w:p>
      <w:pPr>
        <w:pStyle w:val="19"/>
        <w:keepNext w:val="0"/>
        <w:keepLines w:val="0"/>
        <w:widowControl/>
        <w:suppressLineNumbers w:val="0"/>
        <w:spacing w:before="75" w:beforeAutospacing="0" w:after="75" w:afterAutospacing="0" w:line="240" w:lineRule="auto"/>
        <w:ind w:left="0" w:right="0" w:firstLine="420"/>
        <w:rPr>
          <w:rFonts w:hint="eastAsia" w:ascii="仿宋" w:hAnsi="仿宋" w:eastAsia="仿宋" w:cs="仿宋"/>
        </w:rPr>
      </w:pPr>
      <w:r>
        <w:rPr>
          <w:rFonts w:hint="eastAsia" w:ascii="仿宋" w:hAnsi="仿宋" w:eastAsia="仿宋" w:cs="仿宋"/>
        </w:rPr>
        <w:t>   备注：</w:t>
      </w:r>
    </w:p>
    <w:p>
      <w:pPr>
        <w:pStyle w:val="19"/>
        <w:keepNext w:val="0"/>
        <w:keepLines w:val="0"/>
        <w:widowControl/>
        <w:suppressLineNumbers w:val="0"/>
        <w:spacing w:before="75" w:beforeAutospacing="0" w:after="75" w:afterAutospacing="0" w:line="240" w:lineRule="auto"/>
        <w:ind w:left="0" w:right="0" w:firstLine="420"/>
        <w:rPr>
          <w:rFonts w:hint="eastAsia" w:ascii="仿宋" w:hAnsi="仿宋" w:eastAsia="仿宋" w:cs="仿宋"/>
        </w:rPr>
      </w:pPr>
      <w:r>
        <w:rPr>
          <w:rFonts w:hint="eastAsia" w:ascii="仿宋" w:hAnsi="仿宋" w:eastAsia="仿宋" w:cs="仿宋"/>
        </w:rPr>
        <w:t>标项九</w:t>
      </w:r>
    </w:p>
    <w:p>
      <w:pPr>
        <w:pStyle w:val="19"/>
        <w:keepNext w:val="0"/>
        <w:keepLines w:val="0"/>
        <w:widowControl/>
        <w:suppressLineNumbers w:val="0"/>
        <w:spacing w:before="75" w:beforeAutospacing="0" w:after="75" w:afterAutospacing="0" w:line="240" w:lineRule="auto"/>
        <w:ind w:left="0" w:right="0" w:firstLine="420"/>
        <w:rPr>
          <w:rFonts w:hint="eastAsia" w:ascii="仿宋" w:hAnsi="仿宋" w:eastAsia="仿宋" w:cs="仿宋"/>
        </w:rPr>
      </w:pPr>
      <w:r>
        <w:rPr>
          <w:rFonts w:hint="eastAsia" w:ascii="仿宋" w:hAnsi="仿宋" w:eastAsia="仿宋" w:cs="仿宋"/>
        </w:rPr>
        <w:t>   标项名称:石人沟七篇管委会项目</w:t>
      </w:r>
    </w:p>
    <w:p>
      <w:pPr>
        <w:pStyle w:val="19"/>
        <w:keepNext w:val="0"/>
        <w:keepLines w:val="0"/>
        <w:widowControl/>
        <w:suppressLineNumbers w:val="0"/>
        <w:spacing w:before="75" w:beforeAutospacing="0" w:after="75" w:afterAutospacing="0" w:line="240" w:lineRule="auto"/>
        <w:ind w:left="0" w:right="0" w:firstLine="420"/>
        <w:rPr>
          <w:rFonts w:hint="eastAsia" w:ascii="仿宋" w:hAnsi="仿宋" w:eastAsia="仿宋" w:cs="仿宋"/>
        </w:rPr>
      </w:pPr>
      <w:r>
        <w:rPr>
          <w:rFonts w:hint="eastAsia" w:ascii="仿宋" w:hAnsi="仿宋" w:eastAsia="仿宋" w:cs="仿宋"/>
        </w:rPr>
        <w:t>   数量:不限</w:t>
      </w:r>
    </w:p>
    <w:p>
      <w:pPr>
        <w:pStyle w:val="19"/>
        <w:keepNext w:val="0"/>
        <w:keepLines w:val="0"/>
        <w:widowControl/>
        <w:suppressLineNumbers w:val="0"/>
        <w:spacing w:before="75" w:beforeAutospacing="0" w:after="75" w:afterAutospacing="0" w:line="240" w:lineRule="auto"/>
        <w:ind w:left="0" w:right="0" w:firstLine="420"/>
        <w:rPr>
          <w:rFonts w:hint="eastAsia" w:ascii="仿宋" w:hAnsi="仿宋" w:eastAsia="仿宋" w:cs="仿宋"/>
        </w:rPr>
      </w:pPr>
      <w:r>
        <w:rPr>
          <w:rFonts w:hint="eastAsia" w:ascii="仿宋" w:hAnsi="仿宋" w:eastAsia="仿宋" w:cs="仿宋"/>
        </w:rPr>
        <w:t>   预算金额（元）:386300</w:t>
      </w:r>
    </w:p>
    <w:p>
      <w:pPr>
        <w:pStyle w:val="19"/>
        <w:keepNext w:val="0"/>
        <w:keepLines w:val="0"/>
        <w:widowControl/>
        <w:suppressLineNumbers w:val="0"/>
        <w:spacing w:before="75" w:beforeAutospacing="0" w:after="75" w:afterAutospacing="0" w:line="240" w:lineRule="auto"/>
        <w:ind w:left="0" w:right="0" w:firstLine="420"/>
        <w:rPr>
          <w:rFonts w:hint="eastAsia" w:ascii="仿宋" w:hAnsi="仿宋" w:eastAsia="仿宋" w:cs="仿宋"/>
        </w:rPr>
      </w:pPr>
      <w:r>
        <w:rPr>
          <w:rFonts w:hint="eastAsia" w:ascii="仿宋" w:hAnsi="仿宋" w:eastAsia="仿宋" w:cs="仿宋"/>
        </w:rPr>
        <w:t>   简要规格描述或项目基本概况介绍、用途：公共安全相关设备补点建设设备采购</w:t>
      </w:r>
    </w:p>
    <w:p>
      <w:pPr>
        <w:pStyle w:val="19"/>
        <w:keepNext w:val="0"/>
        <w:keepLines w:val="0"/>
        <w:widowControl/>
        <w:suppressLineNumbers w:val="0"/>
        <w:spacing w:before="75" w:beforeAutospacing="0" w:after="75" w:afterAutospacing="0" w:line="240" w:lineRule="auto"/>
        <w:ind w:left="0" w:right="0" w:firstLine="420"/>
        <w:rPr>
          <w:rFonts w:hint="eastAsia" w:ascii="仿宋" w:hAnsi="仿宋" w:eastAsia="仿宋" w:cs="仿宋"/>
        </w:rPr>
      </w:pPr>
      <w:r>
        <w:rPr>
          <w:rFonts w:hint="eastAsia" w:ascii="仿宋" w:hAnsi="仿宋" w:eastAsia="仿宋" w:cs="仿宋"/>
        </w:rPr>
        <w:t>   备注：</w:t>
      </w:r>
    </w:p>
    <w:p>
      <w:pPr>
        <w:pStyle w:val="19"/>
        <w:keepNext w:val="0"/>
        <w:keepLines w:val="0"/>
        <w:widowControl/>
        <w:suppressLineNumbers w:val="0"/>
        <w:spacing w:before="75" w:beforeAutospacing="0" w:after="75" w:afterAutospacing="0" w:line="240" w:lineRule="auto"/>
        <w:ind w:left="0" w:right="0" w:firstLine="420"/>
        <w:rPr>
          <w:rFonts w:hint="eastAsia" w:ascii="仿宋" w:hAnsi="仿宋" w:eastAsia="仿宋" w:cs="仿宋"/>
        </w:rPr>
      </w:pPr>
      <w:r>
        <w:rPr>
          <w:rFonts w:hint="eastAsia" w:ascii="仿宋" w:hAnsi="仿宋" w:eastAsia="仿宋" w:cs="仿宋"/>
        </w:rPr>
        <w:t>标项十</w:t>
      </w:r>
    </w:p>
    <w:p>
      <w:pPr>
        <w:pStyle w:val="19"/>
        <w:keepNext w:val="0"/>
        <w:keepLines w:val="0"/>
        <w:widowControl/>
        <w:suppressLineNumbers w:val="0"/>
        <w:spacing w:before="75" w:beforeAutospacing="0" w:after="75" w:afterAutospacing="0" w:line="240" w:lineRule="auto"/>
        <w:ind w:left="0" w:right="0" w:firstLine="420"/>
        <w:rPr>
          <w:rFonts w:hint="eastAsia" w:ascii="仿宋" w:hAnsi="仿宋" w:eastAsia="仿宋" w:cs="仿宋"/>
        </w:rPr>
      </w:pPr>
      <w:r>
        <w:rPr>
          <w:rFonts w:hint="eastAsia" w:ascii="仿宋" w:hAnsi="仿宋" w:eastAsia="仿宋" w:cs="仿宋"/>
        </w:rPr>
        <w:t>   标项名称:新民路片区管委会项目</w:t>
      </w:r>
    </w:p>
    <w:p>
      <w:pPr>
        <w:pStyle w:val="19"/>
        <w:keepNext w:val="0"/>
        <w:keepLines w:val="0"/>
        <w:widowControl/>
        <w:suppressLineNumbers w:val="0"/>
        <w:spacing w:before="75" w:beforeAutospacing="0" w:after="75" w:afterAutospacing="0" w:line="240" w:lineRule="auto"/>
        <w:ind w:left="0" w:right="0" w:firstLine="420"/>
        <w:rPr>
          <w:rFonts w:hint="eastAsia" w:ascii="仿宋" w:hAnsi="仿宋" w:eastAsia="仿宋" w:cs="仿宋"/>
        </w:rPr>
      </w:pPr>
      <w:r>
        <w:rPr>
          <w:rFonts w:hint="eastAsia" w:ascii="仿宋" w:hAnsi="仿宋" w:eastAsia="仿宋" w:cs="仿宋"/>
        </w:rPr>
        <w:t>   数量:不限</w:t>
      </w:r>
    </w:p>
    <w:p>
      <w:pPr>
        <w:pStyle w:val="19"/>
        <w:keepNext w:val="0"/>
        <w:keepLines w:val="0"/>
        <w:widowControl/>
        <w:suppressLineNumbers w:val="0"/>
        <w:spacing w:before="75" w:beforeAutospacing="0" w:after="75" w:afterAutospacing="0" w:line="240" w:lineRule="auto"/>
        <w:ind w:left="0" w:right="0" w:firstLine="420"/>
        <w:rPr>
          <w:rFonts w:hint="eastAsia" w:ascii="仿宋" w:hAnsi="仿宋" w:eastAsia="仿宋" w:cs="仿宋"/>
        </w:rPr>
      </w:pPr>
      <w:r>
        <w:rPr>
          <w:rFonts w:hint="eastAsia" w:ascii="仿宋" w:hAnsi="仿宋" w:eastAsia="仿宋" w:cs="仿宋"/>
        </w:rPr>
        <w:t>   预算金额（元）:1855000</w:t>
      </w:r>
    </w:p>
    <w:p>
      <w:pPr>
        <w:pStyle w:val="19"/>
        <w:keepNext w:val="0"/>
        <w:keepLines w:val="0"/>
        <w:widowControl/>
        <w:suppressLineNumbers w:val="0"/>
        <w:spacing w:before="75" w:beforeAutospacing="0" w:after="75" w:afterAutospacing="0" w:line="240" w:lineRule="auto"/>
        <w:ind w:left="0" w:right="0" w:firstLine="420"/>
        <w:rPr>
          <w:rFonts w:hint="eastAsia" w:ascii="仿宋" w:hAnsi="仿宋" w:eastAsia="仿宋" w:cs="仿宋"/>
        </w:rPr>
      </w:pPr>
      <w:r>
        <w:rPr>
          <w:rFonts w:hint="eastAsia" w:ascii="仿宋" w:hAnsi="仿宋" w:eastAsia="仿宋" w:cs="仿宋"/>
        </w:rPr>
        <w:t>   简要规格描述或项目基本概况介绍、用途：公共安全相关设备补点建设设备采购</w:t>
      </w:r>
    </w:p>
    <w:p>
      <w:pPr>
        <w:pStyle w:val="19"/>
        <w:keepNext w:val="0"/>
        <w:keepLines w:val="0"/>
        <w:widowControl/>
        <w:suppressLineNumbers w:val="0"/>
        <w:spacing w:before="75" w:beforeAutospacing="0" w:after="75" w:afterAutospacing="0" w:line="240" w:lineRule="auto"/>
        <w:ind w:left="0" w:right="0" w:firstLine="420"/>
        <w:rPr>
          <w:rFonts w:hint="eastAsia" w:ascii="仿宋" w:hAnsi="仿宋" w:eastAsia="仿宋" w:cs="仿宋"/>
        </w:rPr>
      </w:pPr>
      <w:r>
        <w:rPr>
          <w:rFonts w:hint="eastAsia" w:ascii="仿宋" w:hAnsi="仿宋" w:eastAsia="仿宋" w:cs="仿宋"/>
        </w:rPr>
        <w:t>   备注：</w:t>
      </w:r>
    </w:p>
    <w:p>
      <w:pPr>
        <w:pStyle w:val="19"/>
        <w:keepNext w:val="0"/>
        <w:keepLines w:val="0"/>
        <w:widowControl/>
        <w:suppressLineNumbers w:val="0"/>
        <w:spacing w:before="75" w:beforeAutospacing="0" w:after="75" w:afterAutospacing="0" w:line="240" w:lineRule="auto"/>
        <w:ind w:left="0" w:right="0" w:firstLine="420"/>
        <w:rPr>
          <w:rFonts w:hint="eastAsia" w:ascii="仿宋" w:hAnsi="仿宋" w:eastAsia="仿宋" w:cs="仿宋"/>
        </w:rPr>
      </w:pPr>
      <w:r>
        <w:rPr>
          <w:rFonts w:hint="eastAsia" w:ascii="仿宋" w:hAnsi="仿宋" w:eastAsia="仿宋" w:cs="仿宋"/>
        </w:rPr>
        <w:t>标项十一</w:t>
      </w:r>
    </w:p>
    <w:p>
      <w:pPr>
        <w:pStyle w:val="19"/>
        <w:keepNext w:val="0"/>
        <w:keepLines w:val="0"/>
        <w:widowControl/>
        <w:suppressLineNumbers w:val="0"/>
        <w:spacing w:before="75" w:beforeAutospacing="0" w:after="75" w:afterAutospacing="0" w:line="240" w:lineRule="auto"/>
        <w:ind w:left="0" w:right="0" w:firstLine="420"/>
        <w:rPr>
          <w:rFonts w:hint="eastAsia" w:ascii="仿宋" w:hAnsi="仿宋" w:eastAsia="仿宋" w:cs="仿宋"/>
        </w:rPr>
      </w:pPr>
      <w:r>
        <w:rPr>
          <w:rFonts w:hint="eastAsia" w:ascii="仿宋" w:hAnsi="仿宋" w:eastAsia="仿宋" w:cs="仿宋"/>
        </w:rPr>
        <w:t>   标项名称:南湖南路片区管委会项目</w:t>
      </w:r>
    </w:p>
    <w:p>
      <w:pPr>
        <w:pStyle w:val="19"/>
        <w:keepNext w:val="0"/>
        <w:keepLines w:val="0"/>
        <w:widowControl/>
        <w:suppressLineNumbers w:val="0"/>
        <w:spacing w:before="75" w:beforeAutospacing="0" w:after="75" w:afterAutospacing="0" w:line="240" w:lineRule="auto"/>
        <w:ind w:left="0" w:right="0" w:firstLine="420"/>
        <w:rPr>
          <w:rFonts w:hint="eastAsia" w:ascii="仿宋" w:hAnsi="仿宋" w:eastAsia="仿宋" w:cs="仿宋"/>
        </w:rPr>
      </w:pPr>
      <w:r>
        <w:rPr>
          <w:rFonts w:hint="eastAsia" w:ascii="仿宋" w:hAnsi="仿宋" w:eastAsia="仿宋" w:cs="仿宋"/>
        </w:rPr>
        <w:t>   数量:不限</w:t>
      </w:r>
    </w:p>
    <w:p>
      <w:pPr>
        <w:pStyle w:val="19"/>
        <w:keepNext w:val="0"/>
        <w:keepLines w:val="0"/>
        <w:widowControl/>
        <w:suppressLineNumbers w:val="0"/>
        <w:spacing w:before="75" w:beforeAutospacing="0" w:after="75" w:afterAutospacing="0" w:line="240" w:lineRule="auto"/>
        <w:ind w:left="0" w:right="0" w:firstLine="420"/>
        <w:rPr>
          <w:rFonts w:hint="eastAsia" w:ascii="仿宋" w:hAnsi="仿宋" w:eastAsia="仿宋" w:cs="仿宋"/>
        </w:rPr>
      </w:pPr>
      <w:r>
        <w:rPr>
          <w:rFonts w:hint="eastAsia" w:ascii="仿宋" w:hAnsi="仿宋" w:eastAsia="仿宋" w:cs="仿宋"/>
        </w:rPr>
        <w:t>   预算金额（元）:2121300</w:t>
      </w:r>
    </w:p>
    <w:p>
      <w:pPr>
        <w:pStyle w:val="19"/>
        <w:keepNext w:val="0"/>
        <w:keepLines w:val="0"/>
        <w:widowControl/>
        <w:suppressLineNumbers w:val="0"/>
        <w:spacing w:before="75" w:beforeAutospacing="0" w:after="75" w:afterAutospacing="0" w:line="240" w:lineRule="auto"/>
        <w:ind w:left="0" w:right="0" w:firstLine="420"/>
        <w:rPr>
          <w:rFonts w:hint="eastAsia" w:ascii="仿宋" w:hAnsi="仿宋" w:eastAsia="仿宋" w:cs="仿宋"/>
        </w:rPr>
      </w:pPr>
      <w:r>
        <w:rPr>
          <w:rFonts w:hint="eastAsia" w:ascii="仿宋" w:hAnsi="仿宋" w:eastAsia="仿宋" w:cs="仿宋"/>
        </w:rPr>
        <w:t xml:space="preserve">  简要规格描述或项目基本概况介绍、用途：公共安全相关设备补点建设设备采购</w:t>
      </w:r>
    </w:p>
    <w:p>
      <w:pPr>
        <w:pStyle w:val="19"/>
        <w:keepNext w:val="0"/>
        <w:keepLines w:val="0"/>
        <w:widowControl/>
        <w:suppressLineNumbers w:val="0"/>
        <w:spacing w:before="75" w:beforeAutospacing="0" w:after="75" w:afterAutospacing="0" w:line="240" w:lineRule="auto"/>
        <w:ind w:left="0" w:right="0" w:firstLine="420"/>
        <w:rPr>
          <w:rFonts w:hint="eastAsia" w:ascii="仿宋" w:hAnsi="仿宋" w:eastAsia="仿宋" w:cs="仿宋"/>
        </w:rPr>
      </w:pPr>
      <w:r>
        <w:rPr>
          <w:rFonts w:hint="eastAsia" w:ascii="仿宋" w:hAnsi="仿宋" w:eastAsia="仿宋" w:cs="仿宋"/>
        </w:rPr>
        <w:t>   备注：</w:t>
      </w:r>
    </w:p>
    <w:p>
      <w:pPr>
        <w:pStyle w:val="19"/>
        <w:keepNext w:val="0"/>
        <w:keepLines w:val="0"/>
        <w:widowControl/>
        <w:suppressLineNumbers w:val="0"/>
        <w:spacing w:before="75" w:beforeAutospacing="0" w:after="75" w:afterAutospacing="0" w:line="240" w:lineRule="auto"/>
        <w:ind w:left="0" w:right="0" w:firstLine="420"/>
        <w:rPr>
          <w:rFonts w:hint="eastAsia" w:ascii="仿宋" w:hAnsi="仿宋" w:eastAsia="仿宋" w:cs="仿宋"/>
        </w:rPr>
      </w:pPr>
      <w:r>
        <w:rPr>
          <w:rFonts w:hint="eastAsia" w:ascii="仿宋" w:hAnsi="仿宋" w:eastAsia="仿宋" w:cs="仿宋"/>
        </w:rPr>
        <w:t>标项十二</w:t>
      </w:r>
    </w:p>
    <w:p>
      <w:pPr>
        <w:pStyle w:val="19"/>
        <w:keepNext w:val="0"/>
        <w:keepLines w:val="0"/>
        <w:widowControl/>
        <w:suppressLineNumbers w:val="0"/>
        <w:spacing w:before="75" w:beforeAutospacing="0" w:after="75" w:afterAutospacing="0" w:line="240" w:lineRule="auto"/>
        <w:ind w:left="0" w:right="0" w:firstLine="420"/>
        <w:rPr>
          <w:rFonts w:hint="eastAsia" w:ascii="仿宋" w:hAnsi="仿宋" w:eastAsia="仿宋" w:cs="仿宋"/>
        </w:rPr>
      </w:pPr>
      <w:r>
        <w:rPr>
          <w:rFonts w:hint="eastAsia" w:ascii="仿宋" w:hAnsi="仿宋" w:eastAsia="仿宋" w:cs="仿宋"/>
        </w:rPr>
        <w:t>   标项名称:六道湾片区管委会项目</w:t>
      </w:r>
    </w:p>
    <w:p>
      <w:pPr>
        <w:pStyle w:val="19"/>
        <w:keepNext w:val="0"/>
        <w:keepLines w:val="0"/>
        <w:widowControl/>
        <w:suppressLineNumbers w:val="0"/>
        <w:spacing w:before="75" w:beforeAutospacing="0" w:after="75" w:afterAutospacing="0" w:line="240" w:lineRule="auto"/>
        <w:ind w:left="0" w:right="0" w:firstLine="420"/>
        <w:rPr>
          <w:rFonts w:hint="eastAsia" w:ascii="仿宋" w:hAnsi="仿宋" w:eastAsia="仿宋" w:cs="仿宋"/>
        </w:rPr>
      </w:pPr>
      <w:r>
        <w:rPr>
          <w:rFonts w:hint="eastAsia" w:ascii="仿宋" w:hAnsi="仿宋" w:eastAsia="仿宋" w:cs="仿宋"/>
        </w:rPr>
        <w:t>   数量:不限</w:t>
      </w:r>
    </w:p>
    <w:p>
      <w:pPr>
        <w:pStyle w:val="19"/>
        <w:keepNext w:val="0"/>
        <w:keepLines w:val="0"/>
        <w:widowControl/>
        <w:suppressLineNumbers w:val="0"/>
        <w:spacing w:before="75" w:beforeAutospacing="0" w:after="75" w:afterAutospacing="0" w:line="240" w:lineRule="auto"/>
        <w:ind w:left="0" w:right="0" w:firstLine="420"/>
        <w:rPr>
          <w:rFonts w:hint="eastAsia" w:ascii="仿宋" w:hAnsi="仿宋" w:eastAsia="仿宋" w:cs="仿宋"/>
        </w:rPr>
      </w:pPr>
      <w:r>
        <w:rPr>
          <w:rFonts w:hint="eastAsia" w:ascii="仿宋" w:hAnsi="仿宋" w:eastAsia="仿宋" w:cs="仿宋"/>
        </w:rPr>
        <w:t>   预算金额（元）:2007700</w:t>
      </w:r>
    </w:p>
    <w:p>
      <w:pPr>
        <w:pStyle w:val="19"/>
        <w:keepNext w:val="0"/>
        <w:keepLines w:val="0"/>
        <w:widowControl/>
        <w:suppressLineNumbers w:val="0"/>
        <w:spacing w:before="75" w:beforeAutospacing="0" w:after="75" w:afterAutospacing="0" w:line="240" w:lineRule="auto"/>
        <w:ind w:left="0" w:right="0" w:firstLine="420"/>
        <w:rPr>
          <w:rFonts w:hint="eastAsia" w:ascii="仿宋" w:hAnsi="仿宋" w:eastAsia="仿宋" w:cs="仿宋"/>
        </w:rPr>
      </w:pPr>
      <w:r>
        <w:rPr>
          <w:rFonts w:hint="eastAsia" w:ascii="仿宋" w:hAnsi="仿宋" w:eastAsia="仿宋" w:cs="仿宋"/>
        </w:rPr>
        <w:t>   简要规格描述或项目基本概况介绍、用途：公共安全相关设备补点建设设备采购</w:t>
      </w:r>
    </w:p>
    <w:p>
      <w:pPr>
        <w:pStyle w:val="19"/>
        <w:keepNext w:val="0"/>
        <w:keepLines w:val="0"/>
        <w:widowControl/>
        <w:suppressLineNumbers w:val="0"/>
        <w:spacing w:before="75" w:beforeAutospacing="0" w:after="75" w:afterAutospacing="0" w:line="240" w:lineRule="auto"/>
        <w:ind w:left="0" w:right="0" w:firstLine="420"/>
        <w:rPr>
          <w:rFonts w:hint="eastAsia" w:ascii="仿宋" w:hAnsi="仿宋" w:eastAsia="仿宋" w:cs="仿宋"/>
        </w:rPr>
      </w:pPr>
      <w:r>
        <w:rPr>
          <w:rFonts w:hint="eastAsia" w:ascii="仿宋" w:hAnsi="仿宋" w:eastAsia="仿宋" w:cs="仿宋"/>
        </w:rPr>
        <w:t>   备注：</w:t>
      </w:r>
    </w:p>
    <w:p>
      <w:pPr>
        <w:pStyle w:val="19"/>
        <w:keepNext w:val="0"/>
        <w:keepLines w:val="0"/>
        <w:widowControl/>
        <w:suppressLineNumbers w:val="0"/>
        <w:spacing w:before="75" w:beforeAutospacing="0" w:after="75" w:afterAutospacing="0" w:line="240" w:lineRule="auto"/>
        <w:ind w:left="0" w:right="0" w:firstLine="420"/>
        <w:rPr>
          <w:rFonts w:hint="eastAsia" w:ascii="仿宋" w:hAnsi="仿宋" w:eastAsia="仿宋" w:cs="仿宋"/>
        </w:rPr>
      </w:pPr>
      <w:r>
        <w:rPr>
          <w:rFonts w:hint="eastAsia" w:ascii="仿宋" w:hAnsi="仿宋" w:eastAsia="仿宋" w:cs="仿宋"/>
        </w:rPr>
        <w:t>标项十三</w:t>
      </w:r>
    </w:p>
    <w:p>
      <w:pPr>
        <w:pStyle w:val="19"/>
        <w:keepNext w:val="0"/>
        <w:keepLines w:val="0"/>
        <w:widowControl/>
        <w:suppressLineNumbers w:val="0"/>
        <w:spacing w:before="75" w:beforeAutospacing="0" w:after="75" w:afterAutospacing="0" w:line="240" w:lineRule="auto"/>
        <w:ind w:left="0" w:right="0" w:firstLine="420"/>
        <w:rPr>
          <w:rFonts w:hint="eastAsia" w:ascii="仿宋" w:hAnsi="仿宋" w:eastAsia="仿宋" w:cs="仿宋"/>
        </w:rPr>
      </w:pPr>
      <w:r>
        <w:rPr>
          <w:rFonts w:hint="eastAsia" w:ascii="仿宋" w:hAnsi="仿宋" w:eastAsia="仿宋" w:cs="仿宋"/>
        </w:rPr>
        <w:t>   标项名称:八道湾片区管委会项目</w:t>
      </w:r>
    </w:p>
    <w:p>
      <w:pPr>
        <w:pStyle w:val="19"/>
        <w:keepNext w:val="0"/>
        <w:keepLines w:val="0"/>
        <w:widowControl/>
        <w:suppressLineNumbers w:val="0"/>
        <w:spacing w:before="75" w:beforeAutospacing="0" w:after="75" w:afterAutospacing="0" w:line="240" w:lineRule="auto"/>
        <w:ind w:left="0" w:right="0" w:firstLine="420"/>
        <w:rPr>
          <w:rFonts w:hint="eastAsia" w:ascii="仿宋" w:hAnsi="仿宋" w:eastAsia="仿宋" w:cs="仿宋"/>
        </w:rPr>
      </w:pPr>
      <w:r>
        <w:rPr>
          <w:rFonts w:hint="eastAsia" w:ascii="仿宋" w:hAnsi="仿宋" w:eastAsia="仿宋" w:cs="仿宋"/>
        </w:rPr>
        <w:t>   数量:不限</w:t>
      </w:r>
    </w:p>
    <w:p>
      <w:pPr>
        <w:pStyle w:val="19"/>
        <w:keepNext w:val="0"/>
        <w:keepLines w:val="0"/>
        <w:widowControl/>
        <w:suppressLineNumbers w:val="0"/>
        <w:spacing w:before="75" w:beforeAutospacing="0" w:after="75" w:afterAutospacing="0" w:line="240" w:lineRule="auto"/>
        <w:ind w:left="0" w:right="0" w:firstLine="420"/>
        <w:rPr>
          <w:rFonts w:hint="eastAsia" w:ascii="仿宋" w:hAnsi="仿宋" w:eastAsia="仿宋" w:cs="仿宋"/>
        </w:rPr>
      </w:pPr>
      <w:r>
        <w:rPr>
          <w:rFonts w:hint="eastAsia" w:ascii="仿宋" w:hAnsi="仿宋" w:eastAsia="仿宋" w:cs="仿宋"/>
        </w:rPr>
        <w:t>   预算金额（元）:2520900</w:t>
      </w:r>
    </w:p>
    <w:p>
      <w:pPr>
        <w:pStyle w:val="19"/>
        <w:keepNext w:val="0"/>
        <w:keepLines w:val="0"/>
        <w:widowControl/>
        <w:suppressLineNumbers w:val="0"/>
        <w:spacing w:before="75" w:beforeAutospacing="0" w:after="75" w:afterAutospacing="0" w:line="240" w:lineRule="auto"/>
        <w:ind w:left="0" w:right="0" w:firstLine="420"/>
        <w:rPr>
          <w:rFonts w:hint="eastAsia" w:ascii="仿宋" w:hAnsi="仿宋" w:eastAsia="仿宋" w:cs="仿宋"/>
        </w:rPr>
      </w:pPr>
      <w:r>
        <w:rPr>
          <w:rFonts w:hint="eastAsia" w:ascii="仿宋" w:hAnsi="仿宋" w:eastAsia="仿宋" w:cs="仿宋"/>
        </w:rPr>
        <w:t>   简要规格描述或项目基本概况介绍、用途：公共安全相关设备补点建设设备采购</w:t>
      </w:r>
    </w:p>
    <w:p>
      <w:pPr>
        <w:pStyle w:val="19"/>
        <w:keepNext w:val="0"/>
        <w:keepLines w:val="0"/>
        <w:widowControl/>
        <w:suppressLineNumbers w:val="0"/>
        <w:spacing w:before="75" w:beforeAutospacing="0" w:after="75" w:afterAutospacing="0" w:line="240" w:lineRule="auto"/>
        <w:ind w:left="0" w:right="0" w:firstLine="420"/>
        <w:rPr>
          <w:rFonts w:hint="eastAsia" w:ascii="仿宋" w:hAnsi="仿宋" w:eastAsia="仿宋" w:cs="仿宋"/>
        </w:rPr>
      </w:pPr>
      <w:r>
        <w:rPr>
          <w:rFonts w:hint="eastAsia" w:ascii="仿宋" w:hAnsi="仿宋" w:eastAsia="仿宋" w:cs="仿宋"/>
        </w:rPr>
        <w:t>   备注：</w:t>
      </w:r>
    </w:p>
    <w:p>
      <w:pPr>
        <w:pStyle w:val="19"/>
        <w:keepNext w:val="0"/>
        <w:keepLines w:val="0"/>
        <w:widowControl/>
        <w:suppressLineNumbers w:val="0"/>
        <w:spacing w:before="75" w:beforeAutospacing="0" w:after="75" w:afterAutospacing="0" w:line="240" w:lineRule="auto"/>
        <w:ind w:left="0" w:right="0" w:firstLine="420"/>
        <w:rPr>
          <w:rFonts w:hint="eastAsia" w:ascii="仿宋" w:hAnsi="仿宋" w:eastAsia="仿宋" w:cs="仿宋"/>
        </w:rPr>
      </w:pPr>
      <w:r>
        <w:rPr>
          <w:rFonts w:hint="eastAsia" w:ascii="仿宋" w:hAnsi="仿宋" w:eastAsia="仿宋" w:cs="仿宋"/>
        </w:rPr>
        <w:t>标项十四</w:t>
      </w:r>
    </w:p>
    <w:p>
      <w:pPr>
        <w:pStyle w:val="19"/>
        <w:keepNext w:val="0"/>
        <w:keepLines w:val="0"/>
        <w:widowControl/>
        <w:suppressLineNumbers w:val="0"/>
        <w:spacing w:before="75" w:beforeAutospacing="0" w:after="75" w:afterAutospacing="0" w:line="240" w:lineRule="auto"/>
        <w:ind w:left="0" w:right="0" w:firstLine="420"/>
        <w:rPr>
          <w:rFonts w:hint="eastAsia" w:ascii="仿宋" w:hAnsi="仿宋" w:eastAsia="仿宋" w:cs="仿宋"/>
        </w:rPr>
      </w:pPr>
      <w:r>
        <w:rPr>
          <w:rFonts w:hint="eastAsia" w:ascii="仿宋" w:hAnsi="仿宋" w:eastAsia="仿宋" w:cs="仿宋"/>
        </w:rPr>
        <w:t>   标项名称:水塔山片区管委会项目</w:t>
      </w:r>
    </w:p>
    <w:p>
      <w:pPr>
        <w:pStyle w:val="19"/>
        <w:keepNext w:val="0"/>
        <w:keepLines w:val="0"/>
        <w:widowControl/>
        <w:suppressLineNumbers w:val="0"/>
        <w:spacing w:before="75" w:beforeAutospacing="0" w:after="75" w:afterAutospacing="0" w:line="240" w:lineRule="auto"/>
        <w:ind w:left="0" w:right="0" w:firstLine="420"/>
        <w:rPr>
          <w:rFonts w:hint="eastAsia" w:ascii="仿宋" w:hAnsi="仿宋" w:eastAsia="仿宋" w:cs="仿宋"/>
        </w:rPr>
      </w:pPr>
      <w:r>
        <w:rPr>
          <w:rFonts w:hint="eastAsia" w:ascii="仿宋" w:hAnsi="仿宋" w:eastAsia="仿宋" w:cs="仿宋"/>
        </w:rPr>
        <w:t>   数量:不限</w:t>
      </w:r>
    </w:p>
    <w:p>
      <w:pPr>
        <w:pStyle w:val="19"/>
        <w:keepNext w:val="0"/>
        <w:keepLines w:val="0"/>
        <w:widowControl/>
        <w:suppressLineNumbers w:val="0"/>
        <w:spacing w:before="75" w:beforeAutospacing="0" w:after="75" w:afterAutospacing="0" w:line="240" w:lineRule="auto"/>
        <w:ind w:left="0" w:right="0" w:firstLine="420"/>
        <w:rPr>
          <w:rFonts w:hint="eastAsia" w:ascii="仿宋" w:hAnsi="仿宋" w:eastAsia="仿宋" w:cs="仿宋"/>
        </w:rPr>
      </w:pPr>
      <w:r>
        <w:rPr>
          <w:rFonts w:hint="eastAsia" w:ascii="仿宋" w:hAnsi="仿宋" w:eastAsia="仿宋" w:cs="仿宋"/>
        </w:rPr>
        <w:t>   预算金额（元）:472100</w:t>
      </w:r>
    </w:p>
    <w:p>
      <w:pPr>
        <w:pStyle w:val="19"/>
        <w:keepNext w:val="0"/>
        <w:keepLines w:val="0"/>
        <w:widowControl/>
        <w:suppressLineNumbers w:val="0"/>
        <w:spacing w:before="75" w:beforeAutospacing="0" w:after="75" w:afterAutospacing="0" w:line="240" w:lineRule="auto"/>
        <w:ind w:left="0" w:right="0" w:firstLine="420"/>
        <w:rPr>
          <w:rFonts w:hint="eastAsia" w:ascii="仿宋" w:hAnsi="仿宋" w:eastAsia="仿宋" w:cs="仿宋"/>
        </w:rPr>
      </w:pPr>
      <w:r>
        <w:rPr>
          <w:rFonts w:hint="eastAsia" w:ascii="仿宋" w:hAnsi="仿宋" w:eastAsia="仿宋" w:cs="仿宋"/>
        </w:rPr>
        <w:t>   简要规格描述或项目基本概况介绍、用途：公共安全相关设备补点建设设备采购</w:t>
      </w:r>
    </w:p>
    <w:p>
      <w:pPr>
        <w:pStyle w:val="19"/>
        <w:keepNext w:val="0"/>
        <w:keepLines w:val="0"/>
        <w:widowControl/>
        <w:suppressLineNumbers w:val="0"/>
        <w:spacing w:before="75" w:beforeAutospacing="0" w:after="75" w:afterAutospacing="0" w:line="240" w:lineRule="auto"/>
        <w:ind w:left="0" w:right="0" w:firstLine="420"/>
        <w:rPr>
          <w:rFonts w:hint="eastAsia" w:ascii="仿宋" w:hAnsi="仿宋" w:eastAsia="仿宋" w:cs="仿宋"/>
        </w:rPr>
      </w:pPr>
      <w:r>
        <w:rPr>
          <w:rFonts w:hint="eastAsia" w:ascii="仿宋" w:hAnsi="仿宋" w:eastAsia="仿宋" w:cs="仿宋"/>
        </w:rPr>
        <w:t>   备注：</w:t>
      </w:r>
    </w:p>
    <w:p>
      <w:pPr>
        <w:pStyle w:val="19"/>
        <w:keepNext w:val="0"/>
        <w:keepLines w:val="0"/>
        <w:widowControl/>
        <w:suppressLineNumbers w:val="0"/>
        <w:spacing w:before="75" w:beforeAutospacing="0" w:after="75" w:afterAutospacing="0" w:line="240" w:lineRule="auto"/>
        <w:ind w:left="0" w:right="0" w:firstLine="420"/>
        <w:rPr>
          <w:rFonts w:hint="eastAsia" w:ascii="仿宋" w:hAnsi="仿宋" w:eastAsia="仿宋" w:cs="仿宋"/>
        </w:rPr>
      </w:pPr>
      <w:r>
        <w:rPr>
          <w:rFonts w:hint="eastAsia" w:ascii="仿宋" w:hAnsi="仿宋" w:eastAsia="仿宋" w:cs="仿宋"/>
        </w:rPr>
        <w:t>标项十五</w:t>
      </w:r>
    </w:p>
    <w:p>
      <w:pPr>
        <w:pStyle w:val="19"/>
        <w:keepNext w:val="0"/>
        <w:keepLines w:val="0"/>
        <w:widowControl/>
        <w:suppressLineNumbers w:val="0"/>
        <w:spacing w:before="75" w:beforeAutospacing="0" w:after="75" w:afterAutospacing="0" w:line="240" w:lineRule="auto"/>
        <w:ind w:left="0" w:right="0" w:firstLine="420"/>
        <w:rPr>
          <w:rFonts w:hint="eastAsia" w:ascii="仿宋" w:hAnsi="仿宋" w:eastAsia="仿宋" w:cs="仿宋"/>
        </w:rPr>
      </w:pPr>
      <w:r>
        <w:rPr>
          <w:rFonts w:hint="eastAsia" w:ascii="仿宋" w:hAnsi="仿宋" w:eastAsia="仿宋" w:cs="仿宋"/>
        </w:rPr>
        <w:t>   标项名称:七纺片区管委会项目</w:t>
      </w:r>
    </w:p>
    <w:p>
      <w:pPr>
        <w:pStyle w:val="19"/>
        <w:keepNext w:val="0"/>
        <w:keepLines w:val="0"/>
        <w:widowControl/>
        <w:suppressLineNumbers w:val="0"/>
        <w:spacing w:before="75" w:beforeAutospacing="0" w:after="75" w:afterAutospacing="0" w:line="240" w:lineRule="auto"/>
        <w:ind w:left="0" w:right="0" w:firstLine="420"/>
        <w:rPr>
          <w:rFonts w:hint="eastAsia" w:ascii="仿宋" w:hAnsi="仿宋" w:eastAsia="仿宋" w:cs="仿宋"/>
        </w:rPr>
      </w:pPr>
      <w:r>
        <w:rPr>
          <w:rFonts w:hint="eastAsia" w:ascii="仿宋" w:hAnsi="仿宋" w:eastAsia="仿宋" w:cs="仿宋"/>
        </w:rPr>
        <w:t>   数量:不限</w:t>
      </w:r>
    </w:p>
    <w:p>
      <w:pPr>
        <w:pStyle w:val="19"/>
        <w:keepNext w:val="0"/>
        <w:keepLines w:val="0"/>
        <w:widowControl/>
        <w:suppressLineNumbers w:val="0"/>
        <w:spacing w:before="75" w:beforeAutospacing="0" w:after="75" w:afterAutospacing="0" w:line="240" w:lineRule="auto"/>
        <w:ind w:left="0" w:right="0" w:firstLine="420"/>
        <w:rPr>
          <w:rFonts w:hint="eastAsia" w:ascii="仿宋" w:hAnsi="仿宋" w:eastAsia="仿宋" w:cs="仿宋"/>
        </w:rPr>
      </w:pPr>
      <w:r>
        <w:rPr>
          <w:rFonts w:hint="eastAsia" w:ascii="仿宋" w:hAnsi="仿宋" w:eastAsia="仿宋" w:cs="仿宋"/>
        </w:rPr>
        <w:t>   预算金额（元）:2175300</w:t>
      </w:r>
    </w:p>
    <w:p>
      <w:pPr>
        <w:pStyle w:val="19"/>
        <w:keepNext w:val="0"/>
        <w:keepLines w:val="0"/>
        <w:widowControl/>
        <w:suppressLineNumbers w:val="0"/>
        <w:spacing w:before="75" w:beforeAutospacing="0" w:after="75" w:afterAutospacing="0" w:line="240" w:lineRule="auto"/>
        <w:ind w:left="0" w:right="0" w:firstLine="420"/>
        <w:rPr>
          <w:rFonts w:hint="eastAsia" w:ascii="仿宋" w:hAnsi="仿宋" w:eastAsia="仿宋" w:cs="仿宋"/>
        </w:rPr>
      </w:pPr>
      <w:r>
        <w:rPr>
          <w:rFonts w:hint="eastAsia" w:ascii="仿宋" w:hAnsi="仿宋" w:eastAsia="仿宋" w:cs="仿宋"/>
        </w:rPr>
        <w:t>   简要规格描述或项目基本概况介绍、用途：公共安全相关设备补点建设设备采购</w:t>
      </w:r>
    </w:p>
    <w:p>
      <w:pPr>
        <w:pStyle w:val="19"/>
        <w:keepNext w:val="0"/>
        <w:keepLines w:val="0"/>
        <w:widowControl/>
        <w:suppressLineNumbers w:val="0"/>
        <w:spacing w:before="75" w:beforeAutospacing="0" w:after="75" w:afterAutospacing="0" w:line="240" w:lineRule="auto"/>
        <w:ind w:left="0" w:right="0" w:firstLine="420"/>
      </w:pPr>
      <w:r>
        <w:rPr>
          <w:rFonts w:hint="eastAsia" w:ascii="仿宋" w:hAnsi="仿宋" w:eastAsia="仿宋" w:cs="仿宋"/>
        </w:rPr>
        <w:t>   备注：</w:t>
      </w:r>
      <w:r>
        <w:rPr>
          <w:rFonts w:hint="eastAsia" w:ascii="仿宋" w:hAnsi="仿宋" w:eastAsia="仿宋" w:cs="仿宋"/>
          <w:sz w:val="27"/>
          <w:szCs w:val="27"/>
        </w:rPr>
        <w:t>合同履约期限：标项 1、2、3、4、5、6、7、8、9、10、11、12、13、14、15，详见招标文件</w:t>
      </w:r>
    </w:p>
    <w:p>
      <w:pPr>
        <w:pStyle w:val="19"/>
        <w:keepNext w:val="0"/>
        <w:keepLines w:val="0"/>
        <w:widowControl/>
        <w:suppressLineNumbers w:val="0"/>
        <w:spacing w:before="75" w:beforeAutospacing="0" w:after="75" w:afterAutospacing="0" w:line="240" w:lineRule="auto"/>
        <w:ind w:left="0" w:right="0" w:firstLine="420"/>
      </w:pPr>
      <w:r>
        <w:rPr>
          <w:rFonts w:hint="eastAsia" w:ascii="仿宋" w:hAnsi="仿宋" w:eastAsia="仿宋" w:cs="仿宋"/>
          <w:sz w:val="27"/>
          <w:szCs w:val="27"/>
        </w:rPr>
        <w:t>本项目（否）接受联合体投标。</w:t>
      </w:r>
    </w:p>
    <w:p>
      <w:pPr>
        <w:pStyle w:val="19"/>
        <w:keepNext w:val="0"/>
        <w:keepLines w:val="0"/>
        <w:widowControl/>
        <w:suppressLineNumbers w:val="0"/>
        <w:spacing w:before="75" w:beforeAutospacing="0" w:after="75" w:afterAutospacing="0" w:line="240" w:lineRule="auto"/>
        <w:ind w:left="0" w:right="0"/>
      </w:pPr>
    </w:p>
    <w:p>
      <w:pPr>
        <w:pStyle w:val="19"/>
        <w:keepNext w:val="0"/>
        <w:keepLines w:val="0"/>
        <w:widowControl/>
        <w:suppressLineNumbers w:val="0"/>
        <w:spacing w:before="75" w:beforeAutospacing="0" w:after="75" w:afterAutospacing="0" w:line="240" w:lineRule="auto"/>
        <w:ind w:left="0" w:right="0"/>
      </w:pPr>
      <w:r>
        <w:rPr>
          <w:rStyle w:val="23"/>
          <w:rFonts w:ascii="黑体" w:hAnsi="宋体" w:eastAsia="黑体" w:cs="黑体"/>
          <w:sz w:val="27"/>
          <w:szCs w:val="27"/>
        </w:rPr>
        <w:t>二、申请人的资格要求：</w:t>
      </w:r>
    </w:p>
    <w:p>
      <w:pPr>
        <w:pStyle w:val="19"/>
        <w:keepNext w:val="0"/>
        <w:keepLines w:val="0"/>
        <w:widowControl/>
        <w:suppressLineNumbers w:val="0"/>
        <w:spacing w:before="75" w:beforeAutospacing="0" w:after="75" w:afterAutospacing="0" w:line="240" w:lineRule="auto"/>
        <w:ind w:left="0" w:right="0" w:firstLine="420"/>
      </w:pPr>
      <w:r>
        <w:rPr>
          <w:rFonts w:hint="eastAsia" w:ascii="仿宋" w:hAnsi="仿宋" w:eastAsia="仿宋" w:cs="仿宋"/>
          <w:sz w:val="27"/>
          <w:szCs w:val="27"/>
        </w:rPr>
        <w:t>1.满足《中华人民共和国政府采购法》第二十二条规定；</w:t>
      </w:r>
    </w:p>
    <w:p>
      <w:pPr>
        <w:pStyle w:val="19"/>
        <w:keepNext w:val="0"/>
        <w:keepLines w:val="0"/>
        <w:widowControl/>
        <w:suppressLineNumbers w:val="0"/>
        <w:spacing w:before="75" w:beforeAutospacing="0" w:after="75" w:afterAutospacing="0" w:line="240" w:lineRule="auto"/>
        <w:ind w:left="0" w:right="0" w:firstLine="420"/>
      </w:pPr>
      <w:r>
        <w:rPr>
          <w:rFonts w:hint="eastAsia" w:ascii="仿宋" w:hAnsi="仿宋" w:eastAsia="仿宋" w:cs="仿宋"/>
          <w:sz w:val="27"/>
          <w:szCs w:val="27"/>
        </w:rPr>
        <w:t>2.落实政府采购政策需满足的资格要求：无</w:t>
      </w:r>
    </w:p>
    <w:p>
      <w:pPr>
        <w:pStyle w:val="19"/>
        <w:keepNext w:val="0"/>
        <w:keepLines w:val="0"/>
        <w:widowControl/>
        <w:suppressLineNumbers w:val="0"/>
        <w:spacing w:before="75" w:beforeAutospacing="0" w:after="75" w:afterAutospacing="0" w:line="240" w:lineRule="auto"/>
        <w:ind w:left="0" w:right="0" w:firstLine="420"/>
      </w:pPr>
      <w:r>
        <w:rPr>
          <w:rFonts w:hint="eastAsia" w:ascii="仿宋" w:hAnsi="仿宋" w:eastAsia="仿宋" w:cs="仿宋"/>
          <w:sz w:val="27"/>
          <w:szCs w:val="27"/>
        </w:rPr>
        <w:t xml:space="preserve">3.本项目的特定资格要求：标项1：标段1-标段15：1）投标人具有有效的“一证一码”或“三证合一”的营业执照（营业执照需包含本次项目的相关经营权）； </w:t>
      </w:r>
      <w:r>
        <w:rPr>
          <w:rFonts w:hint="eastAsia" w:ascii="仿宋" w:hAnsi="仿宋" w:eastAsia="仿宋" w:cs="仿宋"/>
          <w:sz w:val="27"/>
          <w:szCs w:val="27"/>
          <w:lang w:val="en-US" w:eastAsia="zh-CN"/>
        </w:rPr>
        <w:t>2</w:t>
      </w:r>
      <w:r>
        <w:rPr>
          <w:rFonts w:hint="eastAsia" w:ascii="仿宋" w:hAnsi="仿宋" w:eastAsia="仿宋" w:cs="仿宋"/>
          <w:sz w:val="27"/>
          <w:szCs w:val="27"/>
        </w:rPr>
        <w:t>）投标人须提供通过“信用中国”网站（www.creditchina.gov.cn）和中国政府采购网（www.ccgp.gov.cn）渠道查询的本单位信用记录的网页，并加盖投标单位公章，被列入失信被执行人、重大税收违法案件当事人名单、政府采购严重违法失信行为记录名单的单位及其他不符合《中华人民共和国政府采购法》第二十二条规定条件的投标单位，将被拒绝参与本次政府采购活动； 4、本次招标不接受联合体投标。 5、与招标人存在利害关系可能影响招标公正性的法人、其他组织或者个人，不得参加投标。 6、单位负责人为同一人或者存在控股、管理关系的不同单位，不得同时对同一标段投标，按照报名时间的先后顺序接受第1名投标人报名。</w:t>
      </w:r>
    </w:p>
    <w:p>
      <w:pPr>
        <w:pStyle w:val="19"/>
        <w:keepNext w:val="0"/>
        <w:keepLines w:val="0"/>
        <w:widowControl/>
        <w:suppressLineNumbers w:val="0"/>
        <w:spacing w:before="255" w:beforeAutospacing="0" w:after="255" w:afterAutospacing="0" w:line="240" w:lineRule="auto"/>
        <w:ind w:left="0" w:right="0"/>
        <w:jc w:val="both"/>
        <w:rPr>
          <w:rFonts w:ascii="黑体" w:hAnsi="宋体" w:eastAsia="黑体" w:cs="黑体"/>
          <w:sz w:val="27"/>
          <w:szCs w:val="27"/>
        </w:rPr>
      </w:pPr>
      <w:r>
        <w:rPr>
          <w:rStyle w:val="23"/>
          <w:rFonts w:ascii="黑体" w:hAnsi="宋体" w:eastAsia="黑体" w:cs="黑体"/>
          <w:sz w:val="27"/>
          <w:szCs w:val="27"/>
        </w:rPr>
        <w:t>三、获取招标文件</w:t>
      </w:r>
    </w:p>
    <w:p>
      <w:pPr>
        <w:pStyle w:val="19"/>
        <w:keepNext w:val="0"/>
        <w:keepLines w:val="0"/>
        <w:widowControl/>
        <w:suppressLineNumbers w:val="0"/>
        <w:spacing w:before="75" w:beforeAutospacing="0" w:after="75" w:afterAutospacing="0" w:line="240" w:lineRule="auto"/>
        <w:ind w:left="0" w:right="0" w:firstLine="420"/>
      </w:pPr>
      <w:r>
        <w:rPr>
          <w:rFonts w:hint="eastAsia" w:ascii="仿宋" w:hAnsi="仿宋" w:eastAsia="仿宋" w:cs="仿宋"/>
          <w:sz w:val="27"/>
          <w:szCs w:val="27"/>
        </w:rPr>
        <w:t>时间：2022年0</w:t>
      </w:r>
      <w:r>
        <w:rPr>
          <w:rFonts w:hint="eastAsia" w:ascii="仿宋" w:hAnsi="仿宋" w:eastAsia="仿宋" w:cs="仿宋"/>
          <w:sz w:val="27"/>
          <w:szCs w:val="27"/>
          <w:lang w:val="en-US" w:eastAsia="zh-CN"/>
        </w:rPr>
        <w:t>8</w:t>
      </w:r>
      <w:r>
        <w:rPr>
          <w:rFonts w:hint="eastAsia" w:ascii="仿宋" w:hAnsi="仿宋" w:eastAsia="仿宋" w:cs="仿宋"/>
          <w:sz w:val="27"/>
          <w:szCs w:val="27"/>
        </w:rPr>
        <w:t>月</w:t>
      </w:r>
      <w:r>
        <w:rPr>
          <w:rFonts w:hint="eastAsia" w:ascii="仿宋" w:hAnsi="仿宋" w:eastAsia="仿宋" w:cs="仿宋"/>
          <w:sz w:val="27"/>
          <w:szCs w:val="27"/>
          <w:lang w:val="en-US" w:eastAsia="zh-CN"/>
        </w:rPr>
        <w:t>08</w:t>
      </w:r>
      <w:r>
        <w:rPr>
          <w:rFonts w:hint="eastAsia" w:ascii="仿宋" w:hAnsi="仿宋" w:eastAsia="仿宋" w:cs="仿宋"/>
          <w:sz w:val="27"/>
          <w:szCs w:val="27"/>
        </w:rPr>
        <w:t>日至2022年08月</w:t>
      </w:r>
      <w:r>
        <w:rPr>
          <w:rFonts w:hint="eastAsia" w:ascii="仿宋" w:hAnsi="仿宋" w:eastAsia="仿宋" w:cs="仿宋"/>
          <w:sz w:val="27"/>
          <w:szCs w:val="27"/>
          <w:lang w:val="en-US" w:eastAsia="zh-CN"/>
        </w:rPr>
        <w:t>15</w:t>
      </w:r>
      <w:r>
        <w:rPr>
          <w:rFonts w:hint="eastAsia" w:ascii="仿宋" w:hAnsi="仿宋" w:eastAsia="仿宋" w:cs="仿宋"/>
          <w:sz w:val="27"/>
          <w:szCs w:val="27"/>
        </w:rPr>
        <w:t>日，每天上午10:00至13:30，下午15:30至19:00（北京时间，法定节假日除外）</w:t>
      </w:r>
    </w:p>
    <w:p>
      <w:pPr>
        <w:pStyle w:val="19"/>
        <w:keepNext w:val="0"/>
        <w:keepLines w:val="0"/>
        <w:widowControl/>
        <w:suppressLineNumbers w:val="0"/>
        <w:spacing w:before="75" w:beforeAutospacing="0" w:after="75" w:afterAutospacing="0" w:line="240" w:lineRule="auto"/>
        <w:ind w:left="0" w:right="0" w:firstLine="420"/>
      </w:pPr>
      <w:r>
        <w:rPr>
          <w:rFonts w:hint="eastAsia" w:ascii="仿宋" w:hAnsi="仿宋" w:eastAsia="仿宋" w:cs="仿宋"/>
          <w:sz w:val="27"/>
          <w:szCs w:val="27"/>
        </w:rPr>
        <w:t>地点：新疆乌鲁木齐市水磨沟区鸿泰路66号万科大都会9号楼506室</w:t>
      </w:r>
    </w:p>
    <w:p>
      <w:pPr>
        <w:pStyle w:val="19"/>
        <w:keepNext w:val="0"/>
        <w:keepLines w:val="0"/>
        <w:widowControl/>
        <w:suppressLineNumbers w:val="0"/>
        <w:spacing w:before="75" w:beforeAutospacing="0" w:after="75" w:afterAutospacing="0" w:line="240" w:lineRule="auto"/>
        <w:ind w:left="0" w:right="0" w:firstLine="420"/>
      </w:pPr>
      <w:r>
        <w:rPr>
          <w:rFonts w:hint="eastAsia" w:ascii="仿宋" w:hAnsi="仿宋" w:eastAsia="仿宋" w:cs="仿宋"/>
          <w:sz w:val="27"/>
          <w:szCs w:val="27"/>
        </w:rPr>
        <w:t>方式：线下获取</w:t>
      </w:r>
    </w:p>
    <w:p>
      <w:pPr>
        <w:pStyle w:val="19"/>
        <w:keepNext w:val="0"/>
        <w:keepLines w:val="0"/>
        <w:widowControl/>
        <w:suppressLineNumbers w:val="0"/>
        <w:spacing w:before="75" w:beforeAutospacing="0" w:after="75" w:afterAutospacing="0" w:line="240" w:lineRule="auto"/>
        <w:ind w:left="0" w:right="0" w:firstLine="420"/>
      </w:pPr>
      <w:r>
        <w:rPr>
          <w:rFonts w:hint="eastAsia" w:ascii="仿宋" w:hAnsi="仿宋" w:eastAsia="仿宋" w:cs="仿宋"/>
          <w:sz w:val="27"/>
          <w:szCs w:val="27"/>
        </w:rPr>
        <w:t>售价（元）：200</w:t>
      </w:r>
    </w:p>
    <w:p>
      <w:pPr>
        <w:pStyle w:val="19"/>
        <w:keepNext w:val="0"/>
        <w:keepLines w:val="0"/>
        <w:widowControl/>
        <w:suppressLineNumbers w:val="0"/>
        <w:spacing w:before="255" w:beforeAutospacing="0" w:after="255" w:afterAutospacing="0" w:line="240" w:lineRule="auto"/>
        <w:ind w:left="0" w:right="0"/>
        <w:jc w:val="both"/>
        <w:rPr>
          <w:rFonts w:ascii="黑体" w:hAnsi="宋体" w:eastAsia="黑体" w:cs="黑体"/>
          <w:sz w:val="27"/>
          <w:szCs w:val="27"/>
        </w:rPr>
      </w:pPr>
      <w:r>
        <w:rPr>
          <w:rStyle w:val="23"/>
          <w:rFonts w:ascii="黑体" w:hAnsi="宋体" w:eastAsia="黑体" w:cs="黑体"/>
          <w:sz w:val="27"/>
          <w:szCs w:val="27"/>
        </w:rPr>
        <w:t>四、提交投标文件截止时间、开标时间和地点</w:t>
      </w:r>
    </w:p>
    <w:p>
      <w:pPr>
        <w:pStyle w:val="19"/>
        <w:keepNext w:val="0"/>
        <w:keepLines w:val="0"/>
        <w:widowControl/>
        <w:suppressLineNumbers w:val="0"/>
        <w:spacing w:before="75" w:beforeAutospacing="0" w:after="75" w:afterAutospacing="0" w:line="240" w:lineRule="auto"/>
        <w:ind w:left="0" w:right="0" w:firstLine="420"/>
      </w:pPr>
      <w:r>
        <w:rPr>
          <w:rFonts w:hint="eastAsia" w:ascii="仿宋" w:hAnsi="仿宋" w:eastAsia="仿宋" w:cs="仿宋"/>
          <w:sz w:val="27"/>
          <w:szCs w:val="27"/>
        </w:rPr>
        <w:t>提交投标文件截止时间：2022年08月</w:t>
      </w:r>
      <w:r>
        <w:rPr>
          <w:rFonts w:hint="eastAsia" w:ascii="仿宋" w:hAnsi="仿宋" w:eastAsia="仿宋" w:cs="仿宋"/>
          <w:sz w:val="27"/>
          <w:szCs w:val="27"/>
          <w:lang w:val="en-US" w:eastAsia="zh-CN"/>
        </w:rPr>
        <w:t>29</w:t>
      </w:r>
      <w:r>
        <w:rPr>
          <w:rFonts w:hint="eastAsia" w:ascii="仿宋" w:hAnsi="仿宋" w:eastAsia="仿宋" w:cs="仿宋"/>
          <w:sz w:val="27"/>
          <w:szCs w:val="27"/>
        </w:rPr>
        <w:t>日 11:00（北京时间）</w:t>
      </w:r>
    </w:p>
    <w:p>
      <w:pPr>
        <w:pStyle w:val="19"/>
        <w:keepNext w:val="0"/>
        <w:keepLines w:val="0"/>
        <w:widowControl/>
        <w:suppressLineNumbers w:val="0"/>
        <w:spacing w:before="75" w:beforeAutospacing="0" w:after="75" w:afterAutospacing="0" w:line="240" w:lineRule="auto"/>
        <w:ind w:left="0" w:right="0" w:firstLine="420"/>
      </w:pPr>
      <w:r>
        <w:rPr>
          <w:rFonts w:hint="eastAsia" w:ascii="仿宋" w:hAnsi="仿宋" w:eastAsia="仿宋" w:cs="仿宋"/>
          <w:sz w:val="27"/>
          <w:szCs w:val="27"/>
        </w:rPr>
        <w:t>投标地点：新疆乌鲁木齐市水磨沟区鸿泰路66号万科大都会9号楼506室</w:t>
      </w:r>
    </w:p>
    <w:p>
      <w:pPr>
        <w:pStyle w:val="19"/>
        <w:keepNext w:val="0"/>
        <w:keepLines w:val="0"/>
        <w:widowControl/>
        <w:suppressLineNumbers w:val="0"/>
        <w:spacing w:before="75" w:beforeAutospacing="0" w:after="75" w:afterAutospacing="0" w:line="240" w:lineRule="auto"/>
        <w:ind w:left="0" w:right="0" w:firstLine="420"/>
      </w:pPr>
      <w:r>
        <w:rPr>
          <w:rFonts w:hint="eastAsia" w:ascii="仿宋" w:hAnsi="仿宋" w:eastAsia="仿宋" w:cs="仿宋"/>
          <w:sz w:val="27"/>
          <w:szCs w:val="27"/>
        </w:rPr>
        <w:t>开标时间：2022年08月</w:t>
      </w:r>
      <w:r>
        <w:rPr>
          <w:rFonts w:hint="eastAsia" w:ascii="仿宋" w:hAnsi="仿宋" w:eastAsia="仿宋" w:cs="仿宋"/>
          <w:sz w:val="27"/>
          <w:szCs w:val="27"/>
          <w:lang w:val="en-US" w:eastAsia="zh-CN"/>
        </w:rPr>
        <w:t>29</w:t>
      </w:r>
      <w:r>
        <w:rPr>
          <w:rFonts w:hint="eastAsia" w:ascii="仿宋" w:hAnsi="仿宋" w:eastAsia="仿宋" w:cs="仿宋"/>
          <w:sz w:val="27"/>
          <w:szCs w:val="27"/>
        </w:rPr>
        <w:t>日 11:00（北京时间）</w:t>
      </w:r>
    </w:p>
    <w:p>
      <w:pPr>
        <w:pStyle w:val="19"/>
        <w:keepNext w:val="0"/>
        <w:keepLines w:val="0"/>
        <w:widowControl/>
        <w:suppressLineNumbers w:val="0"/>
        <w:spacing w:before="75" w:beforeAutospacing="0" w:after="75" w:afterAutospacing="0" w:line="240" w:lineRule="auto"/>
        <w:ind w:left="0" w:right="0" w:firstLine="420"/>
      </w:pPr>
      <w:r>
        <w:rPr>
          <w:rFonts w:hint="eastAsia" w:ascii="仿宋" w:hAnsi="仿宋" w:eastAsia="仿宋" w:cs="仿宋"/>
          <w:sz w:val="27"/>
          <w:szCs w:val="27"/>
        </w:rPr>
        <w:t>开标地点：新疆乌鲁木齐市水磨沟区鸿泰路66号万科大都会9号楼506室</w:t>
      </w:r>
    </w:p>
    <w:p>
      <w:pPr>
        <w:pStyle w:val="19"/>
        <w:keepNext w:val="0"/>
        <w:keepLines w:val="0"/>
        <w:widowControl/>
        <w:suppressLineNumbers w:val="0"/>
        <w:spacing w:before="255" w:beforeAutospacing="0" w:after="255" w:afterAutospacing="0" w:line="240" w:lineRule="auto"/>
        <w:ind w:left="0" w:right="0"/>
        <w:jc w:val="both"/>
        <w:rPr>
          <w:rFonts w:ascii="黑体" w:hAnsi="宋体" w:eastAsia="黑体" w:cs="黑体"/>
          <w:sz w:val="31"/>
          <w:szCs w:val="31"/>
        </w:rPr>
      </w:pPr>
      <w:r>
        <w:rPr>
          <w:rStyle w:val="23"/>
          <w:rFonts w:ascii="黑体" w:hAnsi="宋体" w:eastAsia="黑体" w:cs="黑体"/>
          <w:sz w:val="27"/>
          <w:szCs w:val="27"/>
        </w:rPr>
        <w:t>五、公告期限</w:t>
      </w:r>
    </w:p>
    <w:p>
      <w:pPr>
        <w:pStyle w:val="19"/>
        <w:keepNext w:val="0"/>
        <w:keepLines w:val="0"/>
        <w:widowControl/>
        <w:suppressLineNumbers w:val="0"/>
        <w:spacing w:before="75" w:beforeAutospacing="0" w:after="75" w:afterAutospacing="0" w:line="240" w:lineRule="auto"/>
        <w:ind w:left="0" w:right="0" w:firstLine="420"/>
      </w:pPr>
      <w:r>
        <w:rPr>
          <w:rFonts w:hint="eastAsia" w:ascii="仿宋" w:hAnsi="仿宋" w:eastAsia="仿宋" w:cs="仿宋"/>
          <w:sz w:val="27"/>
          <w:szCs w:val="27"/>
        </w:rPr>
        <w:t>自本公告发布之日起5个工作日。</w:t>
      </w:r>
    </w:p>
    <w:p>
      <w:pPr>
        <w:pStyle w:val="19"/>
        <w:keepNext w:val="0"/>
        <w:keepLines w:val="0"/>
        <w:widowControl/>
        <w:suppressLineNumbers w:val="0"/>
        <w:spacing w:before="255" w:beforeAutospacing="0" w:after="255" w:afterAutospacing="0" w:line="240" w:lineRule="auto"/>
        <w:ind w:left="0" w:right="0"/>
        <w:jc w:val="both"/>
        <w:rPr>
          <w:rFonts w:ascii="黑体" w:hAnsi="宋体" w:eastAsia="黑体" w:cs="黑体"/>
          <w:sz w:val="27"/>
          <w:szCs w:val="27"/>
        </w:rPr>
      </w:pPr>
      <w:r>
        <w:rPr>
          <w:rStyle w:val="23"/>
          <w:rFonts w:ascii="黑体" w:hAnsi="宋体" w:eastAsia="黑体" w:cs="黑体"/>
          <w:sz w:val="27"/>
          <w:szCs w:val="27"/>
        </w:rPr>
        <w:t>六、其他补充事宜</w:t>
      </w:r>
    </w:p>
    <w:p>
      <w:pPr>
        <w:pStyle w:val="19"/>
        <w:keepNext w:val="0"/>
        <w:keepLines w:val="0"/>
        <w:widowControl/>
        <w:suppressLineNumbers w:val="0"/>
        <w:spacing w:before="75" w:beforeAutospacing="0" w:after="75" w:afterAutospacing="0" w:line="240" w:lineRule="auto"/>
        <w:ind w:left="0" w:right="0" w:firstLine="420"/>
      </w:pPr>
      <w:r>
        <w:rPr>
          <w:rFonts w:hint="eastAsia" w:ascii="仿宋" w:hAnsi="仿宋" w:eastAsia="仿宋" w:cs="仿宋"/>
          <w:sz w:val="27"/>
          <w:szCs w:val="27"/>
        </w:rPr>
        <w:t>获取时需要提交的资料：</w:t>
      </w:r>
      <w:r>
        <w:rPr>
          <w:rFonts w:hint="eastAsia" w:ascii="仿宋" w:hAnsi="仿宋" w:eastAsia="仿宋" w:cs="仿宋"/>
          <w:sz w:val="27"/>
          <w:szCs w:val="27"/>
        </w:rPr>
        <w:br w:type="textWrapping"/>
      </w:r>
      <w:r>
        <w:rPr>
          <w:rFonts w:hint="eastAsia" w:ascii="仿宋" w:hAnsi="仿宋" w:eastAsia="仿宋" w:cs="仿宋"/>
          <w:sz w:val="27"/>
          <w:szCs w:val="27"/>
        </w:rPr>
        <w:t>（1）法定代表人授权委托书及被授权人的身份证原件、</w:t>
      </w:r>
      <w:r>
        <w:rPr>
          <w:rFonts w:hint="eastAsia" w:ascii="仿宋" w:hAnsi="仿宋" w:eastAsia="仿宋" w:cs="仿宋"/>
          <w:sz w:val="27"/>
          <w:szCs w:val="27"/>
        </w:rPr>
        <w:br w:type="textWrapping"/>
      </w:r>
      <w:r>
        <w:rPr>
          <w:rFonts w:hint="eastAsia" w:ascii="仿宋" w:hAnsi="仿宋" w:eastAsia="仿宋" w:cs="仿宋"/>
          <w:sz w:val="27"/>
          <w:szCs w:val="27"/>
        </w:rPr>
        <w:t>（2）“一证一码”或“三证合一”的营业执照原件、</w:t>
      </w:r>
      <w:r>
        <w:rPr>
          <w:rFonts w:hint="eastAsia" w:ascii="仿宋" w:hAnsi="仿宋" w:eastAsia="仿宋" w:cs="仿宋"/>
          <w:sz w:val="27"/>
          <w:szCs w:val="27"/>
        </w:rPr>
        <w:br w:type="textWrapping"/>
      </w:r>
      <w:r>
        <w:rPr>
          <w:rFonts w:hint="eastAsia" w:ascii="仿宋" w:hAnsi="仿宋" w:eastAsia="仿宋" w:cs="仿宋"/>
          <w:sz w:val="27"/>
          <w:szCs w:val="27"/>
        </w:rPr>
        <w:t>（</w:t>
      </w:r>
      <w:r>
        <w:rPr>
          <w:rFonts w:hint="eastAsia" w:ascii="仿宋" w:hAnsi="仿宋" w:eastAsia="仿宋" w:cs="仿宋"/>
          <w:sz w:val="27"/>
          <w:szCs w:val="27"/>
          <w:lang w:val="en-US" w:eastAsia="zh-CN"/>
        </w:rPr>
        <w:t>3</w:t>
      </w:r>
      <w:r>
        <w:rPr>
          <w:rFonts w:hint="eastAsia" w:ascii="仿宋" w:hAnsi="仿宋" w:eastAsia="仿宋" w:cs="仿宋"/>
          <w:sz w:val="27"/>
          <w:szCs w:val="27"/>
        </w:rPr>
        <w:t>）通过“信用中国”网站（www.creditchina.gov.cn）和中国政府采购网（www.ccgp.gov.cn）渠道查询的本单位信用记录的网页，并加盖投标单位公章；</w:t>
      </w:r>
      <w:r>
        <w:rPr>
          <w:rFonts w:hint="eastAsia" w:ascii="仿宋" w:hAnsi="仿宋" w:eastAsia="仿宋" w:cs="仿宋"/>
          <w:sz w:val="27"/>
          <w:szCs w:val="27"/>
        </w:rPr>
        <w:br w:type="textWrapping"/>
      </w:r>
      <w:r>
        <w:rPr>
          <w:rFonts w:hint="eastAsia" w:ascii="仿宋" w:hAnsi="仿宋" w:eastAsia="仿宋" w:cs="仿宋"/>
          <w:sz w:val="27"/>
          <w:szCs w:val="27"/>
        </w:rPr>
        <w:t>以上所有资料提供原件及加盖投标单位公章的复印件壹套，资料不齐不予受理。</w:t>
      </w:r>
    </w:p>
    <w:p>
      <w:pPr>
        <w:pStyle w:val="19"/>
        <w:keepNext w:val="0"/>
        <w:keepLines w:val="0"/>
        <w:widowControl/>
        <w:suppressLineNumbers w:val="0"/>
        <w:spacing w:before="75" w:beforeAutospacing="0" w:after="75" w:afterAutospacing="0" w:line="240" w:lineRule="auto"/>
        <w:ind w:left="0" w:right="0"/>
      </w:pPr>
      <w:r>
        <w:t>特别提示：</w:t>
      </w:r>
    </w:p>
    <w:p>
      <w:pPr>
        <w:pStyle w:val="19"/>
        <w:keepNext w:val="0"/>
        <w:keepLines w:val="0"/>
        <w:widowControl/>
        <w:suppressLineNumbers w:val="0"/>
        <w:spacing w:before="75" w:beforeAutospacing="0" w:after="75" w:afterAutospacing="0" w:line="240" w:lineRule="auto"/>
        <w:ind w:left="0" w:right="0"/>
      </w:pPr>
      <w:r>
        <w:t>1、超过200万元的货物和服务采购项目、超过400万元的工程采购项目中适宜由中小企业提供的，预留该部分采购项目预算总额的40%以上专门面向中小企业采购，其中预留给小微企业的比例不低于60%。</w:t>
      </w:r>
    </w:p>
    <w:p>
      <w:pPr>
        <w:pStyle w:val="19"/>
        <w:keepNext w:val="0"/>
        <w:keepLines w:val="0"/>
        <w:widowControl/>
        <w:suppressLineNumbers w:val="0"/>
        <w:spacing w:before="75" w:beforeAutospacing="0" w:after="75" w:afterAutospacing="0" w:line="240" w:lineRule="auto"/>
        <w:ind w:left="0" w:right="0"/>
      </w:pPr>
      <w:r>
        <w:t>2、对于未预留份额专门面向中小企业的采购项目，以及预留份额项目中的非预留部分采购包，采购人、采购代理机构应当对符合规定的小微企业报价给予10%~20%（工程项目为6%~10%）的扣除，用扣除后的价格参加评审。适用招标投标法的政府采购工程建设项目，采用综合评估法但未采用低价优先法计算价格分的，评标时应当在采用原报价进行评分的基础上增加其价格得分的6%~10%作为其价格分。</w:t>
      </w:r>
    </w:p>
    <w:p>
      <w:pPr>
        <w:pStyle w:val="19"/>
        <w:keepNext w:val="0"/>
        <w:keepLines w:val="0"/>
        <w:widowControl/>
        <w:suppressLineNumbers w:val="0"/>
        <w:spacing w:before="75" w:beforeAutospacing="0" w:after="75" w:afterAutospacing="0" w:line="240" w:lineRule="auto"/>
        <w:ind w:left="0" w:right="0"/>
      </w:pPr>
      <w:r>
        <w:t>3、接受大中型企业与小微企业组成联合体或者允许大中型企业向一家或者多家小微企业分包的采购项目，对于联合协议或者分包意向协议约定小微企业的合同份额占到合同总金额40%以上的，采购人、采购代理机构应当对联合体或者大中型企业的报价给予4%~6%（工程项目为2%~4%）的扣除，用扣除后的价格参加评审。适用招标投标法的政府采购工程建设项目，采用综合评估法但未采用低价优先法计算价格分的，评标时应当在采用原报价进行评分的基础上增加其价格得分的2%~4%作为其价格分。</w:t>
      </w:r>
    </w:p>
    <w:p>
      <w:pPr>
        <w:pStyle w:val="19"/>
        <w:keepNext w:val="0"/>
        <w:keepLines w:val="0"/>
        <w:widowControl/>
        <w:suppressLineNumbers w:val="0"/>
        <w:spacing w:before="255" w:beforeAutospacing="0" w:after="255" w:afterAutospacing="0" w:line="240" w:lineRule="auto"/>
        <w:ind w:left="0" w:right="0"/>
        <w:jc w:val="both"/>
        <w:rPr>
          <w:rFonts w:ascii="黑体" w:hAnsi="宋体" w:eastAsia="黑体" w:cs="黑体"/>
          <w:sz w:val="31"/>
          <w:szCs w:val="31"/>
        </w:rPr>
      </w:pPr>
      <w:r>
        <w:rPr>
          <w:rStyle w:val="23"/>
          <w:rFonts w:ascii="黑体" w:hAnsi="宋体" w:eastAsia="黑体" w:cs="黑体"/>
          <w:sz w:val="27"/>
          <w:szCs w:val="27"/>
        </w:rPr>
        <w:t>七、对本次采购提出询问，请按以下方式联系</w:t>
      </w:r>
    </w:p>
    <w:p>
      <w:pPr>
        <w:pStyle w:val="19"/>
        <w:keepNext w:val="0"/>
        <w:keepLines w:val="0"/>
        <w:widowControl/>
        <w:suppressLineNumbers w:val="0"/>
        <w:spacing w:before="75" w:beforeAutospacing="0" w:after="75" w:afterAutospacing="0" w:line="240" w:lineRule="auto"/>
        <w:ind w:left="0" w:right="0" w:firstLine="420"/>
        <w:rPr>
          <w:rFonts w:hint="eastAsia" w:ascii="仿宋" w:hAnsi="仿宋" w:eastAsia="仿宋" w:cs="仿宋"/>
        </w:rPr>
      </w:pPr>
      <w:r>
        <w:rPr>
          <w:rFonts w:hint="eastAsia" w:ascii="仿宋" w:hAnsi="仿宋" w:eastAsia="仿宋" w:cs="仿宋"/>
          <w:sz w:val="27"/>
          <w:szCs w:val="27"/>
        </w:rPr>
        <w:t>1.采购人信息</w:t>
      </w:r>
    </w:p>
    <w:p>
      <w:pPr>
        <w:pStyle w:val="19"/>
        <w:keepNext w:val="0"/>
        <w:keepLines w:val="0"/>
        <w:widowControl/>
        <w:suppressLineNumbers w:val="0"/>
        <w:spacing w:before="75" w:beforeAutospacing="0" w:after="75" w:afterAutospacing="0" w:line="240" w:lineRule="auto"/>
        <w:ind w:left="0" w:right="0" w:firstLine="420"/>
        <w:rPr>
          <w:rFonts w:hint="eastAsia" w:ascii="仿宋" w:hAnsi="仿宋" w:eastAsia="仿宋" w:cs="仿宋"/>
        </w:rPr>
      </w:pPr>
      <w:r>
        <w:rPr>
          <w:rFonts w:hint="eastAsia" w:ascii="仿宋" w:hAnsi="仿宋" w:eastAsia="仿宋" w:cs="仿宋"/>
          <w:sz w:val="27"/>
          <w:szCs w:val="27"/>
        </w:rPr>
        <w:t>名 称：</w:t>
      </w:r>
      <w:r>
        <w:rPr>
          <w:rStyle w:val="28"/>
          <w:rFonts w:hint="eastAsia" w:ascii="仿宋" w:hAnsi="仿宋" w:eastAsia="仿宋" w:cs="仿宋"/>
          <w:sz w:val="27"/>
          <w:szCs w:val="27"/>
        </w:rPr>
        <w:t>中共乌鲁木齐市水磨沟区委员会政法委员会</w:t>
      </w:r>
    </w:p>
    <w:p>
      <w:pPr>
        <w:pStyle w:val="19"/>
        <w:keepNext w:val="0"/>
        <w:keepLines w:val="0"/>
        <w:widowControl/>
        <w:suppressLineNumbers w:val="0"/>
        <w:spacing w:before="75" w:beforeAutospacing="0" w:after="75" w:afterAutospacing="0" w:line="240" w:lineRule="auto"/>
        <w:ind w:left="0" w:right="0" w:firstLine="420"/>
        <w:rPr>
          <w:rFonts w:hint="eastAsia" w:ascii="仿宋" w:hAnsi="仿宋" w:eastAsia="仿宋" w:cs="仿宋"/>
        </w:rPr>
      </w:pPr>
      <w:r>
        <w:rPr>
          <w:rFonts w:hint="eastAsia" w:ascii="仿宋" w:hAnsi="仿宋" w:eastAsia="仿宋" w:cs="仿宋"/>
          <w:sz w:val="27"/>
          <w:szCs w:val="27"/>
        </w:rPr>
        <w:t>地 址：温泉西路南五巷</w:t>
      </w:r>
    </w:p>
    <w:p>
      <w:pPr>
        <w:pStyle w:val="19"/>
        <w:keepNext w:val="0"/>
        <w:keepLines w:val="0"/>
        <w:widowControl/>
        <w:suppressLineNumbers w:val="0"/>
        <w:spacing w:before="75" w:beforeAutospacing="0" w:after="75" w:afterAutospacing="0" w:line="240" w:lineRule="auto"/>
        <w:ind w:left="0" w:right="0" w:firstLine="420"/>
        <w:rPr>
          <w:rFonts w:hint="eastAsia" w:ascii="仿宋" w:hAnsi="仿宋" w:eastAsia="仿宋" w:cs="仿宋"/>
        </w:rPr>
      </w:pPr>
      <w:r>
        <w:rPr>
          <w:rFonts w:hint="eastAsia" w:ascii="仿宋" w:hAnsi="仿宋" w:eastAsia="仿宋" w:cs="仿宋"/>
          <w:sz w:val="27"/>
          <w:szCs w:val="27"/>
        </w:rPr>
        <w:t>联系方式：0991-4186007</w:t>
      </w:r>
    </w:p>
    <w:p>
      <w:pPr>
        <w:pStyle w:val="19"/>
        <w:keepNext w:val="0"/>
        <w:keepLines w:val="0"/>
        <w:widowControl/>
        <w:suppressLineNumbers w:val="0"/>
        <w:spacing w:before="75" w:beforeAutospacing="0" w:after="75" w:afterAutospacing="0" w:line="240" w:lineRule="auto"/>
        <w:ind w:left="0" w:right="0" w:firstLine="420"/>
        <w:rPr>
          <w:rFonts w:hint="eastAsia" w:ascii="仿宋" w:hAnsi="仿宋" w:eastAsia="仿宋" w:cs="仿宋"/>
        </w:rPr>
      </w:pPr>
      <w:r>
        <w:rPr>
          <w:rFonts w:hint="eastAsia" w:ascii="仿宋" w:hAnsi="仿宋" w:eastAsia="仿宋" w:cs="仿宋"/>
          <w:sz w:val="27"/>
          <w:szCs w:val="27"/>
        </w:rPr>
        <w:t>2.采购代理机构信息</w:t>
      </w:r>
    </w:p>
    <w:p>
      <w:pPr>
        <w:pStyle w:val="19"/>
        <w:keepNext w:val="0"/>
        <w:keepLines w:val="0"/>
        <w:widowControl/>
        <w:suppressLineNumbers w:val="0"/>
        <w:spacing w:before="75" w:beforeAutospacing="0" w:after="75" w:afterAutospacing="0" w:line="240" w:lineRule="auto"/>
        <w:ind w:left="0" w:right="0" w:firstLine="420"/>
        <w:rPr>
          <w:rFonts w:hint="eastAsia" w:ascii="仿宋" w:hAnsi="仿宋" w:eastAsia="仿宋" w:cs="仿宋"/>
        </w:rPr>
      </w:pPr>
      <w:r>
        <w:rPr>
          <w:rFonts w:hint="eastAsia" w:ascii="仿宋" w:hAnsi="仿宋" w:eastAsia="仿宋" w:cs="仿宋"/>
          <w:sz w:val="27"/>
          <w:szCs w:val="27"/>
        </w:rPr>
        <w:t>名 称：新疆筑石工程项目管理有限公司</w:t>
      </w:r>
    </w:p>
    <w:p>
      <w:pPr>
        <w:pStyle w:val="19"/>
        <w:keepNext w:val="0"/>
        <w:keepLines w:val="0"/>
        <w:widowControl/>
        <w:suppressLineNumbers w:val="0"/>
        <w:spacing w:before="75" w:beforeAutospacing="0" w:after="75" w:afterAutospacing="0" w:line="240" w:lineRule="auto"/>
        <w:ind w:left="0" w:right="0" w:firstLine="420"/>
        <w:rPr>
          <w:rFonts w:hint="eastAsia" w:ascii="仿宋" w:hAnsi="仿宋" w:eastAsia="仿宋" w:cs="仿宋"/>
        </w:rPr>
      </w:pPr>
      <w:r>
        <w:rPr>
          <w:rFonts w:hint="eastAsia" w:ascii="仿宋" w:hAnsi="仿宋" w:eastAsia="仿宋" w:cs="仿宋"/>
          <w:sz w:val="27"/>
          <w:szCs w:val="27"/>
        </w:rPr>
        <w:t>地 址：新疆乌鲁木齐市水磨沟区鸿泰路66号万科大都会9号楼506室</w:t>
      </w:r>
    </w:p>
    <w:p>
      <w:pPr>
        <w:pStyle w:val="19"/>
        <w:keepNext w:val="0"/>
        <w:keepLines w:val="0"/>
        <w:widowControl/>
        <w:suppressLineNumbers w:val="0"/>
        <w:spacing w:before="75" w:beforeAutospacing="0" w:after="75" w:afterAutospacing="0" w:line="240" w:lineRule="auto"/>
        <w:ind w:left="0" w:right="0" w:firstLine="420"/>
        <w:rPr>
          <w:rFonts w:hint="eastAsia" w:ascii="仿宋" w:hAnsi="仿宋" w:eastAsia="仿宋" w:cs="仿宋"/>
        </w:rPr>
      </w:pPr>
      <w:r>
        <w:rPr>
          <w:rFonts w:hint="eastAsia" w:ascii="仿宋" w:hAnsi="仿宋" w:eastAsia="仿宋" w:cs="仿宋"/>
          <w:sz w:val="27"/>
          <w:szCs w:val="27"/>
        </w:rPr>
        <w:t>联系方式：17799779282</w:t>
      </w:r>
    </w:p>
    <w:p>
      <w:pPr>
        <w:pStyle w:val="19"/>
        <w:keepNext w:val="0"/>
        <w:keepLines w:val="0"/>
        <w:widowControl/>
        <w:suppressLineNumbers w:val="0"/>
        <w:spacing w:before="75" w:beforeAutospacing="0" w:after="75" w:afterAutospacing="0" w:line="240" w:lineRule="auto"/>
        <w:ind w:left="0" w:right="0" w:firstLine="420"/>
        <w:rPr>
          <w:rFonts w:hint="eastAsia" w:ascii="仿宋" w:hAnsi="仿宋" w:eastAsia="仿宋" w:cs="仿宋"/>
        </w:rPr>
      </w:pPr>
      <w:r>
        <w:rPr>
          <w:rFonts w:hint="eastAsia" w:ascii="仿宋" w:hAnsi="仿宋" w:eastAsia="仿宋" w:cs="仿宋"/>
          <w:sz w:val="27"/>
          <w:szCs w:val="27"/>
        </w:rPr>
        <w:t>3.项目联系方式</w:t>
      </w:r>
    </w:p>
    <w:p>
      <w:pPr>
        <w:pStyle w:val="19"/>
        <w:keepNext w:val="0"/>
        <w:keepLines w:val="0"/>
        <w:widowControl/>
        <w:suppressLineNumbers w:val="0"/>
        <w:spacing w:before="75" w:beforeAutospacing="0" w:after="75" w:afterAutospacing="0" w:line="240" w:lineRule="auto"/>
        <w:ind w:left="0" w:right="0" w:firstLine="420"/>
        <w:rPr>
          <w:rFonts w:hint="eastAsia" w:ascii="仿宋" w:hAnsi="仿宋" w:eastAsia="仿宋" w:cs="仿宋"/>
        </w:rPr>
      </w:pPr>
      <w:r>
        <w:rPr>
          <w:rFonts w:hint="eastAsia" w:ascii="仿宋" w:hAnsi="仿宋" w:eastAsia="仿宋" w:cs="仿宋"/>
          <w:sz w:val="27"/>
          <w:szCs w:val="27"/>
        </w:rPr>
        <w:t>项目联系人：</w:t>
      </w:r>
      <w:r>
        <w:rPr>
          <w:rStyle w:val="28"/>
          <w:rFonts w:hint="eastAsia" w:ascii="仿宋" w:hAnsi="仿宋" w:eastAsia="仿宋" w:cs="仿宋"/>
          <w:sz w:val="27"/>
          <w:szCs w:val="27"/>
        </w:rPr>
        <w:t>魏薪宇</w:t>
      </w:r>
    </w:p>
    <w:p>
      <w:pPr>
        <w:pStyle w:val="19"/>
        <w:keepNext w:val="0"/>
        <w:keepLines w:val="0"/>
        <w:widowControl/>
        <w:suppressLineNumbers w:val="0"/>
        <w:spacing w:before="75" w:beforeAutospacing="0" w:after="75" w:afterAutospacing="0" w:line="240" w:lineRule="auto"/>
        <w:ind w:left="0" w:right="0" w:firstLine="420"/>
        <w:rPr>
          <w:rStyle w:val="28"/>
          <w:rFonts w:hint="eastAsia" w:ascii="仿宋" w:hAnsi="仿宋" w:eastAsia="仿宋" w:cs="仿宋"/>
          <w:sz w:val="27"/>
          <w:szCs w:val="27"/>
        </w:rPr>
      </w:pPr>
      <w:r>
        <w:rPr>
          <w:rFonts w:hint="eastAsia" w:ascii="仿宋" w:hAnsi="仿宋" w:eastAsia="仿宋" w:cs="仿宋"/>
          <w:sz w:val="27"/>
          <w:szCs w:val="27"/>
        </w:rPr>
        <w:t>电 话：</w:t>
      </w:r>
      <w:r>
        <w:rPr>
          <w:rStyle w:val="28"/>
          <w:rFonts w:hint="eastAsia" w:ascii="仿宋" w:hAnsi="仿宋" w:eastAsia="仿宋" w:cs="仿宋"/>
          <w:sz w:val="27"/>
          <w:szCs w:val="27"/>
        </w:rPr>
        <w:t>17799779282</w:t>
      </w:r>
    </w:p>
    <w:p>
      <w:pPr>
        <w:rPr>
          <w:rStyle w:val="28"/>
          <w:rFonts w:hint="eastAsia" w:ascii="仿宋" w:hAnsi="仿宋" w:eastAsia="仿宋" w:cs="仿宋"/>
          <w:sz w:val="27"/>
          <w:szCs w:val="27"/>
        </w:rPr>
      </w:pPr>
      <w:r>
        <w:rPr>
          <w:rStyle w:val="28"/>
          <w:rFonts w:hint="eastAsia" w:ascii="仿宋" w:hAnsi="仿宋" w:eastAsia="仿宋" w:cs="仿宋"/>
          <w:sz w:val="27"/>
          <w:szCs w:val="27"/>
        </w:rPr>
        <w:br w:type="page"/>
      </w:r>
    </w:p>
    <w:p>
      <w:pPr>
        <w:pStyle w:val="3"/>
        <w:bidi w:val="0"/>
        <w:rPr>
          <w:rFonts w:hint="eastAsia" w:ascii="仿宋" w:hAnsi="仿宋" w:eastAsia="仿宋" w:cs="仿宋"/>
          <w:color w:val="auto"/>
          <w:highlight w:val="none"/>
          <w:lang w:val="en-US" w:eastAsia="zh-Hans"/>
        </w:rPr>
      </w:pPr>
      <w:r>
        <w:rPr>
          <w:rFonts w:hint="eastAsia" w:ascii="仿宋" w:hAnsi="仿宋" w:eastAsia="仿宋" w:cs="仿宋"/>
          <w:color w:val="auto"/>
          <w:highlight w:val="none"/>
          <w:lang w:val="en-US" w:eastAsia="zh-Hans"/>
        </w:rPr>
        <w:t>第二章</w:t>
      </w:r>
      <w:r>
        <w:rPr>
          <w:rFonts w:hint="eastAsia" w:ascii="仿宋" w:hAnsi="仿宋" w:eastAsia="仿宋" w:cs="仿宋"/>
          <w:color w:val="auto"/>
          <w:highlight w:val="none"/>
          <w:lang w:eastAsia="zh-Hans"/>
        </w:rPr>
        <w:t xml:space="preserve"> </w:t>
      </w:r>
      <w:r>
        <w:rPr>
          <w:rFonts w:hint="eastAsia" w:ascii="仿宋" w:hAnsi="仿宋" w:eastAsia="仿宋" w:cs="仿宋"/>
          <w:color w:val="auto"/>
          <w:highlight w:val="none"/>
          <w:lang w:val="en-US" w:eastAsia="zh-Hans"/>
        </w:rPr>
        <w:t>投标须知</w:t>
      </w:r>
      <w:bookmarkEnd w:id="8"/>
      <w:bookmarkEnd w:id="9"/>
    </w:p>
    <w:p>
      <w:pPr>
        <w:keepNext w:val="0"/>
        <w:keepLines w:val="0"/>
        <w:pageBreakBefore w:val="0"/>
        <w:widowControl w:val="0"/>
        <w:numPr>
          <w:ilvl w:val="0"/>
          <w:numId w:val="3"/>
        </w:numPr>
        <w:kinsoku/>
        <w:wordWrap/>
        <w:overflowPunct/>
        <w:topLinePunct w:val="0"/>
        <w:autoSpaceDE/>
        <w:autoSpaceDN/>
        <w:bidi w:val="0"/>
        <w:adjustRightInd w:val="0"/>
        <w:snapToGrid w:val="0"/>
        <w:spacing w:line="360" w:lineRule="auto"/>
        <w:ind w:left="0" w:leftChars="0" w:right="0" w:rightChars="0" w:firstLine="0" w:firstLineChars="0"/>
        <w:jc w:val="both"/>
        <w:textAlignment w:val="auto"/>
        <w:outlineLvl w:val="9"/>
        <w:rPr>
          <w:rFonts w:hint="eastAsia" w:ascii="仿宋" w:hAnsi="仿宋" w:eastAsia="仿宋" w:cs="仿宋"/>
          <w:color w:val="auto"/>
          <w:sz w:val="28"/>
          <w:szCs w:val="28"/>
          <w:highlight w:val="none"/>
          <w:lang w:val="en-US" w:eastAsia="zh-Hans"/>
        </w:rPr>
      </w:pPr>
      <w:r>
        <w:rPr>
          <w:rFonts w:hint="eastAsia" w:ascii="仿宋" w:hAnsi="仿宋" w:eastAsia="仿宋" w:cs="仿宋"/>
          <w:b/>
          <w:bCs/>
          <w:color w:val="auto"/>
          <w:sz w:val="28"/>
          <w:szCs w:val="28"/>
          <w:highlight w:val="none"/>
          <w:lang w:val="en-US" w:eastAsia="zh-Hans"/>
        </w:rPr>
        <w:t>投标须知前附</w:t>
      </w:r>
    </w:p>
    <w:tbl>
      <w:tblPr>
        <w:tblStyle w:val="21"/>
        <w:tblpPr w:leftFromText="180" w:rightFromText="180" w:vertAnchor="text" w:horzAnchor="page" w:tblpX="1793" w:tblpY="624"/>
        <w:tblOverlap w:val="never"/>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617"/>
        <w:gridCol w:w="892"/>
        <w:gridCol w:w="1992"/>
        <w:gridCol w:w="48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70" w:hRule="atLeast"/>
        </w:trPr>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auto"/>
              <w:ind w:left="0" w:leftChars="0" w:right="0" w:rightChars="0" w:firstLine="0" w:firstLineChars="0"/>
              <w:jc w:val="center"/>
              <w:textAlignment w:val="center"/>
              <w:outlineLvl w:val="9"/>
              <w:rPr>
                <w:rFonts w:hint="eastAsia" w:ascii="仿宋" w:hAnsi="仿宋" w:eastAsia="仿宋" w:cs="仿宋"/>
                <w:i w:val="0"/>
                <w:color w:val="auto"/>
                <w:sz w:val="21"/>
                <w:szCs w:val="21"/>
                <w:highlight w:val="none"/>
                <w:u w:val="none"/>
              </w:rPr>
            </w:pPr>
            <w:bookmarkStart w:id="10" w:name="_Toc406782584_WPSOffice_Level2"/>
            <w:r>
              <w:rPr>
                <w:rFonts w:hint="eastAsia" w:ascii="仿宋" w:hAnsi="仿宋" w:eastAsia="仿宋" w:cs="仿宋"/>
                <w:i w:val="0"/>
                <w:color w:val="auto"/>
                <w:kern w:val="0"/>
                <w:sz w:val="21"/>
                <w:szCs w:val="21"/>
                <w:highlight w:val="none"/>
                <w:u w:val="none"/>
                <w:lang w:val="en-US" w:eastAsia="zh-CN" w:bidi="ar"/>
              </w:rPr>
              <w:t>序号</w:t>
            </w: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auto"/>
              <w:ind w:left="0" w:leftChars="0" w:right="0" w:rightChars="0" w:firstLine="0" w:firstLineChars="0"/>
              <w:jc w:val="center"/>
              <w:textAlignment w:val="center"/>
              <w:outlineLvl w:val="9"/>
              <w:rPr>
                <w:rFonts w:hint="eastAsia" w:ascii="仿宋" w:hAnsi="仿宋" w:eastAsia="仿宋" w:cs="仿宋"/>
                <w:b/>
                <w:i w:val="0"/>
                <w:color w:val="auto"/>
                <w:sz w:val="21"/>
                <w:szCs w:val="21"/>
                <w:highlight w:val="none"/>
                <w:u w:val="none"/>
              </w:rPr>
            </w:pPr>
            <w:r>
              <w:rPr>
                <w:rFonts w:hint="eastAsia" w:ascii="仿宋" w:hAnsi="仿宋" w:eastAsia="仿宋" w:cs="仿宋"/>
                <w:b/>
                <w:i w:val="0"/>
                <w:color w:val="auto"/>
                <w:kern w:val="0"/>
                <w:sz w:val="21"/>
                <w:szCs w:val="21"/>
                <w:highlight w:val="none"/>
                <w:u w:val="none"/>
                <w:lang w:val="en-US" w:eastAsia="zh-CN" w:bidi="ar"/>
              </w:rPr>
              <w:t>条款号</w:t>
            </w:r>
          </w:p>
        </w:tc>
        <w:tc>
          <w:tcPr>
            <w:tcW w:w="11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auto"/>
              <w:ind w:left="0" w:leftChars="0" w:right="0" w:rightChars="0" w:firstLine="0" w:firstLineChars="0"/>
              <w:jc w:val="center"/>
              <w:textAlignment w:val="center"/>
              <w:outlineLvl w:val="9"/>
              <w:rPr>
                <w:rFonts w:hint="eastAsia" w:ascii="仿宋" w:hAnsi="仿宋" w:eastAsia="仿宋" w:cs="仿宋"/>
                <w:b/>
                <w:i w:val="0"/>
                <w:color w:val="auto"/>
                <w:sz w:val="21"/>
                <w:szCs w:val="21"/>
                <w:highlight w:val="none"/>
                <w:u w:val="none"/>
              </w:rPr>
            </w:pPr>
            <w:r>
              <w:rPr>
                <w:rFonts w:hint="eastAsia" w:ascii="仿宋" w:hAnsi="仿宋" w:eastAsia="仿宋" w:cs="仿宋"/>
                <w:b/>
                <w:i w:val="0"/>
                <w:color w:val="auto"/>
                <w:kern w:val="0"/>
                <w:sz w:val="21"/>
                <w:szCs w:val="21"/>
                <w:highlight w:val="none"/>
                <w:u w:val="none"/>
                <w:lang w:val="en-US" w:eastAsia="zh-CN" w:bidi="ar"/>
              </w:rPr>
              <w:t>条款名称</w:t>
            </w:r>
          </w:p>
        </w:tc>
        <w:tc>
          <w:tcPr>
            <w:tcW w:w="28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auto"/>
              <w:ind w:left="0" w:leftChars="0" w:right="0" w:rightChars="0" w:firstLine="0" w:firstLineChars="0"/>
              <w:jc w:val="center"/>
              <w:textAlignment w:val="center"/>
              <w:outlineLvl w:val="9"/>
              <w:rPr>
                <w:rFonts w:hint="eastAsia" w:ascii="仿宋" w:hAnsi="仿宋" w:eastAsia="仿宋" w:cs="仿宋"/>
                <w:b/>
                <w:i w:val="0"/>
                <w:color w:val="auto"/>
                <w:sz w:val="21"/>
                <w:szCs w:val="21"/>
                <w:highlight w:val="none"/>
                <w:u w:val="none"/>
              </w:rPr>
            </w:pPr>
            <w:r>
              <w:rPr>
                <w:rFonts w:hint="eastAsia" w:ascii="仿宋" w:hAnsi="仿宋" w:eastAsia="仿宋" w:cs="仿宋"/>
                <w:b/>
                <w:i w:val="0"/>
                <w:color w:val="auto"/>
                <w:kern w:val="0"/>
                <w:sz w:val="21"/>
                <w:szCs w:val="21"/>
                <w:highlight w:val="none"/>
                <w:u w:val="none"/>
                <w:lang w:val="en-US" w:eastAsia="zh-CN" w:bidi="ar"/>
              </w:rPr>
              <w:t>编列内容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auto"/>
              <w:ind w:left="0" w:leftChars="0" w:right="0" w:rightChars="0" w:firstLine="0" w:firstLineChars="0"/>
              <w:jc w:val="center"/>
              <w:textAlignment w:val="center"/>
              <w:outlineLvl w:val="9"/>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1</w:t>
            </w: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auto"/>
              <w:ind w:left="0" w:leftChars="0" w:right="0" w:rightChars="0" w:firstLine="0" w:firstLineChars="0"/>
              <w:jc w:val="center"/>
              <w:textAlignment w:val="center"/>
              <w:outlineLvl w:val="9"/>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1.1.2</w:t>
            </w:r>
          </w:p>
        </w:tc>
        <w:tc>
          <w:tcPr>
            <w:tcW w:w="11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auto"/>
              <w:ind w:left="0" w:leftChars="0" w:right="0" w:rightChars="0" w:firstLine="0" w:firstLineChars="0"/>
              <w:jc w:val="center"/>
              <w:textAlignment w:val="center"/>
              <w:outlineLvl w:val="9"/>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招标人</w:t>
            </w:r>
          </w:p>
        </w:tc>
        <w:tc>
          <w:tcPr>
            <w:tcW w:w="28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auto"/>
              <w:ind w:left="0" w:leftChars="0" w:right="0" w:rightChars="0" w:firstLine="0" w:firstLineChars="0"/>
              <w:jc w:val="both"/>
              <w:textAlignment w:val="center"/>
              <w:outlineLvl w:val="9"/>
              <w:rPr>
                <w:rFonts w:hint="eastAsia" w:ascii="仿宋" w:hAnsi="仿宋" w:eastAsia="仿宋" w:cs="仿宋"/>
                <w:i w:val="0"/>
                <w:color w:val="auto"/>
                <w:kern w:val="0"/>
                <w:sz w:val="21"/>
                <w:szCs w:val="21"/>
                <w:highlight w:val="none"/>
                <w:u w:val="none"/>
                <w:lang w:eastAsia="zh-CN" w:bidi="ar"/>
              </w:rPr>
            </w:pPr>
            <w:r>
              <w:rPr>
                <w:rFonts w:hint="eastAsia" w:ascii="仿宋" w:hAnsi="仿宋" w:eastAsia="仿宋" w:cs="仿宋"/>
                <w:i w:val="0"/>
                <w:color w:val="auto"/>
                <w:kern w:val="0"/>
                <w:sz w:val="21"/>
                <w:szCs w:val="21"/>
                <w:highlight w:val="none"/>
                <w:u w:val="none"/>
                <w:lang w:val="en-US" w:eastAsia="zh-CN" w:bidi="ar"/>
              </w:rPr>
              <w:t>招标人名称：</w:t>
            </w:r>
            <w:r>
              <w:rPr>
                <w:rFonts w:hint="eastAsia" w:ascii="仿宋" w:hAnsi="仿宋" w:eastAsia="仿宋" w:cs="仿宋"/>
                <w:i w:val="0"/>
                <w:color w:val="auto"/>
                <w:kern w:val="0"/>
                <w:sz w:val="21"/>
                <w:szCs w:val="21"/>
                <w:highlight w:val="none"/>
                <w:u w:val="none"/>
                <w:lang w:eastAsia="zh-CN" w:bidi="ar"/>
              </w:rPr>
              <w:t>中共乌鲁木齐市水磨沟区委员会政法委员会</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left="0" w:leftChars="0" w:right="0" w:rightChars="0" w:firstLine="0" w:firstLineChars="0"/>
              <w:jc w:val="both"/>
              <w:textAlignment w:val="center"/>
              <w:outlineLvl w:val="9"/>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联系方式：详见</w:t>
            </w:r>
            <w:r>
              <w:rPr>
                <w:rFonts w:hint="eastAsia" w:ascii="仿宋" w:hAnsi="仿宋" w:eastAsia="仿宋" w:cs="仿宋"/>
                <w:i w:val="0"/>
                <w:color w:val="auto"/>
                <w:kern w:val="0"/>
                <w:sz w:val="21"/>
                <w:szCs w:val="21"/>
                <w:highlight w:val="none"/>
                <w:u w:val="none"/>
                <w:lang w:eastAsia="zh-CN" w:bidi="ar"/>
              </w:rPr>
              <w:t>招标公告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40" w:hRule="atLeast"/>
        </w:trPr>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bidi w:val="0"/>
              <w:adjustRightInd w:val="0"/>
              <w:snapToGrid w:val="0"/>
              <w:spacing w:line="360" w:lineRule="auto"/>
              <w:ind w:left="0" w:leftChars="0" w:right="0" w:rightChars="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2</w:t>
            </w: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bidi w:val="0"/>
              <w:adjustRightInd w:val="0"/>
              <w:snapToGrid w:val="0"/>
              <w:spacing w:line="360" w:lineRule="auto"/>
              <w:ind w:left="0" w:leftChars="0" w:right="0" w:rightChars="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1.1.3</w:t>
            </w:r>
          </w:p>
        </w:tc>
        <w:tc>
          <w:tcPr>
            <w:tcW w:w="11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bidi w:val="0"/>
              <w:adjustRightInd w:val="0"/>
              <w:snapToGrid w:val="0"/>
              <w:spacing w:line="360" w:lineRule="auto"/>
              <w:ind w:left="0" w:leftChars="0" w:right="0" w:rightChars="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招标代理机构</w:t>
            </w:r>
          </w:p>
        </w:tc>
        <w:tc>
          <w:tcPr>
            <w:tcW w:w="28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bidi w:val="0"/>
              <w:adjustRightInd w:val="0"/>
              <w:snapToGrid w:val="0"/>
              <w:spacing w:line="360" w:lineRule="auto"/>
              <w:ind w:left="0" w:leftChars="0" w:right="0" w:rightChars="0"/>
              <w:jc w:val="left"/>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招标代理机构名称：新疆筑石工程项目管理有限公司</w:t>
            </w:r>
          </w:p>
          <w:p>
            <w:pPr>
              <w:keepNext w:val="0"/>
              <w:keepLines w:val="0"/>
              <w:pageBreakBefore w:val="0"/>
              <w:widowControl/>
              <w:suppressLineNumbers w:val="0"/>
              <w:kinsoku/>
              <w:wordWrap/>
              <w:bidi w:val="0"/>
              <w:adjustRightInd w:val="0"/>
              <w:snapToGrid w:val="0"/>
              <w:spacing w:line="360" w:lineRule="auto"/>
              <w:ind w:left="0" w:leftChars="0" w:right="0" w:rightChars="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联系方式：详见</w:t>
            </w:r>
            <w:r>
              <w:rPr>
                <w:rFonts w:hint="eastAsia" w:ascii="仿宋" w:hAnsi="仿宋" w:eastAsia="仿宋" w:cs="仿宋"/>
                <w:i w:val="0"/>
                <w:color w:val="auto"/>
                <w:kern w:val="0"/>
                <w:sz w:val="21"/>
                <w:szCs w:val="21"/>
                <w:highlight w:val="none"/>
                <w:u w:val="none"/>
                <w:lang w:eastAsia="zh-CN" w:bidi="ar"/>
              </w:rPr>
              <w:t>招标公告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 w:hRule="atLeast"/>
        </w:trPr>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bidi w:val="0"/>
              <w:adjustRightInd w:val="0"/>
              <w:snapToGrid w:val="0"/>
              <w:spacing w:line="360" w:lineRule="auto"/>
              <w:ind w:left="0" w:leftChars="0" w:right="0" w:rightChars="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3</w:t>
            </w: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bidi w:val="0"/>
              <w:adjustRightInd w:val="0"/>
              <w:snapToGrid w:val="0"/>
              <w:spacing w:line="360" w:lineRule="auto"/>
              <w:ind w:left="0" w:leftChars="0" w:right="0" w:rightChars="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1.1.4</w:t>
            </w:r>
          </w:p>
        </w:tc>
        <w:tc>
          <w:tcPr>
            <w:tcW w:w="11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bidi w:val="0"/>
              <w:adjustRightInd w:val="0"/>
              <w:snapToGrid w:val="0"/>
              <w:spacing w:line="360" w:lineRule="auto"/>
              <w:ind w:left="0" w:leftChars="0" w:right="0" w:rightChars="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招标项目名称</w:t>
            </w:r>
          </w:p>
        </w:tc>
        <w:tc>
          <w:tcPr>
            <w:tcW w:w="28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bidi w:val="0"/>
              <w:adjustRightInd w:val="0"/>
              <w:snapToGrid w:val="0"/>
              <w:spacing w:line="360" w:lineRule="auto"/>
              <w:ind w:left="0" w:leftChars="0" w:right="0" w:rightChars="0"/>
              <w:jc w:val="both"/>
              <w:textAlignment w:val="center"/>
              <w:rPr>
                <w:rFonts w:hint="eastAsia" w:ascii="仿宋" w:hAnsi="仿宋" w:eastAsia="仿宋" w:cs="仿宋"/>
                <w:i w:val="0"/>
                <w:color w:val="auto"/>
                <w:sz w:val="21"/>
                <w:szCs w:val="21"/>
                <w:highlight w:val="none"/>
                <w:u w:val="none"/>
                <w:lang w:eastAsia="zh-CN"/>
              </w:rPr>
            </w:pPr>
            <w:r>
              <w:rPr>
                <w:rFonts w:hint="eastAsia" w:ascii="仿宋" w:hAnsi="仿宋" w:eastAsia="仿宋" w:cs="仿宋"/>
                <w:color w:val="auto"/>
                <w:sz w:val="21"/>
                <w:szCs w:val="21"/>
                <w:highlight w:val="none"/>
                <w:lang w:eastAsia="zh-CN"/>
              </w:rPr>
              <w:t>2022年水磨沟区公共安全相关设备补点建设项目设备采购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33" w:hRule="atLeast"/>
        </w:trPr>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bidi w:val="0"/>
              <w:adjustRightInd w:val="0"/>
              <w:snapToGrid w:val="0"/>
              <w:spacing w:line="360" w:lineRule="auto"/>
              <w:ind w:left="0" w:leftChars="0" w:right="0" w:rightChars="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4</w:t>
            </w: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bidi w:val="0"/>
              <w:adjustRightInd w:val="0"/>
              <w:snapToGrid w:val="0"/>
              <w:spacing w:line="360" w:lineRule="auto"/>
              <w:ind w:left="0" w:leftChars="0" w:right="0" w:rightChars="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1.2.1</w:t>
            </w:r>
          </w:p>
        </w:tc>
        <w:tc>
          <w:tcPr>
            <w:tcW w:w="11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bidi w:val="0"/>
              <w:adjustRightInd w:val="0"/>
              <w:snapToGrid w:val="0"/>
              <w:spacing w:line="360" w:lineRule="auto"/>
              <w:ind w:left="0" w:leftChars="0" w:right="0" w:rightChars="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资金来源</w:t>
            </w:r>
          </w:p>
        </w:tc>
        <w:tc>
          <w:tcPr>
            <w:tcW w:w="28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bidi w:val="0"/>
              <w:adjustRightInd w:val="0"/>
              <w:snapToGrid w:val="0"/>
              <w:spacing w:line="360" w:lineRule="auto"/>
              <w:ind w:left="0" w:leftChars="0" w:right="0" w:rightChars="0"/>
              <w:jc w:val="both"/>
              <w:textAlignment w:val="center"/>
              <w:rPr>
                <w:rFonts w:hint="eastAsia" w:ascii="仿宋" w:hAnsi="仿宋" w:eastAsia="仿宋" w:cs="仿宋"/>
                <w:i w:val="0"/>
                <w:color w:val="auto"/>
                <w:sz w:val="21"/>
                <w:szCs w:val="21"/>
                <w:highlight w:val="none"/>
                <w:u w:val="none"/>
                <w:lang w:val="en-US" w:eastAsia="zh-CN"/>
              </w:rPr>
            </w:pPr>
            <w:r>
              <w:rPr>
                <w:rFonts w:hint="eastAsia" w:ascii="仿宋" w:hAnsi="仿宋" w:eastAsia="仿宋" w:cs="仿宋"/>
                <w:i w:val="0"/>
                <w:color w:val="auto"/>
                <w:sz w:val="21"/>
                <w:szCs w:val="21"/>
                <w:highlight w:val="none"/>
                <w:u w:val="none"/>
                <w:lang w:val="en-US" w:eastAsia="zh-CN"/>
              </w:rPr>
              <w:t>区级财政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05" w:hRule="atLeast"/>
        </w:trPr>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bidi w:val="0"/>
              <w:adjustRightInd w:val="0"/>
              <w:snapToGrid w:val="0"/>
              <w:spacing w:line="360" w:lineRule="auto"/>
              <w:ind w:left="0" w:leftChars="0" w:right="0" w:rightChars="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5</w:t>
            </w: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bidi w:val="0"/>
              <w:adjustRightInd w:val="0"/>
              <w:snapToGrid w:val="0"/>
              <w:spacing w:line="360" w:lineRule="auto"/>
              <w:ind w:left="0" w:leftChars="0" w:right="0" w:rightChars="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1.2.2</w:t>
            </w:r>
          </w:p>
        </w:tc>
        <w:tc>
          <w:tcPr>
            <w:tcW w:w="11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bidi w:val="0"/>
              <w:adjustRightInd w:val="0"/>
              <w:snapToGrid w:val="0"/>
              <w:spacing w:line="360" w:lineRule="auto"/>
              <w:ind w:left="0" w:leftChars="0" w:right="0" w:rightChars="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资金落实情况</w:t>
            </w:r>
          </w:p>
        </w:tc>
        <w:tc>
          <w:tcPr>
            <w:tcW w:w="28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bidi w:val="0"/>
              <w:adjustRightInd w:val="0"/>
              <w:snapToGrid w:val="0"/>
              <w:spacing w:line="360" w:lineRule="auto"/>
              <w:ind w:left="0" w:leftChars="0" w:right="0" w:rightChars="0"/>
              <w:jc w:val="both"/>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已落实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05" w:hRule="atLeast"/>
        </w:trPr>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bidi w:val="0"/>
              <w:adjustRightInd w:val="0"/>
              <w:snapToGrid w:val="0"/>
              <w:spacing w:line="360" w:lineRule="auto"/>
              <w:ind w:left="0" w:leftChars="0" w:right="0" w:rightChars="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8</w:t>
            </w: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bidi w:val="0"/>
              <w:adjustRightInd w:val="0"/>
              <w:snapToGrid w:val="0"/>
              <w:spacing w:line="360" w:lineRule="auto"/>
              <w:ind w:left="0" w:leftChars="0" w:right="0" w:rightChars="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1.3.3</w:t>
            </w:r>
          </w:p>
        </w:tc>
        <w:tc>
          <w:tcPr>
            <w:tcW w:w="11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bidi w:val="0"/>
              <w:adjustRightInd w:val="0"/>
              <w:snapToGrid w:val="0"/>
              <w:spacing w:line="360" w:lineRule="auto"/>
              <w:ind w:left="0" w:leftChars="0" w:right="0" w:rightChars="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交货地点</w:t>
            </w:r>
          </w:p>
        </w:tc>
        <w:tc>
          <w:tcPr>
            <w:tcW w:w="28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bidi w:val="0"/>
              <w:adjustRightInd w:val="0"/>
              <w:snapToGrid w:val="0"/>
              <w:spacing w:line="360" w:lineRule="auto"/>
              <w:ind w:left="0" w:leftChars="0" w:right="0" w:rightChars="0"/>
              <w:jc w:val="both"/>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sz w:val="21"/>
                <w:szCs w:val="21"/>
                <w:highlight w:val="none"/>
                <w:u w:val="none"/>
                <w:lang w:val="en-US" w:eastAsia="zh-Hans"/>
              </w:rPr>
              <w:t>按甲方指定地点交货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05" w:hRule="atLeast"/>
        </w:trPr>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bidi w:val="0"/>
              <w:adjustRightInd w:val="0"/>
              <w:snapToGrid w:val="0"/>
              <w:spacing w:line="360" w:lineRule="auto"/>
              <w:ind w:left="0" w:leftChars="0" w:right="0" w:rightChars="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6</w:t>
            </w: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bidi w:val="0"/>
              <w:adjustRightInd w:val="0"/>
              <w:snapToGrid w:val="0"/>
              <w:spacing w:line="360" w:lineRule="auto"/>
              <w:ind w:left="0" w:leftChars="0" w:right="0" w:rightChars="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1.3.2</w:t>
            </w:r>
          </w:p>
        </w:tc>
        <w:tc>
          <w:tcPr>
            <w:tcW w:w="11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bidi w:val="0"/>
              <w:adjustRightInd w:val="0"/>
              <w:snapToGrid w:val="0"/>
              <w:spacing w:line="360" w:lineRule="auto"/>
              <w:ind w:left="0" w:leftChars="0" w:right="0" w:rightChars="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供货安装周期</w:t>
            </w:r>
          </w:p>
        </w:tc>
        <w:tc>
          <w:tcPr>
            <w:tcW w:w="28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bidi w:val="0"/>
              <w:adjustRightInd w:val="0"/>
              <w:snapToGrid w:val="0"/>
              <w:spacing w:line="360" w:lineRule="auto"/>
              <w:ind w:left="0" w:leftChars="0" w:right="0" w:rightChars="0"/>
              <w:jc w:val="both"/>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sz w:val="21"/>
                <w:szCs w:val="21"/>
                <w:highlight w:val="none"/>
                <w:u w:val="none"/>
                <w:lang w:val="en-US" w:eastAsia="zh-Hans"/>
              </w:rPr>
              <w:t>承接项目后</w:t>
            </w:r>
            <w:r>
              <w:rPr>
                <w:rFonts w:hint="eastAsia" w:ascii="仿宋" w:hAnsi="仿宋" w:eastAsia="仿宋" w:cs="仿宋"/>
                <w:i w:val="0"/>
                <w:color w:val="auto"/>
                <w:sz w:val="21"/>
                <w:szCs w:val="21"/>
                <w:highlight w:val="none"/>
                <w:u w:val="none"/>
                <w:lang w:val="en-US" w:eastAsia="zh-CN"/>
              </w:rPr>
              <w:t>45</w:t>
            </w:r>
            <w:r>
              <w:rPr>
                <w:rFonts w:hint="eastAsia" w:ascii="仿宋" w:hAnsi="仿宋" w:eastAsia="仿宋" w:cs="仿宋"/>
                <w:i w:val="0"/>
                <w:color w:val="auto"/>
                <w:sz w:val="21"/>
                <w:szCs w:val="21"/>
                <w:highlight w:val="none"/>
                <w:u w:val="none"/>
                <w:lang w:val="en-US" w:eastAsia="zh-Hans"/>
              </w:rPr>
              <w:t>个自然日内交付使用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05" w:hRule="atLeast"/>
        </w:trPr>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bidi w:val="0"/>
              <w:adjustRightInd w:val="0"/>
              <w:snapToGrid w:val="0"/>
              <w:spacing w:line="360" w:lineRule="auto"/>
              <w:ind w:left="0" w:leftChars="0" w:right="0" w:rightChars="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7</w:t>
            </w: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bidi w:val="0"/>
              <w:adjustRightInd w:val="0"/>
              <w:snapToGrid w:val="0"/>
              <w:spacing w:line="360" w:lineRule="auto"/>
              <w:ind w:left="0" w:leftChars="0" w:right="0" w:rightChars="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1.3.1</w:t>
            </w:r>
          </w:p>
        </w:tc>
        <w:tc>
          <w:tcPr>
            <w:tcW w:w="11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bidi w:val="0"/>
              <w:adjustRightInd w:val="0"/>
              <w:snapToGrid w:val="0"/>
              <w:spacing w:line="360" w:lineRule="auto"/>
              <w:ind w:left="0" w:leftChars="0" w:right="0" w:rightChars="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招标范围</w:t>
            </w:r>
          </w:p>
        </w:tc>
        <w:tc>
          <w:tcPr>
            <w:tcW w:w="28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bidi w:val="0"/>
              <w:adjustRightInd w:val="0"/>
              <w:snapToGrid w:val="0"/>
              <w:spacing w:line="360" w:lineRule="auto"/>
              <w:ind w:left="0" w:leftChars="0" w:right="0" w:rightChars="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2022年水磨沟区公共安全相关设备补点建设项目设备采购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05" w:hRule="atLeast"/>
        </w:trPr>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bidi w:val="0"/>
              <w:adjustRightInd w:val="0"/>
              <w:snapToGrid w:val="0"/>
              <w:spacing w:line="360" w:lineRule="auto"/>
              <w:ind w:left="0" w:leftChars="0" w:right="0" w:rightChars="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sz w:val="21"/>
                <w:szCs w:val="21"/>
                <w:highlight w:val="none"/>
                <w:u w:val="none"/>
              </w:rPr>
              <w:t>8</w:t>
            </w: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bidi w:val="0"/>
              <w:adjustRightInd w:val="0"/>
              <w:snapToGrid w:val="0"/>
              <w:spacing w:line="360" w:lineRule="auto"/>
              <w:ind w:left="0" w:leftChars="0" w:right="0" w:rightChars="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1.3.4</w:t>
            </w:r>
          </w:p>
        </w:tc>
        <w:tc>
          <w:tcPr>
            <w:tcW w:w="11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bidi w:val="0"/>
              <w:adjustRightInd w:val="0"/>
              <w:snapToGrid w:val="0"/>
              <w:spacing w:line="360" w:lineRule="auto"/>
              <w:ind w:left="0" w:leftChars="0" w:right="0" w:rightChars="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技术性能指标</w:t>
            </w:r>
          </w:p>
        </w:tc>
        <w:tc>
          <w:tcPr>
            <w:tcW w:w="28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bidi w:val="0"/>
              <w:adjustRightInd w:val="0"/>
              <w:snapToGrid w:val="0"/>
              <w:spacing w:line="360" w:lineRule="auto"/>
              <w:ind w:left="0" w:leftChars="0" w:right="0" w:rightChars="0"/>
              <w:jc w:val="both"/>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详见第六章</w:t>
            </w:r>
            <w:r>
              <w:rPr>
                <w:rFonts w:hint="eastAsia" w:ascii="仿宋" w:hAnsi="仿宋" w:eastAsia="仿宋" w:cs="仿宋"/>
                <w:i w:val="0"/>
                <w:color w:val="auto"/>
                <w:kern w:val="0"/>
                <w:sz w:val="21"/>
                <w:szCs w:val="21"/>
                <w:highlight w:val="none"/>
                <w:u w:val="none"/>
                <w:lang w:val="en-US" w:eastAsia="zh-Hans" w:bidi="ar"/>
              </w:rPr>
              <w:t>采购需求</w:t>
            </w:r>
            <w:r>
              <w:rPr>
                <w:rFonts w:hint="eastAsia" w:ascii="仿宋" w:hAnsi="仿宋" w:eastAsia="仿宋" w:cs="仿宋"/>
                <w:i w:val="0"/>
                <w:color w:val="auto"/>
                <w:kern w:val="0"/>
                <w:sz w:val="21"/>
                <w:szCs w:val="21"/>
                <w:highlight w:val="none"/>
                <w:u w:val="none"/>
                <w:lang w:eastAsia="zh-CN" w:bidi="ar"/>
              </w:rPr>
              <w:t>，</w:t>
            </w:r>
            <w:r>
              <w:rPr>
                <w:rFonts w:hint="eastAsia" w:ascii="仿宋" w:hAnsi="仿宋" w:eastAsia="仿宋" w:cs="仿宋"/>
                <w:i w:val="0"/>
                <w:color w:val="auto"/>
                <w:kern w:val="0"/>
                <w:sz w:val="21"/>
                <w:szCs w:val="21"/>
                <w:highlight w:val="none"/>
                <w:u w:val="none"/>
                <w:lang w:val="en-US" w:eastAsia="zh-Hans" w:bidi="ar"/>
              </w:rPr>
              <w:t>投标人技术性能指标有偏差的</w:t>
            </w:r>
            <w:r>
              <w:rPr>
                <w:rFonts w:hint="eastAsia" w:ascii="仿宋" w:hAnsi="仿宋" w:eastAsia="仿宋" w:cs="仿宋"/>
                <w:i w:val="0"/>
                <w:color w:val="auto"/>
                <w:kern w:val="0"/>
                <w:sz w:val="21"/>
                <w:szCs w:val="21"/>
                <w:highlight w:val="none"/>
                <w:u w:val="none"/>
                <w:lang w:eastAsia="zh-Hans" w:bidi="ar"/>
              </w:rPr>
              <w:t>，</w:t>
            </w:r>
            <w:r>
              <w:rPr>
                <w:rFonts w:hint="eastAsia" w:ascii="仿宋" w:hAnsi="仿宋" w:eastAsia="仿宋" w:cs="仿宋"/>
                <w:i w:val="0"/>
                <w:color w:val="auto"/>
                <w:kern w:val="0"/>
                <w:sz w:val="21"/>
                <w:szCs w:val="21"/>
                <w:highlight w:val="none"/>
                <w:u w:val="none"/>
                <w:lang w:val="en-US" w:eastAsia="zh-Hans" w:bidi="ar"/>
              </w:rPr>
              <w:t>应在“第六章七商务偏离表和规格功能</w:t>
            </w:r>
            <w:r>
              <w:rPr>
                <w:rFonts w:hint="eastAsia" w:ascii="仿宋" w:hAnsi="仿宋" w:eastAsia="仿宋" w:cs="仿宋"/>
                <w:i w:val="0"/>
                <w:color w:val="auto"/>
                <w:kern w:val="0"/>
                <w:sz w:val="21"/>
                <w:szCs w:val="21"/>
                <w:highlight w:val="none"/>
                <w:u w:val="none"/>
                <w:lang w:eastAsia="zh-Hans" w:bidi="ar"/>
              </w:rPr>
              <w:t>、</w:t>
            </w:r>
            <w:r>
              <w:rPr>
                <w:rFonts w:hint="eastAsia" w:ascii="仿宋" w:hAnsi="仿宋" w:eastAsia="仿宋" w:cs="仿宋"/>
                <w:i w:val="0"/>
                <w:color w:val="auto"/>
                <w:kern w:val="0"/>
                <w:sz w:val="21"/>
                <w:szCs w:val="21"/>
                <w:highlight w:val="none"/>
                <w:u w:val="none"/>
                <w:lang w:val="en-US" w:eastAsia="zh-Hans" w:bidi="ar"/>
              </w:rPr>
              <w:t>八技术参数偏离表”中列出</w:t>
            </w:r>
            <w:r>
              <w:rPr>
                <w:rFonts w:hint="eastAsia" w:ascii="仿宋" w:hAnsi="仿宋" w:eastAsia="仿宋" w:cs="仿宋"/>
                <w:i w:val="0"/>
                <w:color w:val="auto"/>
                <w:kern w:val="0"/>
                <w:sz w:val="21"/>
                <w:szCs w:val="21"/>
                <w:highlight w:val="none"/>
                <w:u w:val="none"/>
                <w:lang w:eastAsia="zh-Hans"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481" w:hRule="atLeast"/>
        </w:trPr>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bidi w:val="0"/>
              <w:adjustRightInd w:val="0"/>
              <w:snapToGrid w:val="0"/>
              <w:spacing w:line="360" w:lineRule="auto"/>
              <w:ind w:left="0" w:leftChars="0" w:right="0" w:rightChars="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sz w:val="21"/>
                <w:szCs w:val="21"/>
                <w:highlight w:val="none"/>
                <w:u w:val="none"/>
              </w:rPr>
              <w:t>9</w:t>
            </w: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bidi w:val="0"/>
              <w:adjustRightInd w:val="0"/>
              <w:snapToGrid w:val="0"/>
              <w:spacing w:line="360" w:lineRule="auto"/>
              <w:ind w:left="0" w:leftChars="0" w:right="0" w:rightChars="0"/>
              <w:jc w:val="center"/>
              <w:textAlignment w:val="center"/>
              <w:rPr>
                <w:rFonts w:hint="eastAsia" w:ascii="仿宋" w:hAnsi="仿宋" w:eastAsia="仿宋" w:cs="仿宋"/>
                <w:b/>
                <w:i w:val="0"/>
                <w:color w:val="auto"/>
                <w:sz w:val="21"/>
                <w:szCs w:val="21"/>
                <w:highlight w:val="none"/>
                <w:u w:val="none"/>
              </w:rPr>
            </w:pPr>
            <w:r>
              <w:rPr>
                <w:rFonts w:hint="eastAsia" w:ascii="仿宋" w:hAnsi="仿宋" w:eastAsia="仿宋" w:cs="仿宋"/>
                <w:b/>
                <w:i w:val="0"/>
                <w:color w:val="auto"/>
                <w:kern w:val="0"/>
                <w:sz w:val="21"/>
                <w:szCs w:val="21"/>
                <w:highlight w:val="none"/>
                <w:u w:val="none"/>
                <w:lang w:val="en-US" w:eastAsia="zh-CN" w:bidi="ar"/>
              </w:rPr>
              <w:t>1.4.1</w:t>
            </w:r>
          </w:p>
        </w:tc>
        <w:tc>
          <w:tcPr>
            <w:tcW w:w="11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bidi w:val="0"/>
              <w:adjustRightInd w:val="0"/>
              <w:snapToGrid w:val="0"/>
              <w:spacing w:beforeAutospacing="0" w:afterAutospacing="0" w:line="360" w:lineRule="auto"/>
              <w:ind w:left="0" w:leftChars="0" w:right="0" w:rightChars="0"/>
              <w:jc w:val="left"/>
              <w:rPr>
                <w:rFonts w:hint="eastAsia" w:ascii="仿宋" w:hAnsi="仿宋" w:eastAsia="仿宋" w:cs="仿宋"/>
                <w:b w:val="0"/>
                <w:bCs/>
                <w:color w:val="auto"/>
                <w:kern w:val="2"/>
                <w:sz w:val="21"/>
                <w:szCs w:val="21"/>
                <w:highlight w:val="none"/>
                <w:lang w:val="en-US" w:eastAsia="zh-CN" w:bidi="ar"/>
              </w:rPr>
            </w:pPr>
            <w:r>
              <w:rPr>
                <w:rFonts w:hint="eastAsia" w:ascii="仿宋" w:hAnsi="仿宋" w:eastAsia="仿宋" w:cs="仿宋"/>
                <w:b w:val="0"/>
                <w:bCs/>
                <w:color w:val="auto"/>
                <w:kern w:val="2"/>
                <w:sz w:val="21"/>
                <w:szCs w:val="21"/>
                <w:highlight w:val="none"/>
                <w:lang w:val="en-US" w:eastAsia="zh-CN" w:bidi="ar"/>
              </w:rPr>
              <w:t>投标人资质条件、能力、信誉</w:t>
            </w:r>
          </w:p>
        </w:tc>
        <w:tc>
          <w:tcPr>
            <w:tcW w:w="28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bidi w:val="0"/>
              <w:adjustRightInd w:val="0"/>
              <w:snapToGrid w:val="0"/>
              <w:spacing w:line="360" w:lineRule="auto"/>
              <w:ind w:left="0" w:leftChars="0" w:right="0" w:rightChars="0"/>
              <w:jc w:val="left"/>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1.满足《中华人民共和国政府采购法》第二十二条规定；</w:t>
            </w:r>
          </w:p>
          <w:p>
            <w:pPr>
              <w:keepNext w:val="0"/>
              <w:keepLines w:val="0"/>
              <w:pageBreakBefore w:val="0"/>
              <w:widowControl/>
              <w:suppressLineNumbers w:val="0"/>
              <w:kinsoku/>
              <w:wordWrap/>
              <w:bidi w:val="0"/>
              <w:adjustRightInd w:val="0"/>
              <w:snapToGrid w:val="0"/>
              <w:spacing w:line="360" w:lineRule="auto"/>
              <w:ind w:left="0" w:leftChars="0" w:right="0" w:rightChars="0"/>
              <w:jc w:val="left"/>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2.落实政府采购政策需满足的资格要求：无</w:t>
            </w:r>
          </w:p>
          <w:p>
            <w:pPr>
              <w:keepNext w:val="0"/>
              <w:keepLines w:val="0"/>
              <w:pageBreakBefore w:val="0"/>
              <w:widowControl/>
              <w:suppressLineNumbers w:val="0"/>
              <w:kinsoku/>
              <w:wordWrap/>
              <w:bidi w:val="0"/>
              <w:adjustRightInd w:val="0"/>
              <w:snapToGrid w:val="0"/>
              <w:spacing w:line="360" w:lineRule="auto"/>
              <w:ind w:left="0" w:leftChars="0" w:right="0" w:rightChars="0"/>
              <w:jc w:val="left"/>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3.本项目的特定资格要求：</w:t>
            </w:r>
          </w:p>
          <w:p>
            <w:pPr>
              <w:keepNext w:val="0"/>
              <w:keepLines w:val="0"/>
              <w:pageBreakBefore w:val="0"/>
              <w:widowControl/>
              <w:suppressLineNumbers w:val="0"/>
              <w:kinsoku/>
              <w:wordWrap/>
              <w:bidi w:val="0"/>
              <w:adjustRightInd w:val="0"/>
              <w:snapToGrid w:val="0"/>
              <w:spacing w:line="360" w:lineRule="auto"/>
              <w:ind w:left="0" w:leftChars="0" w:right="0" w:rightChars="0"/>
              <w:jc w:val="left"/>
              <w:textAlignment w:val="center"/>
              <w:rPr>
                <w:rFonts w:hint="eastAsia" w:ascii="仿宋" w:hAnsi="仿宋" w:eastAsia="仿宋" w:cs="仿宋"/>
                <w:i w:val="0"/>
                <w:color w:val="auto"/>
                <w:kern w:val="0"/>
                <w:sz w:val="21"/>
                <w:szCs w:val="21"/>
                <w:highlight w:val="none"/>
                <w:u w:val="none"/>
                <w:lang w:val="en-US" w:eastAsia="zh-Hans" w:bidi="ar"/>
              </w:rPr>
            </w:pPr>
            <w:r>
              <w:rPr>
                <w:rFonts w:hint="eastAsia" w:ascii="仿宋" w:hAnsi="仿宋" w:eastAsia="仿宋" w:cs="仿宋"/>
                <w:i w:val="0"/>
                <w:color w:val="auto"/>
                <w:kern w:val="0"/>
                <w:sz w:val="21"/>
                <w:szCs w:val="21"/>
                <w:highlight w:val="none"/>
                <w:u w:val="none"/>
                <w:lang w:val="en-US" w:eastAsia="zh-Hans" w:bidi="ar"/>
              </w:rPr>
              <w:t>1</w:t>
            </w:r>
            <w:r>
              <w:rPr>
                <w:rFonts w:hint="eastAsia" w:ascii="仿宋" w:hAnsi="仿宋" w:eastAsia="仿宋" w:cs="仿宋"/>
                <w:i w:val="0"/>
                <w:color w:val="auto"/>
                <w:kern w:val="0"/>
                <w:sz w:val="21"/>
                <w:szCs w:val="21"/>
                <w:highlight w:val="none"/>
                <w:u w:val="none"/>
                <w:lang w:val="en-US" w:eastAsia="zh-CN" w:bidi="ar"/>
              </w:rPr>
              <w:t>）投标人</w:t>
            </w:r>
            <w:r>
              <w:rPr>
                <w:rFonts w:hint="eastAsia" w:ascii="仿宋" w:hAnsi="仿宋" w:eastAsia="仿宋" w:cs="仿宋"/>
                <w:i w:val="0"/>
                <w:color w:val="auto"/>
                <w:kern w:val="0"/>
                <w:sz w:val="21"/>
                <w:szCs w:val="21"/>
                <w:highlight w:val="none"/>
                <w:u w:val="none"/>
                <w:lang w:val="en-US" w:eastAsia="zh-Hans" w:bidi="ar"/>
              </w:rPr>
              <w:t>具有有效的“一证一码”或“三证合一”的营业执照（营业执照需包含本次项目的相关经营权）</w:t>
            </w:r>
            <w:r>
              <w:rPr>
                <w:rFonts w:hint="eastAsia" w:ascii="仿宋" w:hAnsi="仿宋" w:eastAsia="仿宋" w:cs="仿宋"/>
                <w:i w:val="0"/>
                <w:color w:val="auto"/>
                <w:kern w:val="0"/>
                <w:sz w:val="21"/>
                <w:szCs w:val="21"/>
                <w:highlight w:val="none"/>
                <w:u w:val="none"/>
                <w:lang w:val="en-US" w:eastAsia="zh-CN" w:bidi="ar"/>
              </w:rPr>
              <w:t>；</w:t>
            </w:r>
          </w:p>
          <w:p>
            <w:pPr>
              <w:keepNext w:val="0"/>
              <w:keepLines w:val="0"/>
              <w:pageBreakBefore w:val="0"/>
              <w:widowControl/>
              <w:suppressLineNumbers w:val="0"/>
              <w:kinsoku/>
              <w:wordWrap/>
              <w:bidi w:val="0"/>
              <w:adjustRightInd w:val="0"/>
              <w:snapToGrid w:val="0"/>
              <w:spacing w:line="360" w:lineRule="auto"/>
              <w:ind w:left="0" w:leftChars="0" w:right="0" w:rightChars="0"/>
              <w:jc w:val="left"/>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2）投标人须提供通过“信用中国”网站（www.creditchina.gov.cn）和中国政府采购网（www.ccgp.gov.cn）渠道查询的本单位信用记录的网页，并加盖投标单位公章，被列入失信被执行人、重大税收违法案件当事人名单、政府采购严重违法失信行为记录名单的单位及其他不符合《中华人民共和国政府采购法》第二十二条规定条件的投标单位，将被拒绝参与本次政府采购活动；</w:t>
            </w:r>
          </w:p>
          <w:p>
            <w:pPr>
              <w:keepNext w:val="0"/>
              <w:keepLines w:val="0"/>
              <w:pageBreakBefore w:val="0"/>
              <w:widowControl/>
              <w:suppressLineNumbers w:val="0"/>
              <w:kinsoku/>
              <w:wordWrap/>
              <w:bidi w:val="0"/>
              <w:adjustRightInd w:val="0"/>
              <w:snapToGrid w:val="0"/>
              <w:spacing w:line="360" w:lineRule="auto"/>
              <w:ind w:left="0" w:leftChars="0" w:right="0" w:rightChars="0"/>
              <w:jc w:val="left"/>
              <w:textAlignment w:val="center"/>
              <w:rPr>
                <w:rFonts w:hint="eastAsia" w:ascii="仿宋" w:hAnsi="仿宋" w:eastAsia="仿宋" w:cs="仿宋"/>
                <w:i w:val="0"/>
                <w:color w:val="auto"/>
                <w:kern w:val="0"/>
                <w:sz w:val="21"/>
                <w:szCs w:val="21"/>
                <w:highlight w:val="none"/>
                <w:u w:val="none"/>
                <w:lang w:val="en-US" w:eastAsia="zh-Hans" w:bidi="ar"/>
              </w:rPr>
            </w:pPr>
            <w:r>
              <w:rPr>
                <w:rFonts w:hint="eastAsia" w:ascii="仿宋" w:hAnsi="仿宋" w:eastAsia="仿宋" w:cs="仿宋"/>
                <w:i w:val="0"/>
                <w:color w:val="auto"/>
                <w:kern w:val="0"/>
                <w:sz w:val="21"/>
                <w:szCs w:val="21"/>
                <w:highlight w:val="none"/>
                <w:u w:val="none"/>
                <w:lang w:val="en-US" w:eastAsia="zh-CN" w:bidi="ar"/>
              </w:rPr>
              <w:t>4、</w:t>
            </w:r>
            <w:r>
              <w:rPr>
                <w:rFonts w:hint="eastAsia" w:ascii="仿宋" w:hAnsi="仿宋" w:eastAsia="仿宋" w:cs="仿宋"/>
                <w:i w:val="0"/>
                <w:color w:val="auto"/>
                <w:kern w:val="0"/>
                <w:sz w:val="21"/>
                <w:szCs w:val="21"/>
                <w:highlight w:val="none"/>
                <w:u w:val="none"/>
                <w:lang w:val="en-US" w:eastAsia="zh-Hans" w:bidi="ar"/>
              </w:rPr>
              <w:t>本次招标不接受联合体投标。</w:t>
            </w:r>
          </w:p>
          <w:p>
            <w:pPr>
              <w:keepNext w:val="0"/>
              <w:keepLines w:val="0"/>
              <w:pageBreakBefore w:val="0"/>
              <w:widowControl/>
              <w:suppressLineNumbers w:val="0"/>
              <w:kinsoku/>
              <w:wordWrap/>
              <w:bidi w:val="0"/>
              <w:adjustRightInd w:val="0"/>
              <w:snapToGrid w:val="0"/>
              <w:spacing w:line="360" w:lineRule="auto"/>
              <w:ind w:left="0" w:leftChars="0" w:right="0" w:rightChars="0"/>
              <w:jc w:val="left"/>
              <w:textAlignment w:val="center"/>
              <w:rPr>
                <w:rFonts w:hint="eastAsia" w:ascii="仿宋" w:hAnsi="仿宋" w:eastAsia="仿宋" w:cs="仿宋"/>
                <w:i w:val="0"/>
                <w:color w:val="auto"/>
                <w:kern w:val="0"/>
                <w:sz w:val="21"/>
                <w:szCs w:val="21"/>
                <w:highlight w:val="none"/>
                <w:u w:val="none"/>
                <w:lang w:val="en-US" w:eastAsia="zh-Hans" w:bidi="ar"/>
              </w:rPr>
            </w:pPr>
            <w:r>
              <w:rPr>
                <w:rFonts w:hint="eastAsia" w:ascii="仿宋" w:hAnsi="仿宋" w:eastAsia="仿宋" w:cs="仿宋"/>
                <w:i w:val="0"/>
                <w:color w:val="auto"/>
                <w:kern w:val="0"/>
                <w:sz w:val="21"/>
                <w:szCs w:val="21"/>
                <w:highlight w:val="none"/>
                <w:u w:val="none"/>
                <w:lang w:val="en-US" w:eastAsia="zh-CN" w:bidi="ar"/>
              </w:rPr>
              <w:t>5、</w:t>
            </w:r>
            <w:r>
              <w:rPr>
                <w:rFonts w:hint="eastAsia" w:ascii="仿宋" w:hAnsi="仿宋" w:eastAsia="仿宋" w:cs="仿宋"/>
                <w:i w:val="0"/>
                <w:color w:val="auto"/>
                <w:kern w:val="0"/>
                <w:sz w:val="21"/>
                <w:szCs w:val="21"/>
                <w:highlight w:val="none"/>
                <w:u w:val="none"/>
                <w:lang w:val="en-US" w:eastAsia="zh-Hans" w:bidi="ar"/>
              </w:rPr>
              <w:t>与招标人存在利害关系可能影响招标公正性的法人、其他组织或者个人，不得参加投标。</w:t>
            </w:r>
          </w:p>
          <w:p>
            <w:pPr>
              <w:keepNext w:val="0"/>
              <w:keepLines w:val="0"/>
              <w:pageBreakBefore w:val="0"/>
              <w:widowControl/>
              <w:suppressLineNumbers w:val="0"/>
              <w:kinsoku/>
              <w:wordWrap/>
              <w:bidi w:val="0"/>
              <w:adjustRightInd w:val="0"/>
              <w:snapToGrid w:val="0"/>
              <w:spacing w:line="360" w:lineRule="auto"/>
              <w:ind w:left="0" w:leftChars="0" w:right="0" w:rightChars="0"/>
              <w:jc w:val="left"/>
              <w:textAlignment w:val="center"/>
              <w:rPr>
                <w:rFonts w:hint="eastAsia" w:ascii="仿宋" w:hAnsi="仿宋" w:eastAsia="仿宋" w:cs="仿宋"/>
                <w:b w:val="0"/>
                <w:bCs/>
                <w:color w:val="auto"/>
                <w:kern w:val="2"/>
                <w:sz w:val="21"/>
                <w:szCs w:val="21"/>
                <w:highlight w:val="none"/>
                <w:lang w:val="en-US" w:eastAsia="zh-CN" w:bidi="ar"/>
              </w:rPr>
            </w:pPr>
            <w:r>
              <w:rPr>
                <w:rFonts w:hint="eastAsia" w:ascii="仿宋" w:hAnsi="仿宋" w:eastAsia="仿宋" w:cs="仿宋"/>
                <w:i w:val="0"/>
                <w:color w:val="auto"/>
                <w:kern w:val="0"/>
                <w:sz w:val="21"/>
                <w:szCs w:val="21"/>
                <w:highlight w:val="none"/>
                <w:u w:val="none"/>
                <w:lang w:val="en-US" w:eastAsia="zh-CN" w:bidi="ar"/>
              </w:rPr>
              <w:t>6、</w:t>
            </w:r>
            <w:r>
              <w:rPr>
                <w:rFonts w:hint="eastAsia" w:ascii="仿宋" w:hAnsi="仿宋" w:eastAsia="仿宋" w:cs="仿宋"/>
                <w:i w:val="0"/>
                <w:color w:val="auto"/>
                <w:kern w:val="0"/>
                <w:sz w:val="21"/>
                <w:szCs w:val="21"/>
                <w:highlight w:val="none"/>
                <w:u w:val="none"/>
                <w:lang w:val="en-US" w:eastAsia="zh-Hans" w:bidi="ar"/>
              </w:rPr>
              <w:t>单位负责人为同一人或者存在控股、管理关系的不同单位，不得同时对同一标段投标，按照报名时间的先后顺序接受第1名投标人报名。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40" w:hRule="atLeast"/>
        </w:trPr>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bidi w:val="0"/>
              <w:adjustRightInd w:val="0"/>
              <w:snapToGrid w:val="0"/>
              <w:spacing w:line="360" w:lineRule="auto"/>
              <w:ind w:left="0" w:leftChars="0" w:right="0" w:rightChars="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1</w:t>
            </w: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bidi w:val="0"/>
              <w:adjustRightInd w:val="0"/>
              <w:snapToGrid w:val="0"/>
              <w:spacing w:line="360" w:lineRule="auto"/>
              <w:ind w:left="0" w:leftChars="0" w:right="0" w:rightChars="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1.4.2</w:t>
            </w:r>
          </w:p>
        </w:tc>
        <w:tc>
          <w:tcPr>
            <w:tcW w:w="11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bidi w:val="0"/>
              <w:adjustRightInd w:val="0"/>
              <w:snapToGrid w:val="0"/>
              <w:spacing w:line="360" w:lineRule="auto"/>
              <w:ind w:left="0" w:leftChars="0" w:right="0" w:rightChars="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是否接受联合体投标</w:t>
            </w:r>
          </w:p>
        </w:tc>
        <w:tc>
          <w:tcPr>
            <w:tcW w:w="28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bidi w:val="0"/>
              <w:adjustRightInd w:val="0"/>
              <w:snapToGrid w:val="0"/>
              <w:spacing w:line="360" w:lineRule="auto"/>
              <w:ind w:left="0" w:leftChars="0" w:right="0" w:rightChars="0"/>
              <w:jc w:val="both"/>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不接受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85" w:hRule="atLeast"/>
        </w:trPr>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bidi w:val="0"/>
              <w:adjustRightInd w:val="0"/>
              <w:snapToGrid w:val="0"/>
              <w:spacing w:line="360" w:lineRule="auto"/>
              <w:ind w:left="0" w:leftChars="0" w:right="0" w:rightChars="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sz w:val="21"/>
                <w:szCs w:val="21"/>
                <w:highlight w:val="none"/>
                <w:u w:val="none"/>
              </w:rPr>
              <w:t>11</w:t>
            </w: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bidi w:val="0"/>
              <w:adjustRightInd w:val="0"/>
              <w:snapToGrid w:val="0"/>
              <w:spacing w:line="360" w:lineRule="auto"/>
              <w:ind w:left="0" w:leftChars="0" w:right="0" w:rightChars="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1.4.4</w:t>
            </w:r>
          </w:p>
        </w:tc>
        <w:tc>
          <w:tcPr>
            <w:tcW w:w="11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bidi w:val="0"/>
              <w:adjustRightInd w:val="0"/>
              <w:snapToGrid w:val="0"/>
              <w:spacing w:line="360" w:lineRule="auto"/>
              <w:ind w:left="0" w:leftChars="0" w:right="0" w:rightChars="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投标人不得存在的其他情形</w:t>
            </w:r>
          </w:p>
        </w:tc>
        <w:tc>
          <w:tcPr>
            <w:tcW w:w="28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bidi w:val="0"/>
              <w:adjustRightInd w:val="0"/>
              <w:snapToGrid w:val="0"/>
              <w:spacing w:line="360" w:lineRule="auto"/>
              <w:ind w:left="0" w:leftChars="0" w:right="0" w:rightChars="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详见投标人须知1.4.4款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75" w:hRule="atLeast"/>
        </w:trPr>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bidi w:val="0"/>
              <w:adjustRightInd w:val="0"/>
              <w:snapToGrid w:val="0"/>
              <w:spacing w:line="360" w:lineRule="auto"/>
              <w:ind w:left="0" w:leftChars="0" w:right="0" w:rightChars="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1</w:t>
            </w:r>
            <w:r>
              <w:rPr>
                <w:rFonts w:hint="eastAsia" w:ascii="仿宋" w:hAnsi="仿宋" w:eastAsia="仿宋" w:cs="仿宋"/>
                <w:i w:val="0"/>
                <w:color w:val="auto"/>
                <w:kern w:val="0"/>
                <w:sz w:val="21"/>
                <w:szCs w:val="21"/>
                <w:highlight w:val="none"/>
                <w:u w:val="none"/>
                <w:lang w:eastAsia="zh-CN" w:bidi="ar"/>
              </w:rPr>
              <w:t>2</w:t>
            </w: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bidi w:val="0"/>
              <w:adjustRightInd w:val="0"/>
              <w:snapToGrid w:val="0"/>
              <w:spacing w:line="360" w:lineRule="auto"/>
              <w:ind w:left="0" w:leftChars="0" w:right="0" w:rightChars="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1.9.1</w:t>
            </w:r>
          </w:p>
        </w:tc>
        <w:tc>
          <w:tcPr>
            <w:tcW w:w="11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bidi w:val="0"/>
              <w:adjustRightInd w:val="0"/>
              <w:snapToGrid w:val="0"/>
              <w:spacing w:line="360" w:lineRule="auto"/>
              <w:ind w:left="0" w:leftChars="0" w:right="0" w:rightChars="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投标预备会</w:t>
            </w:r>
          </w:p>
        </w:tc>
        <w:tc>
          <w:tcPr>
            <w:tcW w:w="28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bidi w:val="0"/>
              <w:adjustRightInd w:val="0"/>
              <w:snapToGrid w:val="0"/>
              <w:spacing w:line="360" w:lineRule="auto"/>
              <w:ind w:left="0" w:leftChars="0" w:right="0" w:rightChars="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不召开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45" w:hRule="atLeast"/>
        </w:trPr>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bidi w:val="0"/>
              <w:adjustRightInd w:val="0"/>
              <w:snapToGrid w:val="0"/>
              <w:spacing w:line="360" w:lineRule="auto"/>
              <w:ind w:left="0" w:leftChars="0" w:right="0" w:rightChars="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1</w:t>
            </w:r>
            <w:r>
              <w:rPr>
                <w:rFonts w:hint="eastAsia" w:ascii="仿宋" w:hAnsi="仿宋" w:eastAsia="仿宋" w:cs="仿宋"/>
                <w:i w:val="0"/>
                <w:color w:val="auto"/>
                <w:kern w:val="0"/>
                <w:sz w:val="21"/>
                <w:szCs w:val="21"/>
                <w:highlight w:val="none"/>
                <w:u w:val="none"/>
                <w:lang w:eastAsia="zh-CN" w:bidi="ar"/>
              </w:rPr>
              <w:t>3</w:t>
            </w: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bidi w:val="0"/>
              <w:adjustRightInd w:val="0"/>
              <w:snapToGrid w:val="0"/>
              <w:spacing w:line="360" w:lineRule="auto"/>
              <w:ind w:left="0" w:leftChars="0" w:right="0" w:rightChars="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1.9.2</w:t>
            </w:r>
          </w:p>
        </w:tc>
        <w:tc>
          <w:tcPr>
            <w:tcW w:w="11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bidi w:val="0"/>
              <w:adjustRightInd w:val="0"/>
              <w:snapToGrid w:val="0"/>
              <w:spacing w:line="360" w:lineRule="auto"/>
              <w:ind w:left="0" w:leftChars="0" w:right="0" w:rightChars="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投标人在投标预备会前提出问题</w:t>
            </w:r>
          </w:p>
        </w:tc>
        <w:tc>
          <w:tcPr>
            <w:tcW w:w="28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bidi w:val="0"/>
              <w:adjustRightInd w:val="0"/>
              <w:snapToGrid w:val="0"/>
              <w:spacing w:line="360" w:lineRule="auto"/>
              <w:ind w:left="0" w:leftChars="0" w:right="0" w:rightChars="0"/>
              <w:jc w:val="both"/>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40" w:hRule="atLeast"/>
        </w:trPr>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bidi w:val="0"/>
              <w:adjustRightInd w:val="0"/>
              <w:snapToGrid w:val="0"/>
              <w:spacing w:line="360" w:lineRule="auto"/>
              <w:ind w:left="0" w:leftChars="0" w:right="0" w:rightChars="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1</w:t>
            </w:r>
            <w:r>
              <w:rPr>
                <w:rFonts w:hint="eastAsia" w:ascii="仿宋" w:hAnsi="仿宋" w:eastAsia="仿宋" w:cs="仿宋"/>
                <w:i w:val="0"/>
                <w:color w:val="auto"/>
                <w:kern w:val="0"/>
                <w:sz w:val="21"/>
                <w:szCs w:val="21"/>
                <w:highlight w:val="none"/>
                <w:u w:val="none"/>
                <w:lang w:eastAsia="zh-CN" w:bidi="ar"/>
              </w:rPr>
              <w:t>4</w:t>
            </w: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bidi w:val="0"/>
              <w:adjustRightInd w:val="0"/>
              <w:snapToGrid w:val="0"/>
              <w:spacing w:line="360" w:lineRule="auto"/>
              <w:ind w:left="0" w:leftChars="0" w:right="0" w:rightChars="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1.9.3</w:t>
            </w:r>
          </w:p>
        </w:tc>
        <w:tc>
          <w:tcPr>
            <w:tcW w:w="11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bidi w:val="0"/>
              <w:adjustRightInd w:val="0"/>
              <w:snapToGrid w:val="0"/>
              <w:spacing w:line="360" w:lineRule="auto"/>
              <w:ind w:left="0" w:leftChars="0" w:right="0" w:rightChars="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eastAsia="zh-CN" w:bidi="ar"/>
              </w:rPr>
              <w:t>招标文件</w:t>
            </w:r>
            <w:r>
              <w:rPr>
                <w:rFonts w:hint="eastAsia" w:ascii="仿宋" w:hAnsi="仿宋" w:eastAsia="仿宋" w:cs="仿宋"/>
                <w:i w:val="0"/>
                <w:color w:val="auto"/>
                <w:kern w:val="0"/>
                <w:sz w:val="21"/>
                <w:szCs w:val="21"/>
                <w:highlight w:val="none"/>
                <w:u w:val="none"/>
                <w:lang w:val="en-US" w:eastAsia="zh-CN" w:bidi="ar"/>
              </w:rPr>
              <w:t>澄清发出的形式</w:t>
            </w:r>
          </w:p>
        </w:tc>
        <w:tc>
          <w:tcPr>
            <w:tcW w:w="28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bidi w:val="0"/>
              <w:adjustRightInd w:val="0"/>
              <w:snapToGrid w:val="0"/>
              <w:spacing w:line="360" w:lineRule="auto"/>
              <w:ind w:left="0" w:leftChars="0" w:right="0" w:rightChars="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70" w:hRule="atLeast"/>
        </w:trPr>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bidi w:val="0"/>
              <w:adjustRightInd w:val="0"/>
              <w:snapToGrid w:val="0"/>
              <w:spacing w:line="360" w:lineRule="auto"/>
              <w:ind w:left="0" w:leftChars="0" w:right="0" w:rightChars="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1</w:t>
            </w:r>
            <w:r>
              <w:rPr>
                <w:rFonts w:hint="eastAsia" w:ascii="仿宋" w:hAnsi="仿宋" w:eastAsia="仿宋" w:cs="仿宋"/>
                <w:i w:val="0"/>
                <w:color w:val="auto"/>
                <w:kern w:val="0"/>
                <w:sz w:val="21"/>
                <w:szCs w:val="21"/>
                <w:highlight w:val="none"/>
                <w:u w:val="none"/>
                <w:lang w:eastAsia="zh-CN" w:bidi="ar"/>
              </w:rPr>
              <w:t>5</w:t>
            </w: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bidi w:val="0"/>
              <w:adjustRightInd w:val="0"/>
              <w:snapToGrid w:val="0"/>
              <w:spacing w:line="360" w:lineRule="auto"/>
              <w:ind w:left="0" w:leftChars="0" w:right="0" w:rightChars="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1.10.1</w:t>
            </w:r>
          </w:p>
        </w:tc>
        <w:tc>
          <w:tcPr>
            <w:tcW w:w="11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bidi w:val="0"/>
              <w:adjustRightInd w:val="0"/>
              <w:snapToGrid w:val="0"/>
              <w:spacing w:line="360" w:lineRule="auto"/>
              <w:ind w:left="0" w:leftChars="0" w:right="0" w:rightChars="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分包</w:t>
            </w:r>
          </w:p>
        </w:tc>
        <w:tc>
          <w:tcPr>
            <w:tcW w:w="28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bidi w:val="0"/>
              <w:adjustRightInd w:val="0"/>
              <w:snapToGrid w:val="0"/>
              <w:spacing w:line="360" w:lineRule="auto"/>
              <w:ind w:left="0" w:leftChars="0" w:right="0" w:rightChars="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70" w:hRule="atLeast"/>
        </w:trPr>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bidi w:val="0"/>
              <w:adjustRightInd w:val="0"/>
              <w:snapToGrid w:val="0"/>
              <w:spacing w:line="360" w:lineRule="auto"/>
              <w:ind w:left="0" w:leftChars="0" w:right="0" w:rightChars="0"/>
              <w:jc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sz w:val="21"/>
                <w:szCs w:val="21"/>
                <w:highlight w:val="none"/>
                <w:u w:val="none"/>
              </w:rPr>
              <w:t>16</w:t>
            </w: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bidi w:val="0"/>
              <w:adjustRightInd w:val="0"/>
              <w:snapToGrid w:val="0"/>
              <w:spacing w:line="360" w:lineRule="auto"/>
              <w:ind w:left="0" w:leftChars="0" w:right="0" w:rightChars="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1.11.3</w:t>
            </w:r>
          </w:p>
        </w:tc>
        <w:tc>
          <w:tcPr>
            <w:tcW w:w="11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bidi w:val="0"/>
              <w:adjustRightInd w:val="0"/>
              <w:snapToGrid w:val="0"/>
              <w:spacing w:line="360" w:lineRule="auto"/>
              <w:ind w:left="0" w:leftChars="0" w:right="0" w:rightChars="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技术支持资料</w:t>
            </w:r>
          </w:p>
        </w:tc>
        <w:tc>
          <w:tcPr>
            <w:tcW w:w="28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bidi w:val="0"/>
              <w:adjustRightInd w:val="0"/>
              <w:snapToGrid w:val="0"/>
              <w:spacing w:line="360" w:lineRule="auto"/>
              <w:ind w:left="0" w:leftChars="0" w:right="0" w:rightChars="0"/>
              <w:jc w:val="left"/>
              <w:textAlignment w:val="center"/>
              <w:rPr>
                <w:rFonts w:hint="eastAsia" w:ascii="仿宋" w:hAnsi="仿宋" w:eastAsia="仿宋" w:cs="仿宋"/>
                <w:i w:val="0"/>
                <w:color w:val="auto"/>
                <w:sz w:val="21"/>
                <w:szCs w:val="21"/>
                <w:highlight w:val="none"/>
                <w:u w:val="none"/>
                <w:lang w:eastAsia="zh-CN"/>
              </w:rPr>
            </w:pPr>
            <w:r>
              <w:rPr>
                <w:rFonts w:hint="eastAsia" w:ascii="仿宋" w:hAnsi="仿宋" w:eastAsia="仿宋" w:cs="仿宋"/>
                <w:i w:val="0"/>
                <w:color w:val="auto"/>
                <w:kern w:val="0"/>
                <w:sz w:val="21"/>
                <w:szCs w:val="21"/>
                <w:highlight w:val="none"/>
                <w:u w:val="none"/>
                <w:lang w:val="en-US" w:eastAsia="zh-Hans" w:bidi="ar"/>
              </w:rPr>
              <w:t>制造商公开发布的正式印刷的产品样本、资料（非电脑打印版和复印件），或由有关政府部门或检测机构合法出具的文件或报告</w:t>
            </w:r>
            <w:r>
              <w:rPr>
                <w:rFonts w:hint="eastAsia" w:ascii="仿宋" w:hAnsi="仿宋" w:eastAsia="仿宋" w:cs="仿宋"/>
                <w:i w:val="0"/>
                <w:color w:val="auto"/>
                <w:kern w:val="0"/>
                <w:sz w:val="21"/>
                <w:szCs w:val="21"/>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642" w:hRule="atLeast"/>
        </w:trPr>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bidi w:val="0"/>
              <w:adjustRightInd w:val="0"/>
              <w:snapToGrid w:val="0"/>
              <w:spacing w:line="360" w:lineRule="auto"/>
              <w:ind w:left="0" w:leftChars="0" w:right="0" w:rightChars="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1</w:t>
            </w:r>
            <w:r>
              <w:rPr>
                <w:rFonts w:hint="eastAsia" w:ascii="仿宋" w:hAnsi="仿宋" w:eastAsia="仿宋" w:cs="仿宋"/>
                <w:i w:val="0"/>
                <w:color w:val="auto"/>
                <w:kern w:val="0"/>
                <w:sz w:val="21"/>
                <w:szCs w:val="21"/>
                <w:highlight w:val="none"/>
                <w:u w:val="none"/>
                <w:lang w:eastAsia="zh-CN" w:bidi="ar"/>
              </w:rPr>
              <w:t>7</w:t>
            </w: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bidi w:val="0"/>
              <w:adjustRightInd w:val="0"/>
              <w:snapToGrid w:val="0"/>
              <w:spacing w:line="360" w:lineRule="auto"/>
              <w:ind w:left="0" w:leftChars="0" w:right="0" w:rightChars="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3.1.1</w:t>
            </w:r>
          </w:p>
        </w:tc>
        <w:tc>
          <w:tcPr>
            <w:tcW w:w="11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bidi w:val="0"/>
              <w:adjustRightInd w:val="0"/>
              <w:snapToGrid w:val="0"/>
              <w:spacing w:line="360" w:lineRule="auto"/>
              <w:ind w:left="0" w:leftChars="0" w:right="0" w:rightChars="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投标文件的组成</w:t>
            </w:r>
            <w:r>
              <w:rPr>
                <w:rFonts w:hint="eastAsia" w:ascii="仿宋" w:hAnsi="仿宋" w:eastAsia="仿宋" w:cs="仿宋"/>
                <w:i w:val="0"/>
                <w:color w:val="auto"/>
                <w:kern w:val="0"/>
                <w:sz w:val="21"/>
                <w:szCs w:val="21"/>
                <w:highlight w:val="none"/>
                <w:u w:val="none"/>
                <w:lang w:eastAsia="zh-CN" w:bidi="ar"/>
              </w:rPr>
              <w:t>、</w:t>
            </w:r>
            <w:r>
              <w:rPr>
                <w:rFonts w:hint="eastAsia" w:ascii="仿宋" w:hAnsi="仿宋" w:eastAsia="仿宋" w:cs="仿宋"/>
                <w:i w:val="0"/>
                <w:color w:val="auto"/>
                <w:kern w:val="0"/>
                <w:sz w:val="21"/>
                <w:szCs w:val="21"/>
                <w:highlight w:val="none"/>
                <w:u w:val="none"/>
                <w:lang w:val="en-US" w:eastAsia="zh-CN" w:bidi="ar"/>
              </w:rPr>
              <w:t>份数</w:t>
            </w:r>
          </w:p>
        </w:tc>
        <w:tc>
          <w:tcPr>
            <w:tcW w:w="2898"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bidi w:val="0"/>
              <w:adjustRightInd w:val="0"/>
              <w:snapToGrid w:val="0"/>
              <w:spacing w:line="360" w:lineRule="auto"/>
              <w:ind w:left="0" w:leftChars="0" w:right="0" w:rightChars="0"/>
              <w:jc w:val="left"/>
              <w:textAlignment w:val="top"/>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投标文件</w:t>
            </w:r>
            <w:r>
              <w:rPr>
                <w:rFonts w:hint="eastAsia" w:ascii="仿宋" w:hAnsi="仿宋" w:eastAsia="仿宋" w:cs="仿宋"/>
                <w:i w:val="0"/>
                <w:color w:val="auto"/>
                <w:kern w:val="0"/>
                <w:sz w:val="21"/>
                <w:szCs w:val="21"/>
                <w:highlight w:val="none"/>
                <w:u w:val="none"/>
                <w:lang w:val="en-US" w:eastAsia="zh-Hans" w:bidi="ar"/>
              </w:rPr>
              <w:t>组成</w:t>
            </w:r>
            <w:r>
              <w:rPr>
                <w:rFonts w:hint="eastAsia" w:ascii="仿宋" w:hAnsi="仿宋" w:eastAsia="仿宋" w:cs="仿宋"/>
                <w:i w:val="0"/>
                <w:color w:val="auto"/>
                <w:kern w:val="0"/>
                <w:sz w:val="21"/>
                <w:szCs w:val="21"/>
                <w:highlight w:val="none"/>
                <w:u w:val="none"/>
                <w:lang w:eastAsia="zh-Hans" w:bidi="ar"/>
              </w:rPr>
              <w:t>：</w:t>
            </w:r>
            <w:r>
              <w:rPr>
                <w:rFonts w:hint="eastAsia" w:ascii="仿宋" w:hAnsi="仿宋" w:eastAsia="仿宋" w:cs="仿宋"/>
                <w:i w:val="0"/>
                <w:color w:val="auto"/>
                <w:kern w:val="0"/>
                <w:sz w:val="21"/>
                <w:szCs w:val="21"/>
                <w:highlight w:val="none"/>
                <w:u w:val="none"/>
                <w:lang w:val="en-US" w:eastAsia="zh-CN" w:bidi="ar"/>
              </w:rPr>
              <w:t>开标一览表</w:t>
            </w:r>
            <w:r>
              <w:rPr>
                <w:rFonts w:hint="eastAsia" w:ascii="仿宋" w:hAnsi="仿宋" w:eastAsia="仿宋" w:cs="仿宋"/>
                <w:i w:val="0"/>
                <w:color w:val="auto"/>
                <w:kern w:val="0"/>
                <w:sz w:val="21"/>
                <w:szCs w:val="21"/>
                <w:highlight w:val="none"/>
                <w:u w:val="none"/>
                <w:lang w:eastAsia="zh-CN" w:bidi="ar"/>
              </w:rPr>
              <w:t>、</w:t>
            </w:r>
            <w:r>
              <w:rPr>
                <w:rFonts w:hint="eastAsia" w:ascii="仿宋" w:hAnsi="仿宋" w:eastAsia="仿宋" w:cs="仿宋"/>
                <w:i w:val="0"/>
                <w:color w:val="auto"/>
                <w:kern w:val="0"/>
                <w:sz w:val="21"/>
                <w:szCs w:val="21"/>
                <w:highlight w:val="none"/>
                <w:u w:val="none"/>
                <w:lang w:val="en-US" w:eastAsia="zh-CN" w:bidi="ar"/>
              </w:rPr>
              <w:t>资格审查原件信封</w:t>
            </w:r>
            <w:r>
              <w:rPr>
                <w:rFonts w:hint="eastAsia" w:ascii="仿宋" w:hAnsi="仿宋" w:eastAsia="仿宋" w:cs="仿宋"/>
                <w:i w:val="0"/>
                <w:color w:val="auto"/>
                <w:kern w:val="0"/>
                <w:sz w:val="21"/>
                <w:szCs w:val="21"/>
                <w:highlight w:val="none"/>
                <w:u w:val="none"/>
                <w:lang w:eastAsia="zh-CN" w:bidi="ar"/>
              </w:rPr>
              <w:t>、</w:t>
            </w:r>
            <w:r>
              <w:rPr>
                <w:rFonts w:hint="eastAsia" w:ascii="仿宋" w:hAnsi="仿宋" w:eastAsia="仿宋" w:cs="仿宋"/>
                <w:i w:val="0"/>
                <w:color w:val="auto"/>
                <w:kern w:val="0"/>
                <w:sz w:val="21"/>
                <w:szCs w:val="21"/>
                <w:highlight w:val="none"/>
                <w:u w:val="none"/>
                <w:lang w:val="en-US" w:eastAsia="zh-CN" w:bidi="ar"/>
              </w:rPr>
              <w:t>投标文件</w:t>
            </w:r>
            <w:r>
              <w:rPr>
                <w:rFonts w:hint="eastAsia" w:ascii="仿宋" w:hAnsi="仿宋" w:eastAsia="仿宋" w:cs="仿宋"/>
                <w:i w:val="0"/>
                <w:color w:val="auto"/>
                <w:kern w:val="0"/>
                <w:sz w:val="21"/>
                <w:szCs w:val="21"/>
                <w:highlight w:val="none"/>
                <w:u w:val="none"/>
                <w:lang w:val="en-US" w:eastAsia="zh-Hans" w:bidi="ar"/>
              </w:rPr>
              <w:t>正副本</w:t>
            </w:r>
            <w:r>
              <w:rPr>
                <w:rFonts w:hint="eastAsia" w:ascii="仿宋" w:hAnsi="仿宋" w:eastAsia="仿宋" w:cs="仿宋"/>
                <w:i w:val="0"/>
                <w:color w:val="auto"/>
                <w:kern w:val="0"/>
                <w:sz w:val="21"/>
                <w:szCs w:val="21"/>
                <w:highlight w:val="none"/>
                <w:u w:val="none"/>
                <w:lang w:eastAsia="zh-CN" w:bidi="ar"/>
              </w:rPr>
              <w:t>（</w:t>
            </w:r>
            <w:r>
              <w:rPr>
                <w:rFonts w:hint="eastAsia" w:ascii="仿宋" w:hAnsi="仿宋" w:eastAsia="仿宋" w:cs="仿宋"/>
                <w:i w:val="0"/>
                <w:color w:val="auto"/>
                <w:kern w:val="0"/>
                <w:sz w:val="21"/>
                <w:szCs w:val="21"/>
                <w:highlight w:val="none"/>
                <w:u w:val="none"/>
                <w:lang w:val="en-US" w:eastAsia="zh-Hans" w:bidi="ar"/>
              </w:rPr>
              <w:t>上述文件均</w:t>
            </w:r>
            <w:r>
              <w:rPr>
                <w:rFonts w:hint="eastAsia" w:ascii="仿宋" w:hAnsi="仿宋" w:eastAsia="仿宋" w:cs="仿宋"/>
                <w:i w:val="0"/>
                <w:color w:val="auto"/>
                <w:kern w:val="0"/>
                <w:sz w:val="21"/>
                <w:szCs w:val="21"/>
                <w:highlight w:val="none"/>
                <w:u w:val="none"/>
                <w:lang w:val="en-US" w:eastAsia="zh-CN" w:bidi="ar"/>
              </w:rPr>
              <w:t>单独密封</w:t>
            </w:r>
            <w:r>
              <w:rPr>
                <w:rFonts w:hint="eastAsia" w:ascii="仿宋" w:hAnsi="仿宋" w:eastAsia="仿宋" w:cs="仿宋"/>
                <w:i w:val="0"/>
                <w:color w:val="auto"/>
                <w:kern w:val="0"/>
                <w:sz w:val="21"/>
                <w:szCs w:val="21"/>
                <w:highlight w:val="none"/>
                <w:u w:val="none"/>
                <w:lang w:val="en-US" w:eastAsia="zh-Hans" w:bidi="ar"/>
              </w:rPr>
              <w:t>且提供投标文件电子版</w:t>
            </w:r>
            <w:r>
              <w:rPr>
                <w:rFonts w:hint="eastAsia" w:ascii="仿宋" w:hAnsi="仿宋" w:eastAsia="仿宋" w:cs="仿宋"/>
                <w:i w:val="0"/>
                <w:color w:val="auto"/>
                <w:kern w:val="0"/>
                <w:sz w:val="21"/>
                <w:szCs w:val="21"/>
                <w:highlight w:val="none"/>
                <w:u w:val="none"/>
                <w:lang w:eastAsia="zh-Hans" w:bidi="ar"/>
              </w:rPr>
              <w:t>，</w:t>
            </w:r>
            <w:r>
              <w:rPr>
                <w:rFonts w:hint="eastAsia" w:ascii="仿宋" w:hAnsi="仿宋" w:eastAsia="仿宋" w:cs="仿宋"/>
                <w:color w:val="auto"/>
                <w:sz w:val="21"/>
                <w:szCs w:val="21"/>
                <w:highlight w:val="none"/>
              </w:rPr>
              <w:t>投标文件电子版（u盘）可以</w:t>
            </w:r>
            <w:r>
              <w:rPr>
                <w:rFonts w:hint="eastAsia" w:ascii="仿宋" w:hAnsi="仿宋" w:eastAsia="仿宋" w:cs="仿宋"/>
                <w:color w:val="auto"/>
                <w:sz w:val="21"/>
                <w:szCs w:val="21"/>
                <w:highlight w:val="none"/>
                <w:lang w:val="en-US" w:eastAsia="zh-Hans"/>
              </w:rPr>
              <w:t>和投标文件正副本</w:t>
            </w:r>
            <w:r>
              <w:rPr>
                <w:rFonts w:hint="eastAsia" w:ascii="仿宋" w:hAnsi="仿宋" w:eastAsia="仿宋" w:cs="仿宋"/>
                <w:color w:val="auto"/>
                <w:sz w:val="21"/>
                <w:szCs w:val="21"/>
                <w:highlight w:val="none"/>
              </w:rPr>
              <w:t>密封在同一投标文件袋中</w:t>
            </w:r>
            <w:r>
              <w:rPr>
                <w:rFonts w:hint="eastAsia" w:ascii="仿宋" w:hAnsi="仿宋" w:eastAsia="仿宋" w:cs="仿宋"/>
                <w:i w:val="0"/>
                <w:color w:val="auto"/>
                <w:kern w:val="0"/>
                <w:sz w:val="21"/>
                <w:szCs w:val="21"/>
                <w:highlight w:val="none"/>
                <w:u w:val="none"/>
                <w:lang w:val="en-US" w:eastAsia="zh-CN" w:bidi="ar"/>
              </w:rPr>
              <w:t>）</w:t>
            </w:r>
            <w:r>
              <w:rPr>
                <w:rFonts w:hint="eastAsia" w:ascii="仿宋" w:hAnsi="仿宋" w:eastAsia="仿宋" w:cs="仿宋"/>
                <w:i w:val="0"/>
                <w:color w:val="auto"/>
                <w:kern w:val="0"/>
                <w:sz w:val="21"/>
                <w:szCs w:val="21"/>
                <w:highlight w:val="none"/>
                <w:u w:val="none"/>
                <w:lang w:eastAsia="zh-CN" w:bidi="ar"/>
              </w:rPr>
              <w:t>。</w:t>
            </w:r>
          </w:p>
          <w:p>
            <w:pPr>
              <w:keepNext w:val="0"/>
              <w:keepLines w:val="0"/>
              <w:pageBreakBefore w:val="0"/>
              <w:widowControl/>
              <w:suppressLineNumbers w:val="0"/>
              <w:kinsoku/>
              <w:wordWrap/>
              <w:bidi w:val="0"/>
              <w:adjustRightInd w:val="0"/>
              <w:snapToGrid w:val="0"/>
              <w:spacing w:line="360" w:lineRule="auto"/>
              <w:ind w:left="0" w:leftChars="0" w:right="0" w:rightChars="0"/>
              <w:jc w:val="left"/>
              <w:textAlignment w:val="top"/>
              <w:rPr>
                <w:rFonts w:hint="default" w:ascii="仿宋" w:hAnsi="仿宋" w:eastAsia="仿宋" w:cs="仿宋"/>
                <w:b/>
                <w:i w:val="0"/>
                <w:color w:val="auto"/>
                <w:sz w:val="21"/>
                <w:szCs w:val="21"/>
                <w:highlight w:val="none"/>
                <w:u w:val="none"/>
                <w:lang w:val="en-US"/>
              </w:rPr>
            </w:pPr>
            <w:r>
              <w:rPr>
                <w:rFonts w:hint="eastAsia" w:ascii="仿宋" w:hAnsi="仿宋" w:eastAsia="仿宋" w:cs="仿宋"/>
                <w:i w:val="0"/>
                <w:color w:val="auto"/>
                <w:kern w:val="0"/>
                <w:sz w:val="21"/>
                <w:szCs w:val="21"/>
                <w:highlight w:val="none"/>
                <w:u w:val="none"/>
                <w:lang w:val="en-US" w:eastAsia="zh-Hans" w:bidi="ar"/>
              </w:rPr>
              <w:t>投标文件份数</w:t>
            </w:r>
            <w:r>
              <w:rPr>
                <w:rFonts w:hint="eastAsia" w:ascii="仿宋" w:hAnsi="仿宋" w:eastAsia="仿宋" w:cs="仿宋"/>
                <w:i w:val="0"/>
                <w:color w:val="auto"/>
                <w:kern w:val="0"/>
                <w:sz w:val="21"/>
                <w:szCs w:val="21"/>
                <w:highlight w:val="none"/>
                <w:u w:val="none"/>
                <w:lang w:eastAsia="zh-Hans" w:bidi="ar"/>
              </w:rPr>
              <w:t>：</w:t>
            </w:r>
            <w:r>
              <w:rPr>
                <w:rFonts w:hint="eastAsia" w:ascii="仿宋" w:hAnsi="仿宋" w:eastAsia="仿宋" w:cs="仿宋"/>
                <w:i w:val="0"/>
                <w:color w:val="auto"/>
                <w:kern w:val="0"/>
                <w:sz w:val="21"/>
                <w:szCs w:val="21"/>
                <w:highlight w:val="none"/>
                <w:u w:val="none"/>
                <w:lang w:val="en-US" w:eastAsia="zh-CN" w:bidi="ar"/>
              </w:rPr>
              <w:t>正本一套、副本贰套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21" w:hRule="atLeast"/>
        </w:trPr>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bidi w:val="0"/>
              <w:adjustRightInd w:val="0"/>
              <w:snapToGrid w:val="0"/>
              <w:spacing w:line="360" w:lineRule="auto"/>
              <w:ind w:left="0" w:leftChars="0" w:right="0" w:rightChars="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1</w:t>
            </w:r>
            <w:r>
              <w:rPr>
                <w:rFonts w:hint="eastAsia" w:ascii="仿宋" w:hAnsi="仿宋" w:eastAsia="仿宋" w:cs="仿宋"/>
                <w:i w:val="0"/>
                <w:color w:val="auto"/>
                <w:kern w:val="0"/>
                <w:sz w:val="21"/>
                <w:szCs w:val="21"/>
                <w:highlight w:val="none"/>
                <w:u w:val="none"/>
                <w:lang w:eastAsia="zh-CN" w:bidi="ar"/>
              </w:rPr>
              <w:t>8</w:t>
            </w: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bidi w:val="0"/>
              <w:adjustRightInd w:val="0"/>
              <w:snapToGrid w:val="0"/>
              <w:spacing w:line="360" w:lineRule="auto"/>
              <w:ind w:left="0" w:leftChars="0" w:right="0" w:rightChars="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sz w:val="21"/>
                <w:szCs w:val="21"/>
                <w:highlight w:val="none"/>
                <w:u w:val="none"/>
              </w:rPr>
              <w:t>2</w:t>
            </w:r>
            <w:r>
              <w:rPr>
                <w:rFonts w:hint="eastAsia" w:ascii="仿宋" w:hAnsi="仿宋" w:eastAsia="仿宋" w:cs="仿宋"/>
                <w:i w:val="0"/>
                <w:color w:val="auto"/>
                <w:sz w:val="21"/>
                <w:szCs w:val="21"/>
                <w:highlight w:val="none"/>
                <w:u w:val="none"/>
                <w:lang w:val="en-US" w:eastAsia="zh-Hans"/>
              </w:rPr>
              <w:t>.</w:t>
            </w:r>
            <w:r>
              <w:rPr>
                <w:rFonts w:hint="eastAsia" w:ascii="仿宋" w:hAnsi="仿宋" w:eastAsia="仿宋" w:cs="仿宋"/>
                <w:i w:val="0"/>
                <w:color w:val="auto"/>
                <w:sz w:val="21"/>
                <w:szCs w:val="21"/>
                <w:highlight w:val="none"/>
                <w:u w:val="none"/>
                <w:lang w:eastAsia="zh-Hans"/>
              </w:rPr>
              <w:t>2</w:t>
            </w:r>
            <w:r>
              <w:rPr>
                <w:rFonts w:hint="eastAsia" w:ascii="仿宋" w:hAnsi="仿宋" w:eastAsia="仿宋" w:cs="仿宋"/>
                <w:i w:val="0"/>
                <w:color w:val="auto"/>
                <w:sz w:val="21"/>
                <w:szCs w:val="21"/>
                <w:highlight w:val="none"/>
                <w:u w:val="none"/>
                <w:lang w:val="en-US" w:eastAsia="zh-Hans"/>
              </w:rPr>
              <w:t>.</w:t>
            </w:r>
            <w:r>
              <w:rPr>
                <w:rFonts w:hint="eastAsia" w:ascii="仿宋" w:hAnsi="仿宋" w:eastAsia="仿宋" w:cs="仿宋"/>
                <w:i w:val="0"/>
                <w:color w:val="auto"/>
                <w:sz w:val="21"/>
                <w:szCs w:val="21"/>
                <w:highlight w:val="none"/>
                <w:u w:val="none"/>
                <w:lang w:eastAsia="zh-Hans"/>
              </w:rPr>
              <w:t>1</w:t>
            </w:r>
          </w:p>
        </w:tc>
        <w:tc>
          <w:tcPr>
            <w:tcW w:w="11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bidi w:val="0"/>
              <w:adjustRightInd w:val="0"/>
              <w:snapToGrid w:val="0"/>
              <w:spacing w:line="360" w:lineRule="auto"/>
              <w:ind w:left="0" w:leftChars="0" w:right="0" w:rightChars="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投标人要求澄清</w:t>
            </w:r>
            <w:r>
              <w:rPr>
                <w:rFonts w:hint="eastAsia" w:ascii="仿宋" w:hAnsi="仿宋" w:eastAsia="仿宋" w:cs="仿宋"/>
                <w:i w:val="0"/>
                <w:color w:val="auto"/>
                <w:kern w:val="0"/>
                <w:sz w:val="21"/>
                <w:szCs w:val="21"/>
                <w:highlight w:val="none"/>
                <w:u w:val="none"/>
                <w:lang w:eastAsia="zh-CN" w:bidi="ar"/>
              </w:rPr>
              <w:t>招标文件</w:t>
            </w:r>
          </w:p>
        </w:tc>
        <w:tc>
          <w:tcPr>
            <w:tcW w:w="28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bidi w:val="0"/>
              <w:adjustRightInd w:val="0"/>
              <w:snapToGrid w:val="0"/>
              <w:spacing w:line="360" w:lineRule="auto"/>
              <w:ind w:left="0" w:leftChars="0" w:right="0" w:rightChars="0"/>
              <w:jc w:val="both"/>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fldChar w:fldCharType="begin"/>
            </w:r>
            <w:r>
              <w:rPr>
                <w:rFonts w:hint="eastAsia" w:ascii="仿宋" w:hAnsi="仿宋" w:eastAsia="仿宋" w:cs="仿宋"/>
                <w:i w:val="0"/>
                <w:color w:val="auto"/>
                <w:kern w:val="0"/>
                <w:sz w:val="21"/>
                <w:szCs w:val="21"/>
                <w:highlight w:val="none"/>
                <w:u w:val="none"/>
                <w:lang w:val="en-US" w:eastAsia="zh-CN" w:bidi="ar"/>
              </w:rPr>
              <w:instrText xml:space="preserve"> HYPERLINK "mailto:将答疑问题发送至gx85239977@163.com" \o "" </w:instrText>
            </w:r>
            <w:r>
              <w:rPr>
                <w:rFonts w:hint="eastAsia" w:ascii="仿宋" w:hAnsi="仿宋" w:eastAsia="仿宋" w:cs="仿宋"/>
                <w:i w:val="0"/>
                <w:color w:val="auto"/>
                <w:kern w:val="0"/>
                <w:sz w:val="21"/>
                <w:szCs w:val="21"/>
                <w:highlight w:val="none"/>
                <w:u w:val="none"/>
                <w:lang w:val="en-US" w:eastAsia="zh-CN" w:bidi="ar"/>
              </w:rPr>
              <w:fldChar w:fldCharType="separate"/>
            </w:r>
            <w:r>
              <w:rPr>
                <w:rStyle w:val="26"/>
                <w:rFonts w:hint="eastAsia" w:ascii="仿宋" w:hAnsi="仿宋" w:eastAsia="仿宋" w:cs="仿宋"/>
                <w:i w:val="0"/>
                <w:color w:val="auto"/>
                <w:sz w:val="21"/>
                <w:szCs w:val="21"/>
                <w:highlight w:val="none"/>
                <w:u w:val="none"/>
              </w:rPr>
              <w:t>在递交投标文件截止时间十五日前，将答疑问题发送至xjzs420@163.com邮箱（需提供所需答疑问题盖章的扫描件一份和word版本一份），并通知招标代理机构。逾期的或未按本款要求形式提出的或未以书面形式通知招标代理机构的解答要求将不被接受或答复。</w:t>
            </w:r>
            <w:r>
              <w:rPr>
                <w:rFonts w:hint="eastAsia" w:ascii="仿宋" w:hAnsi="仿宋" w:eastAsia="仿宋" w:cs="仿宋"/>
                <w:i w:val="0"/>
                <w:color w:val="auto"/>
                <w:kern w:val="0"/>
                <w:sz w:val="21"/>
                <w:szCs w:val="21"/>
                <w:highlight w:val="none"/>
                <w:u w:val="none"/>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62" w:hRule="atLeast"/>
        </w:trPr>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bidi w:val="0"/>
              <w:adjustRightInd w:val="0"/>
              <w:snapToGrid w:val="0"/>
              <w:spacing w:line="360" w:lineRule="auto"/>
              <w:ind w:left="0" w:leftChars="0" w:right="0" w:rightChars="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sz w:val="21"/>
                <w:szCs w:val="21"/>
                <w:highlight w:val="none"/>
                <w:u w:val="none"/>
              </w:rPr>
              <w:t>19</w:t>
            </w: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bidi w:val="0"/>
              <w:adjustRightInd w:val="0"/>
              <w:snapToGrid w:val="0"/>
              <w:spacing w:line="360" w:lineRule="auto"/>
              <w:ind w:left="0" w:leftChars="0" w:right="0" w:rightChars="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4.</w:t>
            </w:r>
            <w:r>
              <w:rPr>
                <w:rFonts w:hint="eastAsia" w:ascii="仿宋" w:hAnsi="仿宋" w:eastAsia="仿宋" w:cs="仿宋"/>
                <w:i w:val="0"/>
                <w:color w:val="auto"/>
                <w:kern w:val="0"/>
                <w:sz w:val="21"/>
                <w:szCs w:val="21"/>
                <w:highlight w:val="none"/>
                <w:u w:val="none"/>
                <w:lang w:eastAsia="zh-CN" w:bidi="ar"/>
              </w:rPr>
              <w:t>2</w:t>
            </w:r>
            <w:r>
              <w:rPr>
                <w:rFonts w:hint="eastAsia" w:ascii="仿宋" w:hAnsi="仿宋" w:eastAsia="仿宋" w:cs="仿宋"/>
                <w:i w:val="0"/>
                <w:color w:val="auto"/>
                <w:kern w:val="0"/>
                <w:sz w:val="21"/>
                <w:szCs w:val="21"/>
                <w:highlight w:val="none"/>
                <w:u w:val="none"/>
                <w:lang w:val="en-US" w:eastAsia="zh-CN" w:bidi="ar"/>
              </w:rPr>
              <w:t>.2</w:t>
            </w:r>
          </w:p>
        </w:tc>
        <w:tc>
          <w:tcPr>
            <w:tcW w:w="11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bidi w:val="0"/>
              <w:adjustRightInd w:val="0"/>
              <w:snapToGrid w:val="0"/>
              <w:spacing w:line="360" w:lineRule="auto"/>
              <w:ind w:left="0" w:leftChars="0" w:right="0" w:rightChars="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投标人确认收到</w:t>
            </w:r>
            <w:r>
              <w:rPr>
                <w:rFonts w:hint="eastAsia" w:ascii="仿宋" w:hAnsi="仿宋" w:eastAsia="仿宋" w:cs="仿宋"/>
                <w:i w:val="0"/>
                <w:color w:val="auto"/>
                <w:kern w:val="0"/>
                <w:sz w:val="21"/>
                <w:szCs w:val="21"/>
                <w:highlight w:val="none"/>
                <w:u w:val="none"/>
                <w:lang w:eastAsia="zh-CN" w:bidi="ar"/>
              </w:rPr>
              <w:t>招标文件</w:t>
            </w:r>
            <w:r>
              <w:rPr>
                <w:rFonts w:hint="eastAsia" w:ascii="仿宋" w:hAnsi="仿宋" w:eastAsia="仿宋" w:cs="仿宋"/>
                <w:i w:val="0"/>
                <w:color w:val="auto"/>
                <w:kern w:val="0"/>
                <w:sz w:val="21"/>
                <w:szCs w:val="21"/>
                <w:highlight w:val="none"/>
                <w:u w:val="none"/>
                <w:lang w:val="en-US" w:eastAsia="zh-CN" w:bidi="ar"/>
              </w:rPr>
              <w:t>修改</w:t>
            </w:r>
          </w:p>
        </w:tc>
        <w:tc>
          <w:tcPr>
            <w:tcW w:w="28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bidi w:val="0"/>
              <w:adjustRightInd w:val="0"/>
              <w:snapToGrid w:val="0"/>
              <w:spacing w:line="360" w:lineRule="auto"/>
              <w:ind w:left="0" w:leftChars="0" w:right="0" w:rightChars="0"/>
              <w:jc w:val="both"/>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应在收到澄清后48小时内书面回复，确认已收到该澄清。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40" w:hRule="atLeast"/>
        </w:trPr>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bidi w:val="0"/>
              <w:adjustRightInd w:val="0"/>
              <w:snapToGrid w:val="0"/>
              <w:spacing w:line="360" w:lineRule="auto"/>
              <w:ind w:left="0" w:leftChars="0" w:right="0" w:rightChars="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2</w:t>
            </w:r>
            <w:r>
              <w:rPr>
                <w:rFonts w:hint="eastAsia" w:ascii="仿宋" w:hAnsi="仿宋" w:eastAsia="仿宋" w:cs="仿宋"/>
                <w:i w:val="0"/>
                <w:color w:val="auto"/>
                <w:kern w:val="0"/>
                <w:sz w:val="21"/>
                <w:szCs w:val="21"/>
                <w:highlight w:val="none"/>
                <w:u w:val="none"/>
                <w:lang w:eastAsia="zh-CN" w:bidi="ar"/>
              </w:rPr>
              <w:t>0</w:t>
            </w: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bidi w:val="0"/>
              <w:adjustRightInd w:val="0"/>
              <w:snapToGrid w:val="0"/>
              <w:spacing w:line="360" w:lineRule="auto"/>
              <w:ind w:left="0" w:leftChars="0" w:right="0" w:rightChars="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sz w:val="21"/>
                <w:szCs w:val="21"/>
                <w:highlight w:val="none"/>
                <w:u w:val="none"/>
              </w:rPr>
              <w:t>3</w:t>
            </w:r>
            <w:r>
              <w:rPr>
                <w:rFonts w:hint="eastAsia" w:ascii="仿宋" w:hAnsi="仿宋" w:eastAsia="仿宋" w:cs="仿宋"/>
                <w:i w:val="0"/>
                <w:color w:val="auto"/>
                <w:sz w:val="21"/>
                <w:szCs w:val="21"/>
                <w:highlight w:val="none"/>
                <w:u w:val="none"/>
                <w:lang w:val="en-US" w:eastAsia="zh-Hans"/>
              </w:rPr>
              <w:t>.</w:t>
            </w:r>
            <w:r>
              <w:rPr>
                <w:rFonts w:hint="eastAsia" w:ascii="仿宋" w:hAnsi="仿宋" w:eastAsia="仿宋" w:cs="仿宋"/>
                <w:i w:val="0"/>
                <w:color w:val="auto"/>
                <w:sz w:val="21"/>
                <w:szCs w:val="21"/>
                <w:highlight w:val="none"/>
                <w:u w:val="none"/>
                <w:lang w:eastAsia="zh-Hans"/>
              </w:rPr>
              <w:t>5</w:t>
            </w:r>
            <w:r>
              <w:rPr>
                <w:rFonts w:hint="eastAsia" w:ascii="仿宋" w:hAnsi="仿宋" w:eastAsia="仿宋" w:cs="仿宋"/>
                <w:i w:val="0"/>
                <w:color w:val="auto"/>
                <w:sz w:val="21"/>
                <w:szCs w:val="21"/>
                <w:highlight w:val="none"/>
                <w:u w:val="none"/>
                <w:lang w:val="en-US" w:eastAsia="zh-Hans"/>
              </w:rPr>
              <w:t>.</w:t>
            </w:r>
            <w:r>
              <w:rPr>
                <w:rFonts w:hint="eastAsia" w:ascii="仿宋" w:hAnsi="仿宋" w:eastAsia="仿宋" w:cs="仿宋"/>
                <w:i w:val="0"/>
                <w:color w:val="auto"/>
                <w:sz w:val="21"/>
                <w:szCs w:val="21"/>
                <w:highlight w:val="none"/>
                <w:u w:val="none"/>
                <w:lang w:eastAsia="zh-Hans"/>
              </w:rPr>
              <w:t>4</w:t>
            </w:r>
          </w:p>
        </w:tc>
        <w:tc>
          <w:tcPr>
            <w:tcW w:w="11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bidi w:val="0"/>
              <w:adjustRightInd w:val="0"/>
              <w:snapToGrid w:val="0"/>
              <w:spacing w:line="360" w:lineRule="auto"/>
              <w:ind w:left="0" w:leftChars="0" w:right="0" w:rightChars="0"/>
              <w:jc w:val="center"/>
              <w:textAlignment w:val="center"/>
              <w:rPr>
                <w:rFonts w:hint="eastAsia" w:ascii="仿宋" w:hAnsi="仿宋" w:eastAsia="仿宋" w:cs="仿宋"/>
                <w:b/>
                <w:bCs/>
                <w:i w:val="0"/>
                <w:color w:val="auto"/>
                <w:sz w:val="21"/>
                <w:szCs w:val="21"/>
                <w:highlight w:val="none"/>
                <w:u w:val="none"/>
              </w:rPr>
            </w:pPr>
            <w:r>
              <w:rPr>
                <w:rFonts w:hint="eastAsia" w:ascii="仿宋" w:hAnsi="仿宋" w:eastAsia="仿宋" w:cs="仿宋"/>
                <w:b/>
                <w:bCs/>
                <w:i w:val="0"/>
                <w:color w:val="auto"/>
                <w:kern w:val="0"/>
                <w:sz w:val="21"/>
                <w:szCs w:val="21"/>
                <w:highlight w:val="none"/>
                <w:u w:val="none"/>
                <w:lang w:val="en-US" w:eastAsia="zh-CN" w:bidi="ar"/>
              </w:rPr>
              <w:t>最高投标限价</w:t>
            </w:r>
          </w:p>
        </w:tc>
        <w:tc>
          <w:tcPr>
            <w:tcW w:w="28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bidi w:val="0"/>
              <w:adjustRightInd w:val="0"/>
              <w:snapToGrid w:val="0"/>
              <w:spacing w:line="360" w:lineRule="auto"/>
              <w:ind w:left="0" w:leftChars="0" w:right="0" w:rightChars="0"/>
              <w:jc w:val="both"/>
              <w:textAlignment w:val="center"/>
              <w:rPr>
                <w:rFonts w:hint="eastAsia" w:ascii="仿宋" w:hAnsi="仿宋" w:eastAsia="仿宋" w:cs="仿宋"/>
                <w:b/>
                <w:bCs/>
                <w:i w:val="0"/>
                <w:color w:val="auto"/>
                <w:kern w:val="0"/>
                <w:sz w:val="21"/>
                <w:szCs w:val="21"/>
                <w:highlight w:val="none"/>
                <w:u w:val="none"/>
                <w:lang w:eastAsia="zh-Hans" w:bidi="ar"/>
              </w:rPr>
            </w:pPr>
            <w:r>
              <w:rPr>
                <w:rFonts w:hint="eastAsia" w:ascii="仿宋" w:hAnsi="仿宋" w:eastAsia="仿宋" w:cs="仿宋"/>
                <w:b/>
                <w:bCs/>
                <w:i w:val="0"/>
                <w:color w:val="auto"/>
                <w:kern w:val="0"/>
                <w:sz w:val="21"/>
                <w:szCs w:val="21"/>
                <w:highlight w:val="none"/>
                <w:u w:val="none"/>
                <w:lang w:val="en-US" w:eastAsia="zh-Hans" w:bidi="ar"/>
              </w:rPr>
              <w:t>本项目最高投标限价</w:t>
            </w:r>
            <w:r>
              <w:rPr>
                <w:rFonts w:hint="eastAsia" w:ascii="仿宋" w:hAnsi="仿宋" w:eastAsia="仿宋" w:cs="仿宋"/>
                <w:b/>
                <w:bCs/>
                <w:i w:val="0"/>
                <w:color w:val="auto"/>
                <w:kern w:val="0"/>
                <w:sz w:val="21"/>
                <w:szCs w:val="21"/>
                <w:highlight w:val="none"/>
                <w:u w:val="none"/>
                <w:lang w:eastAsia="zh-Hans" w:bidi="ar"/>
              </w:rPr>
              <w:t>：</w:t>
            </w:r>
          </w:p>
          <w:p>
            <w:pPr>
              <w:spacing w:line="360" w:lineRule="auto"/>
              <w:rPr>
                <w:rFonts w:hint="eastAsia" w:ascii="仿宋" w:hAnsi="仿宋" w:eastAsia="仿宋" w:cs="仿宋"/>
                <w:color w:val="auto"/>
                <w:sz w:val="21"/>
                <w:szCs w:val="24"/>
                <w:highlight w:val="none"/>
                <w:lang w:val="en-US" w:eastAsia="zh-CN"/>
              </w:rPr>
            </w:pPr>
            <w:r>
              <w:rPr>
                <w:rFonts w:hint="eastAsia" w:ascii="仿宋" w:hAnsi="仿宋" w:eastAsia="仿宋" w:cs="仿宋"/>
                <w:color w:val="auto"/>
                <w:sz w:val="21"/>
                <w:szCs w:val="24"/>
                <w:highlight w:val="none"/>
                <w:lang w:val="en-US" w:eastAsia="zh-CN"/>
              </w:rPr>
              <w:t>标项1：南湖北路片区管委会项目；采购预算：425.58万元；</w:t>
            </w:r>
          </w:p>
          <w:p>
            <w:pPr>
              <w:spacing w:line="360" w:lineRule="auto"/>
              <w:rPr>
                <w:rFonts w:hint="eastAsia" w:ascii="仿宋" w:hAnsi="仿宋" w:eastAsia="仿宋" w:cs="仿宋"/>
                <w:color w:val="auto"/>
                <w:sz w:val="21"/>
                <w:szCs w:val="24"/>
                <w:highlight w:val="none"/>
                <w:lang w:val="en-US" w:eastAsia="zh-Hans"/>
              </w:rPr>
            </w:pPr>
            <w:r>
              <w:rPr>
                <w:rFonts w:hint="eastAsia" w:ascii="仿宋" w:hAnsi="仿宋" w:eastAsia="仿宋" w:cs="仿宋"/>
                <w:color w:val="auto"/>
                <w:sz w:val="21"/>
                <w:szCs w:val="24"/>
                <w:highlight w:val="none"/>
                <w:lang w:val="en-US" w:eastAsia="zh-CN"/>
              </w:rPr>
              <w:t>标项2：龙盛街片区管委会项目；采购预算：340.58万元；</w:t>
            </w:r>
          </w:p>
          <w:p>
            <w:pPr>
              <w:spacing w:line="360" w:lineRule="auto"/>
              <w:rPr>
                <w:rFonts w:hint="eastAsia" w:ascii="仿宋" w:hAnsi="仿宋" w:eastAsia="仿宋" w:cs="仿宋"/>
                <w:color w:val="auto"/>
                <w:sz w:val="21"/>
                <w:szCs w:val="24"/>
                <w:highlight w:val="none"/>
                <w:lang w:val="en-US" w:eastAsia="zh-CN"/>
              </w:rPr>
            </w:pPr>
            <w:r>
              <w:rPr>
                <w:rFonts w:hint="eastAsia" w:ascii="仿宋" w:hAnsi="仿宋" w:eastAsia="仿宋" w:cs="仿宋"/>
                <w:color w:val="auto"/>
                <w:sz w:val="21"/>
                <w:szCs w:val="24"/>
                <w:highlight w:val="none"/>
                <w:lang w:val="en-US" w:eastAsia="zh-CN"/>
              </w:rPr>
              <w:t>标项3：苇胡梁片区管委会项目；采购预算：474.14万元；</w:t>
            </w:r>
          </w:p>
          <w:p>
            <w:pPr>
              <w:spacing w:line="360" w:lineRule="auto"/>
              <w:rPr>
                <w:rFonts w:hint="eastAsia" w:ascii="仿宋" w:hAnsi="仿宋" w:eastAsia="仿宋" w:cs="仿宋"/>
                <w:color w:val="auto"/>
                <w:sz w:val="21"/>
                <w:szCs w:val="24"/>
                <w:highlight w:val="none"/>
                <w:lang w:val="en-US" w:eastAsia="zh-CN"/>
              </w:rPr>
            </w:pPr>
            <w:r>
              <w:rPr>
                <w:rFonts w:hint="eastAsia" w:ascii="仿宋" w:hAnsi="仿宋" w:eastAsia="仿宋" w:cs="仿宋"/>
                <w:color w:val="auto"/>
                <w:sz w:val="21"/>
                <w:szCs w:val="24"/>
                <w:highlight w:val="none"/>
                <w:lang w:val="en-US" w:eastAsia="zh-CN"/>
              </w:rPr>
              <w:t>标项4：振安街片区管委会项目；采购预算：432.93万元；</w:t>
            </w:r>
          </w:p>
          <w:p>
            <w:pPr>
              <w:spacing w:line="360" w:lineRule="auto"/>
              <w:rPr>
                <w:rFonts w:hint="eastAsia" w:ascii="仿宋" w:hAnsi="仿宋" w:eastAsia="仿宋" w:cs="仿宋"/>
                <w:color w:val="auto"/>
                <w:sz w:val="21"/>
                <w:szCs w:val="24"/>
                <w:highlight w:val="none"/>
                <w:lang w:val="en-US" w:eastAsia="zh-CN"/>
              </w:rPr>
            </w:pPr>
            <w:r>
              <w:rPr>
                <w:rFonts w:hint="eastAsia" w:ascii="仿宋" w:hAnsi="仿宋" w:eastAsia="仿宋" w:cs="仿宋"/>
                <w:color w:val="auto"/>
                <w:sz w:val="21"/>
                <w:szCs w:val="24"/>
                <w:highlight w:val="none"/>
                <w:lang w:val="en-US" w:eastAsia="zh-CN"/>
              </w:rPr>
              <w:t>标项5：榆树沟片区管委会项目；采购预算：356.02万元；</w:t>
            </w:r>
          </w:p>
          <w:p>
            <w:pPr>
              <w:spacing w:line="360" w:lineRule="auto"/>
              <w:rPr>
                <w:rFonts w:hint="eastAsia" w:ascii="仿宋" w:hAnsi="仿宋" w:eastAsia="仿宋" w:cs="仿宋"/>
                <w:color w:val="auto"/>
                <w:sz w:val="21"/>
                <w:szCs w:val="24"/>
                <w:highlight w:val="none"/>
                <w:lang w:val="en-US" w:eastAsia="zh-CN"/>
              </w:rPr>
            </w:pPr>
            <w:r>
              <w:rPr>
                <w:rFonts w:hint="eastAsia" w:ascii="仿宋" w:hAnsi="仿宋" w:eastAsia="仿宋" w:cs="仿宋"/>
                <w:color w:val="auto"/>
                <w:sz w:val="21"/>
                <w:szCs w:val="24"/>
                <w:highlight w:val="none"/>
                <w:lang w:val="en-US" w:eastAsia="zh-CN"/>
              </w:rPr>
              <w:t>标项6：七道湾片区管委会项目；采购预算：759.34万元；</w:t>
            </w:r>
          </w:p>
          <w:p>
            <w:pPr>
              <w:spacing w:line="360" w:lineRule="auto"/>
              <w:rPr>
                <w:rFonts w:hint="eastAsia" w:ascii="仿宋" w:hAnsi="仿宋" w:eastAsia="仿宋" w:cs="仿宋"/>
                <w:color w:val="auto"/>
                <w:sz w:val="21"/>
                <w:szCs w:val="24"/>
                <w:highlight w:val="none"/>
                <w:lang w:val="en-US" w:eastAsia="zh-CN"/>
              </w:rPr>
            </w:pPr>
            <w:r>
              <w:rPr>
                <w:rFonts w:hint="eastAsia" w:ascii="仿宋" w:hAnsi="仿宋" w:eastAsia="仿宋" w:cs="仿宋"/>
                <w:color w:val="auto"/>
                <w:sz w:val="21"/>
                <w:szCs w:val="24"/>
                <w:highlight w:val="none"/>
                <w:lang w:val="en-US" w:eastAsia="zh-CN"/>
              </w:rPr>
              <w:t>标项7：</w:t>
            </w:r>
            <w:r>
              <w:rPr>
                <w:rFonts w:hint="eastAsia" w:ascii="仿宋" w:hAnsi="仿宋" w:eastAsia="仿宋" w:cs="仿宋"/>
                <w:color w:val="auto"/>
                <w:sz w:val="21"/>
                <w:szCs w:val="24"/>
                <w:highlight w:val="none"/>
                <w:lang w:val="en-US" w:eastAsia="zh-Hans"/>
              </w:rPr>
              <w:t>河马泉片区管委会</w:t>
            </w:r>
            <w:r>
              <w:rPr>
                <w:rFonts w:hint="eastAsia" w:ascii="仿宋" w:hAnsi="仿宋" w:eastAsia="仿宋" w:cs="仿宋"/>
                <w:color w:val="auto"/>
                <w:sz w:val="21"/>
                <w:szCs w:val="24"/>
                <w:highlight w:val="none"/>
                <w:lang w:val="en-US" w:eastAsia="zh-CN"/>
              </w:rPr>
              <w:t>项目；采购预算：50.26万元；</w:t>
            </w:r>
          </w:p>
          <w:p>
            <w:pPr>
              <w:spacing w:line="360" w:lineRule="auto"/>
              <w:rPr>
                <w:rFonts w:hint="eastAsia" w:ascii="仿宋" w:hAnsi="仿宋" w:eastAsia="仿宋" w:cs="仿宋"/>
                <w:color w:val="auto"/>
                <w:sz w:val="21"/>
                <w:szCs w:val="24"/>
                <w:highlight w:val="none"/>
                <w:lang w:val="en-US" w:eastAsia="zh-CN"/>
              </w:rPr>
            </w:pPr>
            <w:r>
              <w:rPr>
                <w:rFonts w:hint="eastAsia" w:ascii="仿宋" w:hAnsi="仿宋" w:eastAsia="仿宋" w:cs="仿宋"/>
                <w:color w:val="auto"/>
                <w:sz w:val="21"/>
                <w:szCs w:val="24"/>
                <w:highlight w:val="none"/>
                <w:lang w:val="en-US" w:eastAsia="zh-CN"/>
              </w:rPr>
              <w:t>标项8：华光街片区管委会项目；采购预算：107.17万元；</w:t>
            </w:r>
          </w:p>
          <w:p>
            <w:pPr>
              <w:spacing w:line="360" w:lineRule="auto"/>
              <w:rPr>
                <w:rFonts w:hint="eastAsia" w:ascii="仿宋" w:hAnsi="仿宋" w:eastAsia="仿宋" w:cs="仿宋"/>
                <w:color w:val="auto"/>
                <w:sz w:val="21"/>
                <w:szCs w:val="24"/>
                <w:highlight w:val="none"/>
                <w:lang w:val="en-US" w:eastAsia="zh-CN"/>
              </w:rPr>
            </w:pPr>
            <w:r>
              <w:rPr>
                <w:rFonts w:hint="eastAsia" w:ascii="仿宋" w:hAnsi="仿宋" w:eastAsia="仿宋" w:cs="仿宋"/>
                <w:color w:val="auto"/>
                <w:sz w:val="21"/>
                <w:szCs w:val="24"/>
                <w:highlight w:val="none"/>
                <w:lang w:val="en-US" w:eastAsia="zh-CN"/>
              </w:rPr>
              <w:t>标项9：石人沟七篇管委会项目；采购预算：38.63万元；</w:t>
            </w:r>
          </w:p>
          <w:p>
            <w:pPr>
              <w:spacing w:line="360" w:lineRule="auto"/>
              <w:rPr>
                <w:rFonts w:hint="eastAsia" w:ascii="仿宋" w:hAnsi="仿宋" w:eastAsia="仿宋" w:cs="仿宋"/>
                <w:color w:val="auto"/>
                <w:sz w:val="21"/>
                <w:szCs w:val="24"/>
                <w:highlight w:val="none"/>
                <w:lang w:val="en-US" w:eastAsia="zh-CN"/>
              </w:rPr>
            </w:pPr>
            <w:r>
              <w:rPr>
                <w:rFonts w:hint="eastAsia" w:ascii="仿宋" w:hAnsi="仿宋" w:eastAsia="仿宋" w:cs="仿宋"/>
                <w:color w:val="auto"/>
                <w:sz w:val="21"/>
                <w:szCs w:val="24"/>
                <w:highlight w:val="none"/>
                <w:lang w:val="en-US" w:eastAsia="zh-CN"/>
              </w:rPr>
              <w:t>标项10：新民路片区管委会项目；采购预算：185.5万元；</w:t>
            </w:r>
          </w:p>
          <w:p>
            <w:pPr>
              <w:spacing w:line="360" w:lineRule="auto"/>
              <w:rPr>
                <w:rFonts w:hint="eastAsia" w:ascii="仿宋" w:hAnsi="仿宋" w:eastAsia="仿宋" w:cs="仿宋"/>
                <w:color w:val="auto"/>
                <w:sz w:val="21"/>
                <w:szCs w:val="24"/>
                <w:highlight w:val="none"/>
                <w:lang w:val="en-US" w:eastAsia="zh-CN"/>
              </w:rPr>
            </w:pPr>
            <w:r>
              <w:rPr>
                <w:rFonts w:hint="eastAsia" w:ascii="仿宋" w:hAnsi="仿宋" w:eastAsia="仿宋" w:cs="仿宋"/>
                <w:color w:val="auto"/>
                <w:sz w:val="21"/>
                <w:szCs w:val="24"/>
                <w:highlight w:val="none"/>
                <w:lang w:val="en-US" w:eastAsia="zh-CN"/>
              </w:rPr>
              <w:t>标项11：南湖南路片区管委会项目；采购预算：212.13万元；</w:t>
            </w:r>
          </w:p>
          <w:p>
            <w:pPr>
              <w:spacing w:line="360" w:lineRule="auto"/>
              <w:rPr>
                <w:rFonts w:hint="eastAsia" w:ascii="仿宋" w:hAnsi="仿宋" w:eastAsia="仿宋" w:cs="仿宋"/>
                <w:color w:val="auto"/>
                <w:sz w:val="21"/>
                <w:szCs w:val="24"/>
                <w:highlight w:val="none"/>
                <w:lang w:val="en-US" w:eastAsia="zh-CN"/>
              </w:rPr>
            </w:pPr>
            <w:r>
              <w:rPr>
                <w:rFonts w:hint="eastAsia" w:ascii="仿宋" w:hAnsi="仿宋" w:eastAsia="仿宋" w:cs="仿宋"/>
                <w:color w:val="auto"/>
                <w:sz w:val="21"/>
                <w:szCs w:val="24"/>
                <w:highlight w:val="none"/>
                <w:lang w:val="en-US" w:eastAsia="zh-CN"/>
              </w:rPr>
              <w:t>标项12：六道湾片区管委会项目；采购预算：200.77万元；</w:t>
            </w:r>
          </w:p>
          <w:p>
            <w:pPr>
              <w:spacing w:line="360" w:lineRule="auto"/>
              <w:rPr>
                <w:rFonts w:hint="eastAsia" w:ascii="仿宋" w:hAnsi="仿宋" w:eastAsia="仿宋" w:cs="仿宋"/>
                <w:color w:val="auto"/>
                <w:sz w:val="21"/>
                <w:szCs w:val="24"/>
                <w:highlight w:val="none"/>
                <w:lang w:val="en-US" w:eastAsia="zh-CN"/>
              </w:rPr>
            </w:pPr>
            <w:r>
              <w:rPr>
                <w:rFonts w:hint="eastAsia" w:ascii="仿宋" w:hAnsi="仿宋" w:eastAsia="仿宋" w:cs="仿宋"/>
                <w:color w:val="auto"/>
                <w:sz w:val="21"/>
                <w:szCs w:val="24"/>
                <w:highlight w:val="none"/>
                <w:lang w:val="en-US" w:eastAsia="zh-CN"/>
              </w:rPr>
              <w:t>标项13：八道湾片区管委会项目；采购预算：252.09万元；</w:t>
            </w:r>
          </w:p>
          <w:p>
            <w:pPr>
              <w:spacing w:line="360" w:lineRule="auto"/>
              <w:rPr>
                <w:rFonts w:hint="eastAsia" w:ascii="仿宋" w:hAnsi="仿宋" w:eastAsia="仿宋" w:cs="仿宋"/>
                <w:color w:val="auto"/>
                <w:sz w:val="21"/>
                <w:szCs w:val="24"/>
                <w:highlight w:val="none"/>
                <w:lang w:val="en-US" w:eastAsia="zh-CN"/>
              </w:rPr>
            </w:pPr>
            <w:r>
              <w:rPr>
                <w:rFonts w:hint="eastAsia" w:ascii="仿宋" w:hAnsi="仿宋" w:eastAsia="仿宋" w:cs="仿宋"/>
                <w:color w:val="auto"/>
                <w:sz w:val="21"/>
                <w:szCs w:val="24"/>
                <w:highlight w:val="none"/>
                <w:lang w:val="en-US" w:eastAsia="zh-CN"/>
              </w:rPr>
              <w:t>标项14：水塔山片区管委会项目；采购预算：47.21万元；</w:t>
            </w:r>
          </w:p>
          <w:p>
            <w:pPr>
              <w:spacing w:line="360" w:lineRule="auto"/>
              <w:rPr>
                <w:rFonts w:hint="eastAsia" w:ascii="仿宋" w:hAnsi="仿宋" w:eastAsia="仿宋" w:cs="仿宋"/>
                <w:color w:val="auto"/>
                <w:sz w:val="21"/>
                <w:szCs w:val="24"/>
                <w:highlight w:val="none"/>
                <w:lang w:val="en-US" w:eastAsia="zh-CN"/>
              </w:rPr>
            </w:pPr>
            <w:r>
              <w:rPr>
                <w:rFonts w:hint="eastAsia" w:ascii="仿宋" w:hAnsi="仿宋" w:eastAsia="仿宋" w:cs="仿宋"/>
                <w:color w:val="auto"/>
                <w:sz w:val="21"/>
                <w:szCs w:val="24"/>
                <w:highlight w:val="none"/>
                <w:lang w:val="en-US" w:eastAsia="zh-CN"/>
              </w:rPr>
              <w:t>标项15：七纺片区管委会项目；采购预算：217.53万元；</w:t>
            </w:r>
          </w:p>
          <w:p>
            <w:pPr>
              <w:keepNext w:val="0"/>
              <w:keepLines w:val="0"/>
              <w:pageBreakBefore w:val="0"/>
              <w:widowControl/>
              <w:suppressLineNumbers w:val="0"/>
              <w:kinsoku/>
              <w:wordWrap/>
              <w:bidi w:val="0"/>
              <w:adjustRightInd w:val="0"/>
              <w:snapToGrid w:val="0"/>
              <w:spacing w:line="360" w:lineRule="auto"/>
              <w:ind w:left="0" w:leftChars="0" w:right="0" w:rightChars="0"/>
              <w:jc w:val="left"/>
              <w:textAlignment w:val="top"/>
              <w:rPr>
                <w:rFonts w:hint="default" w:ascii="仿宋" w:hAnsi="仿宋" w:eastAsia="仿宋" w:cs="仿宋"/>
                <w:i w:val="0"/>
                <w:color w:val="auto"/>
                <w:kern w:val="0"/>
                <w:sz w:val="21"/>
                <w:szCs w:val="21"/>
                <w:highlight w:val="none"/>
                <w:u w:val="none"/>
                <w:lang w:val="en-US" w:eastAsia="zh-Hans" w:bidi="ar"/>
              </w:rPr>
            </w:pPr>
          </w:p>
          <w:p>
            <w:pPr>
              <w:keepNext w:val="0"/>
              <w:keepLines w:val="0"/>
              <w:pageBreakBefore w:val="0"/>
              <w:widowControl/>
              <w:suppressLineNumbers w:val="0"/>
              <w:kinsoku/>
              <w:wordWrap/>
              <w:bidi w:val="0"/>
              <w:adjustRightInd w:val="0"/>
              <w:snapToGrid w:val="0"/>
              <w:spacing w:line="360" w:lineRule="auto"/>
              <w:ind w:left="0" w:leftChars="0" w:right="0" w:rightChars="0"/>
              <w:jc w:val="both"/>
              <w:textAlignment w:val="center"/>
              <w:rPr>
                <w:rFonts w:hint="eastAsia" w:ascii="仿宋" w:hAnsi="仿宋" w:eastAsia="仿宋" w:cs="仿宋"/>
                <w:b/>
                <w:bCs/>
                <w:i w:val="0"/>
                <w:color w:val="auto"/>
                <w:sz w:val="21"/>
                <w:szCs w:val="21"/>
                <w:highlight w:val="none"/>
                <w:u w:val="none"/>
              </w:rPr>
            </w:pPr>
            <w:r>
              <w:rPr>
                <w:rFonts w:hint="eastAsia" w:ascii="仿宋" w:hAnsi="仿宋" w:eastAsia="仿宋" w:cs="仿宋"/>
                <w:b/>
                <w:bCs/>
                <w:i w:val="0"/>
                <w:color w:val="auto"/>
                <w:kern w:val="0"/>
                <w:sz w:val="21"/>
                <w:szCs w:val="21"/>
                <w:highlight w:val="none"/>
                <w:u w:val="none"/>
                <w:lang w:val="en-US" w:eastAsia="zh-CN" w:bidi="ar"/>
              </w:rPr>
              <w:t>投标人的投标报价不得超过最高投标限价，否则否决其投标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bidi w:val="0"/>
              <w:adjustRightInd w:val="0"/>
              <w:snapToGrid w:val="0"/>
              <w:spacing w:line="360" w:lineRule="auto"/>
              <w:ind w:left="0" w:leftChars="0" w:right="0" w:rightChars="0"/>
              <w:jc w:val="center"/>
              <w:textAlignment w:val="center"/>
              <w:rPr>
                <w:rFonts w:hint="eastAsia" w:ascii="仿宋" w:hAnsi="仿宋" w:eastAsia="仿宋" w:cs="仿宋"/>
                <w:i w:val="0"/>
                <w:color w:val="auto"/>
                <w:kern w:val="0"/>
                <w:sz w:val="21"/>
                <w:szCs w:val="21"/>
                <w:highlight w:val="none"/>
                <w:u w:val="none"/>
                <w:lang w:eastAsia="zh-CN" w:bidi="ar"/>
              </w:rPr>
            </w:pPr>
            <w:r>
              <w:rPr>
                <w:rFonts w:hint="eastAsia" w:ascii="仿宋" w:hAnsi="仿宋" w:eastAsia="仿宋" w:cs="仿宋"/>
                <w:i w:val="0"/>
                <w:color w:val="auto"/>
                <w:kern w:val="0"/>
                <w:sz w:val="21"/>
                <w:szCs w:val="21"/>
                <w:highlight w:val="none"/>
                <w:u w:val="none"/>
                <w:lang w:eastAsia="zh-CN" w:bidi="ar"/>
              </w:rPr>
              <w:t>21</w:t>
            </w: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bidi w:val="0"/>
              <w:adjustRightInd w:val="0"/>
              <w:snapToGrid w:val="0"/>
              <w:spacing w:line="360" w:lineRule="auto"/>
              <w:ind w:left="0" w:leftChars="0" w:right="0" w:rightChars="0"/>
              <w:jc w:val="center"/>
              <w:textAlignment w:val="center"/>
              <w:rPr>
                <w:rFonts w:hint="eastAsia" w:ascii="仿宋" w:hAnsi="仿宋" w:eastAsia="仿宋" w:cs="仿宋"/>
                <w:i w:val="0"/>
                <w:color w:val="auto"/>
                <w:kern w:val="0"/>
                <w:sz w:val="21"/>
                <w:szCs w:val="21"/>
                <w:highlight w:val="none"/>
                <w:u w:val="none"/>
                <w:lang w:eastAsia="zh-CN" w:bidi="ar"/>
              </w:rPr>
            </w:pPr>
            <w:r>
              <w:rPr>
                <w:rFonts w:hint="eastAsia" w:ascii="仿宋" w:hAnsi="仿宋" w:eastAsia="仿宋" w:cs="仿宋"/>
                <w:i w:val="0"/>
                <w:color w:val="auto"/>
                <w:kern w:val="0"/>
                <w:sz w:val="21"/>
                <w:szCs w:val="21"/>
                <w:highlight w:val="none"/>
                <w:u w:val="none"/>
                <w:lang w:eastAsia="zh-CN" w:bidi="ar"/>
              </w:rPr>
              <w:t>3</w:t>
            </w:r>
            <w:r>
              <w:rPr>
                <w:rFonts w:hint="eastAsia" w:ascii="仿宋" w:hAnsi="仿宋" w:eastAsia="仿宋" w:cs="仿宋"/>
                <w:i w:val="0"/>
                <w:color w:val="auto"/>
                <w:kern w:val="0"/>
                <w:sz w:val="21"/>
                <w:szCs w:val="21"/>
                <w:highlight w:val="none"/>
                <w:u w:val="none"/>
                <w:lang w:val="en-US" w:eastAsia="zh-Hans" w:bidi="ar"/>
              </w:rPr>
              <w:t>.</w:t>
            </w:r>
            <w:r>
              <w:rPr>
                <w:rFonts w:hint="eastAsia" w:ascii="仿宋" w:hAnsi="仿宋" w:eastAsia="仿宋" w:cs="仿宋"/>
                <w:i w:val="0"/>
                <w:color w:val="auto"/>
                <w:kern w:val="0"/>
                <w:sz w:val="21"/>
                <w:szCs w:val="21"/>
                <w:highlight w:val="none"/>
                <w:u w:val="none"/>
                <w:lang w:eastAsia="zh-Hans" w:bidi="ar"/>
              </w:rPr>
              <w:t>6</w:t>
            </w:r>
          </w:p>
        </w:tc>
        <w:tc>
          <w:tcPr>
            <w:tcW w:w="11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bidi w:val="0"/>
              <w:adjustRightInd w:val="0"/>
              <w:snapToGrid w:val="0"/>
              <w:spacing w:line="360" w:lineRule="auto"/>
              <w:ind w:left="0" w:leftChars="0" w:right="0" w:rightChars="0"/>
              <w:jc w:val="center"/>
              <w:textAlignment w:val="center"/>
              <w:rPr>
                <w:rFonts w:hint="eastAsia" w:ascii="仿宋" w:hAnsi="仿宋" w:eastAsia="仿宋" w:cs="仿宋"/>
                <w:i w:val="0"/>
                <w:color w:val="auto"/>
                <w:kern w:val="0"/>
                <w:sz w:val="21"/>
                <w:szCs w:val="21"/>
                <w:highlight w:val="none"/>
                <w:u w:val="none"/>
                <w:lang w:val="en-US" w:eastAsia="zh-Hans" w:bidi="ar"/>
              </w:rPr>
            </w:pPr>
            <w:r>
              <w:rPr>
                <w:rFonts w:hint="eastAsia" w:ascii="仿宋" w:hAnsi="仿宋" w:eastAsia="仿宋" w:cs="仿宋"/>
                <w:i w:val="0"/>
                <w:color w:val="auto"/>
                <w:kern w:val="0"/>
                <w:sz w:val="21"/>
                <w:szCs w:val="21"/>
                <w:highlight w:val="none"/>
                <w:u w:val="none"/>
                <w:lang w:val="en-US" w:eastAsia="zh-Hans" w:bidi="ar"/>
              </w:rPr>
              <w:t>低于成本价不正当竞争措施</w:t>
            </w:r>
          </w:p>
        </w:tc>
        <w:tc>
          <w:tcPr>
            <w:tcW w:w="28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bidi w:val="0"/>
              <w:adjustRightInd w:val="0"/>
              <w:snapToGrid w:val="0"/>
              <w:spacing w:line="360" w:lineRule="auto"/>
              <w:ind w:left="0" w:leftChars="0" w:right="0" w:rightChars="0"/>
              <w:jc w:val="left"/>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在评标过程中，评标小组认为投标人的报价明显低于其他通过符合性审查投标人的报价，有可能影响产品质量或者不能诚信履约的，评标小组应当要求其在评标现场合理的时间内提供成本构成书面说明，并提交相关证明材料。投标人书面说明应当按照国家财务会计制度的规定要求，逐项就投标人提供的货物、工程和服务的主营业务成本（应根据投标人企业类型予以区别）、税金及附加、销售费用、管理费用、财务费用等成本构成事项详细陈述。</w:t>
            </w:r>
          </w:p>
          <w:p>
            <w:pPr>
              <w:keepNext w:val="0"/>
              <w:keepLines w:val="0"/>
              <w:pageBreakBefore w:val="0"/>
              <w:widowControl/>
              <w:suppressLineNumbers w:val="0"/>
              <w:kinsoku/>
              <w:wordWrap/>
              <w:bidi w:val="0"/>
              <w:adjustRightInd w:val="0"/>
              <w:snapToGrid w:val="0"/>
              <w:spacing w:line="360" w:lineRule="auto"/>
              <w:ind w:left="0" w:leftChars="0" w:right="0" w:rightChars="0"/>
              <w:jc w:val="left"/>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投标人书面说明应当签字确认或者加盖公章，否则无效。书面说明的签字确认，投标人为法人的，由其法定代表人或者代理人签字确认；投标人为其他组织的，由其主要负责人或者代理人签字确认；投标人为自然人的，由其本人或者代理人签字确认。</w:t>
            </w:r>
          </w:p>
          <w:p>
            <w:pPr>
              <w:keepNext w:val="0"/>
              <w:keepLines w:val="0"/>
              <w:pageBreakBefore w:val="0"/>
              <w:widowControl/>
              <w:suppressLineNumbers w:val="0"/>
              <w:kinsoku/>
              <w:wordWrap/>
              <w:bidi w:val="0"/>
              <w:adjustRightInd w:val="0"/>
              <w:snapToGrid w:val="0"/>
              <w:spacing w:line="360" w:lineRule="auto"/>
              <w:ind w:left="0" w:leftChars="0" w:right="0" w:rightChars="0"/>
              <w:jc w:val="left"/>
              <w:textAlignment w:val="center"/>
              <w:rPr>
                <w:rFonts w:hint="eastAsia" w:ascii="仿宋" w:hAnsi="仿宋" w:eastAsia="仿宋" w:cs="仿宋"/>
                <w:i w:val="0"/>
                <w:color w:val="auto"/>
                <w:kern w:val="0"/>
                <w:sz w:val="21"/>
                <w:szCs w:val="21"/>
                <w:highlight w:val="none"/>
                <w:u w:val="none"/>
                <w:lang w:eastAsia="zh-CN" w:bidi="ar"/>
              </w:rPr>
            </w:pPr>
            <w:r>
              <w:rPr>
                <w:rFonts w:hint="eastAsia" w:ascii="仿宋" w:hAnsi="仿宋" w:eastAsia="仿宋" w:cs="仿宋"/>
                <w:i w:val="0"/>
                <w:color w:val="auto"/>
                <w:kern w:val="0"/>
                <w:sz w:val="21"/>
                <w:szCs w:val="21"/>
                <w:highlight w:val="none"/>
                <w:u w:val="none"/>
                <w:lang w:val="en-US" w:eastAsia="zh-CN" w:bidi="ar"/>
              </w:rPr>
              <w:t>投标人提供书面说明后，评标小组应当结合采购项目采购需求、专业实际情况、投标人财务状况报告、与其他投标人比较情况等就投标人书面说明进行审查评价。投标人拒绝或者变相拒绝提供有效书面说明或者书面说明不能证明其报价合理性的，评标小组应当将其投标文件作为无效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bidi w:val="0"/>
              <w:adjustRightInd w:val="0"/>
              <w:snapToGrid w:val="0"/>
              <w:spacing w:line="360" w:lineRule="auto"/>
              <w:ind w:left="0" w:leftChars="0" w:right="0" w:rightChars="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2</w:t>
            </w:r>
            <w:r>
              <w:rPr>
                <w:rFonts w:hint="eastAsia" w:ascii="仿宋" w:hAnsi="仿宋" w:eastAsia="仿宋" w:cs="仿宋"/>
                <w:i w:val="0"/>
                <w:color w:val="auto"/>
                <w:kern w:val="0"/>
                <w:sz w:val="21"/>
                <w:szCs w:val="21"/>
                <w:highlight w:val="none"/>
                <w:u w:val="none"/>
                <w:lang w:eastAsia="zh-CN" w:bidi="ar"/>
              </w:rPr>
              <w:t>2</w:t>
            </w: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bidi w:val="0"/>
              <w:adjustRightInd w:val="0"/>
              <w:snapToGrid w:val="0"/>
              <w:spacing w:line="360" w:lineRule="auto"/>
              <w:ind w:left="0" w:leftChars="0" w:right="0" w:rightChars="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3.</w:t>
            </w:r>
            <w:r>
              <w:rPr>
                <w:rFonts w:hint="eastAsia" w:ascii="仿宋" w:hAnsi="仿宋" w:eastAsia="仿宋" w:cs="仿宋"/>
                <w:i w:val="0"/>
                <w:color w:val="auto"/>
                <w:kern w:val="0"/>
                <w:sz w:val="21"/>
                <w:szCs w:val="21"/>
                <w:highlight w:val="none"/>
                <w:u w:val="none"/>
                <w:lang w:eastAsia="zh-CN" w:bidi="ar"/>
              </w:rPr>
              <w:t>7</w:t>
            </w:r>
            <w:r>
              <w:rPr>
                <w:rFonts w:hint="eastAsia" w:ascii="仿宋" w:hAnsi="仿宋" w:eastAsia="仿宋" w:cs="仿宋"/>
                <w:i w:val="0"/>
                <w:color w:val="auto"/>
                <w:kern w:val="0"/>
                <w:sz w:val="21"/>
                <w:szCs w:val="21"/>
                <w:highlight w:val="none"/>
                <w:u w:val="none"/>
                <w:lang w:val="en-US" w:eastAsia="zh-CN" w:bidi="ar"/>
              </w:rPr>
              <w:t>.1</w:t>
            </w:r>
          </w:p>
        </w:tc>
        <w:tc>
          <w:tcPr>
            <w:tcW w:w="11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bidi w:val="0"/>
              <w:adjustRightInd w:val="0"/>
              <w:snapToGrid w:val="0"/>
              <w:spacing w:line="360" w:lineRule="auto"/>
              <w:ind w:left="0" w:leftChars="0" w:right="0" w:rightChars="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投标有效期</w:t>
            </w:r>
          </w:p>
        </w:tc>
        <w:tc>
          <w:tcPr>
            <w:tcW w:w="28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bidi w:val="0"/>
              <w:adjustRightInd w:val="0"/>
              <w:snapToGrid w:val="0"/>
              <w:spacing w:line="360" w:lineRule="auto"/>
              <w:ind w:left="0" w:leftChars="0" w:right="0" w:rightChars="0"/>
              <w:jc w:val="both"/>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投标截止之日起120个日历天。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55" w:hRule="atLeast"/>
        </w:trPr>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bidi w:val="0"/>
              <w:adjustRightInd w:val="0"/>
              <w:snapToGrid w:val="0"/>
              <w:spacing w:line="360" w:lineRule="auto"/>
              <w:ind w:left="0" w:leftChars="0" w:right="0" w:rightChars="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2</w:t>
            </w:r>
            <w:r>
              <w:rPr>
                <w:rFonts w:hint="eastAsia" w:ascii="仿宋" w:hAnsi="仿宋" w:eastAsia="仿宋" w:cs="仿宋"/>
                <w:i w:val="0"/>
                <w:color w:val="auto"/>
                <w:kern w:val="0"/>
                <w:sz w:val="21"/>
                <w:szCs w:val="21"/>
                <w:highlight w:val="none"/>
                <w:u w:val="none"/>
                <w:lang w:eastAsia="zh-CN" w:bidi="ar"/>
              </w:rPr>
              <w:t>3</w:t>
            </w: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bidi w:val="0"/>
              <w:adjustRightInd w:val="0"/>
              <w:snapToGrid w:val="0"/>
              <w:spacing w:line="360" w:lineRule="auto"/>
              <w:ind w:left="0" w:leftChars="0" w:right="0" w:rightChars="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3.</w:t>
            </w:r>
            <w:r>
              <w:rPr>
                <w:rFonts w:hint="eastAsia" w:ascii="仿宋" w:hAnsi="仿宋" w:eastAsia="仿宋" w:cs="仿宋"/>
                <w:i w:val="0"/>
                <w:color w:val="auto"/>
                <w:kern w:val="0"/>
                <w:sz w:val="21"/>
                <w:szCs w:val="21"/>
                <w:highlight w:val="none"/>
                <w:u w:val="none"/>
                <w:lang w:eastAsia="zh-CN" w:bidi="ar"/>
              </w:rPr>
              <w:t>8</w:t>
            </w:r>
          </w:p>
        </w:tc>
        <w:tc>
          <w:tcPr>
            <w:tcW w:w="11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bidi w:val="0"/>
              <w:adjustRightInd w:val="0"/>
              <w:snapToGrid w:val="0"/>
              <w:spacing w:line="360" w:lineRule="auto"/>
              <w:ind w:left="0" w:leftChars="0" w:right="0" w:rightChars="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投标保证金</w:t>
            </w:r>
          </w:p>
        </w:tc>
        <w:tc>
          <w:tcPr>
            <w:tcW w:w="28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bidi w:val="0"/>
              <w:adjustRightInd w:val="0"/>
              <w:snapToGrid w:val="0"/>
              <w:spacing w:line="360" w:lineRule="auto"/>
              <w:ind w:left="0" w:leftChars="0" w:right="0" w:rightChars="0"/>
              <w:jc w:val="left"/>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投标保证金的金额：投标保证金的缴纳形式：银行电汇</w:t>
            </w:r>
          </w:p>
          <w:p>
            <w:pPr>
              <w:keepNext w:val="0"/>
              <w:keepLines w:val="0"/>
              <w:pageBreakBefore w:val="0"/>
              <w:widowControl/>
              <w:suppressLineNumbers w:val="0"/>
              <w:kinsoku/>
              <w:wordWrap/>
              <w:bidi w:val="0"/>
              <w:adjustRightInd w:val="0"/>
              <w:snapToGrid w:val="0"/>
              <w:spacing w:line="360" w:lineRule="auto"/>
              <w:ind w:left="0" w:leftChars="0" w:right="0" w:rightChars="0"/>
              <w:jc w:val="left"/>
              <w:textAlignment w:val="center"/>
              <w:rPr>
                <w:rFonts w:hint="eastAsia" w:ascii="仿宋" w:hAnsi="仿宋" w:eastAsia="仿宋" w:cs="仿宋"/>
                <w:color w:val="auto"/>
                <w:sz w:val="21"/>
                <w:szCs w:val="21"/>
                <w:highlight w:val="none"/>
                <w:lang w:val="en-US" w:eastAsia="zh-CN"/>
              </w:rPr>
            </w:pPr>
            <w:r>
              <w:rPr>
                <w:rFonts w:hint="eastAsia" w:ascii="仿宋" w:hAnsi="仿宋" w:eastAsia="仿宋" w:cs="仿宋"/>
                <w:i w:val="0"/>
                <w:color w:val="auto"/>
                <w:kern w:val="0"/>
                <w:sz w:val="21"/>
                <w:szCs w:val="21"/>
                <w:highlight w:val="none"/>
                <w:u w:val="none"/>
                <w:lang w:val="en-US" w:eastAsia="zh-CN" w:bidi="ar"/>
              </w:rPr>
              <w:t>1、投标保证金须以投标单位名义递交，电汇递交投标保证金须注意：投标保证金交纳单位必须与投标单位名称保持一致，并注明“ZSZC-HW-2022004标项</w:t>
            </w:r>
            <w:r>
              <w:rPr>
                <w:rFonts w:hint="eastAsia" w:ascii="仿宋" w:hAnsi="仿宋" w:eastAsia="仿宋" w:cs="仿宋"/>
                <w:color w:val="auto"/>
                <w:sz w:val="21"/>
                <w:szCs w:val="21"/>
                <w:highlight w:val="none"/>
                <w:lang w:val="en-US" w:eastAsia="zh-CN"/>
              </w:rPr>
              <w:t>X</w:t>
            </w:r>
            <w:r>
              <w:rPr>
                <w:rFonts w:hint="eastAsia" w:ascii="仿宋" w:hAnsi="仿宋" w:eastAsia="仿宋" w:cs="仿宋"/>
                <w:i w:val="0"/>
                <w:color w:val="auto"/>
                <w:kern w:val="0"/>
                <w:sz w:val="21"/>
                <w:szCs w:val="21"/>
                <w:highlight w:val="none"/>
                <w:u w:val="none"/>
                <w:lang w:val="en-US" w:eastAsia="zh-CN" w:bidi="ar"/>
              </w:rPr>
              <w:t>投标保证金”字样，否则，因款项用途不明导致投标无效等</w:t>
            </w:r>
            <w:r>
              <w:rPr>
                <w:rFonts w:hint="eastAsia" w:ascii="仿宋" w:hAnsi="仿宋" w:eastAsia="仿宋" w:cs="仿宋"/>
                <w:color w:val="auto"/>
                <w:sz w:val="21"/>
                <w:szCs w:val="21"/>
                <w:highlight w:val="none"/>
                <w:lang w:val="en-US" w:eastAsia="zh-CN"/>
              </w:rPr>
              <w:t>后果由投标人自行承担。</w:t>
            </w:r>
          </w:p>
          <w:p>
            <w:pPr>
              <w:keepNext w:val="0"/>
              <w:keepLines w:val="0"/>
              <w:pageBreakBefore w:val="0"/>
              <w:widowControl/>
              <w:suppressLineNumbers w:val="0"/>
              <w:kinsoku/>
              <w:wordWrap/>
              <w:bidi w:val="0"/>
              <w:adjustRightInd w:val="0"/>
              <w:snapToGrid w:val="0"/>
              <w:spacing w:line="360" w:lineRule="auto"/>
              <w:ind w:left="0" w:leftChars="0" w:right="0" w:rightChars="0"/>
              <w:jc w:val="left"/>
              <w:textAlignment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eastAsia="zh-CN"/>
              </w:rPr>
              <w:t>2</w:t>
            </w:r>
            <w:r>
              <w:rPr>
                <w:rFonts w:hint="eastAsia" w:ascii="仿宋" w:hAnsi="仿宋" w:eastAsia="仿宋" w:cs="仿宋"/>
                <w:color w:val="auto"/>
                <w:sz w:val="21"/>
                <w:szCs w:val="21"/>
                <w:highlight w:val="none"/>
                <w:lang w:val="en-US" w:eastAsia="zh-CN"/>
              </w:rPr>
              <w:t>、建议各投标单位在投标截止时间前，按</w:t>
            </w:r>
            <w:r>
              <w:rPr>
                <w:rFonts w:hint="eastAsia" w:ascii="仿宋" w:hAnsi="仿宋" w:eastAsia="仿宋" w:cs="仿宋"/>
                <w:color w:val="auto"/>
                <w:sz w:val="21"/>
                <w:szCs w:val="21"/>
                <w:highlight w:val="none"/>
                <w:lang w:eastAsia="zh-CN"/>
              </w:rPr>
              <w:t>招标文件</w:t>
            </w:r>
            <w:r>
              <w:rPr>
                <w:rFonts w:hint="eastAsia" w:ascii="仿宋" w:hAnsi="仿宋" w:eastAsia="仿宋" w:cs="仿宋"/>
                <w:color w:val="auto"/>
                <w:sz w:val="21"/>
                <w:szCs w:val="21"/>
                <w:highlight w:val="none"/>
                <w:lang w:val="en-US" w:eastAsia="zh-CN"/>
              </w:rPr>
              <w:t>的要求向新疆筑石工程项目管理有限公司财务部递交投标保证金，投标截止时间后提交投标保证金将被拒绝。</w:t>
            </w:r>
          </w:p>
          <w:p>
            <w:pPr>
              <w:keepNext w:val="0"/>
              <w:keepLines w:val="0"/>
              <w:pageBreakBefore w:val="0"/>
              <w:widowControl/>
              <w:suppressLineNumbers w:val="0"/>
              <w:kinsoku/>
              <w:wordWrap/>
              <w:bidi w:val="0"/>
              <w:adjustRightInd w:val="0"/>
              <w:snapToGrid w:val="0"/>
              <w:spacing w:line="360" w:lineRule="auto"/>
              <w:ind w:left="0" w:leftChars="0" w:right="0" w:rightChars="0"/>
              <w:jc w:val="left"/>
              <w:textAlignment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汇款账户如下：</w:t>
            </w:r>
          </w:p>
          <w:p>
            <w:pPr>
              <w:keepNext w:val="0"/>
              <w:keepLines w:val="0"/>
              <w:pageBreakBefore w:val="0"/>
              <w:widowControl/>
              <w:suppressLineNumbers w:val="0"/>
              <w:kinsoku/>
              <w:wordWrap/>
              <w:bidi w:val="0"/>
              <w:adjustRightInd w:val="0"/>
              <w:snapToGrid w:val="0"/>
              <w:spacing w:line="360" w:lineRule="auto"/>
              <w:ind w:left="0" w:leftChars="0" w:right="0" w:rightChars="0"/>
              <w:jc w:val="left"/>
              <w:textAlignment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单位名称：新疆筑石工程项目管理有限公司</w:t>
            </w:r>
          </w:p>
          <w:p>
            <w:pPr>
              <w:keepNext w:val="0"/>
              <w:keepLines w:val="0"/>
              <w:pageBreakBefore w:val="0"/>
              <w:widowControl/>
              <w:suppressLineNumbers w:val="0"/>
              <w:kinsoku/>
              <w:wordWrap/>
              <w:bidi w:val="0"/>
              <w:adjustRightInd w:val="0"/>
              <w:snapToGrid w:val="0"/>
              <w:spacing w:line="360" w:lineRule="auto"/>
              <w:ind w:left="0" w:leftChars="0" w:right="0" w:rightChars="0"/>
              <w:jc w:val="left"/>
              <w:textAlignment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开 户 行：中国农业银行股份有限公司乌鲁木齐七道湾支行</w:t>
            </w:r>
          </w:p>
          <w:p>
            <w:pPr>
              <w:keepNext w:val="0"/>
              <w:keepLines w:val="0"/>
              <w:pageBreakBefore w:val="0"/>
              <w:widowControl/>
              <w:suppressLineNumbers w:val="0"/>
              <w:kinsoku/>
              <w:wordWrap/>
              <w:bidi w:val="0"/>
              <w:adjustRightInd w:val="0"/>
              <w:snapToGrid w:val="0"/>
              <w:spacing w:line="360" w:lineRule="auto"/>
              <w:ind w:left="0" w:leftChars="0" w:right="0" w:rightChars="0"/>
              <w:jc w:val="left"/>
              <w:textAlignment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 xml:space="preserve">开户行号：103881001270 </w:t>
            </w:r>
          </w:p>
          <w:p>
            <w:pPr>
              <w:keepNext w:val="0"/>
              <w:keepLines w:val="0"/>
              <w:pageBreakBefore w:val="0"/>
              <w:widowControl/>
              <w:suppressLineNumbers w:val="0"/>
              <w:kinsoku/>
              <w:wordWrap/>
              <w:bidi w:val="0"/>
              <w:adjustRightInd w:val="0"/>
              <w:snapToGrid w:val="0"/>
              <w:spacing w:line="360" w:lineRule="auto"/>
              <w:ind w:left="0" w:leftChars="0" w:right="0" w:rightChars="0"/>
              <w:jc w:val="left"/>
              <w:textAlignment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账   号：30012701040007741</w:t>
            </w:r>
          </w:p>
          <w:p>
            <w:pPr>
              <w:keepNext w:val="0"/>
              <w:keepLines w:val="0"/>
              <w:pageBreakBefore w:val="0"/>
              <w:widowControl/>
              <w:suppressLineNumbers w:val="0"/>
              <w:kinsoku/>
              <w:wordWrap/>
              <w:bidi w:val="0"/>
              <w:adjustRightInd w:val="0"/>
              <w:snapToGrid w:val="0"/>
              <w:spacing w:line="360" w:lineRule="auto"/>
              <w:ind w:left="0" w:leftChars="0" w:right="0" w:rightChars="0"/>
              <w:jc w:val="left"/>
              <w:textAlignment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请投标人在汇款时务必按要求</w:t>
            </w:r>
            <w:r>
              <w:rPr>
                <w:rFonts w:hint="eastAsia" w:ascii="仿宋" w:hAnsi="仿宋" w:eastAsia="仿宋" w:cs="仿宋"/>
                <w:color w:val="auto"/>
                <w:sz w:val="21"/>
                <w:szCs w:val="21"/>
                <w:highlight w:val="none"/>
                <w:lang w:val="en-US" w:eastAsia="zh-Hans"/>
              </w:rPr>
              <w:t>将项目编号</w:t>
            </w:r>
            <w:r>
              <w:rPr>
                <w:rFonts w:hint="eastAsia" w:ascii="仿宋" w:hAnsi="仿宋" w:eastAsia="仿宋" w:cs="仿宋"/>
                <w:color w:val="auto"/>
                <w:sz w:val="21"/>
                <w:szCs w:val="21"/>
                <w:highlight w:val="none"/>
                <w:lang w:val="en-US" w:eastAsia="zh-CN"/>
              </w:rPr>
              <w:t>“ZSZC-HW-2022004标项X投标保证金”</w:t>
            </w:r>
            <w:r>
              <w:rPr>
                <w:rFonts w:hint="eastAsia" w:ascii="仿宋" w:hAnsi="仿宋" w:eastAsia="仿宋" w:cs="仿宋"/>
                <w:color w:val="auto"/>
                <w:sz w:val="21"/>
                <w:szCs w:val="21"/>
                <w:highlight w:val="none"/>
                <w:lang w:val="en-US" w:eastAsia="zh-Hans"/>
              </w:rPr>
              <w:t>字样写在汇款用途栏里</w:t>
            </w:r>
            <w:r>
              <w:rPr>
                <w:rFonts w:hint="eastAsia" w:ascii="仿宋" w:hAnsi="仿宋" w:eastAsia="仿宋" w:cs="仿宋"/>
                <w:color w:val="auto"/>
                <w:sz w:val="21"/>
                <w:szCs w:val="21"/>
                <w:highlight w:val="none"/>
                <w:lang w:eastAsia="zh-Hans"/>
              </w:rPr>
              <w:t>，</w:t>
            </w:r>
            <w:r>
              <w:rPr>
                <w:rFonts w:hint="eastAsia" w:ascii="仿宋" w:hAnsi="仿宋" w:eastAsia="仿宋" w:cs="仿宋"/>
                <w:color w:val="auto"/>
                <w:sz w:val="21"/>
                <w:szCs w:val="21"/>
                <w:highlight w:val="none"/>
                <w:lang w:val="en-US" w:eastAsia="zh-CN"/>
              </w:rPr>
              <w:t>否则，因款项用途不明导致投标无效等后果由投标人自行承担。</w:t>
            </w:r>
          </w:p>
          <w:p>
            <w:pPr>
              <w:keepNext w:val="0"/>
              <w:keepLines w:val="0"/>
              <w:pageBreakBefore w:val="0"/>
              <w:widowControl/>
              <w:suppressLineNumbers w:val="0"/>
              <w:kinsoku/>
              <w:wordWrap/>
              <w:bidi w:val="0"/>
              <w:adjustRightInd w:val="0"/>
              <w:snapToGrid w:val="0"/>
              <w:spacing w:line="360" w:lineRule="auto"/>
              <w:ind w:left="0" w:leftChars="0" w:right="0" w:rightChars="0"/>
              <w:jc w:val="left"/>
              <w:textAlignment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投标保证金，最迟在中标人签订合同后5日内退还；</w:t>
            </w:r>
          </w:p>
          <w:p>
            <w:pPr>
              <w:keepNext w:val="0"/>
              <w:keepLines w:val="0"/>
              <w:pageBreakBefore w:val="0"/>
              <w:widowControl/>
              <w:suppressLineNumbers w:val="0"/>
              <w:kinsoku/>
              <w:wordWrap/>
              <w:bidi w:val="0"/>
              <w:adjustRightInd w:val="0"/>
              <w:snapToGrid w:val="0"/>
              <w:spacing w:line="360" w:lineRule="auto"/>
              <w:ind w:left="0" w:leftChars="0" w:right="0" w:rightChars="0"/>
              <w:jc w:val="left"/>
              <w:textAlignment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发生以下情形，投标保证金不予退还：（1）投标截</w:t>
            </w:r>
          </w:p>
          <w:p>
            <w:pPr>
              <w:keepNext w:val="0"/>
              <w:keepLines w:val="0"/>
              <w:pageBreakBefore w:val="0"/>
              <w:widowControl/>
              <w:suppressLineNumbers w:val="0"/>
              <w:kinsoku/>
              <w:wordWrap/>
              <w:bidi w:val="0"/>
              <w:adjustRightInd w:val="0"/>
              <w:snapToGrid w:val="0"/>
              <w:spacing w:line="360" w:lineRule="auto"/>
              <w:ind w:left="0" w:leftChars="0" w:right="0" w:rightChars="0"/>
              <w:jc w:val="left"/>
              <w:textAlignment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止后投标人撤销投标文件的；（2）中标后无正当理</w:t>
            </w:r>
          </w:p>
          <w:p>
            <w:pPr>
              <w:keepNext w:val="0"/>
              <w:keepLines w:val="0"/>
              <w:pageBreakBefore w:val="0"/>
              <w:widowControl/>
              <w:suppressLineNumbers w:val="0"/>
              <w:kinsoku/>
              <w:wordWrap/>
              <w:bidi w:val="0"/>
              <w:adjustRightInd w:val="0"/>
              <w:snapToGrid w:val="0"/>
              <w:spacing w:line="360" w:lineRule="auto"/>
              <w:ind w:left="0" w:leftChars="0" w:right="0" w:rightChars="0"/>
              <w:jc w:val="left"/>
              <w:textAlignment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由不签订合同的；（3）在签订合同时向招标人提出</w:t>
            </w:r>
          </w:p>
          <w:p>
            <w:pPr>
              <w:keepNext w:val="0"/>
              <w:keepLines w:val="0"/>
              <w:pageBreakBefore w:val="0"/>
              <w:widowControl/>
              <w:suppressLineNumbers w:val="0"/>
              <w:kinsoku/>
              <w:wordWrap/>
              <w:bidi w:val="0"/>
              <w:adjustRightInd w:val="0"/>
              <w:snapToGrid w:val="0"/>
              <w:spacing w:line="360" w:lineRule="auto"/>
              <w:ind w:left="0" w:leftChars="0" w:right="0" w:rightChars="0"/>
              <w:jc w:val="left"/>
              <w:textAlignment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附加条件，取消其中标资格。</w:t>
            </w:r>
          </w:p>
          <w:p>
            <w:pPr>
              <w:spacing w:line="360" w:lineRule="auto"/>
              <w:rPr>
                <w:rFonts w:hint="eastAsia" w:ascii="仿宋" w:hAnsi="仿宋" w:eastAsia="仿宋" w:cs="仿宋"/>
                <w:color w:val="auto"/>
                <w:sz w:val="21"/>
                <w:szCs w:val="24"/>
                <w:highlight w:val="none"/>
                <w:lang w:val="en-US" w:eastAsia="zh-CN"/>
              </w:rPr>
            </w:pPr>
            <w:r>
              <w:rPr>
                <w:rFonts w:hint="eastAsia" w:ascii="仿宋" w:hAnsi="仿宋" w:eastAsia="仿宋" w:cs="仿宋"/>
                <w:color w:val="auto"/>
                <w:sz w:val="21"/>
                <w:szCs w:val="24"/>
                <w:highlight w:val="none"/>
                <w:lang w:val="en-US" w:eastAsia="zh-CN"/>
              </w:rPr>
              <w:t>标项1：南湖北路片区管委会项目；保证金：1万元；</w:t>
            </w:r>
          </w:p>
          <w:p>
            <w:pPr>
              <w:spacing w:line="360" w:lineRule="auto"/>
              <w:rPr>
                <w:rFonts w:hint="eastAsia" w:ascii="仿宋" w:hAnsi="仿宋" w:eastAsia="仿宋" w:cs="仿宋"/>
                <w:color w:val="auto"/>
                <w:sz w:val="21"/>
                <w:szCs w:val="24"/>
                <w:highlight w:val="none"/>
                <w:lang w:val="en-US" w:eastAsia="zh-Hans"/>
              </w:rPr>
            </w:pPr>
            <w:r>
              <w:rPr>
                <w:rFonts w:hint="eastAsia" w:ascii="仿宋" w:hAnsi="仿宋" w:eastAsia="仿宋" w:cs="仿宋"/>
                <w:color w:val="auto"/>
                <w:sz w:val="21"/>
                <w:szCs w:val="24"/>
                <w:highlight w:val="none"/>
                <w:lang w:val="en-US" w:eastAsia="zh-CN"/>
              </w:rPr>
              <w:t>标项2：龙盛街片区管委会项目；保证金：1万元；</w:t>
            </w:r>
          </w:p>
          <w:p>
            <w:pPr>
              <w:spacing w:line="360" w:lineRule="auto"/>
              <w:rPr>
                <w:rFonts w:hint="eastAsia" w:ascii="仿宋" w:hAnsi="仿宋" w:eastAsia="仿宋" w:cs="仿宋"/>
                <w:color w:val="auto"/>
                <w:sz w:val="21"/>
                <w:szCs w:val="24"/>
                <w:highlight w:val="none"/>
                <w:lang w:val="en-US" w:eastAsia="zh-CN"/>
              </w:rPr>
            </w:pPr>
            <w:r>
              <w:rPr>
                <w:rFonts w:hint="eastAsia" w:ascii="仿宋" w:hAnsi="仿宋" w:eastAsia="仿宋" w:cs="仿宋"/>
                <w:color w:val="auto"/>
                <w:sz w:val="21"/>
                <w:szCs w:val="24"/>
                <w:highlight w:val="none"/>
                <w:lang w:val="en-US" w:eastAsia="zh-CN"/>
              </w:rPr>
              <w:t>标项3：苇胡梁片区管委会项目；保证金：1万元；</w:t>
            </w:r>
          </w:p>
          <w:p>
            <w:pPr>
              <w:spacing w:line="360" w:lineRule="auto"/>
              <w:rPr>
                <w:rFonts w:hint="eastAsia" w:ascii="仿宋" w:hAnsi="仿宋" w:eastAsia="仿宋" w:cs="仿宋"/>
                <w:color w:val="auto"/>
                <w:sz w:val="21"/>
                <w:szCs w:val="24"/>
                <w:highlight w:val="none"/>
                <w:lang w:val="en-US" w:eastAsia="zh-CN"/>
              </w:rPr>
            </w:pPr>
            <w:r>
              <w:rPr>
                <w:rFonts w:hint="eastAsia" w:ascii="仿宋" w:hAnsi="仿宋" w:eastAsia="仿宋" w:cs="仿宋"/>
                <w:color w:val="auto"/>
                <w:sz w:val="21"/>
                <w:szCs w:val="24"/>
                <w:highlight w:val="none"/>
                <w:lang w:val="en-US" w:eastAsia="zh-CN"/>
              </w:rPr>
              <w:t>标项4：振安街片区管委会项目；保证金：1万元；</w:t>
            </w:r>
          </w:p>
          <w:p>
            <w:pPr>
              <w:spacing w:line="360" w:lineRule="auto"/>
              <w:rPr>
                <w:rFonts w:hint="eastAsia" w:ascii="仿宋" w:hAnsi="仿宋" w:eastAsia="仿宋" w:cs="仿宋"/>
                <w:color w:val="auto"/>
                <w:sz w:val="21"/>
                <w:szCs w:val="24"/>
                <w:highlight w:val="none"/>
                <w:lang w:val="en-US" w:eastAsia="zh-CN"/>
              </w:rPr>
            </w:pPr>
            <w:r>
              <w:rPr>
                <w:rFonts w:hint="eastAsia" w:ascii="仿宋" w:hAnsi="仿宋" w:eastAsia="仿宋" w:cs="仿宋"/>
                <w:color w:val="auto"/>
                <w:sz w:val="21"/>
                <w:szCs w:val="24"/>
                <w:highlight w:val="none"/>
                <w:lang w:val="en-US" w:eastAsia="zh-CN"/>
              </w:rPr>
              <w:t>标项5：榆树沟片区管委会项目；保证金：1万元；标项6：七道湾片区管委会项目；保证金：1万元；</w:t>
            </w:r>
          </w:p>
          <w:p>
            <w:pPr>
              <w:spacing w:line="360" w:lineRule="auto"/>
              <w:rPr>
                <w:rFonts w:hint="eastAsia" w:ascii="仿宋" w:hAnsi="仿宋" w:eastAsia="仿宋" w:cs="仿宋"/>
                <w:color w:val="auto"/>
                <w:sz w:val="21"/>
                <w:szCs w:val="24"/>
                <w:highlight w:val="none"/>
                <w:lang w:val="en-US" w:eastAsia="zh-CN"/>
              </w:rPr>
            </w:pPr>
            <w:r>
              <w:rPr>
                <w:rFonts w:hint="eastAsia" w:ascii="仿宋" w:hAnsi="仿宋" w:eastAsia="仿宋" w:cs="仿宋"/>
                <w:color w:val="auto"/>
                <w:sz w:val="21"/>
                <w:szCs w:val="24"/>
                <w:highlight w:val="none"/>
                <w:lang w:val="en-US" w:eastAsia="zh-CN"/>
              </w:rPr>
              <w:t>标项7：</w:t>
            </w:r>
            <w:r>
              <w:rPr>
                <w:rFonts w:hint="eastAsia" w:ascii="仿宋" w:hAnsi="仿宋" w:eastAsia="仿宋" w:cs="仿宋"/>
                <w:color w:val="auto"/>
                <w:sz w:val="21"/>
                <w:szCs w:val="24"/>
                <w:highlight w:val="none"/>
                <w:lang w:val="en-US" w:eastAsia="zh-Hans"/>
              </w:rPr>
              <w:t>河马泉片区管委会</w:t>
            </w:r>
            <w:r>
              <w:rPr>
                <w:rFonts w:hint="eastAsia" w:ascii="仿宋" w:hAnsi="仿宋" w:eastAsia="仿宋" w:cs="仿宋"/>
                <w:color w:val="auto"/>
                <w:sz w:val="21"/>
                <w:szCs w:val="24"/>
                <w:highlight w:val="none"/>
                <w:lang w:val="en-US" w:eastAsia="zh-CN"/>
              </w:rPr>
              <w:t>项目；保证金：0.4万元；</w:t>
            </w:r>
          </w:p>
          <w:p>
            <w:pPr>
              <w:spacing w:line="360" w:lineRule="auto"/>
              <w:rPr>
                <w:rFonts w:hint="eastAsia" w:ascii="仿宋" w:hAnsi="仿宋" w:eastAsia="仿宋" w:cs="仿宋"/>
                <w:color w:val="auto"/>
                <w:sz w:val="21"/>
                <w:szCs w:val="24"/>
                <w:highlight w:val="none"/>
                <w:lang w:val="en-US" w:eastAsia="zh-CN"/>
              </w:rPr>
            </w:pPr>
            <w:r>
              <w:rPr>
                <w:rFonts w:hint="eastAsia" w:ascii="仿宋" w:hAnsi="仿宋" w:eastAsia="仿宋" w:cs="仿宋"/>
                <w:color w:val="auto"/>
                <w:sz w:val="21"/>
                <w:szCs w:val="24"/>
                <w:highlight w:val="none"/>
                <w:lang w:val="en-US" w:eastAsia="zh-CN"/>
              </w:rPr>
              <w:t>标项8：华光街片区管委会项目；保证金：1万元；</w:t>
            </w:r>
          </w:p>
          <w:p>
            <w:pPr>
              <w:spacing w:line="360" w:lineRule="auto"/>
              <w:rPr>
                <w:rFonts w:hint="eastAsia" w:ascii="仿宋" w:hAnsi="仿宋" w:eastAsia="仿宋" w:cs="仿宋"/>
                <w:color w:val="auto"/>
                <w:sz w:val="21"/>
                <w:szCs w:val="24"/>
                <w:highlight w:val="none"/>
                <w:lang w:val="en-US" w:eastAsia="zh-CN"/>
              </w:rPr>
            </w:pPr>
            <w:r>
              <w:rPr>
                <w:rFonts w:hint="eastAsia" w:ascii="仿宋" w:hAnsi="仿宋" w:eastAsia="仿宋" w:cs="仿宋"/>
                <w:color w:val="auto"/>
                <w:sz w:val="21"/>
                <w:szCs w:val="24"/>
                <w:highlight w:val="none"/>
                <w:lang w:val="en-US" w:eastAsia="zh-CN"/>
              </w:rPr>
              <w:t>标项9：石人沟七篇管委会项目；保证金：0.3万元；</w:t>
            </w:r>
          </w:p>
          <w:p>
            <w:pPr>
              <w:spacing w:line="360" w:lineRule="auto"/>
              <w:rPr>
                <w:rFonts w:hint="eastAsia" w:ascii="仿宋" w:hAnsi="仿宋" w:eastAsia="仿宋" w:cs="仿宋"/>
                <w:color w:val="auto"/>
                <w:sz w:val="21"/>
                <w:szCs w:val="24"/>
                <w:highlight w:val="none"/>
                <w:lang w:val="en-US" w:eastAsia="zh-CN"/>
              </w:rPr>
            </w:pPr>
            <w:r>
              <w:rPr>
                <w:rFonts w:hint="eastAsia" w:ascii="仿宋" w:hAnsi="仿宋" w:eastAsia="仿宋" w:cs="仿宋"/>
                <w:color w:val="auto"/>
                <w:sz w:val="21"/>
                <w:szCs w:val="24"/>
                <w:highlight w:val="none"/>
                <w:lang w:val="en-US" w:eastAsia="zh-CN"/>
              </w:rPr>
              <w:t>标项10：新民路片区管委会项目；保证金：1万元；</w:t>
            </w:r>
          </w:p>
          <w:p>
            <w:pPr>
              <w:spacing w:line="360" w:lineRule="auto"/>
              <w:rPr>
                <w:rFonts w:hint="eastAsia" w:ascii="仿宋" w:hAnsi="仿宋" w:eastAsia="仿宋" w:cs="仿宋"/>
                <w:color w:val="auto"/>
                <w:sz w:val="21"/>
                <w:szCs w:val="24"/>
                <w:highlight w:val="none"/>
                <w:lang w:val="en-US" w:eastAsia="zh-CN"/>
              </w:rPr>
            </w:pPr>
            <w:r>
              <w:rPr>
                <w:rFonts w:hint="eastAsia" w:ascii="仿宋" w:hAnsi="仿宋" w:eastAsia="仿宋" w:cs="仿宋"/>
                <w:color w:val="auto"/>
                <w:sz w:val="21"/>
                <w:szCs w:val="24"/>
                <w:highlight w:val="none"/>
                <w:lang w:val="en-US" w:eastAsia="zh-CN"/>
              </w:rPr>
              <w:t>标项11：南湖南路片区管委会项目；保证金：1万元；</w:t>
            </w:r>
          </w:p>
          <w:p>
            <w:pPr>
              <w:spacing w:line="360" w:lineRule="auto"/>
              <w:rPr>
                <w:rFonts w:hint="eastAsia" w:ascii="仿宋" w:hAnsi="仿宋" w:eastAsia="仿宋" w:cs="仿宋"/>
                <w:color w:val="auto"/>
                <w:sz w:val="21"/>
                <w:szCs w:val="24"/>
                <w:highlight w:val="none"/>
                <w:lang w:val="en-US" w:eastAsia="zh-CN"/>
              </w:rPr>
            </w:pPr>
            <w:r>
              <w:rPr>
                <w:rFonts w:hint="eastAsia" w:ascii="仿宋" w:hAnsi="仿宋" w:eastAsia="仿宋" w:cs="仿宋"/>
                <w:color w:val="auto"/>
                <w:sz w:val="21"/>
                <w:szCs w:val="24"/>
                <w:highlight w:val="none"/>
                <w:lang w:val="en-US" w:eastAsia="zh-CN"/>
              </w:rPr>
              <w:t>标项12：六道湾片区管委会项目；保证金：1万元；</w:t>
            </w:r>
          </w:p>
          <w:p>
            <w:pPr>
              <w:spacing w:line="360" w:lineRule="auto"/>
              <w:rPr>
                <w:rFonts w:hint="eastAsia" w:ascii="仿宋" w:hAnsi="仿宋" w:eastAsia="仿宋" w:cs="仿宋"/>
                <w:color w:val="auto"/>
                <w:sz w:val="21"/>
                <w:szCs w:val="24"/>
                <w:highlight w:val="none"/>
                <w:lang w:val="en-US" w:eastAsia="zh-CN"/>
              </w:rPr>
            </w:pPr>
            <w:r>
              <w:rPr>
                <w:rFonts w:hint="eastAsia" w:ascii="仿宋" w:hAnsi="仿宋" w:eastAsia="仿宋" w:cs="仿宋"/>
                <w:color w:val="auto"/>
                <w:sz w:val="21"/>
                <w:szCs w:val="24"/>
                <w:highlight w:val="none"/>
                <w:lang w:val="en-US" w:eastAsia="zh-CN"/>
              </w:rPr>
              <w:t>标项13：八道湾片区管委会项目；保证金：1万元；</w:t>
            </w:r>
          </w:p>
          <w:p>
            <w:pPr>
              <w:spacing w:line="360" w:lineRule="auto"/>
              <w:rPr>
                <w:rFonts w:hint="eastAsia" w:ascii="仿宋" w:hAnsi="仿宋" w:eastAsia="仿宋" w:cs="仿宋"/>
                <w:color w:val="auto"/>
                <w:sz w:val="21"/>
                <w:szCs w:val="24"/>
                <w:highlight w:val="none"/>
                <w:lang w:val="en-US" w:eastAsia="zh-CN"/>
              </w:rPr>
            </w:pPr>
            <w:r>
              <w:rPr>
                <w:rFonts w:hint="eastAsia" w:ascii="仿宋" w:hAnsi="仿宋" w:eastAsia="仿宋" w:cs="仿宋"/>
                <w:color w:val="auto"/>
                <w:sz w:val="21"/>
                <w:szCs w:val="24"/>
                <w:highlight w:val="none"/>
                <w:lang w:val="en-US" w:eastAsia="zh-CN"/>
              </w:rPr>
              <w:t>标项14：水塔山片区管委会项目；保证金：0.4万元；</w:t>
            </w:r>
          </w:p>
          <w:p>
            <w:pPr>
              <w:spacing w:line="360" w:lineRule="auto"/>
              <w:rPr>
                <w:rFonts w:hint="eastAsia" w:ascii="仿宋" w:hAnsi="仿宋" w:eastAsia="仿宋" w:cs="仿宋"/>
                <w:color w:val="auto"/>
                <w:sz w:val="21"/>
                <w:szCs w:val="24"/>
                <w:highlight w:val="none"/>
                <w:lang w:val="en-US" w:eastAsia="zh-CN"/>
              </w:rPr>
            </w:pPr>
            <w:r>
              <w:rPr>
                <w:rFonts w:hint="eastAsia" w:ascii="仿宋" w:hAnsi="仿宋" w:eastAsia="仿宋" w:cs="仿宋"/>
                <w:color w:val="auto"/>
                <w:sz w:val="21"/>
                <w:szCs w:val="24"/>
                <w:highlight w:val="none"/>
                <w:lang w:val="en-US" w:eastAsia="zh-CN"/>
              </w:rPr>
              <w:t>标项15：七纺片区管委会项目；保证金：1万元；</w:t>
            </w:r>
          </w:p>
          <w:p>
            <w:pPr>
              <w:spacing w:line="360" w:lineRule="auto"/>
              <w:rPr>
                <w:rFonts w:hint="eastAsia"/>
                <w:color w:val="auto"/>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70" w:hRule="atLeast"/>
        </w:trPr>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bidi w:val="0"/>
              <w:adjustRightInd w:val="0"/>
              <w:snapToGrid w:val="0"/>
              <w:spacing w:line="360" w:lineRule="auto"/>
              <w:ind w:left="0" w:leftChars="0" w:right="0" w:rightChars="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sz w:val="21"/>
                <w:szCs w:val="21"/>
                <w:highlight w:val="none"/>
                <w:u w:val="none"/>
              </w:rPr>
              <w:t>24</w:t>
            </w: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bidi w:val="0"/>
              <w:adjustRightInd w:val="0"/>
              <w:snapToGrid w:val="0"/>
              <w:spacing w:line="360" w:lineRule="auto"/>
              <w:ind w:left="0" w:leftChars="0" w:right="0" w:rightChars="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3.</w:t>
            </w:r>
            <w:r>
              <w:rPr>
                <w:rFonts w:hint="eastAsia" w:ascii="仿宋" w:hAnsi="仿宋" w:eastAsia="仿宋" w:cs="仿宋"/>
                <w:i w:val="0"/>
                <w:color w:val="auto"/>
                <w:kern w:val="0"/>
                <w:sz w:val="21"/>
                <w:szCs w:val="21"/>
                <w:highlight w:val="none"/>
                <w:u w:val="none"/>
                <w:lang w:eastAsia="zh-CN" w:bidi="ar"/>
              </w:rPr>
              <w:t>9</w:t>
            </w:r>
          </w:p>
        </w:tc>
        <w:tc>
          <w:tcPr>
            <w:tcW w:w="11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bidi w:val="0"/>
              <w:adjustRightInd w:val="0"/>
              <w:snapToGrid w:val="0"/>
              <w:spacing w:line="360" w:lineRule="auto"/>
              <w:ind w:left="0" w:leftChars="0" w:right="0" w:rightChars="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近年完成的类似业绩及时间要求</w:t>
            </w:r>
          </w:p>
        </w:tc>
        <w:tc>
          <w:tcPr>
            <w:tcW w:w="28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360" w:lineRule="auto"/>
              <w:ind w:left="0" w:leftChars="0" w:right="0" w:rightChars="0"/>
              <w:jc w:val="left"/>
              <w:textAlignment w:val="auto"/>
              <w:outlineLvl w:val="9"/>
              <w:rPr>
                <w:rFonts w:hint="eastAsia" w:ascii="仿宋" w:hAnsi="仿宋" w:eastAsia="仿宋" w:cs="仿宋"/>
                <w:i w:val="0"/>
                <w:color w:val="auto"/>
                <w:sz w:val="21"/>
                <w:szCs w:val="21"/>
                <w:highlight w:val="none"/>
                <w:u w:val="none"/>
              </w:rPr>
            </w:pPr>
            <w:r>
              <w:rPr>
                <w:rFonts w:hint="eastAsia" w:ascii="仿宋" w:hAnsi="仿宋" w:eastAsia="仿宋" w:cs="仿宋"/>
                <w:color w:val="auto"/>
                <w:highlight w:val="none"/>
                <w:lang w:val="en-US" w:eastAsia="zh-Hans"/>
              </w:rPr>
              <w:t>投标人须提近三年</w:t>
            </w:r>
            <w:r>
              <w:rPr>
                <w:rFonts w:hint="eastAsia" w:ascii="仿宋" w:hAnsi="仿宋" w:eastAsia="仿宋" w:cs="仿宋"/>
                <w:color w:val="auto"/>
                <w:highlight w:val="none"/>
                <w:lang w:eastAsia="zh-Hans"/>
              </w:rPr>
              <w:t>（201</w:t>
            </w:r>
            <w:r>
              <w:rPr>
                <w:rFonts w:hint="eastAsia" w:ascii="仿宋" w:hAnsi="仿宋" w:eastAsia="仿宋" w:cs="仿宋"/>
                <w:color w:val="auto"/>
                <w:highlight w:val="none"/>
                <w:lang w:val="en-US" w:eastAsia="zh-CN"/>
              </w:rPr>
              <w:t>9</w:t>
            </w:r>
            <w:r>
              <w:rPr>
                <w:rFonts w:hint="eastAsia" w:ascii="仿宋" w:hAnsi="仿宋" w:eastAsia="仿宋" w:cs="仿宋"/>
                <w:color w:val="auto"/>
                <w:highlight w:val="none"/>
                <w:lang w:val="en-US" w:eastAsia="zh-Hans"/>
              </w:rPr>
              <w:t>年</w:t>
            </w:r>
            <w:r>
              <w:rPr>
                <w:rFonts w:hint="eastAsia" w:ascii="仿宋" w:hAnsi="仿宋" w:eastAsia="仿宋" w:cs="仿宋"/>
                <w:color w:val="auto"/>
                <w:highlight w:val="none"/>
                <w:lang w:eastAsia="zh-Hans"/>
              </w:rPr>
              <w:t>1</w:t>
            </w:r>
            <w:r>
              <w:rPr>
                <w:rFonts w:hint="eastAsia" w:ascii="仿宋" w:hAnsi="仿宋" w:eastAsia="仿宋" w:cs="仿宋"/>
                <w:color w:val="auto"/>
                <w:highlight w:val="none"/>
                <w:lang w:val="en-US" w:eastAsia="zh-Hans"/>
              </w:rPr>
              <w:t>月</w:t>
            </w:r>
            <w:r>
              <w:rPr>
                <w:rFonts w:hint="eastAsia" w:ascii="仿宋" w:hAnsi="仿宋" w:eastAsia="仿宋" w:cs="仿宋"/>
                <w:color w:val="auto"/>
                <w:highlight w:val="none"/>
                <w:lang w:eastAsia="zh-Hans"/>
              </w:rPr>
              <w:t>1</w:t>
            </w:r>
            <w:r>
              <w:rPr>
                <w:rFonts w:hint="eastAsia" w:ascii="仿宋" w:hAnsi="仿宋" w:eastAsia="仿宋" w:cs="仿宋"/>
                <w:color w:val="auto"/>
                <w:highlight w:val="none"/>
                <w:lang w:val="en-US" w:eastAsia="zh-Hans"/>
              </w:rPr>
              <w:t>日至今</w:t>
            </w:r>
            <w:r>
              <w:rPr>
                <w:rFonts w:hint="eastAsia" w:ascii="仿宋" w:hAnsi="仿宋" w:eastAsia="仿宋" w:cs="仿宋"/>
                <w:color w:val="auto"/>
                <w:highlight w:val="none"/>
                <w:lang w:eastAsia="zh-Hans"/>
              </w:rPr>
              <w:t>）</w:t>
            </w:r>
            <w:r>
              <w:rPr>
                <w:rFonts w:hint="eastAsia" w:ascii="仿宋" w:hAnsi="仿宋" w:eastAsia="仿宋" w:cs="仿宋"/>
                <w:color w:val="auto"/>
                <w:highlight w:val="none"/>
                <w:lang w:val="en-US" w:eastAsia="zh-Hans"/>
              </w:rPr>
              <w:t>类似项目业绩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40" w:hRule="atLeast"/>
        </w:trPr>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bidi w:val="0"/>
              <w:adjustRightInd w:val="0"/>
              <w:snapToGrid w:val="0"/>
              <w:spacing w:line="360" w:lineRule="auto"/>
              <w:ind w:left="0" w:leftChars="0" w:right="0" w:rightChars="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sz w:val="21"/>
                <w:szCs w:val="21"/>
                <w:highlight w:val="none"/>
                <w:u w:val="none"/>
              </w:rPr>
              <w:t>26</w:t>
            </w: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bidi w:val="0"/>
              <w:adjustRightInd w:val="0"/>
              <w:snapToGrid w:val="0"/>
              <w:spacing w:line="360" w:lineRule="auto"/>
              <w:ind w:left="0" w:leftChars="0" w:right="0" w:rightChars="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eastAsia="zh-CN" w:bidi="ar"/>
              </w:rPr>
              <w:t>3</w:t>
            </w:r>
            <w:r>
              <w:rPr>
                <w:rFonts w:hint="eastAsia" w:ascii="仿宋" w:hAnsi="仿宋" w:eastAsia="仿宋" w:cs="仿宋"/>
                <w:i w:val="0"/>
                <w:color w:val="auto"/>
                <w:kern w:val="0"/>
                <w:sz w:val="21"/>
                <w:szCs w:val="21"/>
                <w:highlight w:val="none"/>
                <w:u w:val="none"/>
                <w:lang w:val="en-US" w:eastAsia="zh-Hans" w:bidi="ar"/>
              </w:rPr>
              <w:t>.</w:t>
            </w:r>
            <w:r>
              <w:rPr>
                <w:rFonts w:hint="eastAsia" w:ascii="仿宋" w:hAnsi="仿宋" w:eastAsia="仿宋" w:cs="仿宋"/>
                <w:i w:val="0"/>
                <w:color w:val="auto"/>
                <w:kern w:val="0"/>
                <w:sz w:val="21"/>
                <w:szCs w:val="21"/>
                <w:highlight w:val="none"/>
                <w:u w:val="none"/>
                <w:lang w:eastAsia="zh-Hans" w:bidi="ar"/>
              </w:rPr>
              <w:t>11</w:t>
            </w:r>
            <w:r>
              <w:rPr>
                <w:rFonts w:hint="eastAsia" w:ascii="仿宋" w:hAnsi="仿宋" w:eastAsia="仿宋" w:cs="仿宋"/>
                <w:i w:val="0"/>
                <w:color w:val="auto"/>
                <w:kern w:val="0"/>
                <w:sz w:val="21"/>
                <w:szCs w:val="21"/>
                <w:highlight w:val="none"/>
                <w:u w:val="none"/>
                <w:lang w:val="en-US" w:eastAsia="zh-Hans" w:bidi="ar"/>
              </w:rPr>
              <w:t>.</w:t>
            </w:r>
            <w:r>
              <w:rPr>
                <w:rFonts w:hint="eastAsia" w:ascii="仿宋" w:hAnsi="仿宋" w:eastAsia="仿宋" w:cs="仿宋"/>
                <w:i w:val="0"/>
                <w:color w:val="auto"/>
                <w:kern w:val="0"/>
                <w:sz w:val="21"/>
                <w:szCs w:val="21"/>
                <w:highlight w:val="none"/>
                <w:u w:val="none"/>
                <w:lang w:eastAsia="zh-Hans" w:bidi="ar"/>
              </w:rPr>
              <w:t>1</w:t>
            </w:r>
          </w:p>
        </w:tc>
        <w:tc>
          <w:tcPr>
            <w:tcW w:w="11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bidi w:val="0"/>
              <w:adjustRightInd w:val="0"/>
              <w:snapToGrid w:val="0"/>
              <w:spacing w:line="360" w:lineRule="auto"/>
              <w:ind w:left="0" w:leftChars="0" w:right="0" w:rightChars="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是否允许递交备选投标方案</w:t>
            </w:r>
          </w:p>
        </w:tc>
        <w:tc>
          <w:tcPr>
            <w:tcW w:w="28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bidi w:val="0"/>
              <w:adjustRightInd w:val="0"/>
              <w:snapToGrid w:val="0"/>
              <w:spacing w:line="360" w:lineRule="auto"/>
              <w:ind w:left="0" w:leftChars="0" w:right="0" w:rightChars="0"/>
              <w:jc w:val="both"/>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否。</w:t>
            </w:r>
            <w:r>
              <w:rPr>
                <w:rFonts w:hint="eastAsia" w:ascii="仿宋" w:hAnsi="仿宋" w:eastAsia="仿宋" w:cs="仿宋"/>
                <w:i w:val="0"/>
                <w:color w:val="auto"/>
                <w:kern w:val="0"/>
                <w:sz w:val="21"/>
                <w:szCs w:val="21"/>
                <w:highlight w:val="none"/>
                <w:u w:val="none"/>
                <w:lang w:eastAsia="zh-CN" w:bidi="ar"/>
              </w:rPr>
              <w:t>招标文件</w:t>
            </w:r>
            <w:r>
              <w:rPr>
                <w:rFonts w:hint="eastAsia" w:ascii="仿宋" w:hAnsi="仿宋" w:eastAsia="仿宋" w:cs="仿宋"/>
                <w:i w:val="0"/>
                <w:color w:val="auto"/>
                <w:kern w:val="0"/>
                <w:sz w:val="21"/>
                <w:szCs w:val="21"/>
                <w:highlight w:val="none"/>
                <w:u w:val="none"/>
                <w:lang w:val="en-US" w:eastAsia="zh-CN" w:bidi="ar"/>
              </w:rPr>
              <w:t>要求的除外。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13" w:hRule="atLeast"/>
        </w:trPr>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bidi w:val="0"/>
              <w:adjustRightInd w:val="0"/>
              <w:snapToGrid w:val="0"/>
              <w:spacing w:line="360" w:lineRule="auto"/>
              <w:ind w:left="0" w:leftChars="0" w:right="0" w:rightChars="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sz w:val="21"/>
                <w:szCs w:val="21"/>
                <w:highlight w:val="none"/>
                <w:u w:val="none"/>
              </w:rPr>
              <w:t>27</w:t>
            </w: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bidi w:val="0"/>
              <w:adjustRightInd w:val="0"/>
              <w:snapToGrid w:val="0"/>
              <w:spacing w:line="360" w:lineRule="auto"/>
              <w:ind w:left="0" w:leftChars="0" w:right="0" w:rightChars="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3.</w:t>
            </w:r>
            <w:r>
              <w:rPr>
                <w:rFonts w:hint="eastAsia" w:ascii="仿宋" w:hAnsi="仿宋" w:eastAsia="仿宋" w:cs="仿宋"/>
                <w:i w:val="0"/>
                <w:color w:val="auto"/>
                <w:kern w:val="0"/>
                <w:sz w:val="21"/>
                <w:szCs w:val="21"/>
                <w:highlight w:val="none"/>
                <w:u w:val="none"/>
                <w:lang w:eastAsia="zh-CN" w:bidi="ar"/>
              </w:rPr>
              <w:t>2</w:t>
            </w:r>
          </w:p>
        </w:tc>
        <w:tc>
          <w:tcPr>
            <w:tcW w:w="11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bidi w:val="0"/>
              <w:adjustRightInd w:val="0"/>
              <w:snapToGrid w:val="0"/>
              <w:spacing w:line="360" w:lineRule="auto"/>
              <w:ind w:left="0" w:leftChars="0" w:right="0" w:rightChars="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投标文件的编制</w:t>
            </w:r>
            <w:r>
              <w:rPr>
                <w:rFonts w:hint="eastAsia" w:ascii="仿宋" w:hAnsi="仿宋" w:eastAsia="仿宋" w:cs="仿宋"/>
                <w:i w:val="0"/>
                <w:color w:val="auto"/>
                <w:kern w:val="0"/>
                <w:sz w:val="21"/>
                <w:szCs w:val="21"/>
                <w:highlight w:val="none"/>
                <w:u w:val="none"/>
                <w:lang w:val="en-US" w:eastAsia="zh-Hans" w:bidi="ar"/>
              </w:rPr>
              <w:t>及密封要求</w:t>
            </w:r>
          </w:p>
        </w:tc>
        <w:tc>
          <w:tcPr>
            <w:tcW w:w="2898" w:type="pct"/>
            <w:tcBorders>
              <w:top w:val="single" w:color="000000" w:sz="4" w:space="0"/>
              <w:left w:val="single" w:color="000000" w:sz="4" w:space="0"/>
              <w:bottom w:val="single" w:color="000000" w:sz="4" w:space="0"/>
              <w:right w:val="single" w:color="000000" w:sz="4" w:space="0"/>
            </w:tcBorders>
            <w:shd w:val="clear" w:color="auto" w:fill="auto"/>
            <w:vAlign w:val="top"/>
          </w:tcPr>
          <w:p>
            <w:pPr>
              <w:pageBreakBefore w:val="0"/>
              <w:kinsoku/>
              <w:wordWrap/>
              <w:bidi w:val="0"/>
              <w:adjustRightInd w:val="0"/>
              <w:snapToGrid w:val="0"/>
              <w:spacing w:line="360" w:lineRule="auto"/>
              <w:ind w:left="0" w:leftChars="0" w:right="0" w:right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1、投标文件分为开标一览表信封、资格审查原件信封和投标文件信封，应包括下列内容：</w:t>
            </w:r>
          </w:p>
          <w:p>
            <w:pPr>
              <w:pageBreakBefore w:val="0"/>
              <w:kinsoku/>
              <w:wordWrap/>
              <w:bidi w:val="0"/>
              <w:adjustRightInd w:val="0"/>
              <w:snapToGrid w:val="0"/>
              <w:spacing w:line="360" w:lineRule="auto"/>
              <w:ind w:left="0" w:leftChars="0" w:right="0" w:right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1.1开标一览表信封：</w:t>
            </w:r>
          </w:p>
          <w:p>
            <w:pPr>
              <w:pageBreakBefore w:val="0"/>
              <w:kinsoku/>
              <w:wordWrap/>
              <w:bidi w:val="0"/>
              <w:adjustRightInd w:val="0"/>
              <w:snapToGrid w:val="0"/>
              <w:spacing w:line="360" w:lineRule="auto"/>
              <w:ind w:left="0" w:leftChars="0" w:right="0" w:right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(1)开标一览表</w:t>
            </w:r>
          </w:p>
          <w:p>
            <w:pPr>
              <w:pageBreakBefore w:val="0"/>
              <w:kinsoku/>
              <w:wordWrap/>
              <w:bidi w:val="0"/>
              <w:adjustRightInd w:val="0"/>
              <w:snapToGrid w:val="0"/>
              <w:spacing w:line="360" w:lineRule="auto"/>
              <w:ind w:left="0" w:leftChars="0" w:right="0" w:right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(2)投标保证金支付的凭证(也可以为网上银行汇款凭证) </w:t>
            </w:r>
          </w:p>
          <w:p>
            <w:pPr>
              <w:pageBreakBefore w:val="0"/>
              <w:kinsoku/>
              <w:wordWrap/>
              <w:bidi w:val="0"/>
              <w:adjustRightInd w:val="0"/>
              <w:snapToGrid w:val="0"/>
              <w:spacing w:line="360" w:lineRule="auto"/>
              <w:ind w:left="0" w:leftChars="0" w:right="0" w:right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1.2资格审查原件信封：根据投标人须知3</w:t>
            </w:r>
            <w:r>
              <w:rPr>
                <w:rFonts w:hint="eastAsia" w:ascii="仿宋" w:hAnsi="仿宋" w:eastAsia="仿宋" w:cs="仿宋"/>
                <w:color w:val="auto"/>
                <w:sz w:val="21"/>
                <w:szCs w:val="21"/>
                <w:highlight w:val="none"/>
                <w:lang w:eastAsia="zh-Hans"/>
              </w:rPr>
              <w:t>.10.1</w:t>
            </w:r>
            <w:r>
              <w:rPr>
                <w:rFonts w:hint="eastAsia" w:ascii="仿宋" w:hAnsi="仿宋" w:eastAsia="仿宋" w:cs="仿宋"/>
                <w:color w:val="auto"/>
                <w:sz w:val="21"/>
                <w:szCs w:val="21"/>
                <w:highlight w:val="none"/>
              </w:rPr>
              <w:t>要求的开标资格审查原件的内容提供</w:t>
            </w:r>
          </w:p>
          <w:p>
            <w:pPr>
              <w:pageBreakBefore w:val="0"/>
              <w:kinsoku/>
              <w:wordWrap/>
              <w:bidi w:val="0"/>
              <w:adjustRightInd w:val="0"/>
              <w:snapToGrid w:val="0"/>
              <w:spacing w:line="360" w:lineRule="auto"/>
              <w:ind w:left="0" w:leftChars="0" w:right="0" w:right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1.3投标文件袋信封（投标文件正副本）：</w:t>
            </w:r>
          </w:p>
          <w:p>
            <w:pPr>
              <w:pageBreakBefore w:val="0"/>
              <w:kinsoku/>
              <w:wordWrap/>
              <w:bidi w:val="0"/>
              <w:adjustRightInd w:val="0"/>
              <w:snapToGrid w:val="0"/>
              <w:spacing w:line="360" w:lineRule="auto"/>
              <w:ind w:left="0" w:leftChars="0" w:right="0" w:right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(1)投标文件(文件编制详见第二章4.2) </w:t>
            </w:r>
          </w:p>
          <w:p>
            <w:pPr>
              <w:pageBreakBefore w:val="0"/>
              <w:kinsoku/>
              <w:wordWrap/>
              <w:bidi w:val="0"/>
              <w:adjustRightInd w:val="0"/>
              <w:snapToGrid w:val="0"/>
              <w:spacing w:line="360" w:lineRule="auto"/>
              <w:ind w:left="0" w:leftChars="0" w:right="0" w:right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(2)投标文件正本扫描电子版（PDF格式）</w:t>
            </w:r>
          </w:p>
          <w:p>
            <w:pPr>
              <w:pageBreakBefore w:val="0"/>
              <w:kinsoku/>
              <w:wordWrap/>
              <w:bidi w:val="0"/>
              <w:adjustRightInd w:val="0"/>
              <w:snapToGrid w:val="0"/>
              <w:spacing w:line="360" w:lineRule="auto"/>
              <w:ind w:left="0" w:leftChars="0" w:right="0" w:right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2、投标文件信封封面和《开标一览表》信封封面和资格审查原件信封封面上应写明：</w:t>
            </w:r>
          </w:p>
          <w:p>
            <w:pPr>
              <w:pageBreakBefore w:val="0"/>
              <w:kinsoku/>
              <w:wordWrap/>
              <w:bidi w:val="0"/>
              <w:adjustRightInd w:val="0"/>
              <w:snapToGrid w:val="0"/>
              <w:spacing w:line="360" w:lineRule="auto"/>
              <w:ind w:left="0" w:leftChars="0" w:right="0" w:right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采购人：</w:t>
            </w:r>
          </w:p>
          <w:p>
            <w:pPr>
              <w:pageBreakBefore w:val="0"/>
              <w:kinsoku/>
              <w:wordWrap/>
              <w:bidi w:val="0"/>
              <w:adjustRightInd w:val="0"/>
              <w:snapToGrid w:val="0"/>
              <w:spacing w:line="360" w:lineRule="auto"/>
              <w:ind w:left="0" w:leftChars="0" w:right="0" w:right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项目名称：（项目名称第几包）</w:t>
            </w:r>
          </w:p>
          <w:p>
            <w:pPr>
              <w:pageBreakBefore w:val="0"/>
              <w:kinsoku/>
              <w:wordWrap/>
              <w:bidi w:val="0"/>
              <w:adjustRightInd w:val="0"/>
              <w:snapToGrid w:val="0"/>
              <w:spacing w:line="360" w:lineRule="auto"/>
              <w:ind w:left="0" w:leftChars="0" w:right="0" w:right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项目编号：</w:t>
            </w:r>
          </w:p>
          <w:p>
            <w:pPr>
              <w:pageBreakBefore w:val="0"/>
              <w:kinsoku/>
              <w:wordWrap/>
              <w:bidi w:val="0"/>
              <w:adjustRightInd w:val="0"/>
              <w:snapToGrid w:val="0"/>
              <w:spacing w:line="360" w:lineRule="auto"/>
              <w:ind w:left="0" w:leftChars="0" w:right="0" w:right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投标单位名称：</w:t>
            </w:r>
          </w:p>
          <w:p>
            <w:pPr>
              <w:pageBreakBefore w:val="0"/>
              <w:kinsoku/>
              <w:wordWrap/>
              <w:bidi w:val="0"/>
              <w:adjustRightInd w:val="0"/>
              <w:snapToGrid w:val="0"/>
              <w:spacing w:line="360" w:lineRule="auto"/>
              <w:ind w:left="0" w:leftChars="0" w:right="0" w:right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（“正本”或“副本”、开标一览表、资格审查原件）</w:t>
            </w:r>
          </w:p>
          <w:p>
            <w:pPr>
              <w:pageBreakBefore w:val="0"/>
              <w:kinsoku/>
              <w:wordWrap/>
              <w:bidi w:val="0"/>
              <w:adjustRightInd w:val="0"/>
              <w:snapToGrid w:val="0"/>
              <w:spacing w:line="360" w:lineRule="auto"/>
              <w:ind w:left="0" w:leftChars="0" w:right="0" w:right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联系人和联系电话：</w:t>
            </w:r>
          </w:p>
          <w:p>
            <w:pPr>
              <w:pageBreakBefore w:val="0"/>
              <w:kinsoku/>
              <w:wordWrap/>
              <w:bidi w:val="0"/>
              <w:adjustRightInd w:val="0"/>
              <w:snapToGrid w:val="0"/>
              <w:spacing w:line="360" w:lineRule="auto"/>
              <w:ind w:left="0" w:leftChars="0" w:right="0" w:right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3、投标文件密封</w:t>
            </w:r>
          </w:p>
          <w:p>
            <w:pPr>
              <w:pageBreakBefore w:val="0"/>
              <w:kinsoku/>
              <w:wordWrap/>
              <w:bidi w:val="0"/>
              <w:adjustRightInd w:val="0"/>
              <w:snapToGrid w:val="0"/>
              <w:spacing w:line="360" w:lineRule="auto"/>
              <w:ind w:left="0" w:leftChars="0" w:right="0" w:right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投标文件正副本及投标文件电子版（u盘）可以密封在同一投标文件袋中。u盘请载明项目名称、项目编号、公司名称）。u盘与投标文件恕不退还。</w:t>
            </w:r>
          </w:p>
          <w:p>
            <w:pPr>
              <w:pageBreakBefore w:val="0"/>
              <w:kinsoku/>
              <w:wordWrap/>
              <w:bidi w:val="0"/>
              <w:adjustRightInd w:val="0"/>
              <w:snapToGrid w:val="0"/>
              <w:spacing w:line="360" w:lineRule="auto"/>
              <w:ind w:left="0" w:leftChars="0" w:right="0" w:right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4、开标一览表密封</w:t>
            </w:r>
          </w:p>
          <w:p>
            <w:pPr>
              <w:pageBreakBefore w:val="0"/>
              <w:kinsoku/>
              <w:wordWrap/>
              <w:bidi w:val="0"/>
              <w:adjustRightInd w:val="0"/>
              <w:snapToGrid w:val="0"/>
              <w:spacing w:line="360" w:lineRule="auto"/>
              <w:ind w:left="0" w:leftChars="0" w:right="0" w:right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投标人必须单独制作“开标一览表”，并单独密封提交，开标一览表密封在一个信封内。</w:t>
            </w:r>
          </w:p>
          <w:p>
            <w:pPr>
              <w:pageBreakBefore w:val="0"/>
              <w:kinsoku/>
              <w:wordWrap/>
              <w:bidi w:val="0"/>
              <w:adjustRightInd w:val="0"/>
              <w:snapToGrid w:val="0"/>
              <w:spacing w:line="360" w:lineRule="auto"/>
              <w:ind w:left="0" w:leftChars="0" w:right="0" w:right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5、投标文件信封及开标一览表信封密封盖章</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投标文件信封及开标一览表信封封口处须加盖投标公司公章及法人章，并注明“开标时启封”字样。</w:t>
            </w:r>
          </w:p>
          <w:p>
            <w:pPr>
              <w:pageBreakBefore w:val="0"/>
              <w:kinsoku/>
              <w:wordWrap/>
              <w:bidi w:val="0"/>
              <w:adjustRightInd w:val="0"/>
              <w:snapToGrid w:val="0"/>
              <w:spacing w:line="360" w:lineRule="auto"/>
              <w:ind w:left="0" w:leftChars="0" w:right="0" w:rightChars="0"/>
              <w:rPr>
                <w:rFonts w:hint="eastAsia" w:ascii="仿宋" w:hAnsi="仿宋" w:eastAsia="仿宋" w:cs="仿宋"/>
                <w:color w:val="auto"/>
                <w:highlight w:val="none"/>
              </w:rPr>
            </w:pPr>
            <w:r>
              <w:rPr>
                <w:rFonts w:hint="eastAsia" w:ascii="仿宋" w:hAnsi="仿宋" w:eastAsia="仿宋" w:cs="仿宋"/>
                <w:color w:val="auto"/>
                <w:sz w:val="21"/>
                <w:szCs w:val="21"/>
                <w:highlight w:val="none"/>
              </w:rPr>
              <w:t>6、若投标人参与多个</w:t>
            </w:r>
            <w:r>
              <w:rPr>
                <w:rFonts w:hint="eastAsia" w:ascii="仿宋" w:hAnsi="仿宋" w:eastAsia="仿宋" w:cs="仿宋"/>
                <w:color w:val="auto"/>
                <w:sz w:val="21"/>
                <w:szCs w:val="21"/>
                <w:highlight w:val="none"/>
                <w:lang w:val="en-US" w:eastAsia="zh-CN"/>
              </w:rPr>
              <w:t>标项投标</w:t>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因本项目各标项内容相似度高，因此（1）资格审查原件信封可不按标项制作，</w:t>
            </w:r>
            <w:r>
              <w:rPr>
                <w:rFonts w:hint="eastAsia" w:ascii="仿宋" w:hAnsi="仿宋" w:eastAsia="仿宋" w:cs="仿宋"/>
                <w:color w:val="auto"/>
                <w:sz w:val="21"/>
                <w:szCs w:val="21"/>
                <w:highlight w:val="none"/>
              </w:rPr>
              <w:t>但法定代表人身份证明书或法定代表人授权委托书需以</w:t>
            </w:r>
            <w:r>
              <w:rPr>
                <w:rFonts w:hint="eastAsia" w:ascii="仿宋" w:hAnsi="仿宋" w:eastAsia="仿宋" w:cs="仿宋"/>
                <w:color w:val="auto"/>
                <w:sz w:val="21"/>
                <w:szCs w:val="21"/>
                <w:highlight w:val="none"/>
                <w:lang w:val="en-US" w:eastAsia="zh-CN"/>
              </w:rPr>
              <w:t>标项</w:t>
            </w:r>
            <w:r>
              <w:rPr>
                <w:rFonts w:hint="eastAsia" w:ascii="仿宋" w:hAnsi="仿宋" w:eastAsia="仿宋" w:cs="仿宋"/>
                <w:color w:val="auto"/>
                <w:sz w:val="21"/>
                <w:szCs w:val="21"/>
                <w:highlight w:val="none"/>
              </w:rPr>
              <w:t>为单位分开制作装在资格审查原件信封里递交。</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开标一览表信封按招标文件要求以</w:t>
            </w:r>
            <w:r>
              <w:rPr>
                <w:rFonts w:hint="eastAsia" w:ascii="仿宋" w:hAnsi="仿宋" w:eastAsia="仿宋" w:cs="仿宋"/>
                <w:color w:val="auto"/>
                <w:sz w:val="21"/>
                <w:szCs w:val="21"/>
                <w:highlight w:val="none"/>
                <w:lang w:val="en-US" w:eastAsia="zh-CN"/>
              </w:rPr>
              <w:t>标项</w:t>
            </w:r>
            <w:r>
              <w:rPr>
                <w:rFonts w:hint="eastAsia" w:ascii="仿宋" w:hAnsi="仿宋" w:eastAsia="仿宋" w:cs="仿宋"/>
                <w:color w:val="auto"/>
                <w:sz w:val="21"/>
                <w:szCs w:val="21"/>
                <w:highlight w:val="none"/>
              </w:rPr>
              <w:t>为单位分开制作并密封提交。否则其投标被拒绝。</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商务标可制作一个标项的数量（即1正2副）制作，并在封页处标明所投标项，按照招标文件密封要求密封。</w:t>
            </w:r>
            <w:r>
              <w:rPr>
                <w:rFonts w:hint="eastAsia" w:ascii="仿宋" w:hAnsi="仿宋" w:eastAsia="仿宋" w:cs="仿宋"/>
                <w:color w:val="auto"/>
                <w:sz w:val="21"/>
                <w:szCs w:val="21"/>
                <w:highlight w:val="none"/>
              </w:rPr>
              <w:t>否则其投标被拒绝。</w:t>
            </w:r>
            <w:r>
              <w:rPr>
                <w:rFonts w:hint="eastAsia" w:ascii="仿宋" w:hAnsi="仿宋" w:eastAsia="仿宋" w:cs="仿宋"/>
                <w:color w:val="auto"/>
                <w:sz w:val="21"/>
                <w:szCs w:val="21"/>
                <w:highlight w:val="none"/>
                <w:lang w:val="en-US" w:eastAsia="zh-CN"/>
              </w:rPr>
              <w:t>（4）技术标按招标文件要求以标项为单位分开制作并密封提交。</w:t>
            </w:r>
            <w:r>
              <w:rPr>
                <w:rFonts w:hint="eastAsia" w:ascii="仿宋" w:hAnsi="仿宋" w:eastAsia="仿宋" w:cs="仿宋"/>
                <w:color w:val="auto"/>
                <w:sz w:val="21"/>
                <w:szCs w:val="21"/>
                <w:highlight w:val="none"/>
              </w:rPr>
              <w:t>否则其投标被拒绝。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75" w:hRule="atLeast"/>
        </w:trPr>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bidi w:val="0"/>
              <w:adjustRightInd w:val="0"/>
              <w:snapToGrid w:val="0"/>
              <w:spacing w:line="360" w:lineRule="auto"/>
              <w:ind w:left="0" w:leftChars="0" w:right="0" w:rightChars="0"/>
              <w:jc w:val="center"/>
              <w:textAlignment w:val="center"/>
              <w:rPr>
                <w:rFonts w:hint="eastAsia" w:ascii="仿宋" w:hAnsi="仿宋" w:eastAsia="仿宋" w:cs="仿宋"/>
                <w:i w:val="0"/>
                <w:color w:val="auto"/>
                <w:kern w:val="0"/>
                <w:sz w:val="21"/>
                <w:szCs w:val="21"/>
                <w:highlight w:val="none"/>
                <w:u w:val="none"/>
                <w:lang w:val="en-US" w:eastAsia="zh-CN" w:bidi="ar"/>
              </w:rPr>
            </w:pP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bidi w:val="0"/>
              <w:adjustRightInd w:val="0"/>
              <w:snapToGrid w:val="0"/>
              <w:spacing w:line="360" w:lineRule="auto"/>
              <w:ind w:left="0" w:leftChars="0" w:right="0" w:rightChars="0"/>
              <w:jc w:val="center"/>
              <w:textAlignment w:val="center"/>
              <w:rPr>
                <w:rFonts w:hint="eastAsia" w:ascii="仿宋" w:hAnsi="仿宋" w:eastAsia="仿宋" w:cs="仿宋"/>
                <w:i w:val="0"/>
                <w:color w:val="auto"/>
                <w:kern w:val="0"/>
                <w:sz w:val="21"/>
                <w:szCs w:val="21"/>
                <w:highlight w:val="none"/>
                <w:u w:val="none"/>
                <w:lang w:eastAsia="zh-CN" w:bidi="ar"/>
              </w:rPr>
            </w:pPr>
            <w:r>
              <w:rPr>
                <w:rFonts w:hint="eastAsia" w:ascii="仿宋" w:hAnsi="仿宋" w:eastAsia="仿宋" w:cs="仿宋"/>
                <w:i w:val="0"/>
                <w:color w:val="auto"/>
                <w:kern w:val="0"/>
                <w:sz w:val="21"/>
                <w:szCs w:val="21"/>
                <w:highlight w:val="none"/>
                <w:u w:val="none"/>
                <w:lang w:eastAsia="zh-CN" w:bidi="ar"/>
              </w:rPr>
              <w:t>3</w:t>
            </w:r>
            <w:r>
              <w:rPr>
                <w:rFonts w:hint="eastAsia" w:ascii="仿宋" w:hAnsi="仿宋" w:eastAsia="仿宋" w:cs="仿宋"/>
                <w:i w:val="0"/>
                <w:color w:val="auto"/>
                <w:kern w:val="0"/>
                <w:sz w:val="21"/>
                <w:szCs w:val="21"/>
                <w:highlight w:val="none"/>
                <w:u w:val="none"/>
                <w:lang w:val="en-US" w:eastAsia="zh-Hans" w:bidi="ar"/>
              </w:rPr>
              <w:t>.</w:t>
            </w:r>
            <w:r>
              <w:rPr>
                <w:rFonts w:hint="eastAsia" w:ascii="仿宋" w:hAnsi="仿宋" w:eastAsia="仿宋" w:cs="仿宋"/>
                <w:i w:val="0"/>
                <w:color w:val="auto"/>
                <w:kern w:val="0"/>
                <w:sz w:val="21"/>
                <w:szCs w:val="21"/>
                <w:highlight w:val="none"/>
                <w:u w:val="none"/>
                <w:lang w:eastAsia="zh-Hans" w:bidi="ar"/>
              </w:rPr>
              <w:t>3</w:t>
            </w:r>
          </w:p>
        </w:tc>
        <w:tc>
          <w:tcPr>
            <w:tcW w:w="11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bidi w:val="0"/>
              <w:adjustRightInd w:val="0"/>
              <w:snapToGrid w:val="0"/>
              <w:spacing w:line="360" w:lineRule="auto"/>
              <w:ind w:left="0" w:leftChars="0" w:right="0" w:rightChars="0"/>
              <w:jc w:val="center"/>
              <w:textAlignment w:val="center"/>
              <w:rPr>
                <w:rFonts w:hint="eastAsia" w:ascii="仿宋" w:hAnsi="仿宋" w:eastAsia="仿宋" w:cs="仿宋"/>
                <w:i w:val="0"/>
                <w:color w:val="auto"/>
                <w:kern w:val="0"/>
                <w:sz w:val="21"/>
                <w:szCs w:val="21"/>
                <w:highlight w:val="none"/>
                <w:u w:val="none"/>
                <w:lang w:val="en-US" w:eastAsia="zh-Hans" w:bidi="ar"/>
              </w:rPr>
            </w:pPr>
            <w:r>
              <w:rPr>
                <w:rFonts w:hint="eastAsia" w:ascii="仿宋" w:hAnsi="仿宋" w:eastAsia="仿宋" w:cs="仿宋"/>
                <w:i w:val="0"/>
                <w:color w:val="auto"/>
                <w:kern w:val="0"/>
                <w:sz w:val="21"/>
                <w:szCs w:val="21"/>
                <w:highlight w:val="none"/>
                <w:u w:val="none"/>
                <w:lang w:val="en-US" w:eastAsia="zh-Hans" w:bidi="ar"/>
              </w:rPr>
              <w:t>投标文件的签署规定</w:t>
            </w:r>
          </w:p>
        </w:tc>
        <w:tc>
          <w:tcPr>
            <w:tcW w:w="2898" w:type="pct"/>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bidi w:val="0"/>
              <w:adjustRightInd w:val="0"/>
              <w:snapToGrid w:val="0"/>
              <w:spacing w:line="360" w:lineRule="auto"/>
              <w:ind w:left="0" w:leftChars="0" w:right="0" w:right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1.投标文件的页面必须用印刷体打印。</w:t>
            </w:r>
          </w:p>
          <w:p>
            <w:pPr>
              <w:pageBreakBefore w:val="0"/>
              <w:kinsoku/>
              <w:wordWrap/>
              <w:bidi w:val="0"/>
              <w:adjustRightInd w:val="0"/>
              <w:snapToGrid w:val="0"/>
              <w:spacing w:line="360" w:lineRule="auto"/>
              <w:ind w:left="0" w:leftChars="0" w:right="0" w:right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2.投标文件应清楚工整，一般不准修改。个别非实质性修改之处必须由投标人的法定代表人（负责人）或经其正式授权的代表在修改的每一页上签字或盖投标单位公章后才有效。</w:t>
            </w:r>
          </w:p>
          <w:p>
            <w:pPr>
              <w:pageBreakBefore w:val="0"/>
              <w:kinsoku/>
              <w:wordWrap/>
              <w:bidi w:val="0"/>
              <w:adjustRightInd w:val="0"/>
              <w:snapToGrid w:val="0"/>
              <w:spacing w:line="360" w:lineRule="auto"/>
              <w:ind w:left="0" w:leftChars="0" w:right="0" w:rightChars="0"/>
              <w:rPr>
                <w:rFonts w:hint="eastAsia" w:ascii="仿宋" w:hAnsi="仿宋" w:eastAsia="仿宋" w:cs="仿宋"/>
                <w:bCs/>
                <w:color w:val="auto"/>
                <w:sz w:val="21"/>
                <w:szCs w:val="21"/>
                <w:highlight w:val="none"/>
              </w:rPr>
            </w:pPr>
            <w:r>
              <w:rPr>
                <w:rFonts w:hint="eastAsia" w:ascii="仿宋" w:hAnsi="仿宋" w:eastAsia="仿宋" w:cs="仿宋"/>
                <w:color w:val="auto"/>
                <w:sz w:val="21"/>
                <w:szCs w:val="21"/>
                <w:highlight w:val="none"/>
              </w:rPr>
              <w:t>3.投标文件应由法定代表人或法人授权代表在规定的签章处逐一签署或加盖单位公章</w:t>
            </w:r>
            <w:r>
              <w:rPr>
                <w:rFonts w:hint="eastAsia" w:ascii="仿宋" w:hAnsi="仿宋" w:eastAsia="仿宋" w:cs="仿宋"/>
                <w:bCs/>
                <w:color w:val="auto"/>
                <w:sz w:val="21"/>
                <w:szCs w:val="21"/>
                <w:highlight w:val="none"/>
              </w:rPr>
              <w:t>，投标文件方为有效。</w:t>
            </w:r>
          </w:p>
          <w:p>
            <w:pPr>
              <w:pageBreakBefore w:val="0"/>
              <w:kinsoku/>
              <w:wordWrap/>
              <w:bidi w:val="0"/>
              <w:adjustRightInd w:val="0"/>
              <w:snapToGrid w:val="0"/>
              <w:spacing w:line="360" w:lineRule="auto"/>
              <w:ind w:left="0" w:leftChars="0" w:right="0" w:rightChars="0"/>
              <w:rPr>
                <w:rFonts w:hint="eastAsia" w:ascii="仿宋" w:hAnsi="仿宋" w:eastAsia="仿宋" w:cs="仿宋"/>
                <w:b/>
                <w:bCs w:val="0"/>
                <w:color w:val="auto"/>
                <w:sz w:val="21"/>
                <w:szCs w:val="21"/>
                <w:highlight w:val="none"/>
              </w:rPr>
            </w:pPr>
            <w:r>
              <w:rPr>
                <w:rFonts w:hint="eastAsia" w:ascii="仿宋" w:hAnsi="仿宋" w:eastAsia="仿宋" w:cs="仿宋"/>
                <w:color w:val="auto"/>
                <w:sz w:val="21"/>
                <w:szCs w:val="21"/>
                <w:highlight w:val="none"/>
              </w:rPr>
              <w:t>4.</w:t>
            </w:r>
            <w:r>
              <w:rPr>
                <w:rFonts w:hint="eastAsia" w:ascii="仿宋" w:hAnsi="仿宋" w:eastAsia="仿宋" w:cs="仿宋"/>
                <w:bCs/>
                <w:color w:val="auto"/>
                <w:sz w:val="21"/>
                <w:szCs w:val="21"/>
                <w:highlight w:val="none"/>
              </w:rPr>
              <w:t>投标文件正本需逐页加盖公章，在招标文件格式规定处签署，并编好始末页码</w:t>
            </w:r>
            <w:r>
              <w:rPr>
                <w:rFonts w:hint="eastAsia" w:ascii="仿宋" w:hAnsi="仿宋" w:eastAsia="仿宋" w:cs="仿宋"/>
                <w:b/>
                <w:bCs w:val="0"/>
                <w:color w:val="auto"/>
                <w:sz w:val="21"/>
                <w:szCs w:val="21"/>
                <w:highlight w:val="none"/>
              </w:rPr>
              <w:t>,</w:t>
            </w:r>
            <w:r>
              <w:rPr>
                <w:rFonts w:hint="eastAsia" w:ascii="仿宋" w:hAnsi="仿宋" w:eastAsia="仿宋" w:cs="仿宋"/>
                <w:b/>
                <w:bCs w:val="0"/>
                <w:color w:val="auto"/>
                <w:sz w:val="21"/>
                <w:szCs w:val="21"/>
                <w:highlight w:val="none"/>
                <w:lang w:val="en-US" w:eastAsia="zh-Hans"/>
              </w:rPr>
              <w:t>如</w:t>
            </w:r>
            <w:r>
              <w:rPr>
                <w:rFonts w:hint="eastAsia" w:ascii="仿宋" w:hAnsi="仿宋" w:eastAsia="仿宋" w:cs="仿宋"/>
                <w:b/>
                <w:bCs w:val="0"/>
                <w:color w:val="auto"/>
                <w:sz w:val="21"/>
                <w:szCs w:val="21"/>
                <w:highlight w:val="none"/>
              </w:rPr>
              <w:t>不按要求签署</w:t>
            </w:r>
            <w:r>
              <w:rPr>
                <w:rFonts w:hint="eastAsia" w:ascii="仿宋" w:hAnsi="仿宋" w:eastAsia="仿宋" w:cs="仿宋"/>
                <w:b/>
                <w:bCs w:val="0"/>
                <w:color w:val="auto"/>
                <w:sz w:val="21"/>
                <w:szCs w:val="21"/>
                <w:highlight w:val="none"/>
                <w:lang w:eastAsia="zh-CN"/>
              </w:rPr>
              <w:t>、</w:t>
            </w:r>
            <w:r>
              <w:rPr>
                <w:rFonts w:hint="eastAsia" w:ascii="仿宋" w:hAnsi="仿宋" w:eastAsia="仿宋" w:cs="仿宋"/>
                <w:b/>
                <w:bCs w:val="0"/>
                <w:color w:val="auto"/>
                <w:sz w:val="21"/>
                <w:szCs w:val="21"/>
                <w:highlight w:val="none"/>
                <w:lang w:val="en-US" w:eastAsia="zh-CN"/>
              </w:rPr>
              <w:t>盖章</w:t>
            </w:r>
            <w:r>
              <w:rPr>
                <w:rFonts w:hint="eastAsia" w:ascii="仿宋" w:hAnsi="仿宋" w:eastAsia="仿宋" w:cs="仿宋"/>
                <w:b/>
                <w:bCs w:val="0"/>
                <w:color w:val="auto"/>
                <w:sz w:val="21"/>
                <w:szCs w:val="21"/>
                <w:highlight w:val="none"/>
              </w:rPr>
              <w:t>的</w:t>
            </w:r>
            <w:r>
              <w:rPr>
                <w:rFonts w:hint="eastAsia" w:ascii="仿宋" w:hAnsi="仿宋" w:eastAsia="仿宋" w:cs="仿宋"/>
                <w:b/>
                <w:bCs w:val="0"/>
                <w:color w:val="auto"/>
                <w:sz w:val="21"/>
                <w:szCs w:val="21"/>
                <w:highlight w:val="none"/>
                <w:lang w:val="en-US" w:eastAsia="zh-Hans"/>
              </w:rPr>
              <w:t>其投标文件做废标处理</w:t>
            </w:r>
            <w:r>
              <w:rPr>
                <w:rFonts w:hint="eastAsia" w:ascii="仿宋" w:hAnsi="仿宋" w:eastAsia="仿宋" w:cs="仿宋"/>
                <w:b/>
                <w:bCs w:val="0"/>
                <w:color w:val="auto"/>
                <w:sz w:val="21"/>
                <w:szCs w:val="21"/>
                <w:highlight w:val="none"/>
              </w:rPr>
              <w:t>。</w:t>
            </w:r>
          </w:p>
          <w:p>
            <w:pPr>
              <w:pageBreakBefore w:val="0"/>
              <w:kinsoku/>
              <w:wordWrap/>
              <w:bidi w:val="0"/>
              <w:adjustRightInd w:val="0"/>
              <w:snapToGrid w:val="0"/>
              <w:spacing w:line="360" w:lineRule="auto"/>
              <w:ind w:left="0" w:leftChars="0" w:right="0" w:right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5.所有投标文件必须提交正本</w:t>
            </w:r>
            <w:r>
              <w:rPr>
                <w:rFonts w:hint="eastAsia" w:ascii="仿宋" w:hAnsi="仿宋" w:eastAsia="仿宋" w:cs="仿宋"/>
                <w:color w:val="auto"/>
                <w:sz w:val="21"/>
                <w:szCs w:val="21"/>
                <w:highlight w:val="none"/>
                <w:u w:val="single"/>
              </w:rPr>
              <w:t>1</w:t>
            </w:r>
            <w:r>
              <w:rPr>
                <w:rFonts w:hint="eastAsia" w:ascii="仿宋" w:hAnsi="仿宋" w:eastAsia="仿宋" w:cs="仿宋"/>
                <w:color w:val="auto"/>
                <w:sz w:val="21"/>
                <w:szCs w:val="21"/>
                <w:highlight w:val="none"/>
              </w:rPr>
              <w:t>套和副本</w:t>
            </w:r>
            <w:r>
              <w:rPr>
                <w:rFonts w:hint="eastAsia" w:ascii="仿宋" w:hAnsi="仿宋" w:eastAsia="仿宋" w:cs="仿宋"/>
                <w:color w:val="auto"/>
                <w:sz w:val="21"/>
                <w:szCs w:val="21"/>
                <w:highlight w:val="none"/>
                <w:u w:val="single"/>
                <w:lang w:val="en-US" w:eastAsia="zh-CN"/>
              </w:rPr>
              <w:t>2</w:t>
            </w:r>
            <w:r>
              <w:rPr>
                <w:rFonts w:hint="eastAsia" w:ascii="仿宋" w:hAnsi="仿宋" w:eastAsia="仿宋" w:cs="仿宋"/>
                <w:color w:val="auto"/>
                <w:sz w:val="21"/>
                <w:szCs w:val="21"/>
                <w:highlight w:val="none"/>
              </w:rPr>
              <w:t>套（如不满足将拒绝其投标），并在封面上标记“正本”或“副本”。</w:t>
            </w:r>
          </w:p>
          <w:p>
            <w:pPr>
              <w:keepNext w:val="0"/>
              <w:keepLines w:val="0"/>
              <w:pageBreakBefore w:val="0"/>
              <w:widowControl/>
              <w:suppressLineNumbers w:val="0"/>
              <w:kinsoku/>
              <w:wordWrap/>
              <w:bidi w:val="0"/>
              <w:adjustRightInd w:val="0"/>
              <w:snapToGrid w:val="0"/>
              <w:spacing w:line="360" w:lineRule="auto"/>
              <w:ind w:left="0" w:leftChars="0" w:right="0" w:rightChars="0"/>
              <w:jc w:val="both"/>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color w:val="auto"/>
                <w:sz w:val="21"/>
                <w:szCs w:val="21"/>
                <w:highlight w:val="none"/>
              </w:rPr>
              <w:t>6.投标文件的正本与副本应当完全一致。当正本和副本之间出现差异时，以正本为准。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75" w:hRule="atLeast"/>
        </w:trPr>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bidi w:val="0"/>
              <w:adjustRightInd w:val="0"/>
              <w:snapToGrid w:val="0"/>
              <w:spacing w:line="360" w:lineRule="auto"/>
              <w:ind w:left="0" w:leftChars="0" w:right="0" w:rightChars="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sz w:val="21"/>
                <w:szCs w:val="21"/>
                <w:highlight w:val="none"/>
                <w:u w:val="none"/>
              </w:rPr>
              <w:t>28</w:t>
            </w: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bidi w:val="0"/>
              <w:adjustRightInd w:val="0"/>
              <w:snapToGrid w:val="0"/>
              <w:spacing w:line="360" w:lineRule="auto"/>
              <w:ind w:left="0" w:leftChars="0" w:right="0" w:rightChars="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4.</w:t>
            </w:r>
            <w:r>
              <w:rPr>
                <w:rFonts w:hint="eastAsia" w:ascii="仿宋" w:hAnsi="仿宋" w:eastAsia="仿宋" w:cs="仿宋"/>
                <w:i w:val="0"/>
                <w:color w:val="auto"/>
                <w:kern w:val="0"/>
                <w:sz w:val="21"/>
                <w:szCs w:val="21"/>
                <w:highlight w:val="none"/>
                <w:u w:val="none"/>
                <w:lang w:eastAsia="zh-CN" w:bidi="ar"/>
              </w:rPr>
              <w:t>1</w:t>
            </w:r>
            <w:r>
              <w:rPr>
                <w:rFonts w:hint="eastAsia" w:ascii="仿宋" w:hAnsi="仿宋" w:eastAsia="仿宋" w:cs="仿宋"/>
                <w:i w:val="0"/>
                <w:color w:val="auto"/>
                <w:kern w:val="0"/>
                <w:sz w:val="21"/>
                <w:szCs w:val="21"/>
                <w:highlight w:val="none"/>
                <w:u w:val="none"/>
                <w:lang w:val="en-US" w:eastAsia="zh-CN" w:bidi="ar"/>
              </w:rPr>
              <w:t>.1</w:t>
            </w:r>
          </w:p>
        </w:tc>
        <w:tc>
          <w:tcPr>
            <w:tcW w:w="11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bidi w:val="0"/>
              <w:adjustRightInd w:val="0"/>
              <w:snapToGrid w:val="0"/>
              <w:spacing w:line="360" w:lineRule="auto"/>
              <w:ind w:left="0" w:leftChars="0" w:right="0" w:rightChars="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投标截止时间</w:t>
            </w:r>
          </w:p>
        </w:tc>
        <w:tc>
          <w:tcPr>
            <w:tcW w:w="28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bidi w:val="0"/>
              <w:adjustRightInd w:val="0"/>
              <w:snapToGrid w:val="0"/>
              <w:spacing w:line="360" w:lineRule="auto"/>
              <w:ind w:left="0" w:leftChars="0" w:right="0" w:rightChars="0"/>
              <w:jc w:val="both"/>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color w:val="auto"/>
                <w:sz w:val="21"/>
                <w:szCs w:val="21"/>
                <w:highlight w:val="none"/>
                <w:lang w:val="en-US" w:eastAsia="zh-CN"/>
              </w:rPr>
              <w:t>2022</w:t>
            </w:r>
            <w:r>
              <w:rPr>
                <w:rFonts w:hint="eastAsia" w:ascii="仿宋" w:hAnsi="仿宋" w:eastAsia="仿宋" w:cs="仿宋"/>
                <w:color w:val="auto"/>
                <w:sz w:val="21"/>
                <w:szCs w:val="21"/>
                <w:highlight w:val="none"/>
              </w:rPr>
              <w:t>年</w:t>
            </w:r>
            <w:r>
              <w:rPr>
                <w:rFonts w:hint="eastAsia" w:ascii="仿宋" w:hAnsi="仿宋" w:eastAsia="仿宋" w:cs="仿宋"/>
                <w:color w:val="auto"/>
                <w:sz w:val="21"/>
                <w:szCs w:val="21"/>
                <w:highlight w:val="none"/>
                <w:lang w:val="en-US" w:eastAsia="zh-CN"/>
              </w:rPr>
              <w:t>8</w:t>
            </w:r>
            <w:r>
              <w:rPr>
                <w:rFonts w:hint="eastAsia" w:ascii="仿宋" w:hAnsi="仿宋" w:eastAsia="仿宋" w:cs="仿宋"/>
                <w:color w:val="auto"/>
                <w:sz w:val="21"/>
                <w:szCs w:val="21"/>
                <w:highlight w:val="none"/>
              </w:rPr>
              <w:t>月</w:t>
            </w:r>
            <w:r>
              <w:rPr>
                <w:rFonts w:hint="eastAsia" w:ascii="仿宋" w:hAnsi="仿宋" w:eastAsia="仿宋" w:cs="仿宋"/>
                <w:color w:val="auto"/>
                <w:sz w:val="21"/>
                <w:szCs w:val="21"/>
                <w:highlight w:val="none"/>
                <w:lang w:val="en-US" w:eastAsia="zh-CN"/>
              </w:rPr>
              <w:t>29</w:t>
            </w:r>
            <w:r>
              <w:rPr>
                <w:rFonts w:hint="eastAsia" w:ascii="仿宋" w:hAnsi="仿宋" w:eastAsia="仿宋" w:cs="仿宋"/>
                <w:color w:val="auto"/>
                <w:sz w:val="21"/>
                <w:szCs w:val="21"/>
                <w:highlight w:val="none"/>
              </w:rPr>
              <w:t>日</w:t>
            </w:r>
            <w:r>
              <w:rPr>
                <w:rFonts w:hint="eastAsia" w:ascii="仿宋" w:hAnsi="仿宋" w:eastAsia="仿宋" w:cs="仿宋"/>
                <w:color w:val="auto"/>
                <w:sz w:val="21"/>
                <w:szCs w:val="21"/>
                <w:highlight w:val="none"/>
                <w:lang w:val="en-US" w:eastAsia="zh-CN"/>
              </w:rPr>
              <w:t>11</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00</w:t>
            </w:r>
            <w:r>
              <w:rPr>
                <w:rFonts w:hint="eastAsia" w:ascii="仿宋" w:hAnsi="仿宋" w:eastAsia="仿宋" w:cs="仿宋"/>
                <w:color w:val="auto"/>
                <w:sz w:val="21"/>
                <w:szCs w:val="21"/>
                <w:highlight w:val="none"/>
              </w:rPr>
              <w:t>（北京时间）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56" w:hRule="atLeast"/>
        </w:trPr>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bidi w:val="0"/>
              <w:adjustRightInd w:val="0"/>
              <w:snapToGrid w:val="0"/>
              <w:spacing w:line="360" w:lineRule="auto"/>
              <w:ind w:left="0" w:leftChars="0" w:right="0" w:rightChars="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sz w:val="21"/>
                <w:szCs w:val="21"/>
                <w:highlight w:val="none"/>
                <w:u w:val="none"/>
              </w:rPr>
              <w:t>29</w:t>
            </w: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bidi w:val="0"/>
              <w:adjustRightInd w:val="0"/>
              <w:snapToGrid w:val="0"/>
              <w:spacing w:line="360" w:lineRule="auto"/>
              <w:ind w:left="0" w:leftChars="0" w:right="0" w:rightChars="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4.</w:t>
            </w:r>
            <w:r>
              <w:rPr>
                <w:rFonts w:hint="eastAsia" w:ascii="仿宋" w:hAnsi="仿宋" w:eastAsia="仿宋" w:cs="仿宋"/>
                <w:i w:val="0"/>
                <w:color w:val="auto"/>
                <w:kern w:val="0"/>
                <w:sz w:val="21"/>
                <w:szCs w:val="21"/>
                <w:highlight w:val="none"/>
                <w:u w:val="none"/>
                <w:lang w:eastAsia="zh-CN" w:bidi="ar"/>
              </w:rPr>
              <w:t>1</w:t>
            </w:r>
            <w:r>
              <w:rPr>
                <w:rFonts w:hint="eastAsia" w:ascii="仿宋" w:hAnsi="仿宋" w:eastAsia="仿宋" w:cs="仿宋"/>
                <w:i w:val="0"/>
                <w:color w:val="auto"/>
                <w:kern w:val="0"/>
                <w:sz w:val="21"/>
                <w:szCs w:val="21"/>
                <w:highlight w:val="none"/>
                <w:u w:val="none"/>
                <w:lang w:val="en-US" w:eastAsia="zh-CN" w:bidi="ar"/>
              </w:rPr>
              <w:t>.3</w:t>
            </w:r>
          </w:p>
        </w:tc>
        <w:tc>
          <w:tcPr>
            <w:tcW w:w="11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bidi w:val="0"/>
              <w:adjustRightInd w:val="0"/>
              <w:snapToGrid w:val="0"/>
              <w:spacing w:line="360" w:lineRule="auto"/>
              <w:ind w:left="0" w:leftChars="0" w:right="0" w:rightChars="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投标文件是否退还</w:t>
            </w:r>
          </w:p>
        </w:tc>
        <w:tc>
          <w:tcPr>
            <w:tcW w:w="28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bidi w:val="0"/>
              <w:adjustRightInd w:val="0"/>
              <w:snapToGrid w:val="0"/>
              <w:spacing w:line="360" w:lineRule="auto"/>
              <w:ind w:left="0" w:leftChars="0" w:right="0" w:rightChars="0"/>
              <w:jc w:val="both"/>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10" w:hRule="atLeast"/>
        </w:trPr>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bidi w:val="0"/>
              <w:adjustRightInd w:val="0"/>
              <w:snapToGrid w:val="0"/>
              <w:spacing w:line="360" w:lineRule="auto"/>
              <w:ind w:left="0" w:leftChars="0" w:right="0" w:rightChars="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3</w:t>
            </w:r>
            <w:r>
              <w:rPr>
                <w:rFonts w:hint="eastAsia" w:ascii="仿宋" w:hAnsi="仿宋" w:eastAsia="仿宋" w:cs="仿宋"/>
                <w:i w:val="0"/>
                <w:color w:val="auto"/>
                <w:kern w:val="0"/>
                <w:sz w:val="21"/>
                <w:szCs w:val="21"/>
                <w:highlight w:val="none"/>
                <w:u w:val="none"/>
                <w:lang w:eastAsia="zh-CN" w:bidi="ar"/>
              </w:rPr>
              <w:t>0</w:t>
            </w: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bidi w:val="0"/>
              <w:adjustRightInd w:val="0"/>
              <w:snapToGrid w:val="0"/>
              <w:spacing w:line="360" w:lineRule="auto"/>
              <w:ind w:left="0" w:leftChars="0" w:right="0" w:rightChars="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5.1</w:t>
            </w:r>
          </w:p>
        </w:tc>
        <w:tc>
          <w:tcPr>
            <w:tcW w:w="1195" w:type="pct"/>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bidi w:val="0"/>
              <w:adjustRightInd w:val="0"/>
              <w:snapToGrid w:val="0"/>
              <w:spacing w:line="360" w:lineRule="auto"/>
              <w:ind w:left="0" w:leftChars="0" w:right="0" w:rightChars="0" w:firstLine="210" w:firstLineChars="1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开标时间和地点</w:t>
            </w:r>
          </w:p>
        </w:tc>
        <w:tc>
          <w:tcPr>
            <w:tcW w:w="2898" w:type="pct"/>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bidi w:val="0"/>
              <w:adjustRightInd w:val="0"/>
              <w:snapToGrid w:val="0"/>
              <w:spacing w:line="360" w:lineRule="auto"/>
              <w:ind w:left="0" w:leftChars="0" w:right="0" w:right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开标时间：</w:t>
            </w:r>
            <w:r>
              <w:rPr>
                <w:rFonts w:hint="eastAsia" w:ascii="仿宋" w:hAnsi="仿宋" w:eastAsia="仿宋" w:cs="仿宋"/>
                <w:color w:val="auto"/>
                <w:sz w:val="21"/>
                <w:szCs w:val="21"/>
                <w:highlight w:val="none"/>
                <w:lang w:val="en-US" w:eastAsia="zh-CN"/>
              </w:rPr>
              <w:t>2022</w:t>
            </w:r>
            <w:r>
              <w:rPr>
                <w:rFonts w:hint="eastAsia" w:ascii="仿宋" w:hAnsi="仿宋" w:eastAsia="仿宋" w:cs="仿宋"/>
                <w:color w:val="auto"/>
                <w:sz w:val="21"/>
                <w:szCs w:val="21"/>
                <w:highlight w:val="none"/>
              </w:rPr>
              <w:t>年</w:t>
            </w:r>
            <w:r>
              <w:rPr>
                <w:rFonts w:hint="eastAsia" w:ascii="仿宋" w:hAnsi="仿宋" w:eastAsia="仿宋" w:cs="仿宋"/>
                <w:color w:val="auto"/>
                <w:sz w:val="21"/>
                <w:szCs w:val="21"/>
                <w:highlight w:val="none"/>
                <w:lang w:val="en-US" w:eastAsia="zh-CN"/>
              </w:rPr>
              <w:t>8</w:t>
            </w:r>
            <w:r>
              <w:rPr>
                <w:rFonts w:hint="eastAsia" w:ascii="仿宋" w:hAnsi="仿宋" w:eastAsia="仿宋" w:cs="仿宋"/>
                <w:color w:val="auto"/>
                <w:sz w:val="21"/>
                <w:szCs w:val="21"/>
                <w:highlight w:val="none"/>
              </w:rPr>
              <w:t>月</w:t>
            </w:r>
            <w:r>
              <w:rPr>
                <w:rFonts w:hint="eastAsia" w:ascii="仿宋" w:hAnsi="仿宋" w:eastAsia="仿宋" w:cs="仿宋"/>
                <w:color w:val="auto"/>
                <w:sz w:val="21"/>
                <w:szCs w:val="21"/>
                <w:highlight w:val="none"/>
                <w:lang w:val="en-US" w:eastAsia="zh-CN"/>
              </w:rPr>
              <w:t>29</w:t>
            </w:r>
            <w:r>
              <w:rPr>
                <w:rFonts w:hint="eastAsia" w:ascii="仿宋" w:hAnsi="仿宋" w:eastAsia="仿宋" w:cs="仿宋"/>
                <w:color w:val="auto"/>
                <w:sz w:val="21"/>
                <w:szCs w:val="21"/>
                <w:highlight w:val="none"/>
              </w:rPr>
              <w:t>日</w:t>
            </w:r>
            <w:r>
              <w:rPr>
                <w:rFonts w:hint="eastAsia" w:ascii="仿宋" w:hAnsi="仿宋" w:eastAsia="仿宋" w:cs="仿宋"/>
                <w:color w:val="auto"/>
                <w:sz w:val="21"/>
                <w:szCs w:val="21"/>
                <w:highlight w:val="none"/>
                <w:lang w:val="en-US" w:eastAsia="zh-CN"/>
              </w:rPr>
              <w:t>11</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00</w:t>
            </w:r>
            <w:r>
              <w:rPr>
                <w:rFonts w:hint="eastAsia" w:ascii="仿宋" w:hAnsi="仿宋" w:eastAsia="仿宋" w:cs="仿宋"/>
                <w:color w:val="auto"/>
                <w:sz w:val="21"/>
                <w:szCs w:val="21"/>
                <w:highlight w:val="none"/>
              </w:rPr>
              <w:t>（北京时间）</w:t>
            </w:r>
          </w:p>
          <w:p>
            <w:pPr>
              <w:pageBreakBefore w:val="0"/>
              <w:kinsoku/>
              <w:wordWrap/>
              <w:bidi w:val="0"/>
              <w:adjustRightInd w:val="0"/>
              <w:snapToGrid w:val="0"/>
              <w:spacing w:line="360" w:lineRule="auto"/>
              <w:ind w:left="0" w:leftChars="0" w:right="0" w:right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开标</w:t>
            </w:r>
            <w:r>
              <w:rPr>
                <w:rFonts w:hint="eastAsia" w:ascii="仿宋" w:hAnsi="仿宋" w:eastAsia="仿宋" w:cs="仿宋"/>
                <w:color w:val="auto"/>
                <w:sz w:val="21"/>
                <w:szCs w:val="21"/>
                <w:highlight w:val="none"/>
              </w:rPr>
              <w:t>地点：</w:t>
            </w:r>
            <w:r>
              <w:rPr>
                <w:rFonts w:hint="eastAsia" w:ascii="仿宋" w:hAnsi="仿宋" w:eastAsia="仿宋" w:cs="仿宋"/>
                <w:color w:val="auto"/>
                <w:sz w:val="24"/>
                <w:szCs w:val="32"/>
                <w:highlight w:val="none"/>
              </w:rPr>
              <w:t>新疆乌鲁木齐市</w:t>
            </w:r>
            <w:r>
              <w:rPr>
                <w:rFonts w:hint="eastAsia" w:ascii="仿宋" w:hAnsi="仿宋" w:eastAsia="仿宋" w:cs="仿宋"/>
                <w:color w:val="auto"/>
                <w:sz w:val="24"/>
                <w:szCs w:val="32"/>
                <w:highlight w:val="none"/>
                <w:lang w:val="en-US" w:eastAsia="zh-Hans"/>
              </w:rPr>
              <w:t>水磨沟区鸿泰路</w:t>
            </w:r>
            <w:r>
              <w:rPr>
                <w:rFonts w:hint="eastAsia" w:ascii="仿宋" w:hAnsi="仿宋" w:eastAsia="仿宋" w:cs="仿宋"/>
                <w:color w:val="auto"/>
                <w:sz w:val="24"/>
                <w:szCs w:val="32"/>
                <w:highlight w:val="none"/>
                <w:lang w:eastAsia="zh-Hans"/>
              </w:rPr>
              <w:t>66</w:t>
            </w:r>
            <w:r>
              <w:rPr>
                <w:rFonts w:hint="eastAsia" w:ascii="仿宋" w:hAnsi="仿宋" w:eastAsia="仿宋" w:cs="仿宋"/>
                <w:color w:val="auto"/>
                <w:sz w:val="24"/>
                <w:szCs w:val="32"/>
                <w:highlight w:val="none"/>
                <w:lang w:val="en-US" w:eastAsia="zh-Hans"/>
              </w:rPr>
              <w:t>号万科大都会</w:t>
            </w:r>
            <w:r>
              <w:rPr>
                <w:rFonts w:hint="eastAsia" w:ascii="仿宋" w:hAnsi="仿宋" w:eastAsia="仿宋" w:cs="仿宋"/>
                <w:color w:val="auto"/>
                <w:sz w:val="24"/>
                <w:szCs w:val="32"/>
                <w:highlight w:val="none"/>
                <w:lang w:eastAsia="zh-Hans"/>
              </w:rPr>
              <w:t>9</w:t>
            </w:r>
            <w:r>
              <w:rPr>
                <w:rFonts w:hint="eastAsia" w:ascii="仿宋" w:hAnsi="仿宋" w:eastAsia="仿宋" w:cs="仿宋"/>
                <w:color w:val="auto"/>
                <w:sz w:val="24"/>
                <w:szCs w:val="32"/>
                <w:highlight w:val="none"/>
                <w:lang w:val="en-US" w:eastAsia="zh-Hans"/>
              </w:rPr>
              <w:t>号综合办公楼</w:t>
            </w:r>
            <w:r>
              <w:rPr>
                <w:rFonts w:hint="eastAsia" w:ascii="仿宋" w:hAnsi="仿宋" w:eastAsia="仿宋" w:cs="仿宋"/>
                <w:color w:val="auto"/>
                <w:sz w:val="24"/>
                <w:szCs w:val="32"/>
                <w:highlight w:val="none"/>
                <w:lang w:val="en-US" w:eastAsia="zh-CN"/>
              </w:rPr>
              <w:t>506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0" w:hRule="atLeast"/>
        </w:trPr>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bidi w:val="0"/>
              <w:adjustRightInd w:val="0"/>
              <w:snapToGrid w:val="0"/>
              <w:spacing w:line="360" w:lineRule="auto"/>
              <w:ind w:left="0" w:leftChars="0" w:right="0" w:rightChars="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3</w:t>
            </w:r>
            <w:r>
              <w:rPr>
                <w:rFonts w:hint="eastAsia" w:ascii="仿宋" w:hAnsi="仿宋" w:eastAsia="仿宋" w:cs="仿宋"/>
                <w:i w:val="0"/>
                <w:color w:val="auto"/>
                <w:kern w:val="0"/>
                <w:sz w:val="21"/>
                <w:szCs w:val="21"/>
                <w:highlight w:val="none"/>
                <w:u w:val="none"/>
                <w:lang w:eastAsia="zh-CN" w:bidi="ar"/>
              </w:rPr>
              <w:t>1</w:t>
            </w: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bidi w:val="0"/>
              <w:adjustRightInd w:val="0"/>
              <w:snapToGrid w:val="0"/>
              <w:spacing w:line="360" w:lineRule="auto"/>
              <w:ind w:left="0" w:leftChars="0" w:right="0" w:rightChars="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6.1.1</w:t>
            </w:r>
          </w:p>
        </w:tc>
        <w:tc>
          <w:tcPr>
            <w:tcW w:w="11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bidi w:val="0"/>
              <w:adjustRightInd w:val="0"/>
              <w:snapToGrid w:val="0"/>
              <w:spacing w:line="360" w:lineRule="auto"/>
              <w:ind w:left="0" w:leftChars="0" w:right="0" w:rightChars="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评标委员会组成</w:t>
            </w:r>
          </w:p>
        </w:tc>
        <w:tc>
          <w:tcPr>
            <w:tcW w:w="2898"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bidi w:val="0"/>
              <w:adjustRightInd w:val="0"/>
              <w:snapToGrid w:val="0"/>
              <w:spacing w:line="360" w:lineRule="auto"/>
              <w:ind w:left="0" w:leftChars="0" w:right="0" w:rightChars="0"/>
              <w:jc w:val="both"/>
              <w:textAlignment w:val="top"/>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评标委员会由7人组成，</w:t>
            </w:r>
            <w:r>
              <w:rPr>
                <w:rFonts w:hint="eastAsia" w:ascii="仿宋" w:hAnsi="仿宋" w:eastAsia="仿宋" w:cs="仿宋"/>
                <w:i w:val="0"/>
                <w:color w:val="auto"/>
                <w:kern w:val="0"/>
                <w:sz w:val="21"/>
                <w:szCs w:val="21"/>
                <w:highlight w:val="none"/>
                <w:u w:val="none"/>
                <w:lang w:val="en-US" w:eastAsia="zh-Hans" w:bidi="ar"/>
              </w:rPr>
              <w:t>甲方专家</w:t>
            </w:r>
            <w:r>
              <w:rPr>
                <w:rFonts w:hint="eastAsia" w:ascii="仿宋" w:hAnsi="仿宋" w:eastAsia="仿宋" w:cs="仿宋"/>
                <w:i w:val="0"/>
                <w:color w:val="auto"/>
                <w:kern w:val="0"/>
                <w:sz w:val="21"/>
                <w:szCs w:val="21"/>
                <w:highlight w:val="none"/>
                <w:u w:val="none"/>
                <w:lang w:val="en-US" w:eastAsia="zh-CN" w:bidi="ar"/>
              </w:rPr>
              <w:t>0</w:t>
            </w:r>
            <w:r>
              <w:rPr>
                <w:rFonts w:hint="eastAsia" w:ascii="仿宋" w:hAnsi="仿宋" w:eastAsia="仿宋" w:cs="仿宋"/>
                <w:i w:val="0"/>
                <w:color w:val="auto"/>
                <w:kern w:val="0"/>
                <w:sz w:val="21"/>
                <w:szCs w:val="21"/>
                <w:highlight w:val="none"/>
                <w:u w:val="none"/>
                <w:lang w:val="en-US" w:eastAsia="zh-Hans" w:bidi="ar"/>
              </w:rPr>
              <w:t>名</w:t>
            </w:r>
            <w:r>
              <w:rPr>
                <w:rFonts w:hint="eastAsia" w:ascii="仿宋" w:hAnsi="仿宋" w:eastAsia="仿宋" w:cs="仿宋"/>
                <w:i w:val="0"/>
                <w:color w:val="auto"/>
                <w:kern w:val="0"/>
                <w:sz w:val="21"/>
                <w:szCs w:val="21"/>
                <w:highlight w:val="none"/>
                <w:u w:val="none"/>
                <w:lang w:eastAsia="zh-Hans" w:bidi="ar"/>
              </w:rPr>
              <w:t>，</w:t>
            </w:r>
            <w:r>
              <w:rPr>
                <w:rFonts w:hint="eastAsia" w:ascii="仿宋" w:hAnsi="仿宋" w:eastAsia="仿宋" w:cs="仿宋"/>
                <w:i w:val="0"/>
                <w:color w:val="auto"/>
                <w:kern w:val="0"/>
                <w:sz w:val="21"/>
                <w:szCs w:val="21"/>
                <w:highlight w:val="none"/>
                <w:u w:val="none"/>
                <w:lang w:val="en-US" w:eastAsia="zh-Hans" w:bidi="ar"/>
              </w:rPr>
              <w:t>其余</w:t>
            </w:r>
            <w:r>
              <w:rPr>
                <w:rFonts w:hint="eastAsia" w:ascii="仿宋" w:hAnsi="仿宋" w:eastAsia="仿宋" w:cs="仿宋"/>
                <w:i w:val="0"/>
                <w:color w:val="auto"/>
                <w:kern w:val="0"/>
                <w:sz w:val="21"/>
                <w:szCs w:val="21"/>
                <w:highlight w:val="none"/>
                <w:u w:val="none"/>
                <w:lang w:val="en-US" w:eastAsia="zh-CN" w:bidi="ar"/>
              </w:rPr>
              <w:t>7</w:t>
            </w:r>
            <w:r>
              <w:rPr>
                <w:rFonts w:hint="eastAsia" w:ascii="仿宋" w:hAnsi="仿宋" w:eastAsia="仿宋" w:cs="仿宋"/>
                <w:i w:val="0"/>
                <w:color w:val="auto"/>
                <w:kern w:val="0"/>
                <w:sz w:val="21"/>
                <w:szCs w:val="21"/>
                <w:highlight w:val="none"/>
                <w:u w:val="none"/>
                <w:lang w:val="en-US" w:eastAsia="zh-Hans" w:bidi="ar"/>
              </w:rPr>
              <w:t>名专家</w:t>
            </w:r>
            <w:r>
              <w:rPr>
                <w:rFonts w:hint="eastAsia" w:ascii="仿宋" w:hAnsi="仿宋" w:eastAsia="仿宋" w:cs="仿宋"/>
                <w:i w:val="0"/>
                <w:color w:val="auto"/>
                <w:kern w:val="0"/>
                <w:sz w:val="21"/>
                <w:szCs w:val="21"/>
                <w:highlight w:val="none"/>
                <w:u w:val="none"/>
                <w:lang w:val="en-US" w:eastAsia="zh-CN" w:bidi="ar"/>
              </w:rPr>
              <w:t>从政采云平台上采用随机抽取方式确定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37" w:hRule="atLeast"/>
        </w:trPr>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bidi w:val="0"/>
              <w:adjustRightInd w:val="0"/>
              <w:snapToGrid w:val="0"/>
              <w:spacing w:line="360" w:lineRule="auto"/>
              <w:ind w:left="0" w:leftChars="0" w:right="0" w:rightChars="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3</w:t>
            </w:r>
            <w:r>
              <w:rPr>
                <w:rFonts w:hint="eastAsia" w:ascii="仿宋" w:hAnsi="仿宋" w:eastAsia="仿宋" w:cs="仿宋"/>
                <w:i w:val="0"/>
                <w:color w:val="auto"/>
                <w:kern w:val="0"/>
                <w:sz w:val="21"/>
                <w:szCs w:val="21"/>
                <w:highlight w:val="none"/>
                <w:u w:val="none"/>
                <w:lang w:eastAsia="zh-CN" w:bidi="ar"/>
              </w:rPr>
              <w:t>2</w:t>
            </w: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bidi w:val="0"/>
              <w:adjustRightInd w:val="0"/>
              <w:snapToGrid w:val="0"/>
              <w:spacing w:line="360" w:lineRule="auto"/>
              <w:ind w:left="0" w:leftChars="0" w:right="0" w:rightChars="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7.1</w:t>
            </w:r>
          </w:p>
        </w:tc>
        <w:tc>
          <w:tcPr>
            <w:tcW w:w="11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bidi w:val="0"/>
              <w:adjustRightInd w:val="0"/>
              <w:snapToGrid w:val="0"/>
              <w:spacing w:line="360" w:lineRule="auto"/>
              <w:ind w:left="0" w:leftChars="0" w:right="0" w:rightChars="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中标（成交）结果公示媒介</w:t>
            </w:r>
          </w:p>
        </w:tc>
        <w:tc>
          <w:tcPr>
            <w:tcW w:w="28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bidi w:val="0"/>
              <w:adjustRightInd w:val="0"/>
              <w:snapToGrid w:val="0"/>
              <w:spacing w:line="360" w:lineRule="auto"/>
              <w:ind w:left="0" w:leftChars="0" w:right="0" w:rightChars="0"/>
              <w:jc w:val="both"/>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Hans" w:bidi="ar"/>
              </w:rPr>
              <w:t>新疆政府采购网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20" w:hRule="atLeast"/>
        </w:trPr>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bidi w:val="0"/>
              <w:adjustRightInd w:val="0"/>
              <w:snapToGrid w:val="0"/>
              <w:spacing w:line="360" w:lineRule="auto"/>
              <w:ind w:left="0" w:leftChars="0" w:right="0" w:rightChars="0"/>
              <w:jc w:val="center"/>
              <w:textAlignment w:val="center"/>
              <w:rPr>
                <w:rFonts w:hint="eastAsia" w:ascii="仿宋" w:hAnsi="仿宋" w:eastAsia="仿宋" w:cs="仿宋"/>
                <w:i w:val="0"/>
                <w:color w:val="auto"/>
                <w:sz w:val="21"/>
                <w:szCs w:val="21"/>
                <w:highlight w:val="none"/>
                <w:u w:val="none"/>
                <w:lang w:val="en-US" w:eastAsia="zh-CN"/>
              </w:rPr>
            </w:pPr>
            <w:r>
              <w:rPr>
                <w:rFonts w:hint="eastAsia" w:ascii="仿宋" w:hAnsi="仿宋" w:eastAsia="仿宋" w:cs="仿宋"/>
                <w:i w:val="0"/>
                <w:color w:val="auto"/>
                <w:sz w:val="21"/>
                <w:szCs w:val="21"/>
                <w:highlight w:val="none"/>
                <w:u w:val="none"/>
              </w:rPr>
              <w:t>3</w:t>
            </w:r>
            <w:r>
              <w:rPr>
                <w:rFonts w:hint="eastAsia" w:ascii="仿宋" w:hAnsi="仿宋" w:eastAsia="仿宋" w:cs="仿宋"/>
                <w:i w:val="0"/>
                <w:color w:val="auto"/>
                <w:sz w:val="21"/>
                <w:szCs w:val="21"/>
                <w:highlight w:val="none"/>
                <w:u w:val="none"/>
                <w:lang w:val="en-US" w:eastAsia="zh-CN"/>
              </w:rPr>
              <w:t>3</w:t>
            </w: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bidi w:val="0"/>
              <w:adjustRightInd w:val="0"/>
              <w:snapToGrid w:val="0"/>
              <w:spacing w:line="360" w:lineRule="auto"/>
              <w:ind w:left="0" w:leftChars="0" w:right="0" w:rightChars="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9.1</w:t>
            </w:r>
          </w:p>
        </w:tc>
        <w:tc>
          <w:tcPr>
            <w:tcW w:w="11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bidi w:val="0"/>
              <w:adjustRightInd w:val="0"/>
              <w:snapToGrid w:val="0"/>
              <w:spacing w:line="360" w:lineRule="auto"/>
              <w:ind w:left="0" w:leftChars="0" w:right="0" w:rightChars="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中标服务费</w:t>
            </w:r>
          </w:p>
        </w:tc>
        <w:tc>
          <w:tcPr>
            <w:tcW w:w="28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bidi w:val="0"/>
              <w:adjustRightInd w:val="0"/>
              <w:snapToGrid w:val="0"/>
              <w:spacing w:line="360" w:lineRule="auto"/>
              <w:ind w:left="0" w:leftChars="0" w:right="0" w:rightChars="0"/>
              <w:jc w:val="both"/>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中标人须向招标代理机构按如下标准和规定交纳招标代理服务费：招标代理服务费以中标金额为基数，按国家发改委计价格[2002]1980号文载明的“</w:t>
            </w:r>
            <w:r>
              <w:rPr>
                <w:rFonts w:hint="eastAsia" w:ascii="仿宋" w:hAnsi="仿宋" w:eastAsia="仿宋" w:cs="仿宋"/>
                <w:i w:val="0"/>
                <w:color w:val="auto"/>
                <w:kern w:val="0"/>
                <w:sz w:val="21"/>
                <w:szCs w:val="21"/>
                <w:highlight w:val="none"/>
                <w:u w:val="none"/>
                <w:lang w:val="en-US" w:eastAsia="zh-Hans" w:bidi="ar"/>
              </w:rPr>
              <w:t>货物</w:t>
            </w:r>
            <w:r>
              <w:rPr>
                <w:rFonts w:hint="eastAsia" w:ascii="仿宋" w:hAnsi="仿宋" w:eastAsia="仿宋" w:cs="仿宋"/>
                <w:i w:val="0"/>
                <w:color w:val="auto"/>
                <w:kern w:val="0"/>
                <w:sz w:val="21"/>
                <w:szCs w:val="21"/>
                <w:highlight w:val="none"/>
                <w:u w:val="none"/>
                <w:lang w:val="en-US" w:eastAsia="zh-CN" w:bidi="ar"/>
              </w:rPr>
              <w:t>招标”计算。根据发改办价格[2003]857号文规定向中标人收取。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bidi w:val="0"/>
              <w:adjustRightInd w:val="0"/>
              <w:snapToGrid w:val="0"/>
              <w:spacing w:line="360" w:lineRule="auto"/>
              <w:ind w:left="0" w:leftChars="0" w:right="0" w:rightChars="0"/>
              <w:jc w:val="center"/>
              <w:textAlignment w:val="center"/>
              <w:rPr>
                <w:rFonts w:hint="eastAsia" w:ascii="仿宋" w:hAnsi="仿宋" w:eastAsia="仿宋" w:cs="仿宋"/>
                <w:i w:val="0"/>
                <w:color w:val="auto"/>
                <w:sz w:val="21"/>
                <w:szCs w:val="21"/>
                <w:highlight w:val="none"/>
                <w:u w:val="none"/>
                <w:lang w:val="en-US" w:eastAsia="zh-CN"/>
              </w:rPr>
            </w:pPr>
            <w:r>
              <w:rPr>
                <w:rFonts w:hint="eastAsia" w:ascii="仿宋" w:hAnsi="仿宋" w:eastAsia="仿宋" w:cs="仿宋"/>
                <w:i w:val="0"/>
                <w:color w:val="auto"/>
                <w:sz w:val="21"/>
                <w:szCs w:val="21"/>
                <w:highlight w:val="none"/>
                <w:u w:val="none"/>
              </w:rPr>
              <w:t>3</w:t>
            </w:r>
            <w:r>
              <w:rPr>
                <w:rFonts w:hint="eastAsia" w:ascii="仿宋" w:hAnsi="仿宋" w:eastAsia="仿宋" w:cs="仿宋"/>
                <w:i w:val="0"/>
                <w:color w:val="auto"/>
                <w:sz w:val="21"/>
                <w:szCs w:val="21"/>
                <w:highlight w:val="none"/>
                <w:u w:val="none"/>
                <w:lang w:val="en-US" w:eastAsia="zh-CN"/>
              </w:rPr>
              <w:t>4</w:t>
            </w: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bidi w:val="0"/>
              <w:adjustRightInd w:val="0"/>
              <w:snapToGrid w:val="0"/>
              <w:spacing w:line="360" w:lineRule="auto"/>
              <w:ind w:left="0" w:leftChars="0" w:right="0" w:rightChars="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9.2</w:t>
            </w:r>
          </w:p>
        </w:tc>
        <w:tc>
          <w:tcPr>
            <w:tcW w:w="11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bidi w:val="0"/>
              <w:adjustRightInd w:val="0"/>
              <w:snapToGrid w:val="0"/>
              <w:spacing w:line="360" w:lineRule="auto"/>
              <w:ind w:left="0" w:leftChars="0" w:right="0" w:rightChars="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eastAsia="zh-CN" w:bidi="ar"/>
              </w:rPr>
              <w:t>招标文件</w:t>
            </w:r>
            <w:r>
              <w:rPr>
                <w:rFonts w:hint="eastAsia" w:ascii="仿宋" w:hAnsi="仿宋" w:eastAsia="仿宋" w:cs="仿宋"/>
                <w:i w:val="0"/>
                <w:color w:val="auto"/>
                <w:kern w:val="0"/>
                <w:sz w:val="21"/>
                <w:szCs w:val="21"/>
                <w:highlight w:val="none"/>
                <w:u w:val="none"/>
                <w:lang w:val="en-US" w:eastAsia="zh-CN" w:bidi="ar"/>
              </w:rPr>
              <w:t>解释权</w:t>
            </w:r>
          </w:p>
        </w:tc>
        <w:tc>
          <w:tcPr>
            <w:tcW w:w="28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bidi w:val="0"/>
              <w:adjustRightInd w:val="0"/>
              <w:snapToGrid w:val="0"/>
              <w:spacing w:line="360" w:lineRule="auto"/>
              <w:ind w:left="0" w:leftChars="0" w:right="0" w:rightChars="0"/>
              <w:jc w:val="both"/>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招标人拥有本套</w:t>
            </w:r>
            <w:r>
              <w:rPr>
                <w:rFonts w:hint="eastAsia" w:ascii="仿宋" w:hAnsi="仿宋" w:eastAsia="仿宋" w:cs="仿宋"/>
                <w:i w:val="0"/>
                <w:color w:val="auto"/>
                <w:kern w:val="0"/>
                <w:sz w:val="21"/>
                <w:szCs w:val="21"/>
                <w:highlight w:val="none"/>
                <w:u w:val="none"/>
                <w:lang w:eastAsia="zh-CN" w:bidi="ar"/>
              </w:rPr>
              <w:t>招标文件</w:t>
            </w:r>
            <w:r>
              <w:rPr>
                <w:rFonts w:hint="eastAsia" w:ascii="仿宋" w:hAnsi="仿宋" w:eastAsia="仿宋" w:cs="仿宋"/>
                <w:i w:val="0"/>
                <w:color w:val="auto"/>
                <w:kern w:val="0"/>
                <w:sz w:val="21"/>
                <w:szCs w:val="21"/>
                <w:highlight w:val="none"/>
                <w:u w:val="none"/>
                <w:lang w:val="en-US" w:eastAsia="zh-CN" w:bidi="ar"/>
              </w:rPr>
              <w:t>最终解释权</w:t>
            </w:r>
          </w:p>
        </w:tc>
      </w:tr>
      <w:bookmarkEnd w:id="10"/>
    </w:tbl>
    <w:p>
      <w:pPr>
        <w:pageBreakBefore w:val="0"/>
        <w:widowControl w:val="0"/>
        <w:kinsoku/>
        <w:wordWrap/>
        <w:overflowPunct/>
        <w:topLinePunct w:val="0"/>
        <w:autoSpaceDE/>
        <w:autoSpaceDN/>
        <w:bidi w:val="0"/>
        <w:adjustRightInd w:val="0"/>
        <w:snapToGrid w:val="0"/>
        <w:spacing w:line="360" w:lineRule="auto"/>
        <w:ind w:left="0" w:leftChars="0" w:right="0" w:rightChars="0"/>
        <w:jc w:val="left"/>
        <w:textAlignment w:val="auto"/>
        <w:rPr>
          <w:rFonts w:hint="eastAsia" w:ascii="仿宋" w:hAnsi="仿宋" w:eastAsia="仿宋" w:cs="仿宋"/>
          <w:b/>
          <w:color w:val="auto"/>
          <w:sz w:val="28"/>
          <w:szCs w:val="28"/>
          <w:highlight w:val="none"/>
        </w:rPr>
      </w:pPr>
      <w:bookmarkStart w:id="11" w:name="_Toc1354440887_WPSOffice_Level2"/>
      <w:r>
        <w:rPr>
          <w:rFonts w:hint="eastAsia" w:ascii="仿宋" w:hAnsi="仿宋" w:eastAsia="仿宋" w:cs="仿宋"/>
          <w:b/>
          <w:color w:val="auto"/>
          <w:sz w:val="28"/>
          <w:szCs w:val="28"/>
          <w:highlight w:val="none"/>
          <w:lang w:val="en-US" w:eastAsia="zh-Hans"/>
        </w:rPr>
        <w:t>二</w:t>
      </w:r>
      <w:r>
        <w:rPr>
          <w:rFonts w:hint="eastAsia" w:ascii="仿宋" w:hAnsi="仿宋" w:eastAsia="仿宋" w:cs="仿宋"/>
          <w:b/>
          <w:color w:val="auto"/>
          <w:sz w:val="28"/>
          <w:szCs w:val="28"/>
          <w:highlight w:val="none"/>
        </w:rPr>
        <w:t>. 投标人须知</w:t>
      </w:r>
      <w:bookmarkEnd w:id="11"/>
    </w:p>
    <w:p>
      <w:pPr>
        <w:pStyle w:val="5"/>
        <w:pageBreakBefore w:val="0"/>
        <w:widowControl w:val="0"/>
        <w:kinsoku/>
        <w:wordWrap/>
        <w:overflowPunct/>
        <w:topLinePunct w:val="0"/>
        <w:autoSpaceDE/>
        <w:autoSpaceDN/>
        <w:bidi w:val="0"/>
        <w:adjustRightInd w:val="0"/>
        <w:snapToGrid w:val="0"/>
        <w:spacing w:before="0" w:beforeLines="0" w:after="0" w:afterLines="0" w:line="360" w:lineRule="auto"/>
        <w:ind w:left="0" w:leftChars="0" w:right="0" w:rightChars="0"/>
        <w:textAlignment w:val="auto"/>
        <w:rPr>
          <w:rFonts w:hint="eastAsia" w:ascii="仿宋" w:hAnsi="仿宋" w:eastAsia="仿宋" w:cs="仿宋"/>
          <w:color w:val="auto"/>
          <w:sz w:val="24"/>
          <w:szCs w:val="24"/>
          <w:highlight w:val="none"/>
        </w:rPr>
      </w:pPr>
      <w:bookmarkStart w:id="12" w:name="_Toc144974498"/>
      <w:bookmarkStart w:id="13" w:name="_Toc152042306"/>
      <w:bookmarkStart w:id="14" w:name="_Toc247085690"/>
      <w:bookmarkStart w:id="15" w:name="_Toc246996176"/>
      <w:bookmarkStart w:id="16" w:name="_Toc179632547"/>
      <w:bookmarkStart w:id="17" w:name="_Toc152045530"/>
      <w:bookmarkStart w:id="18" w:name="_Toc246996919"/>
      <w:bookmarkStart w:id="19" w:name="_Toc514837857"/>
      <w:bookmarkStart w:id="20" w:name="_Toc985920587_WPSOffice_Level1"/>
      <w:bookmarkStart w:id="21" w:name="_Toc11495_WPSOffice_Level1"/>
      <w:bookmarkStart w:id="22" w:name="_Toc33087738"/>
      <w:r>
        <w:rPr>
          <w:rFonts w:hint="eastAsia" w:ascii="仿宋" w:hAnsi="仿宋" w:eastAsia="仿宋" w:cs="仿宋"/>
          <w:color w:val="auto"/>
          <w:sz w:val="24"/>
          <w:szCs w:val="24"/>
          <w:highlight w:val="none"/>
        </w:rPr>
        <w:t xml:space="preserve">1.1 </w:t>
      </w:r>
      <w:bookmarkEnd w:id="12"/>
      <w:bookmarkEnd w:id="13"/>
      <w:bookmarkEnd w:id="14"/>
      <w:bookmarkEnd w:id="15"/>
      <w:bookmarkEnd w:id="16"/>
      <w:bookmarkEnd w:id="17"/>
      <w:bookmarkEnd w:id="18"/>
      <w:r>
        <w:rPr>
          <w:rFonts w:hint="eastAsia" w:ascii="仿宋" w:hAnsi="仿宋" w:eastAsia="仿宋" w:cs="仿宋"/>
          <w:color w:val="auto"/>
          <w:sz w:val="24"/>
          <w:szCs w:val="24"/>
          <w:highlight w:val="none"/>
        </w:rPr>
        <w:t>招标项目概况</w:t>
      </w:r>
      <w:bookmarkEnd w:id="19"/>
    </w:p>
    <w:p>
      <w:pPr>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1.1.1 根据有关法律、法规和规章的规定，本招标项目已具备招标条件，现对设备采购进行招标。</w:t>
      </w:r>
    </w:p>
    <w:p>
      <w:pPr>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1.1.2 招标人：见投标人须知前附表。</w:t>
      </w:r>
    </w:p>
    <w:p>
      <w:pPr>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1.1.3 招标代理机构：见投标人须知前附表。</w:t>
      </w:r>
    </w:p>
    <w:p>
      <w:pPr>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1.1.4 招标项目名称：见投标人须知前附表。</w:t>
      </w:r>
    </w:p>
    <w:p>
      <w:pPr>
        <w:pStyle w:val="5"/>
        <w:pageBreakBefore w:val="0"/>
        <w:widowControl w:val="0"/>
        <w:kinsoku/>
        <w:wordWrap/>
        <w:overflowPunct/>
        <w:topLinePunct w:val="0"/>
        <w:autoSpaceDE/>
        <w:autoSpaceDN/>
        <w:bidi w:val="0"/>
        <w:adjustRightInd w:val="0"/>
        <w:snapToGrid w:val="0"/>
        <w:spacing w:before="0" w:beforeLines="0" w:after="0" w:afterLines="0" w:line="360" w:lineRule="auto"/>
        <w:ind w:left="0" w:leftChars="0" w:right="0" w:rightChars="0"/>
        <w:textAlignment w:val="auto"/>
        <w:rPr>
          <w:rFonts w:hint="eastAsia" w:ascii="仿宋" w:hAnsi="仿宋" w:eastAsia="仿宋" w:cs="仿宋"/>
          <w:color w:val="auto"/>
          <w:sz w:val="24"/>
          <w:szCs w:val="24"/>
          <w:highlight w:val="none"/>
        </w:rPr>
      </w:pPr>
      <w:bookmarkStart w:id="23" w:name="_Toc247085691"/>
      <w:bookmarkStart w:id="24" w:name="_Toc152042307"/>
      <w:bookmarkStart w:id="25" w:name="_Toc246996177"/>
      <w:bookmarkStart w:id="26" w:name="_Toc179632548"/>
      <w:bookmarkStart w:id="27" w:name="_Toc144974499"/>
      <w:bookmarkStart w:id="28" w:name="_Toc152045531"/>
      <w:bookmarkStart w:id="29" w:name="_Toc246996920"/>
      <w:bookmarkStart w:id="30" w:name="_Toc514837858"/>
      <w:r>
        <w:rPr>
          <w:rFonts w:hint="eastAsia" w:ascii="仿宋" w:hAnsi="仿宋" w:eastAsia="仿宋" w:cs="仿宋"/>
          <w:color w:val="auto"/>
          <w:sz w:val="24"/>
          <w:szCs w:val="24"/>
          <w:highlight w:val="none"/>
        </w:rPr>
        <w:t xml:space="preserve">1.2 </w:t>
      </w:r>
      <w:bookmarkEnd w:id="23"/>
      <w:bookmarkEnd w:id="24"/>
      <w:bookmarkEnd w:id="25"/>
      <w:bookmarkEnd w:id="26"/>
      <w:bookmarkEnd w:id="27"/>
      <w:bookmarkEnd w:id="28"/>
      <w:bookmarkEnd w:id="29"/>
      <w:r>
        <w:rPr>
          <w:rFonts w:hint="eastAsia" w:ascii="仿宋" w:hAnsi="仿宋" w:eastAsia="仿宋" w:cs="仿宋"/>
          <w:color w:val="auto"/>
          <w:sz w:val="24"/>
          <w:szCs w:val="24"/>
          <w:highlight w:val="none"/>
        </w:rPr>
        <w:t>招标项目的资金来源和落实情况</w:t>
      </w:r>
      <w:bookmarkEnd w:id="30"/>
    </w:p>
    <w:p>
      <w:pPr>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1.2.1 资金来源及比例：见投标人须知前附表。</w:t>
      </w:r>
    </w:p>
    <w:p>
      <w:pPr>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1.2.2 资金落实情况：见投标人须知前附表。</w:t>
      </w:r>
    </w:p>
    <w:p>
      <w:pPr>
        <w:pStyle w:val="5"/>
        <w:pageBreakBefore w:val="0"/>
        <w:widowControl w:val="0"/>
        <w:kinsoku/>
        <w:wordWrap/>
        <w:overflowPunct/>
        <w:topLinePunct w:val="0"/>
        <w:autoSpaceDE/>
        <w:autoSpaceDN/>
        <w:bidi w:val="0"/>
        <w:adjustRightInd w:val="0"/>
        <w:snapToGrid w:val="0"/>
        <w:spacing w:before="0" w:beforeLines="0" w:after="0" w:afterLines="0" w:line="360" w:lineRule="auto"/>
        <w:ind w:left="0" w:leftChars="0" w:right="0" w:rightChars="0"/>
        <w:textAlignment w:val="auto"/>
        <w:rPr>
          <w:rFonts w:hint="eastAsia" w:ascii="仿宋" w:hAnsi="仿宋" w:eastAsia="仿宋" w:cs="仿宋"/>
          <w:color w:val="auto"/>
          <w:sz w:val="24"/>
          <w:szCs w:val="24"/>
          <w:highlight w:val="none"/>
        </w:rPr>
      </w:pPr>
      <w:bookmarkStart w:id="31" w:name="_Toc144974500"/>
      <w:bookmarkStart w:id="32" w:name="_Toc179632549"/>
      <w:bookmarkStart w:id="33" w:name="_Toc152045532"/>
      <w:bookmarkStart w:id="34" w:name="_Toc247085692"/>
      <w:bookmarkStart w:id="35" w:name="_Toc152042308"/>
      <w:bookmarkStart w:id="36" w:name="_Toc246996178"/>
      <w:bookmarkStart w:id="37" w:name="_Toc246996921"/>
      <w:bookmarkStart w:id="38" w:name="_Toc514837859"/>
      <w:r>
        <w:rPr>
          <w:rFonts w:hint="eastAsia" w:ascii="仿宋" w:hAnsi="仿宋" w:eastAsia="仿宋" w:cs="仿宋"/>
          <w:color w:val="auto"/>
          <w:sz w:val="24"/>
          <w:szCs w:val="24"/>
          <w:highlight w:val="none"/>
        </w:rPr>
        <w:t xml:space="preserve">1.3 </w:t>
      </w:r>
      <w:bookmarkEnd w:id="31"/>
      <w:bookmarkEnd w:id="32"/>
      <w:bookmarkEnd w:id="33"/>
      <w:bookmarkEnd w:id="34"/>
      <w:bookmarkEnd w:id="35"/>
      <w:bookmarkEnd w:id="36"/>
      <w:bookmarkEnd w:id="37"/>
      <w:r>
        <w:rPr>
          <w:rFonts w:hint="eastAsia" w:ascii="仿宋" w:hAnsi="仿宋" w:eastAsia="仿宋" w:cs="仿宋"/>
          <w:color w:val="auto"/>
          <w:sz w:val="24"/>
          <w:szCs w:val="24"/>
          <w:highlight w:val="none"/>
        </w:rPr>
        <w:t>招标范围、供货安装周期、交货地点和</w:t>
      </w:r>
      <w:bookmarkEnd w:id="38"/>
      <w:r>
        <w:rPr>
          <w:rFonts w:hint="eastAsia" w:ascii="仿宋" w:hAnsi="仿宋" w:eastAsia="仿宋" w:cs="仿宋"/>
          <w:color w:val="auto"/>
          <w:sz w:val="24"/>
          <w:szCs w:val="24"/>
          <w:highlight w:val="none"/>
        </w:rPr>
        <w:t>技术性能指标</w:t>
      </w:r>
    </w:p>
    <w:p>
      <w:pPr>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1.3.1 招标范围：见投标人须知前附表。</w:t>
      </w:r>
    </w:p>
    <w:p>
      <w:pPr>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1.3.2</w:t>
      </w:r>
      <w:r>
        <w:rPr>
          <w:rFonts w:hint="eastAsia" w:ascii="仿宋" w:hAnsi="仿宋" w:eastAsia="仿宋" w:cs="仿宋"/>
          <w:bCs/>
          <w:color w:val="auto"/>
          <w:sz w:val="24"/>
          <w:szCs w:val="24"/>
          <w:highlight w:val="none"/>
        </w:rPr>
        <w:t>供货安装周期</w:t>
      </w:r>
      <w:r>
        <w:rPr>
          <w:rFonts w:hint="eastAsia" w:ascii="仿宋" w:hAnsi="仿宋" w:eastAsia="仿宋" w:cs="仿宋"/>
          <w:color w:val="auto"/>
          <w:sz w:val="24"/>
          <w:szCs w:val="24"/>
          <w:highlight w:val="none"/>
        </w:rPr>
        <w:t>：见投标人须知前附表。</w:t>
      </w:r>
    </w:p>
    <w:p>
      <w:pPr>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1.3.3 交货地点：见投标人须知前附表。</w:t>
      </w:r>
    </w:p>
    <w:p>
      <w:pPr>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1.3.4 技术性能指标：见投标人须知前附表。</w:t>
      </w:r>
    </w:p>
    <w:p>
      <w:pPr>
        <w:pStyle w:val="5"/>
        <w:pageBreakBefore w:val="0"/>
        <w:widowControl w:val="0"/>
        <w:kinsoku/>
        <w:wordWrap/>
        <w:overflowPunct/>
        <w:topLinePunct w:val="0"/>
        <w:autoSpaceDE/>
        <w:autoSpaceDN/>
        <w:bidi w:val="0"/>
        <w:adjustRightInd w:val="0"/>
        <w:snapToGrid w:val="0"/>
        <w:spacing w:before="0" w:beforeLines="0" w:after="0" w:afterLines="0" w:line="360" w:lineRule="auto"/>
        <w:ind w:left="0" w:leftChars="0" w:right="0" w:rightChars="0"/>
        <w:textAlignment w:val="auto"/>
        <w:rPr>
          <w:rFonts w:hint="eastAsia" w:ascii="仿宋" w:hAnsi="仿宋" w:eastAsia="仿宋" w:cs="仿宋"/>
          <w:color w:val="auto"/>
          <w:sz w:val="24"/>
          <w:szCs w:val="24"/>
          <w:highlight w:val="none"/>
        </w:rPr>
      </w:pPr>
      <w:bookmarkStart w:id="39" w:name="_Toc144974502"/>
      <w:bookmarkStart w:id="40" w:name="_Toc152042310"/>
      <w:bookmarkStart w:id="41" w:name="_Toc246996922"/>
      <w:bookmarkStart w:id="42" w:name="_Toc247085693"/>
      <w:bookmarkStart w:id="43" w:name="_Toc152045534"/>
      <w:bookmarkStart w:id="44" w:name="_Toc246996179"/>
      <w:bookmarkStart w:id="45" w:name="_Toc179632551"/>
      <w:bookmarkStart w:id="46" w:name="_Toc514837860"/>
      <w:r>
        <w:rPr>
          <w:rFonts w:hint="eastAsia" w:ascii="仿宋" w:hAnsi="仿宋" w:eastAsia="仿宋" w:cs="仿宋"/>
          <w:color w:val="auto"/>
          <w:sz w:val="24"/>
          <w:szCs w:val="24"/>
          <w:highlight w:val="none"/>
        </w:rPr>
        <w:t xml:space="preserve">1.4 </w:t>
      </w:r>
      <w:bookmarkEnd w:id="39"/>
      <w:bookmarkEnd w:id="40"/>
      <w:bookmarkEnd w:id="41"/>
      <w:bookmarkEnd w:id="42"/>
      <w:bookmarkEnd w:id="43"/>
      <w:bookmarkEnd w:id="44"/>
      <w:bookmarkEnd w:id="45"/>
      <w:r>
        <w:rPr>
          <w:rFonts w:hint="eastAsia" w:ascii="仿宋" w:hAnsi="仿宋" w:eastAsia="仿宋" w:cs="仿宋"/>
          <w:color w:val="auto"/>
          <w:sz w:val="24"/>
          <w:szCs w:val="24"/>
          <w:highlight w:val="none"/>
        </w:rPr>
        <w:t>投标人资格要求</w:t>
      </w:r>
      <w:bookmarkEnd w:id="46"/>
    </w:p>
    <w:p>
      <w:pPr>
        <w:pageBreakBefore w:val="0"/>
        <w:widowControl w:val="0"/>
        <w:kinsoku/>
        <w:wordWrap/>
        <w:overflowPunct/>
        <w:topLinePunct w:val="0"/>
        <w:autoSpaceDE/>
        <w:autoSpaceDN/>
        <w:bidi w:val="0"/>
        <w:adjustRightInd w:val="0"/>
        <w:snapToGrid w:val="0"/>
        <w:spacing w:line="360" w:lineRule="auto"/>
        <w:ind w:left="0" w:leftChars="0" w:right="0" w:rightChars="0" w:firstLine="410" w:firstLineChars="171"/>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1.4.1 投标人应具备承担本招标项目资质条件、能力和信誉：见投标人须知前附表。投标人为代理经销商的，对投标人的资质要求包含对制造商的资质要求，对投标人的业绩要求包含对投标设备的业绩要求。需要提交的相关证明材料见本章第 3.9款的规定。</w:t>
      </w:r>
    </w:p>
    <w:p>
      <w:pPr>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1.4.2 投标人须知前附表规定接受联合体投标的，联合体除应符合本章第 1.4.1 项和投标人须知前附表的要求外，还应遵守以下规定：</w:t>
      </w:r>
    </w:p>
    <w:p>
      <w:pPr>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（1）联合体各方应按招标文件提供的格式签订联合体协议书，明确联合体牵头人和各方权 利义务，并承诺就中标项目向招标人承担连带责任；</w:t>
      </w:r>
    </w:p>
    <w:p>
      <w:pPr>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（2）由同一专业的单位组成的联合体，按照资质等级较低的单位确定资质等级；</w:t>
      </w:r>
    </w:p>
    <w:p>
      <w:pPr>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（3）联合体各方不得再以自己名义单独或参加其他联合体在本招标项目中投标，否则各相 关投标均无效。</w:t>
      </w:r>
    </w:p>
    <w:p>
      <w:pPr>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1.4.3投标人不得与本标段相关单位存在下列关联关系：</w:t>
      </w:r>
    </w:p>
    <w:p>
      <w:pPr>
        <w:pageBreakBefore w:val="0"/>
        <w:widowControl w:val="0"/>
        <w:numPr>
          <w:ilvl w:val="0"/>
          <w:numId w:val="4"/>
        </w:numPr>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为招标人不具有独立法人资格的附属机构（单位)；</w:t>
      </w:r>
    </w:p>
    <w:p>
      <w:pPr>
        <w:pageBreakBefore w:val="0"/>
        <w:widowControl w:val="0"/>
        <w:numPr>
          <w:ilvl w:val="0"/>
          <w:numId w:val="4"/>
        </w:numPr>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与招标人存在利害关系且可能影响招标公正性；</w:t>
      </w:r>
    </w:p>
    <w:p>
      <w:pPr>
        <w:pageBreakBefore w:val="0"/>
        <w:widowControl w:val="0"/>
        <w:numPr>
          <w:ilvl w:val="0"/>
          <w:numId w:val="4"/>
        </w:numPr>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与本标段的其他投标人同为一个单位负责人；</w:t>
      </w:r>
    </w:p>
    <w:p>
      <w:pPr>
        <w:pageBreakBefore w:val="0"/>
        <w:widowControl w:val="0"/>
        <w:numPr>
          <w:ilvl w:val="0"/>
          <w:numId w:val="4"/>
        </w:numPr>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与本标段的其他投标人存在控股、管理关系；</w:t>
      </w:r>
    </w:p>
    <w:p>
      <w:pPr>
        <w:pageBreakBefore w:val="0"/>
        <w:widowControl w:val="0"/>
        <w:numPr>
          <w:ilvl w:val="0"/>
          <w:numId w:val="4"/>
        </w:numPr>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为本标段的监理人；</w:t>
      </w:r>
    </w:p>
    <w:p>
      <w:pPr>
        <w:pageBreakBefore w:val="0"/>
        <w:widowControl w:val="0"/>
        <w:numPr>
          <w:ilvl w:val="0"/>
          <w:numId w:val="4"/>
        </w:numPr>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为本标段的代建人；</w:t>
      </w:r>
    </w:p>
    <w:p>
      <w:pPr>
        <w:pageBreakBefore w:val="0"/>
        <w:widowControl w:val="0"/>
        <w:numPr>
          <w:ilvl w:val="0"/>
          <w:numId w:val="4"/>
        </w:numPr>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为本标段的招标代理机构；</w:t>
      </w:r>
    </w:p>
    <w:p>
      <w:pPr>
        <w:pageBreakBefore w:val="0"/>
        <w:widowControl w:val="0"/>
        <w:numPr>
          <w:ilvl w:val="0"/>
          <w:numId w:val="4"/>
        </w:numPr>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与本标段的监理人或代建人或招标代理机构同为一个法定代表人；</w:t>
      </w:r>
    </w:p>
    <w:p>
      <w:pPr>
        <w:pageBreakBefore w:val="0"/>
        <w:widowControl w:val="0"/>
        <w:numPr>
          <w:ilvl w:val="0"/>
          <w:numId w:val="4"/>
        </w:numPr>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与本标段的监理人或代建人或招标代理机构存在控股或参股关系；</w:t>
      </w:r>
    </w:p>
    <w:p>
      <w:pPr>
        <w:pageBreakBefore w:val="0"/>
        <w:widowControl w:val="0"/>
        <w:kinsoku/>
        <w:wordWrap/>
        <w:overflowPunct/>
        <w:topLinePunct w:val="0"/>
        <w:autoSpaceDE/>
        <w:autoSpaceDN/>
        <w:bidi w:val="0"/>
        <w:adjustRightInd w:val="0"/>
        <w:snapToGrid w:val="0"/>
        <w:spacing w:line="360" w:lineRule="auto"/>
        <w:ind w:left="0" w:leftChars="0" w:right="0" w:rightChars="0" w:firstLine="240" w:firstLineChars="1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（10）法律法规或投标人须知前附表规定的其他情形。</w:t>
      </w:r>
    </w:p>
    <w:p>
      <w:pPr>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1.4.4投标人不得存在下列不良状况或不良信用记录：</w:t>
      </w:r>
    </w:p>
    <w:p>
      <w:pPr>
        <w:pageBreakBefore w:val="0"/>
        <w:widowControl w:val="0"/>
        <w:kinsoku/>
        <w:wordWrap/>
        <w:overflowPunct/>
        <w:topLinePunct w:val="0"/>
        <w:autoSpaceDE/>
        <w:autoSpaceDN/>
        <w:bidi w:val="0"/>
        <w:adjustRightInd w:val="0"/>
        <w:snapToGrid w:val="0"/>
        <w:spacing w:line="360" w:lineRule="auto"/>
        <w:ind w:left="0" w:leftChars="0" w:right="0" w:rightChars="0" w:firstLine="240" w:firstLineChars="1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（1）被依法暂停或者取消投标资格；</w:t>
      </w:r>
    </w:p>
    <w:p>
      <w:pPr>
        <w:pageBreakBefore w:val="0"/>
        <w:widowControl w:val="0"/>
        <w:kinsoku/>
        <w:wordWrap/>
        <w:overflowPunct/>
        <w:topLinePunct w:val="0"/>
        <w:autoSpaceDE/>
        <w:autoSpaceDN/>
        <w:bidi w:val="0"/>
        <w:adjustRightInd w:val="0"/>
        <w:snapToGrid w:val="0"/>
        <w:spacing w:line="360" w:lineRule="auto"/>
        <w:ind w:left="0" w:leftChars="0" w:right="0" w:rightChars="0" w:firstLine="240" w:firstLineChars="1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（2）被责令停业，暂扣或吊销执照，或吊销资质证书；</w:t>
      </w:r>
    </w:p>
    <w:p>
      <w:pPr>
        <w:pageBreakBefore w:val="0"/>
        <w:widowControl w:val="0"/>
        <w:kinsoku/>
        <w:wordWrap/>
        <w:overflowPunct/>
        <w:topLinePunct w:val="0"/>
        <w:autoSpaceDE/>
        <w:autoSpaceDN/>
        <w:bidi w:val="0"/>
        <w:adjustRightInd w:val="0"/>
        <w:snapToGrid w:val="0"/>
        <w:spacing w:line="360" w:lineRule="auto"/>
        <w:ind w:left="0" w:leftChars="0" w:right="0" w:rightChars="0" w:firstLine="240" w:firstLineChars="1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（3）进入清算程序，或被宣告破产，或其他丧失履约能力的情形；</w:t>
      </w:r>
    </w:p>
    <w:p>
      <w:pPr>
        <w:pageBreakBefore w:val="0"/>
        <w:widowControl w:val="0"/>
        <w:kinsoku/>
        <w:wordWrap/>
        <w:overflowPunct/>
        <w:topLinePunct w:val="0"/>
        <w:autoSpaceDE/>
        <w:autoSpaceDN/>
        <w:bidi w:val="0"/>
        <w:adjustRightInd w:val="0"/>
        <w:snapToGrid w:val="0"/>
        <w:spacing w:line="360" w:lineRule="auto"/>
        <w:ind w:left="0" w:leftChars="0" w:right="0" w:rightChars="0" w:firstLine="240" w:firstLineChars="1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（4）投标人或其法定代表人在近三年内（2018年</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月1日至今）有行贿犯罪行为的；</w:t>
      </w:r>
    </w:p>
    <w:p>
      <w:pPr>
        <w:pageBreakBefore w:val="0"/>
        <w:widowControl w:val="0"/>
        <w:kinsoku/>
        <w:wordWrap/>
        <w:overflowPunct/>
        <w:topLinePunct w:val="0"/>
        <w:autoSpaceDE/>
        <w:autoSpaceDN/>
        <w:bidi w:val="0"/>
        <w:adjustRightInd w:val="0"/>
        <w:snapToGrid w:val="0"/>
        <w:spacing w:line="360" w:lineRule="auto"/>
        <w:ind w:left="0" w:leftChars="0" w:right="0" w:rightChars="0" w:firstLine="240" w:firstLineChars="1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（5）法律法规或投标人须知前附表规定的其他情形。</w:t>
      </w:r>
    </w:p>
    <w:p>
      <w:pPr>
        <w:pStyle w:val="5"/>
        <w:pageBreakBefore w:val="0"/>
        <w:widowControl w:val="0"/>
        <w:kinsoku/>
        <w:wordWrap/>
        <w:overflowPunct/>
        <w:topLinePunct w:val="0"/>
        <w:autoSpaceDE/>
        <w:autoSpaceDN/>
        <w:bidi w:val="0"/>
        <w:adjustRightInd w:val="0"/>
        <w:snapToGrid w:val="0"/>
        <w:spacing w:before="0" w:beforeLines="0" w:after="0" w:afterLines="0" w:line="360" w:lineRule="auto"/>
        <w:ind w:left="0" w:leftChars="0" w:right="0" w:rightChars="0"/>
        <w:textAlignment w:val="auto"/>
        <w:rPr>
          <w:rFonts w:hint="eastAsia" w:ascii="仿宋" w:hAnsi="仿宋" w:eastAsia="仿宋" w:cs="仿宋"/>
          <w:color w:val="auto"/>
          <w:sz w:val="24"/>
          <w:szCs w:val="24"/>
          <w:highlight w:val="none"/>
        </w:rPr>
      </w:pPr>
      <w:bookmarkStart w:id="47" w:name="_Toc179632552"/>
      <w:bookmarkStart w:id="48" w:name="_Toc152045535"/>
      <w:bookmarkStart w:id="49" w:name="_Toc152042311"/>
      <w:bookmarkStart w:id="50" w:name="_Toc144974503"/>
      <w:bookmarkStart w:id="51" w:name="_Toc247085694"/>
      <w:bookmarkStart w:id="52" w:name="_Toc246996180"/>
      <w:bookmarkStart w:id="53" w:name="_Toc246996923"/>
      <w:bookmarkStart w:id="54" w:name="_Toc514837861"/>
      <w:r>
        <w:rPr>
          <w:rFonts w:hint="eastAsia" w:ascii="仿宋" w:hAnsi="仿宋" w:eastAsia="仿宋" w:cs="仿宋"/>
          <w:color w:val="auto"/>
          <w:sz w:val="24"/>
          <w:szCs w:val="24"/>
          <w:highlight w:val="none"/>
        </w:rPr>
        <w:t>1.5 费用承担</w:t>
      </w:r>
      <w:bookmarkEnd w:id="47"/>
      <w:bookmarkEnd w:id="48"/>
      <w:bookmarkEnd w:id="49"/>
      <w:bookmarkEnd w:id="50"/>
      <w:bookmarkEnd w:id="51"/>
      <w:bookmarkEnd w:id="52"/>
      <w:bookmarkEnd w:id="53"/>
      <w:bookmarkEnd w:id="54"/>
    </w:p>
    <w:p>
      <w:pPr>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投标人准备和参加投标活动发生的费用自理。</w:t>
      </w:r>
    </w:p>
    <w:p>
      <w:pPr>
        <w:pStyle w:val="5"/>
        <w:pageBreakBefore w:val="0"/>
        <w:widowControl w:val="0"/>
        <w:kinsoku/>
        <w:wordWrap/>
        <w:overflowPunct/>
        <w:topLinePunct w:val="0"/>
        <w:autoSpaceDE/>
        <w:autoSpaceDN/>
        <w:bidi w:val="0"/>
        <w:adjustRightInd w:val="0"/>
        <w:snapToGrid w:val="0"/>
        <w:spacing w:before="0" w:beforeLines="0" w:after="0" w:afterLines="0" w:line="360" w:lineRule="auto"/>
        <w:ind w:left="0" w:leftChars="0" w:right="0" w:rightChars="0"/>
        <w:textAlignment w:val="auto"/>
        <w:rPr>
          <w:rFonts w:hint="eastAsia" w:ascii="仿宋" w:hAnsi="仿宋" w:eastAsia="仿宋" w:cs="仿宋"/>
          <w:color w:val="auto"/>
          <w:sz w:val="24"/>
          <w:szCs w:val="24"/>
          <w:highlight w:val="none"/>
        </w:rPr>
      </w:pPr>
      <w:bookmarkStart w:id="55" w:name="_Toc246996924"/>
      <w:bookmarkStart w:id="56" w:name="_Toc152042312"/>
      <w:bookmarkStart w:id="57" w:name="_Toc246996181"/>
      <w:bookmarkStart w:id="58" w:name="_Toc144974504"/>
      <w:bookmarkStart w:id="59" w:name="_Toc247085695"/>
      <w:bookmarkStart w:id="60" w:name="_Toc514837862"/>
      <w:bookmarkStart w:id="61" w:name="_Toc179632553"/>
      <w:bookmarkStart w:id="62" w:name="_Toc152045536"/>
      <w:r>
        <w:rPr>
          <w:rFonts w:hint="eastAsia" w:ascii="仿宋" w:hAnsi="仿宋" w:eastAsia="仿宋" w:cs="仿宋"/>
          <w:color w:val="auto"/>
          <w:sz w:val="24"/>
          <w:szCs w:val="24"/>
          <w:highlight w:val="none"/>
        </w:rPr>
        <w:t>1.6 保密</w:t>
      </w:r>
      <w:bookmarkEnd w:id="55"/>
      <w:bookmarkEnd w:id="56"/>
      <w:bookmarkEnd w:id="57"/>
      <w:bookmarkEnd w:id="58"/>
      <w:bookmarkEnd w:id="59"/>
      <w:bookmarkEnd w:id="60"/>
      <w:bookmarkEnd w:id="61"/>
      <w:bookmarkEnd w:id="62"/>
    </w:p>
    <w:p>
      <w:pPr>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参与招标投标活动的各方应对招标文件和投标文件中的商业和技术等秘密保密，否则应承担相应的法律责任。</w:t>
      </w:r>
    </w:p>
    <w:p>
      <w:pPr>
        <w:pStyle w:val="5"/>
        <w:pageBreakBefore w:val="0"/>
        <w:widowControl w:val="0"/>
        <w:kinsoku/>
        <w:wordWrap/>
        <w:overflowPunct/>
        <w:topLinePunct w:val="0"/>
        <w:autoSpaceDE/>
        <w:autoSpaceDN/>
        <w:bidi w:val="0"/>
        <w:adjustRightInd w:val="0"/>
        <w:snapToGrid w:val="0"/>
        <w:spacing w:before="0" w:beforeLines="0" w:after="0" w:afterLines="0" w:line="360" w:lineRule="auto"/>
        <w:ind w:left="0" w:leftChars="0" w:right="0" w:rightChars="0"/>
        <w:textAlignment w:val="auto"/>
        <w:rPr>
          <w:rFonts w:hint="eastAsia" w:ascii="仿宋" w:hAnsi="仿宋" w:eastAsia="仿宋" w:cs="仿宋"/>
          <w:color w:val="auto"/>
          <w:sz w:val="24"/>
          <w:szCs w:val="24"/>
          <w:highlight w:val="none"/>
        </w:rPr>
      </w:pPr>
      <w:bookmarkStart w:id="63" w:name="_Toc144974505"/>
      <w:bookmarkStart w:id="64" w:name="_Toc246996925"/>
      <w:bookmarkStart w:id="65" w:name="_Toc246996182"/>
      <w:bookmarkStart w:id="66" w:name="_Toc152042313"/>
      <w:bookmarkStart w:id="67" w:name="_Toc179632554"/>
      <w:bookmarkStart w:id="68" w:name="_Toc152045537"/>
      <w:bookmarkStart w:id="69" w:name="_Toc514837863"/>
      <w:bookmarkStart w:id="70" w:name="_Toc247085696"/>
      <w:r>
        <w:rPr>
          <w:rFonts w:hint="eastAsia" w:ascii="仿宋" w:hAnsi="仿宋" w:eastAsia="仿宋" w:cs="仿宋"/>
          <w:color w:val="auto"/>
          <w:sz w:val="24"/>
          <w:szCs w:val="24"/>
          <w:highlight w:val="none"/>
        </w:rPr>
        <w:t>1.7 语言</w:t>
      </w:r>
      <w:bookmarkEnd w:id="63"/>
      <w:r>
        <w:rPr>
          <w:rFonts w:hint="eastAsia" w:ascii="仿宋" w:hAnsi="仿宋" w:eastAsia="仿宋" w:cs="仿宋"/>
          <w:color w:val="auto"/>
          <w:sz w:val="24"/>
          <w:szCs w:val="24"/>
          <w:highlight w:val="none"/>
        </w:rPr>
        <w:t>文字</w:t>
      </w:r>
      <w:bookmarkEnd w:id="64"/>
      <w:bookmarkEnd w:id="65"/>
      <w:bookmarkEnd w:id="66"/>
      <w:bookmarkEnd w:id="67"/>
      <w:bookmarkEnd w:id="68"/>
      <w:bookmarkEnd w:id="69"/>
      <w:bookmarkEnd w:id="70"/>
    </w:p>
    <w:p>
      <w:pPr>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szCs w:val="24"/>
          <w:highlight w:val="none"/>
        </w:rPr>
      </w:pPr>
      <w:bookmarkStart w:id="71" w:name="_Toc152045538"/>
      <w:bookmarkStart w:id="72" w:name="_Toc246996926"/>
      <w:bookmarkStart w:id="73" w:name="_Toc144974506"/>
      <w:bookmarkStart w:id="74" w:name="_Toc247085697"/>
      <w:bookmarkStart w:id="75" w:name="_Toc179632555"/>
      <w:bookmarkStart w:id="76" w:name="_Toc152042314"/>
      <w:bookmarkStart w:id="77" w:name="_Toc246996183"/>
      <w:r>
        <w:rPr>
          <w:rFonts w:hint="eastAsia" w:ascii="仿宋" w:hAnsi="仿宋" w:eastAsia="仿宋" w:cs="仿宋"/>
          <w:color w:val="auto"/>
          <w:sz w:val="24"/>
          <w:szCs w:val="24"/>
          <w:highlight w:val="none"/>
        </w:rPr>
        <w:t>招标投标文件使用的语言文字为中文。专用术语使用外文的，应附有中文注释。</w:t>
      </w:r>
    </w:p>
    <w:p>
      <w:pPr>
        <w:pStyle w:val="5"/>
        <w:pageBreakBefore w:val="0"/>
        <w:widowControl w:val="0"/>
        <w:kinsoku/>
        <w:wordWrap/>
        <w:overflowPunct/>
        <w:topLinePunct w:val="0"/>
        <w:autoSpaceDE/>
        <w:autoSpaceDN/>
        <w:bidi w:val="0"/>
        <w:adjustRightInd w:val="0"/>
        <w:snapToGrid w:val="0"/>
        <w:spacing w:before="0" w:beforeLines="0" w:after="0" w:afterLines="0" w:line="360" w:lineRule="auto"/>
        <w:ind w:left="0" w:leftChars="0" w:right="0" w:rightChars="0"/>
        <w:textAlignment w:val="auto"/>
        <w:rPr>
          <w:rFonts w:hint="eastAsia" w:ascii="仿宋" w:hAnsi="仿宋" w:eastAsia="仿宋" w:cs="仿宋"/>
          <w:color w:val="auto"/>
          <w:sz w:val="24"/>
          <w:szCs w:val="24"/>
          <w:highlight w:val="none"/>
        </w:rPr>
      </w:pPr>
      <w:bookmarkStart w:id="78" w:name="_Toc514837864"/>
      <w:r>
        <w:rPr>
          <w:rFonts w:hint="eastAsia" w:ascii="仿宋" w:hAnsi="仿宋" w:eastAsia="仿宋" w:cs="仿宋"/>
          <w:color w:val="auto"/>
          <w:sz w:val="24"/>
          <w:szCs w:val="24"/>
          <w:highlight w:val="none"/>
        </w:rPr>
        <w:t>1.8 计量单位</w:t>
      </w:r>
      <w:bookmarkEnd w:id="71"/>
      <w:bookmarkEnd w:id="72"/>
      <w:bookmarkEnd w:id="73"/>
      <w:bookmarkEnd w:id="74"/>
      <w:bookmarkEnd w:id="75"/>
      <w:bookmarkEnd w:id="76"/>
      <w:bookmarkEnd w:id="77"/>
      <w:bookmarkEnd w:id="78"/>
    </w:p>
    <w:p>
      <w:pPr>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所有计量均采用中华人民共和国法定计量单位。</w:t>
      </w:r>
    </w:p>
    <w:p>
      <w:pPr>
        <w:pStyle w:val="5"/>
        <w:pageBreakBefore w:val="0"/>
        <w:widowControl w:val="0"/>
        <w:kinsoku/>
        <w:wordWrap/>
        <w:overflowPunct/>
        <w:topLinePunct w:val="0"/>
        <w:autoSpaceDE/>
        <w:autoSpaceDN/>
        <w:bidi w:val="0"/>
        <w:adjustRightInd w:val="0"/>
        <w:snapToGrid w:val="0"/>
        <w:spacing w:before="0" w:beforeLines="0" w:after="0" w:afterLines="0" w:line="360" w:lineRule="auto"/>
        <w:ind w:left="0" w:leftChars="0" w:right="0" w:rightChars="0"/>
        <w:textAlignment w:val="auto"/>
        <w:rPr>
          <w:rFonts w:hint="eastAsia" w:ascii="仿宋" w:hAnsi="仿宋" w:eastAsia="仿宋" w:cs="仿宋"/>
          <w:color w:val="auto"/>
          <w:sz w:val="24"/>
          <w:szCs w:val="24"/>
          <w:highlight w:val="none"/>
        </w:rPr>
      </w:pPr>
      <w:bookmarkStart w:id="79" w:name="_Toc144974507"/>
      <w:bookmarkStart w:id="80" w:name="_Toc247513962"/>
      <w:bookmarkStart w:id="81" w:name="_Toc152045539"/>
      <w:bookmarkStart w:id="82" w:name="_Toc152042315"/>
      <w:bookmarkStart w:id="83" w:name="_Toc247592876"/>
      <w:bookmarkStart w:id="84" w:name="_Toc247527563"/>
      <w:bookmarkStart w:id="85" w:name="_Toc514837865"/>
      <w:r>
        <w:rPr>
          <w:rFonts w:hint="eastAsia" w:ascii="仿宋" w:hAnsi="仿宋" w:eastAsia="仿宋" w:cs="仿宋"/>
          <w:color w:val="auto"/>
          <w:sz w:val="24"/>
          <w:szCs w:val="24"/>
          <w:highlight w:val="none"/>
        </w:rPr>
        <w:t xml:space="preserve">1.9 </w:t>
      </w:r>
      <w:bookmarkEnd w:id="79"/>
      <w:bookmarkEnd w:id="80"/>
      <w:bookmarkEnd w:id="81"/>
      <w:bookmarkEnd w:id="82"/>
      <w:bookmarkEnd w:id="83"/>
      <w:bookmarkEnd w:id="84"/>
      <w:r>
        <w:rPr>
          <w:rFonts w:hint="eastAsia" w:ascii="仿宋" w:hAnsi="仿宋" w:eastAsia="仿宋" w:cs="仿宋"/>
          <w:color w:val="auto"/>
          <w:sz w:val="24"/>
          <w:szCs w:val="24"/>
          <w:highlight w:val="none"/>
        </w:rPr>
        <w:t>投标预备会</w:t>
      </w:r>
      <w:bookmarkEnd w:id="85"/>
    </w:p>
    <w:p>
      <w:pPr>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1.9.1 投标人须知前附表规定召开投标预备会的，招标人按投标人须知前附表规定的时间和地点召开投标预备会，澄清投标人提出的问题。</w:t>
      </w:r>
    </w:p>
    <w:p>
      <w:pPr>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1.9.2 投标人应按投标人须知前附表规定的时间和形式将提出的问题送达招标人，以便招标人在会议期间澄清。</w:t>
      </w:r>
    </w:p>
    <w:p>
      <w:pPr>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1.9.3 投标预备会后，招标人将对投标人所提问题的澄清，以投标人须知前附表规定的形式通知所有购买招标文件的投标人。该澄清内容为招标文件的组成部分。</w:t>
      </w:r>
    </w:p>
    <w:p>
      <w:pPr>
        <w:pStyle w:val="5"/>
        <w:pageBreakBefore w:val="0"/>
        <w:widowControl w:val="0"/>
        <w:kinsoku/>
        <w:wordWrap/>
        <w:overflowPunct/>
        <w:topLinePunct w:val="0"/>
        <w:autoSpaceDE/>
        <w:autoSpaceDN/>
        <w:bidi w:val="0"/>
        <w:adjustRightInd w:val="0"/>
        <w:snapToGrid w:val="0"/>
        <w:spacing w:before="0" w:beforeLines="0" w:after="0" w:afterLines="0" w:line="360" w:lineRule="auto"/>
        <w:ind w:left="0" w:leftChars="0" w:right="0" w:rightChars="0"/>
        <w:textAlignment w:val="auto"/>
        <w:rPr>
          <w:rFonts w:hint="eastAsia" w:ascii="仿宋" w:hAnsi="仿宋" w:eastAsia="仿宋" w:cs="仿宋"/>
          <w:color w:val="auto"/>
          <w:sz w:val="24"/>
          <w:szCs w:val="24"/>
          <w:highlight w:val="none"/>
        </w:rPr>
      </w:pPr>
      <w:bookmarkStart w:id="86" w:name="_Toc514837866"/>
      <w:bookmarkStart w:id="87" w:name="_Toc247592877"/>
      <w:bookmarkStart w:id="88" w:name="_Toc152045540"/>
      <w:bookmarkStart w:id="89" w:name="_Toc152042316"/>
      <w:bookmarkStart w:id="90" w:name="_Toc144974508"/>
      <w:bookmarkStart w:id="91" w:name="_Toc247513963"/>
      <w:bookmarkStart w:id="92" w:name="_Toc247527564"/>
      <w:r>
        <w:rPr>
          <w:rFonts w:hint="eastAsia" w:ascii="仿宋" w:hAnsi="仿宋" w:eastAsia="仿宋" w:cs="仿宋"/>
          <w:color w:val="auto"/>
          <w:sz w:val="24"/>
          <w:szCs w:val="24"/>
          <w:highlight w:val="none"/>
        </w:rPr>
        <w:t>1.10 分包</w:t>
      </w:r>
      <w:bookmarkEnd w:id="86"/>
    </w:p>
    <w:p>
      <w:pPr>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1.10.1 投标人拟在中标后将中标项目的非主体设备进行分包的，应符合投标人须知前附表 规定的分包内容、分包金额和资质要求等限制性条件，除投标人须知前附表规定的非主体设备 外，其他工作不得分包。</w:t>
      </w:r>
    </w:p>
    <w:p>
      <w:pPr>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1.10.2 中标人不得向他人转让中标项目，接受分包的人不得再次分包。中标人应当就分包 项目向招标人负责，接受分包的人就分包项目承担连带责任。</w:t>
      </w:r>
      <w:bookmarkStart w:id="93" w:name="_Toc514837867"/>
    </w:p>
    <w:p>
      <w:pPr>
        <w:pStyle w:val="5"/>
        <w:pageBreakBefore w:val="0"/>
        <w:widowControl w:val="0"/>
        <w:kinsoku/>
        <w:wordWrap/>
        <w:overflowPunct/>
        <w:topLinePunct w:val="0"/>
        <w:autoSpaceDE/>
        <w:autoSpaceDN/>
        <w:bidi w:val="0"/>
        <w:adjustRightInd w:val="0"/>
        <w:snapToGrid w:val="0"/>
        <w:spacing w:before="0" w:beforeLines="0" w:after="0" w:afterLines="0" w:line="360" w:lineRule="auto"/>
        <w:ind w:left="0" w:leftChars="0" w:right="0" w:right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1.11 响应</w:t>
      </w:r>
      <w:bookmarkEnd w:id="93"/>
    </w:p>
    <w:p>
      <w:pPr>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1.11.1 投标文件应当对招标文件的实质性要求和条件作出满足性或更有利于招标人的响应，</w:t>
      </w:r>
      <w:bookmarkEnd w:id="87"/>
      <w:bookmarkEnd w:id="88"/>
      <w:bookmarkEnd w:id="89"/>
      <w:bookmarkEnd w:id="90"/>
      <w:bookmarkEnd w:id="91"/>
      <w:bookmarkEnd w:id="92"/>
      <w:r>
        <w:rPr>
          <w:rFonts w:hint="eastAsia" w:ascii="仿宋" w:hAnsi="仿宋" w:eastAsia="仿宋" w:cs="仿宋"/>
          <w:color w:val="auto"/>
          <w:sz w:val="24"/>
          <w:szCs w:val="24"/>
          <w:highlight w:val="none"/>
        </w:rPr>
        <w:t>否则，投标人的投标将被否决。实质性要求和条件见投标人须知前附表。</w:t>
      </w:r>
    </w:p>
    <w:p>
      <w:pPr>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1.11.2 投标人应根据招标文件的要求提供投标设备技术性能指标的详细描述、技术支持资料及技术服务和质保期服务计划等内容以对招标文件作出响应。</w:t>
      </w:r>
    </w:p>
    <w:p>
      <w:pPr>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1.11.3 投标文件中应针对实质性要求和条件中列明的技术要求提供技术支持资料。技术支持资料以制造商公开发布的印刷资料，或检测机构出具的检测报告或投标人须知前附表允许的其他形式为准，不符合前述要求的，视为无技术支持资料，其投标将被否决。</w:t>
      </w:r>
    </w:p>
    <w:p>
      <w:pPr>
        <w:pStyle w:val="4"/>
        <w:pageBreakBefore w:val="0"/>
        <w:widowControl w:val="0"/>
        <w:kinsoku/>
        <w:wordWrap/>
        <w:overflowPunct/>
        <w:topLinePunct w:val="0"/>
        <w:autoSpaceDE/>
        <w:autoSpaceDN/>
        <w:bidi w:val="0"/>
        <w:adjustRightInd w:val="0"/>
        <w:snapToGrid w:val="0"/>
        <w:spacing w:before="0" w:beforeLines="0" w:after="0" w:afterLines="0" w:line="360" w:lineRule="auto"/>
        <w:ind w:left="0" w:leftChars="0" w:right="0" w:rightChars="0"/>
        <w:textAlignment w:val="auto"/>
        <w:rPr>
          <w:rFonts w:hint="eastAsia" w:ascii="仿宋" w:hAnsi="仿宋" w:eastAsia="仿宋" w:cs="仿宋"/>
          <w:color w:val="auto"/>
          <w:sz w:val="24"/>
          <w:szCs w:val="24"/>
          <w:highlight w:val="none"/>
        </w:rPr>
      </w:pPr>
      <w:bookmarkStart w:id="94" w:name="_Toc152042318"/>
      <w:bookmarkStart w:id="95" w:name="_Toc514837868"/>
      <w:bookmarkStart w:id="96" w:name="_Toc144974510"/>
      <w:bookmarkStart w:id="97" w:name="_Toc152045542"/>
      <w:bookmarkStart w:id="98" w:name="_Toc247085701"/>
      <w:bookmarkStart w:id="99" w:name="_Toc246996187"/>
      <w:bookmarkStart w:id="100" w:name="_Toc179632560"/>
      <w:bookmarkStart w:id="101" w:name="_Toc246996930"/>
      <w:r>
        <w:rPr>
          <w:rFonts w:hint="eastAsia" w:ascii="仿宋" w:hAnsi="仿宋" w:eastAsia="仿宋" w:cs="仿宋"/>
          <w:color w:val="auto"/>
          <w:sz w:val="24"/>
          <w:szCs w:val="24"/>
          <w:highlight w:val="none"/>
        </w:rPr>
        <w:t xml:space="preserve">2. </w:t>
      </w:r>
      <w:bookmarkEnd w:id="94"/>
      <w:bookmarkEnd w:id="95"/>
      <w:bookmarkEnd w:id="96"/>
      <w:bookmarkEnd w:id="97"/>
      <w:bookmarkEnd w:id="98"/>
      <w:bookmarkEnd w:id="99"/>
      <w:bookmarkEnd w:id="100"/>
      <w:bookmarkEnd w:id="101"/>
      <w:r>
        <w:rPr>
          <w:rFonts w:hint="eastAsia" w:ascii="仿宋" w:hAnsi="仿宋" w:eastAsia="仿宋" w:cs="仿宋"/>
          <w:color w:val="auto"/>
          <w:sz w:val="24"/>
          <w:szCs w:val="24"/>
          <w:highlight w:val="none"/>
        </w:rPr>
        <w:t>招标文件</w:t>
      </w:r>
    </w:p>
    <w:p>
      <w:pPr>
        <w:pStyle w:val="5"/>
        <w:pageBreakBefore w:val="0"/>
        <w:widowControl w:val="0"/>
        <w:kinsoku/>
        <w:wordWrap/>
        <w:overflowPunct/>
        <w:topLinePunct w:val="0"/>
        <w:autoSpaceDE/>
        <w:autoSpaceDN/>
        <w:bidi w:val="0"/>
        <w:adjustRightInd w:val="0"/>
        <w:snapToGrid w:val="0"/>
        <w:spacing w:before="0" w:beforeLines="0" w:after="0" w:afterLines="0" w:line="360" w:lineRule="auto"/>
        <w:ind w:left="0" w:leftChars="0" w:right="0" w:rightChars="0"/>
        <w:textAlignment w:val="auto"/>
        <w:rPr>
          <w:rFonts w:hint="eastAsia" w:ascii="仿宋" w:hAnsi="仿宋" w:eastAsia="仿宋" w:cs="仿宋"/>
          <w:color w:val="auto"/>
          <w:sz w:val="24"/>
          <w:szCs w:val="24"/>
          <w:highlight w:val="none"/>
        </w:rPr>
      </w:pPr>
      <w:bookmarkStart w:id="102" w:name="_Toc246996188"/>
      <w:bookmarkStart w:id="103" w:name="_Toc152045543"/>
      <w:bookmarkStart w:id="104" w:name="_Toc144974511"/>
      <w:bookmarkStart w:id="105" w:name="_Toc179632561"/>
      <w:bookmarkStart w:id="106" w:name="_Toc247085702"/>
      <w:bookmarkStart w:id="107" w:name="_Toc152042319"/>
      <w:bookmarkStart w:id="108" w:name="_Toc246996931"/>
      <w:bookmarkStart w:id="109" w:name="_Toc514837869"/>
      <w:r>
        <w:rPr>
          <w:rFonts w:hint="eastAsia" w:ascii="仿宋" w:hAnsi="仿宋" w:eastAsia="仿宋" w:cs="仿宋"/>
          <w:color w:val="auto"/>
          <w:sz w:val="24"/>
          <w:szCs w:val="24"/>
          <w:highlight w:val="none"/>
        </w:rPr>
        <w:t>2.1 招标文件的组成</w:t>
      </w:r>
      <w:bookmarkEnd w:id="102"/>
      <w:bookmarkEnd w:id="103"/>
      <w:bookmarkEnd w:id="104"/>
      <w:bookmarkEnd w:id="105"/>
      <w:bookmarkEnd w:id="106"/>
      <w:bookmarkEnd w:id="107"/>
      <w:bookmarkEnd w:id="108"/>
      <w:bookmarkEnd w:id="109"/>
    </w:p>
    <w:p>
      <w:pPr>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本招标文件包括：</w:t>
      </w:r>
    </w:p>
    <w:p>
      <w:pPr>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（1）招标公告；</w:t>
      </w:r>
    </w:p>
    <w:p>
      <w:pPr>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（2）投标人须知；</w:t>
      </w:r>
    </w:p>
    <w:p>
      <w:pPr>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（3）评标办法；</w:t>
      </w:r>
    </w:p>
    <w:p>
      <w:pPr>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（4）合同条款及格式；</w:t>
      </w:r>
    </w:p>
    <w:p>
      <w:pPr>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r>
        <w:rPr>
          <w:rFonts w:hint="eastAsia" w:ascii="仿宋" w:hAnsi="仿宋" w:eastAsia="仿宋" w:cs="仿宋"/>
          <w:color w:val="auto"/>
          <w:sz w:val="24"/>
          <w:szCs w:val="24"/>
          <w:highlight w:val="none"/>
          <w:lang w:val="en-US" w:eastAsia="zh-Hans"/>
        </w:rPr>
        <w:t>采购需求</w:t>
      </w:r>
      <w:r>
        <w:rPr>
          <w:rFonts w:hint="eastAsia" w:ascii="仿宋" w:hAnsi="仿宋" w:eastAsia="仿宋" w:cs="仿宋"/>
          <w:color w:val="auto"/>
          <w:sz w:val="24"/>
          <w:szCs w:val="24"/>
          <w:highlight w:val="none"/>
        </w:rPr>
        <w:t>；</w:t>
      </w:r>
    </w:p>
    <w:p>
      <w:pPr>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（6）投标文件格式；</w:t>
      </w:r>
    </w:p>
    <w:p>
      <w:pPr>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（7）投标人须知前附表规定的其他资料。</w:t>
      </w:r>
    </w:p>
    <w:p>
      <w:pPr>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根据本章第 1.9 款、第 2.2 款和第 2.3 款对招标文件所作的澄清、修改，构成招标文件的组成部分。</w:t>
      </w:r>
    </w:p>
    <w:p>
      <w:pPr>
        <w:pStyle w:val="5"/>
        <w:pageBreakBefore w:val="0"/>
        <w:widowControl w:val="0"/>
        <w:kinsoku/>
        <w:wordWrap/>
        <w:overflowPunct/>
        <w:topLinePunct w:val="0"/>
        <w:autoSpaceDE/>
        <w:autoSpaceDN/>
        <w:bidi w:val="0"/>
        <w:adjustRightInd w:val="0"/>
        <w:snapToGrid w:val="0"/>
        <w:spacing w:before="0" w:beforeLines="0" w:after="0" w:afterLines="0" w:line="360" w:lineRule="auto"/>
        <w:ind w:left="0" w:leftChars="0" w:right="0" w:rightChars="0"/>
        <w:textAlignment w:val="auto"/>
        <w:rPr>
          <w:rFonts w:hint="eastAsia" w:ascii="仿宋" w:hAnsi="仿宋" w:eastAsia="仿宋" w:cs="仿宋"/>
          <w:color w:val="auto"/>
          <w:sz w:val="24"/>
          <w:szCs w:val="24"/>
          <w:highlight w:val="none"/>
        </w:rPr>
      </w:pPr>
      <w:bookmarkStart w:id="110" w:name="_Toc246996189"/>
      <w:bookmarkStart w:id="111" w:name="_Toc514837870"/>
      <w:bookmarkStart w:id="112" w:name="_Toc246996932"/>
      <w:bookmarkStart w:id="113" w:name="_Toc247085703"/>
      <w:bookmarkStart w:id="114" w:name="_Toc179632562"/>
      <w:bookmarkStart w:id="115" w:name="_Toc144974512"/>
      <w:bookmarkStart w:id="116" w:name="_Toc152042320"/>
      <w:bookmarkStart w:id="117" w:name="_Toc152045544"/>
      <w:r>
        <w:rPr>
          <w:rFonts w:hint="eastAsia" w:ascii="仿宋" w:hAnsi="仿宋" w:eastAsia="仿宋" w:cs="仿宋"/>
          <w:color w:val="auto"/>
          <w:sz w:val="24"/>
          <w:szCs w:val="24"/>
          <w:highlight w:val="none"/>
        </w:rPr>
        <w:t>2.2 招标文件的澄清</w:t>
      </w:r>
      <w:bookmarkEnd w:id="110"/>
      <w:bookmarkEnd w:id="111"/>
      <w:bookmarkEnd w:id="112"/>
      <w:bookmarkEnd w:id="113"/>
      <w:bookmarkEnd w:id="114"/>
      <w:bookmarkEnd w:id="115"/>
      <w:bookmarkEnd w:id="116"/>
      <w:bookmarkEnd w:id="117"/>
      <w:r>
        <w:rPr>
          <w:rFonts w:hint="eastAsia" w:ascii="仿宋" w:hAnsi="仿宋" w:eastAsia="仿宋" w:cs="仿宋"/>
          <w:color w:val="auto"/>
          <w:sz w:val="24"/>
          <w:szCs w:val="24"/>
          <w:highlight w:val="none"/>
        </w:rPr>
        <w:t xml:space="preserve"> </w:t>
      </w:r>
    </w:p>
    <w:p>
      <w:pPr>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2.2.1 投标人应仔细阅读和检查招标文件的全部内容。如发现缺页或附件不全，应及时向招标人提出，以便补齐。如有疑问，应按投标人须知前附表规定的时间和形式将提出的问题送达招标人，要求招标人对招标文件予以澄清。</w:t>
      </w:r>
    </w:p>
    <w:p>
      <w:pPr>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2.2.2招标人对已发出的招标文件进行必要的澄清或修改的，可能影响投标文件编制的，应在投标文件截止时间15日前以书面形式通知所有招标文件收受人。该澄清或修改的内容为招标文件组成部分。</w:t>
      </w:r>
      <w:r>
        <w:rPr>
          <w:rFonts w:hint="eastAsia" w:ascii="仿宋" w:hAnsi="仿宋" w:eastAsia="仿宋" w:cs="仿宋"/>
          <w:color w:val="auto"/>
          <w:sz w:val="24"/>
          <w:szCs w:val="24"/>
          <w:highlight w:val="none"/>
        </w:rPr>
        <w:t>澄清</w:t>
      </w:r>
      <w:r>
        <w:rPr>
          <w:rFonts w:hint="eastAsia" w:ascii="仿宋" w:hAnsi="仿宋" w:eastAsia="仿宋" w:cs="仿宋"/>
          <w:color w:val="auto"/>
          <w:sz w:val="24"/>
          <w:szCs w:val="24"/>
          <w:highlight w:val="none"/>
          <w:lang w:val="en-US" w:eastAsia="zh-Hans"/>
        </w:rPr>
        <w:t>或修改</w:t>
      </w:r>
      <w:r>
        <w:rPr>
          <w:rFonts w:hint="eastAsia" w:ascii="仿宋" w:hAnsi="仿宋" w:eastAsia="仿宋" w:cs="仿宋"/>
          <w:color w:val="auto"/>
          <w:sz w:val="24"/>
          <w:szCs w:val="24"/>
          <w:highlight w:val="none"/>
        </w:rPr>
        <w:t>发出的时间距本章第 4.2.1 项规定的投标截止时间不足 15 日的，并且澄清内容可能影响投标文件编制的，将相应延长投标截止时间。</w:t>
      </w:r>
    </w:p>
    <w:p>
      <w:pPr>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2.2.3 投标人在收到澄清后，应按投标人须知前附表规定的时间和形式通知招标人，确认已收到该澄清。</w:t>
      </w:r>
    </w:p>
    <w:p>
      <w:pPr>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kern w:val="0"/>
          <w:sz w:val="24"/>
          <w:szCs w:val="24"/>
          <w:highlight w:val="none"/>
        </w:rPr>
        <w:t>2.2.4投标人在投标文件截止时间前，可补充、修改或撤回已提交的投标文件，并书面通知招标人。补充、修改内容为投标文件组成部分。在投标文件递交截止时间后至投标有效期终止日之间的这段时间内，投标单位不能撤销投标文件，否则其投标保证金将不予退还。</w:t>
      </w:r>
    </w:p>
    <w:p>
      <w:pPr>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2.2.5 除非招标人认为确有必要答复，否则，招标人有权拒绝回复投标人在本章第 2.2.1 项规定的时间后的任何澄清要求。</w:t>
      </w:r>
    </w:p>
    <w:p>
      <w:pPr>
        <w:pStyle w:val="5"/>
        <w:pageBreakBefore w:val="0"/>
        <w:widowControl w:val="0"/>
        <w:kinsoku/>
        <w:wordWrap/>
        <w:overflowPunct/>
        <w:topLinePunct w:val="0"/>
        <w:autoSpaceDE/>
        <w:autoSpaceDN/>
        <w:bidi w:val="0"/>
        <w:adjustRightInd w:val="0"/>
        <w:snapToGrid w:val="0"/>
        <w:spacing w:before="0" w:beforeLines="0" w:after="0" w:afterLines="0" w:line="360" w:lineRule="auto"/>
        <w:ind w:left="0" w:leftChars="0" w:right="0" w:rightChars="0"/>
        <w:textAlignment w:val="auto"/>
        <w:rPr>
          <w:rFonts w:hint="eastAsia" w:ascii="仿宋" w:hAnsi="仿宋" w:eastAsia="仿宋" w:cs="仿宋"/>
          <w:color w:val="auto"/>
          <w:sz w:val="24"/>
          <w:szCs w:val="24"/>
          <w:highlight w:val="none"/>
        </w:rPr>
      </w:pPr>
      <w:bookmarkStart w:id="118" w:name="_Toc514837871"/>
      <w:bookmarkStart w:id="119" w:name="_Toc246996933"/>
      <w:bookmarkStart w:id="120" w:name="_Toc144974513"/>
      <w:bookmarkStart w:id="121" w:name="_Toc247085704"/>
      <w:bookmarkStart w:id="122" w:name="_Toc179632563"/>
      <w:bookmarkStart w:id="123" w:name="_Toc152045545"/>
      <w:bookmarkStart w:id="124" w:name="_Toc152042321"/>
      <w:bookmarkStart w:id="125" w:name="_Toc246996190"/>
      <w:r>
        <w:rPr>
          <w:rFonts w:hint="eastAsia" w:ascii="仿宋" w:hAnsi="仿宋" w:eastAsia="仿宋" w:cs="仿宋"/>
          <w:color w:val="auto"/>
          <w:sz w:val="24"/>
          <w:szCs w:val="24"/>
          <w:highlight w:val="none"/>
        </w:rPr>
        <w:t>2.3 招标文件的修改</w:t>
      </w:r>
      <w:bookmarkEnd w:id="118"/>
      <w:bookmarkEnd w:id="119"/>
      <w:bookmarkEnd w:id="120"/>
      <w:bookmarkEnd w:id="121"/>
      <w:bookmarkEnd w:id="122"/>
      <w:bookmarkEnd w:id="123"/>
      <w:bookmarkEnd w:id="124"/>
      <w:bookmarkEnd w:id="125"/>
    </w:p>
    <w:p>
      <w:pPr>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2.3.1 招标人以投标人须知前附表规定的形式修改招标文件，并通知所有已购买招标文件的投标人。修改招标文件的时间距本章第 4.2.1 项规定的投标截止时间不足 15 日的，并且修改内容可能影响投标文件编制的，将相应延长投标截止时间。</w:t>
      </w:r>
    </w:p>
    <w:p>
      <w:pPr>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2.3.2 投标人收到修改内容后，应按投标人须知前附表规定的时间和形式通知招标人，确认已收到该修改。</w:t>
      </w:r>
    </w:p>
    <w:p>
      <w:pPr>
        <w:pStyle w:val="5"/>
        <w:pageBreakBefore w:val="0"/>
        <w:widowControl w:val="0"/>
        <w:kinsoku/>
        <w:wordWrap/>
        <w:overflowPunct/>
        <w:topLinePunct w:val="0"/>
        <w:autoSpaceDE/>
        <w:autoSpaceDN/>
        <w:bidi w:val="0"/>
        <w:adjustRightInd w:val="0"/>
        <w:snapToGrid w:val="0"/>
        <w:spacing w:before="0" w:beforeLines="0" w:after="0" w:afterLines="0" w:line="360" w:lineRule="auto"/>
        <w:ind w:left="0" w:leftChars="0" w:right="0" w:rightChars="0"/>
        <w:textAlignment w:val="auto"/>
        <w:rPr>
          <w:rFonts w:hint="eastAsia" w:ascii="仿宋" w:hAnsi="仿宋" w:eastAsia="仿宋" w:cs="仿宋"/>
          <w:color w:val="auto"/>
          <w:sz w:val="24"/>
          <w:szCs w:val="24"/>
          <w:highlight w:val="none"/>
        </w:rPr>
      </w:pPr>
      <w:bookmarkStart w:id="126" w:name="_Toc514837872"/>
      <w:r>
        <w:rPr>
          <w:rFonts w:hint="eastAsia" w:ascii="仿宋" w:hAnsi="仿宋" w:eastAsia="仿宋" w:cs="仿宋"/>
          <w:color w:val="auto"/>
          <w:sz w:val="24"/>
          <w:szCs w:val="24"/>
          <w:highlight w:val="none"/>
        </w:rPr>
        <w:t>2.4招标文件的异议</w:t>
      </w:r>
      <w:bookmarkEnd w:id="126"/>
    </w:p>
    <w:p>
      <w:pPr>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投标人或者其他利害关系人对招标文件有异议的，应当在投标截止时间10日前以书面形式提出。招标人将在收到异议之日起3日内作出答复；作出答复前，将暂停招标投标活动。</w:t>
      </w:r>
    </w:p>
    <w:p>
      <w:pPr>
        <w:pStyle w:val="4"/>
        <w:pageBreakBefore w:val="0"/>
        <w:widowControl w:val="0"/>
        <w:kinsoku/>
        <w:wordWrap/>
        <w:overflowPunct/>
        <w:topLinePunct w:val="0"/>
        <w:autoSpaceDE/>
        <w:autoSpaceDN/>
        <w:bidi w:val="0"/>
        <w:adjustRightInd w:val="0"/>
        <w:snapToGrid w:val="0"/>
        <w:spacing w:before="0" w:beforeLines="0" w:after="0" w:afterLines="0" w:line="360" w:lineRule="auto"/>
        <w:ind w:left="0" w:leftChars="0" w:right="0" w:rightChars="0"/>
        <w:textAlignment w:val="auto"/>
        <w:rPr>
          <w:rFonts w:hint="eastAsia" w:ascii="仿宋" w:hAnsi="仿宋" w:eastAsia="仿宋" w:cs="仿宋"/>
          <w:color w:val="auto"/>
          <w:sz w:val="24"/>
          <w:szCs w:val="24"/>
          <w:highlight w:val="none"/>
        </w:rPr>
      </w:pPr>
      <w:bookmarkStart w:id="127" w:name="_Toc246996191"/>
      <w:bookmarkStart w:id="128" w:name="_Toc246996934"/>
      <w:bookmarkStart w:id="129" w:name="_Toc179632564"/>
      <w:bookmarkStart w:id="130" w:name="_Toc152045546"/>
      <w:bookmarkStart w:id="131" w:name="_Toc514837873"/>
      <w:bookmarkStart w:id="132" w:name="_Toc247085705"/>
      <w:bookmarkStart w:id="133" w:name="_Toc152042322"/>
      <w:bookmarkStart w:id="134" w:name="_Toc144974514"/>
      <w:r>
        <w:rPr>
          <w:rFonts w:hint="eastAsia" w:ascii="仿宋" w:hAnsi="仿宋" w:eastAsia="仿宋" w:cs="仿宋"/>
          <w:color w:val="auto"/>
          <w:sz w:val="24"/>
          <w:szCs w:val="24"/>
          <w:highlight w:val="none"/>
        </w:rPr>
        <w:t>3. 投标文件</w:t>
      </w:r>
      <w:bookmarkEnd w:id="127"/>
      <w:bookmarkEnd w:id="128"/>
      <w:bookmarkEnd w:id="129"/>
      <w:bookmarkEnd w:id="130"/>
      <w:bookmarkEnd w:id="131"/>
      <w:bookmarkEnd w:id="132"/>
      <w:bookmarkEnd w:id="133"/>
      <w:bookmarkEnd w:id="134"/>
    </w:p>
    <w:p>
      <w:pPr>
        <w:pageBreakBefore w:val="0"/>
        <w:widowControl w:val="0"/>
        <w:kinsoku/>
        <w:wordWrap/>
        <w:overflowPunct/>
        <w:topLinePunct w:val="0"/>
        <w:autoSpaceDE/>
        <w:autoSpaceDN/>
        <w:bidi w:val="0"/>
        <w:adjustRightInd w:val="0"/>
        <w:snapToGrid w:val="0"/>
        <w:spacing w:line="360" w:lineRule="auto"/>
        <w:ind w:left="0" w:leftChars="0" w:right="0" w:rightChars="0"/>
        <w:textAlignment w:val="auto"/>
        <w:outlineLvl w:val="2"/>
        <w:rPr>
          <w:rFonts w:hint="eastAsia" w:ascii="仿宋" w:hAnsi="仿宋" w:eastAsia="仿宋" w:cs="仿宋"/>
          <w:b/>
          <w:color w:val="auto"/>
          <w:sz w:val="24"/>
          <w:szCs w:val="24"/>
          <w:highlight w:val="none"/>
        </w:rPr>
      </w:pPr>
      <w:bookmarkStart w:id="135" w:name="_Toc144974516"/>
      <w:bookmarkStart w:id="136" w:name="_Toc179632566"/>
      <w:bookmarkStart w:id="137" w:name="_Toc152042324"/>
      <w:bookmarkStart w:id="138" w:name="_Toc152045548"/>
      <w:bookmarkStart w:id="139" w:name="_Toc514837875"/>
      <w:bookmarkStart w:id="140" w:name="_Toc246996936"/>
      <w:bookmarkStart w:id="141" w:name="_Toc246996193"/>
      <w:bookmarkStart w:id="142" w:name="_Toc247085707"/>
      <w:r>
        <w:rPr>
          <w:rFonts w:hint="eastAsia" w:ascii="仿宋" w:hAnsi="仿宋" w:eastAsia="仿宋" w:cs="仿宋"/>
          <w:b/>
          <w:color w:val="auto"/>
          <w:sz w:val="24"/>
          <w:szCs w:val="24"/>
          <w:highlight w:val="none"/>
        </w:rPr>
        <w:t>3</w:t>
      </w:r>
      <w:r>
        <w:rPr>
          <w:rFonts w:hint="eastAsia" w:ascii="仿宋" w:hAnsi="仿宋" w:eastAsia="仿宋" w:cs="仿宋"/>
          <w:b/>
          <w:color w:val="auto"/>
          <w:sz w:val="24"/>
          <w:szCs w:val="24"/>
          <w:highlight w:val="none"/>
          <w:lang w:val="en-US" w:eastAsia="zh-Hans"/>
        </w:rPr>
        <w:t>.</w:t>
      </w:r>
      <w:r>
        <w:rPr>
          <w:rFonts w:hint="eastAsia" w:ascii="仿宋" w:hAnsi="仿宋" w:eastAsia="仿宋" w:cs="仿宋"/>
          <w:b/>
          <w:color w:val="auto"/>
          <w:sz w:val="24"/>
          <w:szCs w:val="24"/>
          <w:highlight w:val="none"/>
          <w:lang w:eastAsia="zh-Hans"/>
        </w:rPr>
        <w:t>1</w:t>
      </w:r>
      <w:r>
        <w:rPr>
          <w:rFonts w:hint="eastAsia" w:ascii="仿宋" w:hAnsi="仿宋" w:eastAsia="仿宋" w:cs="仿宋"/>
          <w:b/>
          <w:color w:val="auto"/>
          <w:sz w:val="24"/>
          <w:szCs w:val="24"/>
          <w:highlight w:val="none"/>
        </w:rPr>
        <w:t>投标文件的组成</w:t>
      </w:r>
    </w:p>
    <w:p>
      <w:pPr>
        <w:pageBreakBefore w:val="0"/>
        <w:widowControl w:val="0"/>
        <w:numPr>
          <w:ilvl w:val="0"/>
          <w:numId w:val="0"/>
        </w:numPr>
        <w:kinsoku/>
        <w:wordWrap/>
        <w:overflowPunct/>
        <w:topLinePunct w:val="0"/>
        <w:autoSpaceDE/>
        <w:autoSpaceDN/>
        <w:bidi w:val="0"/>
        <w:adjustRightInd w:val="0"/>
        <w:snapToGrid w:val="0"/>
        <w:spacing w:line="360" w:lineRule="auto"/>
        <w:ind w:right="0" w:right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val="en-US" w:eastAsia="zh-Hans"/>
        </w:rPr>
        <w:t>.</w:t>
      </w:r>
      <w:r>
        <w:rPr>
          <w:rFonts w:hint="eastAsia" w:ascii="仿宋" w:hAnsi="仿宋" w:eastAsia="仿宋" w:cs="仿宋"/>
          <w:color w:val="auto"/>
          <w:sz w:val="24"/>
          <w:szCs w:val="24"/>
          <w:highlight w:val="none"/>
          <w:lang w:eastAsia="zh-Hans"/>
        </w:rPr>
        <w:t>1</w:t>
      </w:r>
      <w:r>
        <w:rPr>
          <w:rFonts w:hint="eastAsia" w:ascii="仿宋" w:hAnsi="仿宋" w:eastAsia="仿宋" w:cs="仿宋"/>
          <w:color w:val="auto"/>
          <w:sz w:val="24"/>
          <w:szCs w:val="24"/>
          <w:highlight w:val="none"/>
          <w:lang w:val="en-US" w:eastAsia="zh-Hans"/>
        </w:rPr>
        <w:t>.</w:t>
      </w:r>
      <w:r>
        <w:rPr>
          <w:rFonts w:hint="eastAsia" w:ascii="仿宋" w:hAnsi="仿宋" w:eastAsia="仿宋" w:cs="仿宋"/>
          <w:color w:val="auto"/>
          <w:sz w:val="24"/>
          <w:szCs w:val="24"/>
          <w:highlight w:val="none"/>
          <w:lang w:eastAsia="zh-Hans"/>
        </w:rPr>
        <w:t>1</w:t>
      </w:r>
      <w:r>
        <w:rPr>
          <w:rFonts w:hint="eastAsia" w:ascii="仿宋" w:hAnsi="仿宋" w:eastAsia="仿宋" w:cs="仿宋"/>
          <w:color w:val="auto"/>
          <w:sz w:val="24"/>
          <w:szCs w:val="24"/>
          <w:highlight w:val="none"/>
        </w:rPr>
        <w:t>投标文件的组成、份数：见投标人须知前附表。</w:t>
      </w:r>
    </w:p>
    <w:p>
      <w:pPr>
        <w:pageBreakBefore w:val="0"/>
        <w:widowControl w:val="0"/>
        <w:numPr>
          <w:ilvl w:val="0"/>
          <w:numId w:val="0"/>
        </w:numPr>
        <w:kinsoku/>
        <w:wordWrap/>
        <w:overflowPunct/>
        <w:topLinePunct w:val="0"/>
        <w:autoSpaceDE/>
        <w:autoSpaceDN/>
        <w:bidi w:val="0"/>
        <w:adjustRightInd w:val="0"/>
        <w:snapToGrid w:val="0"/>
        <w:spacing w:line="360" w:lineRule="auto"/>
        <w:ind w:right="0" w:right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val="en-US" w:eastAsia="zh-Hans"/>
        </w:rPr>
        <w:t>.</w:t>
      </w:r>
      <w:r>
        <w:rPr>
          <w:rFonts w:hint="eastAsia" w:ascii="仿宋" w:hAnsi="仿宋" w:eastAsia="仿宋" w:cs="仿宋"/>
          <w:color w:val="auto"/>
          <w:sz w:val="24"/>
          <w:szCs w:val="24"/>
          <w:highlight w:val="none"/>
          <w:lang w:eastAsia="zh-Hans"/>
        </w:rPr>
        <w:t>1</w:t>
      </w:r>
      <w:r>
        <w:rPr>
          <w:rFonts w:hint="eastAsia" w:ascii="仿宋" w:hAnsi="仿宋" w:eastAsia="仿宋" w:cs="仿宋"/>
          <w:color w:val="auto"/>
          <w:sz w:val="24"/>
          <w:szCs w:val="24"/>
          <w:highlight w:val="none"/>
          <w:lang w:val="en-US" w:eastAsia="zh-Hans"/>
        </w:rPr>
        <w:t>.</w:t>
      </w:r>
      <w:r>
        <w:rPr>
          <w:rFonts w:hint="eastAsia" w:ascii="仿宋" w:hAnsi="仿宋" w:eastAsia="仿宋" w:cs="仿宋"/>
          <w:color w:val="auto"/>
          <w:sz w:val="24"/>
          <w:szCs w:val="24"/>
          <w:highlight w:val="none"/>
          <w:lang w:eastAsia="zh-Hans"/>
        </w:rPr>
        <w:t>2</w:t>
      </w:r>
      <w:r>
        <w:rPr>
          <w:rFonts w:hint="eastAsia" w:ascii="仿宋" w:hAnsi="仿宋" w:eastAsia="仿宋" w:cs="仿宋"/>
          <w:color w:val="auto"/>
          <w:sz w:val="24"/>
          <w:szCs w:val="24"/>
          <w:highlight w:val="none"/>
        </w:rPr>
        <w:t>投标文件的格式见第六章。</w:t>
      </w:r>
    </w:p>
    <w:p>
      <w:pPr>
        <w:pStyle w:val="5"/>
        <w:pageBreakBefore w:val="0"/>
        <w:widowControl w:val="0"/>
        <w:kinsoku/>
        <w:wordWrap/>
        <w:overflowPunct/>
        <w:topLinePunct w:val="0"/>
        <w:autoSpaceDE/>
        <w:autoSpaceDN/>
        <w:bidi w:val="0"/>
        <w:adjustRightInd w:val="0"/>
        <w:snapToGrid w:val="0"/>
        <w:spacing w:before="0" w:beforeLines="0" w:after="0" w:afterLines="0" w:line="360" w:lineRule="auto"/>
        <w:ind w:left="0" w:leftChars="0" w:right="0" w:rightChars="0"/>
        <w:jc w:val="both"/>
        <w:textAlignment w:val="auto"/>
        <w:rPr>
          <w:rFonts w:hint="eastAsia" w:ascii="仿宋" w:hAnsi="仿宋" w:eastAsia="仿宋" w:cs="仿宋"/>
          <w:color w:val="auto"/>
          <w:sz w:val="24"/>
          <w:szCs w:val="24"/>
          <w:highlight w:val="none"/>
        </w:rPr>
      </w:pPr>
      <w:bookmarkStart w:id="143" w:name="_Toc179632571"/>
      <w:bookmarkStart w:id="144" w:name="_Toc152045553"/>
      <w:bookmarkStart w:id="145" w:name="_Toc514837880"/>
      <w:bookmarkStart w:id="146" w:name="_Toc144974521"/>
      <w:bookmarkStart w:id="147" w:name="_Toc247085711"/>
      <w:bookmarkStart w:id="148" w:name="_Toc152042329"/>
      <w:bookmarkStart w:id="149" w:name="_Toc246996197"/>
      <w:bookmarkStart w:id="150" w:name="_Toc246996940"/>
      <w:r>
        <w:rPr>
          <w:rFonts w:hint="eastAsia" w:ascii="仿宋" w:hAnsi="仿宋" w:eastAsia="仿宋" w:cs="仿宋"/>
          <w:color w:val="auto"/>
          <w:sz w:val="24"/>
          <w:szCs w:val="24"/>
          <w:highlight w:val="none"/>
        </w:rPr>
        <w:t>3.2投标文件的编制</w:t>
      </w:r>
      <w:bookmarkEnd w:id="143"/>
      <w:bookmarkEnd w:id="144"/>
      <w:bookmarkEnd w:id="145"/>
      <w:bookmarkEnd w:id="146"/>
      <w:bookmarkEnd w:id="147"/>
      <w:bookmarkEnd w:id="148"/>
      <w:bookmarkEnd w:id="149"/>
      <w:bookmarkEnd w:id="150"/>
      <w:r>
        <w:rPr>
          <w:rFonts w:hint="eastAsia" w:ascii="仿宋" w:hAnsi="仿宋" w:eastAsia="仿宋" w:cs="仿宋"/>
          <w:color w:val="auto"/>
          <w:sz w:val="24"/>
          <w:szCs w:val="24"/>
          <w:highlight w:val="none"/>
          <w:lang w:val="en-US" w:eastAsia="zh-Hans"/>
        </w:rPr>
        <w:t>及密封要求</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val="en-US" w:eastAsia="zh-Hans"/>
        </w:rPr>
        <w:t>.</w:t>
      </w:r>
      <w:r>
        <w:rPr>
          <w:rFonts w:hint="eastAsia" w:ascii="仿宋" w:hAnsi="仿宋" w:eastAsia="仿宋" w:cs="仿宋"/>
          <w:color w:val="auto"/>
          <w:sz w:val="24"/>
          <w:szCs w:val="24"/>
          <w:highlight w:val="none"/>
          <w:lang w:eastAsia="zh-Hans"/>
        </w:rPr>
        <w:t>2</w:t>
      </w:r>
      <w:r>
        <w:rPr>
          <w:rFonts w:hint="eastAsia" w:ascii="仿宋" w:hAnsi="仿宋" w:eastAsia="仿宋" w:cs="仿宋"/>
          <w:color w:val="auto"/>
          <w:sz w:val="24"/>
          <w:szCs w:val="24"/>
          <w:highlight w:val="none"/>
          <w:lang w:val="en-US" w:eastAsia="zh-Hans"/>
        </w:rPr>
        <w:t>.</w:t>
      </w:r>
      <w:r>
        <w:rPr>
          <w:rFonts w:hint="eastAsia" w:ascii="仿宋" w:hAnsi="仿宋" w:eastAsia="仿宋" w:cs="仿宋"/>
          <w:color w:val="auto"/>
          <w:sz w:val="24"/>
          <w:szCs w:val="24"/>
          <w:highlight w:val="none"/>
          <w:lang w:eastAsia="zh-Hans"/>
        </w:rPr>
        <w:t>1</w:t>
      </w:r>
      <w:r>
        <w:rPr>
          <w:rFonts w:hint="eastAsia" w:ascii="仿宋" w:hAnsi="仿宋" w:eastAsia="仿宋" w:cs="仿宋"/>
          <w:color w:val="auto"/>
          <w:sz w:val="24"/>
          <w:szCs w:val="24"/>
          <w:highlight w:val="none"/>
        </w:rPr>
        <w:t>标文件分为开标一览表信封、资格审查原件信封和投标文件信封，应包括下列内容：</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Hans"/>
        </w:rPr>
        <w:t>（</w:t>
      </w:r>
      <w:r>
        <w:rPr>
          <w:rFonts w:hint="eastAsia" w:ascii="仿宋" w:hAnsi="仿宋" w:eastAsia="仿宋" w:cs="仿宋"/>
          <w:color w:val="auto"/>
          <w:sz w:val="24"/>
          <w:szCs w:val="24"/>
          <w:highlight w:val="none"/>
          <w:lang w:val="en-US" w:eastAsia="zh-Hans"/>
        </w:rPr>
        <w:t>一</w:t>
      </w:r>
      <w:r>
        <w:rPr>
          <w:rFonts w:hint="eastAsia" w:ascii="仿宋" w:hAnsi="仿宋" w:eastAsia="仿宋" w:cs="仿宋"/>
          <w:color w:val="auto"/>
          <w:sz w:val="24"/>
          <w:szCs w:val="24"/>
          <w:highlight w:val="none"/>
          <w:lang w:eastAsia="zh-Hans"/>
        </w:rPr>
        <w:t>）</w:t>
      </w:r>
      <w:r>
        <w:rPr>
          <w:rFonts w:hint="eastAsia" w:ascii="仿宋" w:hAnsi="仿宋" w:eastAsia="仿宋" w:cs="仿宋"/>
          <w:color w:val="auto"/>
          <w:sz w:val="24"/>
          <w:szCs w:val="24"/>
          <w:highlight w:val="none"/>
        </w:rPr>
        <w:t>开标一览表信封：</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(1)开标一览表</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(2)投标保证金</w:t>
      </w:r>
      <w:r>
        <w:rPr>
          <w:rFonts w:hint="eastAsia" w:ascii="仿宋" w:hAnsi="仿宋" w:eastAsia="仿宋" w:cs="仿宋"/>
          <w:color w:val="auto"/>
          <w:sz w:val="24"/>
          <w:szCs w:val="24"/>
          <w:highlight w:val="none"/>
          <w:lang w:val="en-US" w:eastAsia="zh-Hans"/>
        </w:rPr>
        <w:t>缴纳</w:t>
      </w:r>
      <w:r>
        <w:rPr>
          <w:rFonts w:hint="eastAsia" w:ascii="仿宋" w:hAnsi="仿宋" w:eastAsia="仿宋" w:cs="仿宋"/>
          <w:color w:val="auto"/>
          <w:sz w:val="24"/>
          <w:szCs w:val="24"/>
          <w:highlight w:val="none"/>
        </w:rPr>
        <w:t>凭证</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Hans"/>
        </w:rPr>
        <w:t>二</w:t>
      </w:r>
      <w:r>
        <w:rPr>
          <w:rFonts w:hint="eastAsia" w:ascii="仿宋" w:hAnsi="仿宋" w:eastAsia="仿宋" w:cs="仿宋"/>
          <w:color w:val="auto"/>
          <w:sz w:val="24"/>
          <w:szCs w:val="24"/>
          <w:highlight w:val="none"/>
          <w:lang w:eastAsia="zh-Hans"/>
        </w:rPr>
        <w:t>）</w:t>
      </w:r>
      <w:r>
        <w:rPr>
          <w:rFonts w:hint="eastAsia" w:ascii="仿宋" w:hAnsi="仿宋" w:eastAsia="仿宋" w:cs="仿宋"/>
          <w:color w:val="auto"/>
          <w:sz w:val="24"/>
          <w:szCs w:val="24"/>
          <w:highlight w:val="none"/>
        </w:rPr>
        <w:t>资格审查原件信封：根据投标人须知3</w:t>
      </w:r>
      <w:r>
        <w:rPr>
          <w:rFonts w:hint="eastAsia" w:ascii="仿宋" w:hAnsi="仿宋" w:eastAsia="仿宋" w:cs="仿宋"/>
          <w:color w:val="auto"/>
          <w:sz w:val="24"/>
          <w:szCs w:val="24"/>
          <w:highlight w:val="none"/>
          <w:lang w:val="en-US" w:eastAsia="zh-Hans"/>
        </w:rPr>
        <w:t>.</w:t>
      </w:r>
      <w:r>
        <w:rPr>
          <w:rFonts w:hint="eastAsia" w:ascii="仿宋" w:hAnsi="仿宋" w:eastAsia="仿宋" w:cs="仿宋"/>
          <w:color w:val="auto"/>
          <w:sz w:val="24"/>
          <w:szCs w:val="24"/>
          <w:highlight w:val="none"/>
          <w:lang w:eastAsia="zh-Hans"/>
        </w:rPr>
        <w:t>1</w:t>
      </w:r>
      <w:r>
        <w:rPr>
          <w:rFonts w:hint="eastAsia" w:ascii="仿宋" w:hAnsi="仿宋" w:eastAsia="仿宋" w:cs="仿宋"/>
          <w:color w:val="auto"/>
          <w:sz w:val="24"/>
          <w:szCs w:val="24"/>
          <w:highlight w:val="none"/>
          <w:lang w:val="en-US" w:eastAsia="zh-CN"/>
        </w:rPr>
        <w:t>0</w:t>
      </w:r>
      <w:r>
        <w:rPr>
          <w:rFonts w:hint="eastAsia" w:ascii="仿宋" w:hAnsi="仿宋" w:eastAsia="仿宋" w:cs="仿宋"/>
          <w:color w:val="auto"/>
          <w:sz w:val="24"/>
          <w:szCs w:val="24"/>
          <w:highlight w:val="none"/>
          <w:lang w:val="en-US" w:eastAsia="zh-Hans"/>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要求的开标资格审查原件的内容提供</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Hans"/>
        </w:rPr>
        <w:t>三</w:t>
      </w:r>
      <w:r>
        <w:rPr>
          <w:rFonts w:hint="eastAsia" w:ascii="仿宋" w:hAnsi="仿宋" w:eastAsia="仿宋" w:cs="仿宋"/>
          <w:color w:val="auto"/>
          <w:sz w:val="24"/>
          <w:szCs w:val="24"/>
          <w:highlight w:val="none"/>
          <w:lang w:eastAsia="zh-Hans"/>
        </w:rPr>
        <w:t>）</w:t>
      </w:r>
      <w:r>
        <w:rPr>
          <w:rFonts w:hint="eastAsia" w:ascii="仿宋" w:hAnsi="仿宋" w:eastAsia="仿宋" w:cs="仿宋"/>
          <w:color w:val="auto"/>
          <w:sz w:val="24"/>
          <w:szCs w:val="24"/>
          <w:highlight w:val="none"/>
        </w:rPr>
        <w:t>投标文件袋信封（投标文件正副本）：</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(1)投标文件(文件编制详见第二章4.2) </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(2)投标文件正本扫描电子版（PDF格式）</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val="en-US" w:eastAsia="zh-Hans"/>
        </w:rPr>
        <w:t>.</w:t>
      </w:r>
      <w:r>
        <w:rPr>
          <w:rFonts w:hint="eastAsia" w:ascii="仿宋" w:hAnsi="仿宋" w:eastAsia="仿宋" w:cs="仿宋"/>
          <w:color w:val="auto"/>
          <w:sz w:val="24"/>
          <w:szCs w:val="24"/>
          <w:highlight w:val="none"/>
          <w:lang w:eastAsia="zh-Hans"/>
        </w:rPr>
        <w:t>2</w:t>
      </w:r>
      <w:r>
        <w:rPr>
          <w:rFonts w:hint="eastAsia" w:ascii="仿宋" w:hAnsi="仿宋" w:eastAsia="仿宋" w:cs="仿宋"/>
          <w:color w:val="auto"/>
          <w:sz w:val="24"/>
          <w:szCs w:val="24"/>
          <w:highlight w:val="none"/>
          <w:lang w:val="en-US" w:eastAsia="zh-Hans"/>
        </w:rPr>
        <w:t>.</w:t>
      </w:r>
      <w:r>
        <w:rPr>
          <w:rFonts w:hint="eastAsia" w:ascii="仿宋" w:hAnsi="仿宋" w:eastAsia="仿宋" w:cs="仿宋"/>
          <w:color w:val="auto"/>
          <w:sz w:val="24"/>
          <w:szCs w:val="24"/>
          <w:highlight w:val="none"/>
          <w:lang w:eastAsia="zh-Hans"/>
        </w:rPr>
        <w:t>2</w:t>
      </w:r>
      <w:r>
        <w:rPr>
          <w:rFonts w:hint="eastAsia" w:ascii="仿宋" w:hAnsi="仿宋" w:eastAsia="仿宋" w:cs="仿宋"/>
          <w:color w:val="auto"/>
          <w:sz w:val="24"/>
          <w:szCs w:val="24"/>
          <w:highlight w:val="none"/>
        </w:rPr>
        <w:t>投标文件信封封面和《开标一览表》信封封面和资格审查原件信封封面上应写明：</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项目名称：（项目名称第几包）</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项目编号：</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投标单位名称：</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（“正本”或“副本”、开标一览表、资格审查原件）</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联系人和联系电话：</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val="en-US" w:eastAsia="zh-Hans"/>
        </w:rPr>
        <w:t>.</w:t>
      </w:r>
      <w:r>
        <w:rPr>
          <w:rFonts w:hint="eastAsia" w:ascii="仿宋" w:hAnsi="仿宋" w:eastAsia="仿宋" w:cs="仿宋"/>
          <w:color w:val="auto"/>
          <w:sz w:val="24"/>
          <w:szCs w:val="24"/>
          <w:highlight w:val="none"/>
          <w:lang w:eastAsia="zh-Hans"/>
        </w:rPr>
        <w:t>2</w:t>
      </w:r>
      <w:r>
        <w:rPr>
          <w:rFonts w:hint="eastAsia" w:ascii="仿宋" w:hAnsi="仿宋" w:eastAsia="仿宋" w:cs="仿宋"/>
          <w:color w:val="auto"/>
          <w:sz w:val="24"/>
          <w:szCs w:val="24"/>
          <w:highlight w:val="none"/>
          <w:lang w:val="en-US" w:eastAsia="zh-Hans"/>
        </w:rPr>
        <w:t>.</w:t>
      </w:r>
      <w:r>
        <w:rPr>
          <w:rFonts w:hint="eastAsia" w:ascii="仿宋" w:hAnsi="仿宋" w:eastAsia="仿宋" w:cs="仿宋"/>
          <w:color w:val="auto"/>
          <w:sz w:val="24"/>
          <w:szCs w:val="24"/>
          <w:highlight w:val="none"/>
          <w:lang w:eastAsia="zh-Hans"/>
        </w:rPr>
        <w:t>3</w:t>
      </w:r>
      <w:r>
        <w:rPr>
          <w:rFonts w:hint="eastAsia" w:ascii="仿宋" w:hAnsi="仿宋" w:eastAsia="仿宋" w:cs="仿宋"/>
          <w:color w:val="auto"/>
          <w:sz w:val="24"/>
          <w:szCs w:val="24"/>
          <w:highlight w:val="none"/>
        </w:rPr>
        <w:t>投标文件密封投标文件正副本及投标文件电子版（u盘）可以密封在同一投标文件袋中。u盘请载明项目名称、项目编号、公司名称）。u盘与投标文件恕不退还。</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val="en-US" w:eastAsia="zh-Hans"/>
        </w:rPr>
        <w:t>.</w:t>
      </w:r>
      <w:r>
        <w:rPr>
          <w:rFonts w:hint="eastAsia" w:ascii="仿宋" w:hAnsi="仿宋" w:eastAsia="仿宋" w:cs="仿宋"/>
          <w:color w:val="auto"/>
          <w:sz w:val="24"/>
          <w:szCs w:val="24"/>
          <w:highlight w:val="none"/>
          <w:lang w:eastAsia="zh-Hans"/>
        </w:rPr>
        <w:t>2</w:t>
      </w:r>
      <w:r>
        <w:rPr>
          <w:rFonts w:hint="eastAsia" w:ascii="仿宋" w:hAnsi="仿宋" w:eastAsia="仿宋" w:cs="仿宋"/>
          <w:color w:val="auto"/>
          <w:sz w:val="24"/>
          <w:szCs w:val="24"/>
          <w:highlight w:val="none"/>
          <w:lang w:val="en-US" w:eastAsia="zh-Hans"/>
        </w:rPr>
        <w:t>.</w:t>
      </w:r>
      <w:r>
        <w:rPr>
          <w:rFonts w:hint="eastAsia" w:ascii="仿宋" w:hAnsi="仿宋" w:eastAsia="仿宋" w:cs="仿宋"/>
          <w:color w:val="auto"/>
          <w:sz w:val="24"/>
          <w:szCs w:val="24"/>
          <w:highlight w:val="none"/>
          <w:lang w:eastAsia="zh-Hans"/>
        </w:rPr>
        <w:t>4</w:t>
      </w:r>
      <w:r>
        <w:rPr>
          <w:rFonts w:hint="eastAsia" w:ascii="仿宋" w:hAnsi="仿宋" w:eastAsia="仿宋" w:cs="仿宋"/>
          <w:color w:val="auto"/>
          <w:sz w:val="24"/>
          <w:szCs w:val="24"/>
          <w:highlight w:val="none"/>
        </w:rPr>
        <w:t>开标一览表密封投标人必须单独制作“开标一览表”，并单独密封提交，开标一览表密封在一个信封内。</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val="en-US" w:eastAsia="zh-Hans"/>
        </w:rPr>
        <w:t>.</w:t>
      </w:r>
      <w:r>
        <w:rPr>
          <w:rFonts w:hint="eastAsia" w:ascii="仿宋" w:hAnsi="仿宋" w:eastAsia="仿宋" w:cs="仿宋"/>
          <w:color w:val="auto"/>
          <w:sz w:val="24"/>
          <w:szCs w:val="24"/>
          <w:highlight w:val="none"/>
          <w:lang w:eastAsia="zh-Hans"/>
        </w:rPr>
        <w:t>2</w:t>
      </w:r>
      <w:r>
        <w:rPr>
          <w:rFonts w:hint="eastAsia" w:ascii="仿宋" w:hAnsi="仿宋" w:eastAsia="仿宋" w:cs="仿宋"/>
          <w:color w:val="auto"/>
          <w:sz w:val="24"/>
          <w:szCs w:val="24"/>
          <w:highlight w:val="none"/>
          <w:lang w:val="en-US" w:eastAsia="zh-Hans"/>
        </w:rPr>
        <w:t>.</w:t>
      </w:r>
      <w:r>
        <w:rPr>
          <w:rFonts w:hint="eastAsia" w:ascii="仿宋" w:hAnsi="仿宋" w:eastAsia="仿宋" w:cs="仿宋"/>
          <w:color w:val="auto"/>
          <w:sz w:val="24"/>
          <w:szCs w:val="24"/>
          <w:highlight w:val="none"/>
          <w:lang w:eastAsia="zh-Hans"/>
        </w:rPr>
        <w:t>5</w:t>
      </w:r>
      <w:r>
        <w:rPr>
          <w:rFonts w:hint="eastAsia" w:ascii="仿宋" w:hAnsi="仿宋" w:eastAsia="仿宋" w:cs="仿宋"/>
          <w:color w:val="auto"/>
          <w:sz w:val="24"/>
          <w:szCs w:val="24"/>
          <w:highlight w:val="none"/>
        </w:rPr>
        <w:t>投标文件信封及开标一览表信封密封盖章</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投标文件信封及开标一览表信封封口处须加盖投标公司公章及法人章，并注明“开标时启封”字样。</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val="en-US" w:eastAsia="zh-Hans"/>
        </w:rPr>
        <w:t>.</w:t>
      </w:r>
      <w:r>
        <w:rPr>
          <w:rFonts w:hint="eastAsia" w:ascii="仿宋" w:hAnsi="仿宋" w:eastAsia="仿宋" w:cs="仿宋"/>
          <w:color w:val="auto"/>
          <w:sz w:val="24"/>
          <w:szCs w:val="24"/>
          <w:highlight w:val="none"/>
          <w:lang w:eastAsia="zh-Hans"/>
        </w:rPr>
        <w:t>2</w:t>
      </w:r>
      <w:r>
        <w:rPr>
          <w:rFonts w:hint="eastAsia" w:ascii="仿宋" w:hAnsi="仿宋" w:eastAsia="仿宋" w:cs="仿宋"/>
          <w:color w:val="auto"/>
          <w:sz w:val="24"/>
          <w:szCs w:val="24"/>
          <w:highlight w:val="none"/>
          <w:lang w:val="en-US" w:eastAsia="zh-Hans"/>
        </w:rPr>
        <w:t>.</w:t>
      </w:r>
      <w:r>
        <w:rPr>
          <w:rFonts w:hint="eastAsia" w:ascii="仿宋" w:hAnsi="仿宋" w:eastAsia="仿宋" w:cs="仿宋"/>
          <w:color w:val="auto"/>
          <w:sz w:val="24"/>
          <w:szCs w:val="24"/>
          <w:highlight w:val="none"/>
          <w:lang w:eastAsia="zh-Hans"/>
        </w:rPr>
        <w:t>6</w:t>
      </w:r>
      <w:r>
        <w:rPr>
          <w:rFonts w:hint="eastAsia" w:ascii="仿宋" w:hAnsi="仿宋" w:eastAsia="仿宋" w:cs="仿宋"/>
          <w:color w:val="auto"/>
          <w:sz w:val="24"/>
          <w:szCs w:val="24"/>
          <w:highlight w:val="none"/>
        </w:rPr>
        <w:t>若投标人参与多个包投标，</w:t>
      </w:r>
      <w:r>
        <w:rPr>
          <w:rFonts w:hint="eastAsia" w:ascii="仿宋" w:hAnsi="仿宋" w:eastAsia="仿宋" w:cs="仿宋"/>
          <w:color w:val="auto"/>
          <w:sz w:val="24"/>
          <w:szCs w:val="24"/>
          <w:highlight w:val="none"/>
          <w:lang w:val="en-US" w:eastAsia="zh-CN"/>
        </w:rPr>
        <w:t>因本项目各标项内容相似度高，因此（1）资格审查原件信封可不按标项制作，</w:t>
      </w:r>
      <w:r>
        <w:rPr>
          <w:rFonts w:hint="eastAsia" w:ascii="仿宋" w:hAnsi="仿宋" w:eastAsia="仿宋" w:cs="仿宋"/>
          <w:color w:val="auto"/>
          <w:sz w:val="24"/>
          <w:szCs w:val="24"/>
          <w:highlight w:val="none"/>
        </w:rPr>
        <w:t>但法定代表人身份证明书或法定代表人授权委托书需以</w:t>
      </w:r>
      <w:r>
        <w:rPr>
          <w:rFonts w:hint="eastAsia" w:ascii="仿宋" w:hAnsi="仿宋" w:eastAsia="仿宋" w:cs="仿宋"/>
          <w:color w:val="auto"/>
          <w:sz w:val="24"/>
          <w:szCs w:val="24"/>
          <w:highlight w:val="none"/>
          <w:lang w:val="en-US" w:eastAsia="zh-CN"/>
        </w:rPr>
        <w:t>标项</w:t>
      </w:r>
      <w:r>
        <w:rPr>
          <w:rFonts w:hint="eastAsia" w:ascii="仿宋" w:hAnsi="仿宋" w:eastAsia="仿宋" w:cs="仿宋"/>
          <w:color w:val="auto"/>
          <w:sz w:val="24"/>
          <w:szCs w:val="24"/>
          <w:highlight w:val="none"/>
        </w:rPr>
        <w:t>为单位分开制作装在资格审查原件信封里递交。</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开标一览表信封按招标文件要求以</w:t>
      </w:r>
      <w:r>
        <w:rPr>
          <w:rFonts w:hint="eastAsia" w:ascii="仿宋" w:hAnsi="仿宋" w:eastAsia="仿宋" w:cs="仿宋"/>
          <w:color w:val="auto"/>
          <w:sz w:val="24"/>
          <w:szCs w:val="24"/>
          <w:highlight w:val="none"/>
          <w:lang w:val="en-US" w:eastAsia="zh-CN"/>
        </w:rPr>
        <w:t>标项</w:t>
      </w:r>
      <w:r>
        <w:rPr>
          <w:rFonts w:hint="eastAsia" w:ascii="仿宋" w:hAnsi="仿宋" w:eastAsia="仿宋" w:cs="仿宋"/>
          <w:color w:val="auto"/>
          <w:sz w:val="24"/>
          <w:szCs w:val="24"/>
          <w:highlight w:val="none"/>
        </w:rPr>
        <w:t>为单位分开制作并密封提交。否则其投标被拒绝。</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商务标可按照一个标项的数量（即1正2副）制作，并在封页处标明所投标项，按照招标文件密封要求密封。</w:t>
      </w:r>
      <w:r>
        <w:rPr>
          <w:rFonts w:hint="eastAsia" w:ascii="仿宋" w:hAnsi="仿宋" w:eastAsia="仿宋" w:cs="仿宋"/>
          <w:color w:val="auto"/>
          <w:sz w:val="24"/>
          <w:szCs w:val="24"/>
          <w:highlight w:val="none"/>
        </w:rPr>
        <w:t>否则其投标被拒绝。</w:t>
      </w:r>
      <w:r>
        <w:rPr>
          <w:rFonts w:hint="eastAsia" w:ascii="仿宋" w:hAnsi="仿宋" w:eastAsia="仿宋" w:cs="仿宋"/>
          <w:color w:val="auto"/>
          <w:sz w:val="24"/>
          <w:szCs w:val="24"/>
          <w:highlight w:val="none"/>
          <w:lang w:val="en-US" w:eastAsia="zh-CN"/>
        </w:rPr>
        <w:t>（4）技术标按招标文件要求以标项为单位分开制作并密封提交。</w:t>
      </w:r>
      <w:r>
        <w:rPr>
          <w:rFonts w:hint="eastAsia" w:ascii="仿宋" w:hAnsi="仿宋" w:eastAsia="仿宋" w:cs="仿宋"/>
          <w:color w:val="auto"/>
          <w:sz w:val="24"/>
          <w:szCs w:val="24"/>
          <w:highlight w:val="none"/>
        </w:rPr>
        <w:t>否则其投标被拒绝。</w:t>
      </w:r>
    </w:p>
    <w:p>
      <w:pPr>
        <w:pStyle w:val="5"/>
        <w:pageBreakBefore w:val="0"/>
        <w:widowControl w:val="0"/>
        <w:kinsoku/>
        <w:wordWrap/>
        <w:overflowPunct/>
        <w:topLinePunct w:val="0"/>
        <w:autoSpaceDE/>
        <w:autoSpaceDN/>
        <w:bidi w:val="0"/>
        <w:adjustRightInd w:val="0"/>
        <w:snapToGrid w:val="0"/>
        <w:spacing w:before="0" w:beforeLines="0" w:after="0" w:afterLines="0" w:line="360" w:lineRule="auto"/>
        <w:ind w:left="0" w:leftChars="0" w:right="0" w:rightChars="0"/>
        <w:jc w:val="both"/>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未按招标文件前附表投标文件制作及密封要求的，投标被拒绝。</w:t>
      </w:r>
    </w:p>
    <w:p>
      <w:pPr>
        <w:pageBreakBefore w:val="0"/>
        <w:widowControl w:val="0"/>
        <w:kinsoku/>
        <w:wordWrap/>
        <w:overflowPunct/>
        <w:topLinePunct w:val="0"/>
        <w:autoSpaceDE/>
        <w:autoSpaceDN/>
        <w:bidi w:val="0"/>
        <w:adjustRightInd w:val="0"/>
        <w:snapToGrid w:val="0"/>
        <w:spacing w:line="360" w:lineRule="auto"/>
        <w:ind w:left="0" w:leftChars="0" w:right="0" w:rightChars="0"/>
        <w:jc w:val="both"/>
        <w:textAlignment w:val="auto"/>
        <w:rPr>
          <w:rFonts w:hint="eastAsia" w:ascii="仿宋" w:hAnsi="仿宋" w:eastAsia="仿宋" w:cs="仿宋"/>
          <w:b/>
          <w:bCs/>
          <w:color w:val="auto"/>
          <w:sz w:val="24"/>
          <w:szCs w:val="24"/>
          <w:highlight w:val="none"/>
          <w:lang w:eastAsia="zh-Hans"/>
        </w:rPr>
      </w:pPr>
      <w:r>
        <w:rPr>
          <w:rFonts w:hint="eastAsia" w:ascii="仿宋" w:hAnsi="仿宋" w:eastAsia="仿宋" w:cs="仿宋"/>
          <w:b/>
          <w:bCs/>
          <w:color w:val="auto"/>
          <w:sz w:val="24"/>
          <w:szCs w:val="24"/>
          <w:highlight w:val="none"/>
        </w:rPr>
        <w:t>3</w:t>
      </w:r>
      <w:r>
        <w:rPr>
          <w:rFonts w:hint="eastAsia" w:ascii="仿宋" w:hAnsi="仿宋" w:eastAsia="仿宋" w:cs="仿宋"/>
          <w:b/>
          <w:bCs/>
          <w:color w:val="auto"/>
          <w:sz w:val="24"/>
          <w:szCs w:val="24"/>
          <w:highlight w:val="none"/>
          <w:lang w:val="en-US" w:eastAsia="zh-Hans"/>
        </w:rPr>
        <w:t>.</w:t>
      </w:r>
      <w:r>
        <w:rPr>
          <w:rFonts w:hint="eastAsia" w:ascii="仿宋" w:hAnsi="仿宋" w:eastAsia="仿宋" w:cs="仿宋"/>
          <w:b/>
          <w:bCs/>
          <w:color w:val="auto"/>
          <w:sz w:val="24"/>
          <w:szCs w:val="24"/>
          <w:highlight w:val="none"/>
          <w:lang w:eastAsia="zh-Hans"/>
        </w:rPr>
        <w:t>3</w:t>
      </w:r>
      <w:r>
        <w:rPr>
          <w:rFonts w:hint="eastAsia" w:ascii="仿宋" w:hAnsi="仿宋" w:eastAsia="仿宋" w:cs="仿宋"/>
          <w:b/>
          <w:bCs/>
          <w:color w:val="auto"/>
          <w:sz w:val="24"/>
          <w:szCs w:val="24"/>
          <w:highlight w:val="none"/>
          <w:lang w:val="en-US" w:eastAsia="zh-Hans"/>
        </w:rPr>
        <w:t>投标文件的签署规定</w:t>
      </w:r>
    </w:p>
    <w:p>
      <w:pPr>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val="en-US" w:eastAsia="zh-Hans"/>
        </w:rPr>
        <w:t>.</w:t>
      </w:r>
      <w:r>
        <w:rPr>
          <w:rFonts w:hint="eastAsia" w:ascii="仿宋" w:hAnsi="仿宋" w:eastAsia="仿宋" w:cs="仿宋"/>
          <w:color w:val="auto"/>
          <w:sz w:val="24"/>
          <w:szCs w:val="24"/>
          <w:highlight w:val="none"/>
          <w:lang w:eastAsia="zh-Hans"/>
        </w:rPr>
        <w:t>3</w:t>
      </w:r>
      <w:r>
        <w:rPr>
          <w:rFonts w:hint="eastAsia" w:ascii="仿宋" w:hAnsi="仿宋" w:eastAsia="仿宋" w:cs="仿宋"/>
          <w:color w:val="auto"/>
          <w:sz w:val="24"/>
          <w:szCs w:val="24"/>
          <w:highlight w:val="none"/>
          <w:lang w:val="en-US" w:eastAsia="zh-Hans"/>
        </w:rPr>
        <w:t>.</w:t>
      </w:r>
      <w:r>
        <w:rPr>
          <w:rFonts w:hint="eastAsia" w:ascii="仿宋" w:hAnsi="仿宋" w:eastAsia="仿宋" w:cs="仿宋"/>
          <w:color w:val="auto"/>
          <w:sz w:val="24"/>
          <w:szCs w:val="24"/>
          <w:highlight w:val="none"/>
          <w:lang w:eastAsia="zh-Hans"/>
        </w:rPr>
        <w:t>1</w:t>
      </w:r>
      <w:r>
        <w:rPr>
          <w:rFonts w:hint="eastAsia" w:ascii="仿宋" w:hAnsi="仿宋" w:eastAsia="仿宋" w:cs="仿宋"/>
          <w:color w:val="auto"/>
          <w:sz w:val="24"/>
          <w:szCs w:val="24"/>
          <w:highlight w:val="none"/>
        </w:rPr>
        <w:t>投标文件的页面必须用印刷体打印。</w:t>
      </w:r>
    </w:p>
    <w:p>
      <w:pPr>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val="en-US" w:eastAsia="zh-Hans"/>
        </w:rPr>
        <w:t>.</w:t>
      </w:r>
      <w:r>
        <w:rPr>
          <w:rFonts w:hint="eastAsia" w:ascii="仿宋" w:hAnsi="仿宋" w:eastAsia="仿宋" w:cs="仿宋"/>
          <w:color w:val="auto"/>
          <w:sz w:val="24"/>
          <w:szCs w:val="24"/>
          <w:highlight w:val="none"/>
          <w:lang w:eastAsia="zh-Hans"/>
        </w:rPr>
        <w:t>3</w:t>
      </w:r>
      <w:r>
        <w:rPr>
          <w:rFonts w:hint="eastAsia" w:ascii="仿宋" w:hAnsi="仿宋" w:eastAsia="仿宋" w:cs="仿宋"/>
          <w:color w:val="auto"/>
          <w:sz w:val="24"/>
          <w:szCs w:val="24"/>
          <w:highlight w:val="none"/>
          <w:lang w:val="en-US" w:eastAsia="zh-Hans"/>
        </w:rPr>
        <w:t>.</w:t>
      </w:r>
      <w:r>
        <w:rPr>
          <w:rFonts w:hint="eastAsia" w:ascii="仿宋" w:hAnsi="仿宋" w:eastAsia="仿宋" w:cs="仿宋"/>
          <w:color w:val="auto"/>
          <w:sz w:val="24"/>
          <w:szCs w:val="24"/>
          <w:highlight w:val="none"/>
          <w:lang w:eastAsia="zh-Hans"/>
        </w:rPr>
        <w:t>2</w:t>
      </w:r>
      <w:r>
        <w:rPr>
          <w:rFonts w:hint="eastAsia" w:ascii="仿宋" w:hAnsi="仿宋" w:eastAsia="仿宋" w:cs="仿宋"/>
          <w:color w:val="auto"/>
          <w:sz w:val="24"/>
          <w:szCs w:val="24"/>
          <w:highlight w:val="none"/>
        </w:rPr>
        <w:t>投标文件应清楚工整，一般不准修改。个别非实质性修改之处必须由投标人的法定代表人（负责人）或经其正式授权的代表在修改的每一页上签字或盖投标单位公章后才有效。</w:t>
      </w:r>
    </w:p>
    <w:p>
      <w:pPr>
        <w:pageBreakBefore w:val="0"/>
        <w:widowControl w:val="0"/>
        <w:kinsoku/>
        <w:wordWrap/>
        <w:topLinePunct w:val="0"/>
        <w:bidi w:val="0"/>
        <w:adjustRightInd w:val="0"/>
        <w:snapToGrid w:val="0"/>
        <w:spacing w:line="360" w:lineRule="auto"/>
        <w:ind w:left="0" w:leftChars="0" w:right="0" w:rightChars="0" w:firstLine="480" w:firstLineChars="200"/>
        <w:jc w:val="both"/>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val="en-US" w:eastAsia="zh-Hans"/>
        </w:rPr>
        <w:t>.</w:t>
      </w:r>
      <w:r>
        <w:rPr>
          <w:rFonts w:hint="eastAsia" w:ascii="仿宋" w:hAnsi="仿宋" w:eastAsia="仿宋" w:cs="仿宋"/>
          <w:color w:val="auto"/>
          <w:sz w:val="24"/>
          <w:szCs w:val="24"/>
          <w:highlight w:val="none"/>
          <w:lang w:eastAsia="zh-Hans"/>
        </w:rPr>
        <w:t>3</w:t>
      </w:r>
      <w:r>
        <w:rPr>
          <w:rFonts w:hint="eastAsia" w:ascii="仿宋" w:hAnsi="仿宋" w:eastAsia="仿宋" w:cs="仿宋"/>
          <w:color w:val="auto"/>
          <w:sz w:val="24"/>
          <w:szCs w:val="24"/>
          <w:highlight w:val="none"/>
          <w:lang w:val="en-US" w:eastAsia="zh-Hans"/>
        </w:rPr>
        <w:t>.</w:t>
      </w:r>
      <w:r>
        <w:rPr>
          <w:rFonts w:hint="eastAsia" w:ascii="仿宋" w:hAnsi="仿宋" w:eastAsia="仿宋" w:cs="仿宋"/>
          <w:color w:val="auto"/>
          <w:sz w:val="24"/>
          <w:szCs w:val="24"/>
          <w:highlight w:val="none"/>
          <w:lang w:eastAsia="zh-Hans"/>
        </w:rPr>
        <w:t>3</w:t>
      </w:r>
      <w:r>
        <w:rPr>
          <w:rFonts w:hint="eastAsia" w:ascii="仿宋" w:hAnsi="仿宋" w:eastAsia="仿宋" w:cs="仿宋"/>
          <w:color w:val="auto"/>
          <w:sz w:val="24"/>
          <w:szCs w:val="24"/>
          <w:highlight w:val="none"/>
        </w:rPr>
        <w:t>投标文件应由法定代表人或法人授权代表在规定的签章处逐一签署或加盖单位公章</w:t>
      </w:r>
      <w:r>
        <w:rPr>
          <w:rFonts w:hint="eastAsia" w:ascii="仿宋" w:hAnsi="仿宋" w:eastAsia="仿宋" w:cs="仿宋"/>
          <w:bCs/>
          <w:color w:val="auto"/>
          <w:sz w:val="24"/>
          <w:szCs w:val="24"/>
          <w:highlight w:val="none"/>
        </w:rPr>
        <w:t>，投标文件方为有效。</w:t>
      </w:r>
    </w:p>
    <w:p>
      <w:pPr>
        <w:pageBreakBefore w:val="0"/>
        <w:widowControl w:val="0"/>
        <w:kinsoku/>
        <w:wordWrap/>
        <w:topLinePunct w:val="0"/>
        <w:bidi w:val="0"/>
        <w:adjustRightInd w:val="0"/>
        <w:snapToGrid w:val="0"/>
        <w:spacing w:line="360" w:lineRule="auto"/>
        <w:ind w:left="0" w:leftChars="0" w:right="0" w:rightChars="0" w:firstLine="482" w:firstLineChars="200"/>
        <w:jc w:val="both"/>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rPr>
        <w:t>3</w:t>
      </w:r>
      <w:r>
        <w:rPr>
          <w:rFonts w:hint="eastAsia" w:ascii="仿宋" w:hAnsi="仿宋" w:eastAsia="仿宋" w:cs="仿宋"/>
          <w:b/>
          <w:bCs w:val="0"/>
          <w:color w:val="auto"/>
          <w:sz w:val="24"/>
          <w:szCs w:val="24"/>
          <w:highlight w:val="none"/>
          <w:lang w:val="en-US" w:eastAsia="zh-Hans"/>
        </w:rPr>
        <w:t>.</w:t>
      </w:r>
      <w:r>
        <w:rPr>
          <w:rFonts w:hint="eastAsia" w:ascii="仿宋" w:hAnsi="仿宋" w:eastAsia="仿宋" w:cs="仿宋"/>
          <w:b/>
          <w:bCs w:val="0"/>
          <w:color w:val="auto"/>
          <w:sz w:val="24"/>
          <w:szCs w:val="24"/>
          <w:highlight w:val="none"/>
          <w:lang w:eastAsia="zh-Hans"/>
        </w:rPr>
        <w:t>3</w:t>
      </w:r>
      <w:r>
        <w:rPr>
          <w:rFonts w:hint="eastAsia" w:ascii="仿宋" w:hAnsi="仿宋" w:eastAsia="仿宋" w:cs="仿宋"/>
          <w:b/>
          <w:bCs w:val="0"/>
          <w:color w:val="auto"/>
          <w:sz w:val="24"/>
          <w:szCs w:val="24"/>
          <w:highlight w:val="none"/>
          <w:lang w:val="en-US" w:eastAsia="zh-Hans"/>
        </w:rPr>
        <w:t>.</w:t>
      </w:r>
      <w:r>
        <w:rPr>
          <w:rFonts w:hint="eastAsia" w:ascii="仿宋" w:hAnsi="仿宋" w:eastAsia="仿宋" w:cs="仿宋"/>
          <w:b/>
          <w:bCs w:val="0"/>
          <w:color w:val="auto"/>
          <w:sz w:val="24"/>
          <w:szCs w:val="24"/>
          <w:highlight w:val="none"/>
          <w:lang w:eastAsia="zh-Hans"/>
        </w:rPr>
        <w:t>4</w:t>
      </w:r>
      <w:r>
        <w:rPr>
          <w:rFonts w:hint="eastAsia" w:ascii="仿宋" w:hAnsi="仿宋" w:eastAsia="仿宋" w:cs="仿宋"/>
          <w:b/>
          <w:bCs w:val="0"/>
          <w:color w:val="auto"/>
          <w:sz w:val="24"/>
          <w:szCs w:val="24"/>
          <w:highlight w:val="none"/>
        </w:rPr>
        <w:t>投标文件正本需逐页加盖公章，在招标文件格式规定处签署，并编好始末页码,如不按要求签署</w:t>
      </w:r>
      <w:r>
        <w:rPr>
          <w:rFonts w:hint="eastAsia" w:ascii="仿宋" w:hAnsi="仿宋" w:eastAsia="仿宋" w:cs="仿宋"/>
          <w:b/>
          <w:bCs w:val="0"/>
          <w:color w:val="auto"/>
          <w:sz w:val="24"/>
          <w:szCs w:val="24"/>
          <w:highlight w:val="none"/>
          <w:lang w:eastAsia="zh-CN"/>
        </w:rPr>
        <w:t>、</w:t>
      </w:r>
      <w:r>
        <w:rPr>
          <w:rFonts w:hint="eastAsia" w:ascii="仿宋" w:hAnsi="仿宋" w:eastAsia="仿宋" w:cs="仿宋"/>
          <w:b/>
          <w:bCs w:val="0"/>
          <w:color w:val="auto"/>
          <w:sz w:val="24"/>
          <w:szCs w:val="24"/>
          <w:highlight w:val="none"/>
          <w:lang w:val="en-US" w:eastAsia="zh-CN"/>
        </w:rPr>
        <w:t>盖章</w:t>
      </w:r>
      <w:r>
        <w:rPr>
          <w:rFonts w:hint="eastAsia" w:ascii="仿宋" w:hAnsi="仿宋" w:eastAsia="仿宋" w:cs="仿宋"/>
          <w:b/>
          <w:bCs w:val="0"/>
          <w:color w:val="auto"/>
          <w:sz w:val="24"/>
          <w:szCs w:val="24"/>
          <w:highlight w:val="none"/>
        </w:rPr>
        <w:t>的</w:t>
      </w:r>
      <w:r>
        <w:rPr>
          <w:rFonts w:hint="eastAsia" w:ascii="仿宋" w:hAnsi="仿宋" w:eastAsia="仿宋" w:cs="仿宋"/>
          <w:b/>
          <w:bCs w:val="0"/>
          <w:color w:val="auto"/>
          <w:sz w:val="24"/>
          <w:szCs w:val="24"/>
          <w:highlight w:val="none"/>
          <w:lang w:val="en-US" w:eastAsia="zh-Hans"/>
        </w:rPr>
        <w:t>其投标文件做废</w:t>
      </w:r>
      <w:r>
        <w:rPr>
          <w:rFonts w:hint="eastAsia" w:ascii="仿宋" w:hAnsi="仿宋" w:eastAsia="仿宋" w:cs="仿宋"/>
          <w:b/>
          <w:bCs w:val="0"/>
          <w:color w:val="auto"/>
          <w:sz w:val="24"/>
          <w:szCs w:val="24"/>
          <w:highlight w:val="none"/>
          <w:lang w:val="en-US" w:eastAsia="zh-CN"/>
        </w:rPr>
        <w:t>无效投标</w:t>
      </w:r>
      <w:r>
        <w:rPr>
          <w:rFonts w:hint="eastAsia" w:ascii="仿宋" w:hAnsi="仿宋" w:eastAsia="仿宋" w:cs="仿宋"/>
          <w:b/>
          <w:bCs w:val="0"/>
          <w:color w:val="auto"/>
          <w:sz w:val="24"/>
          <w:szCs w:val="24"/>
          <w:highlight w:val="none"/>
          <w:lang w:val="en-US" w:eastAsia="zh-Hans"/>
        </w:rPr>
        <w:t>处理</w:t>
      </w:r>
      <w:r>
        <w:rPr>
          <w:rFonts w:hint="eastAsia" w:ascii="仿宋" w:hAnsi="仿宋" w:eastAsia="仿宋" w:cs="仿宋"/>
          <w:b/>
          <w:bCs w:val="0"/>
          <w:color w:val="auto"/>
          <w:sz w:val="24"/>
          <w:szCs w:val="24"/>
          <w:highlight w:val="none"/>
        </w:rPr>
        <w:t>。。</w:t>
      </w:r>
    </w:p>
    <w:p>
      <w:pPr>
        <w:keepNext w:val="0"/>
        <w:keepLines w:val="0"/>
        <w:pageBreakBefore w:val="0"/>
        <w:widowControl w:val="0"/>
        <w:kinsoku/>
        <w:wordWrap/>
        <w:topLinePunct w:val="0"/>
        <w:bidi w:val="0"/>
        <w:adjustRightInd w:val="0"/>
        <w:snapToGrid w:val="0"/>
        <w:spacing w:line="360" w:lineRule="auto"/>
        <w:ind w:left="0" w:leftChars="0" w:right="0" w:rightChars="0" w:firstLine="480" w:firstLineChars="200"/>
        <w:jc w:val="both"/>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val="en-US" w:eastAsia="zh-Hans"/>
        </w:rPr>
        <w:t>.</w:t>
      </w:r>
      <w:r>
        <w:rPr>
          <w:rFonts w:hint="eastAsia" w:ascii="仿宋" w:hAnsi="仿宋" w:eastAsia="仿宋" w:cs="仿宋"/>
          <w:color w:val="auto"/>
          <w:sz w:val="24"/>
          <w:szCs w:val="24"/>
          <w:highlight w:val="none"/>
          <w:lang w:eastAsia="zh-Hans"/>
        </w:rPr>
        <w:t>3</w:t>
      </w:r>
      <w:r>
        <w:rPr>
          <w:rFonts w:hint="eastAsia" w:ascii="仿宋" w:hAnsi="仿宋" w:eastAsia="仿宋" w:cs="仿宋"/>
          <w:color w:val="auto"/>
          <w:sz w:val="24"/>
          <w:szCs w:val="24"/>
          <w:highlight w:val="none"/>
          <w:lang w:val="en-US" w:eastAsia="zh-Hans"/>
        </w:rPr>
        <w:t>.</w:t>
      </w:r>
      <w:r>
        <w:rPr>
          <w:rFonts w:hint="eastAsia" w:ascii="仿宋" w:hAnsi="仿宋" w:eastAsia="仿宋" w:cs="仿宋"/>
          <w:color w:val="auto"/>
          <w:sz w:val="24"/>
          <w:szCs w:val="24"/>
          <w:highlight w:val="none"/>
          <w:lang w:eastAsia="zh-Hans"/>
        </w:rPr>
        <w:t>5</w:t>
      </w:r>
      <w:r>
        <w:rPr>
          <w:rFonts w:hint="eastAsia" w:ascii="仿宋" w:hAnsi="仿宋" w:eastAsia="仿宋" w:cs="仿宋"/>
          <w:color w:val="auto"/>
          <w:sz w:val="24"/>
          <w:szCs w:val="24"/>
          <w:highlight w:val="none"/>
        </w:rPr>
        <w:t>所有投标文件必须提交正本</w:t>
      </w:r>
      <w:r>
        <w:rPr>
          <w:rFonts w:hint="eastAsia" w:ascii="仿宋" w:hAnsi="仿宋" w:eastAsia="仿宋" w:cs="仿宋"/>
          <w:color w:val="auto"/>
          <w:sz w:val="24"/>
          <w:szCs w:val="24"/>
          <w:highlight w:val="none"/>
          <w:u w:val="single"/>
        </w:rPr>
        <w:t>1</w:t>
      </w:r>
      <w:r>
        <w:rPr>
          <w:rFonts w:hint="eastAsia" w:ascii="仿宋" w:hAnsi="仿宋" w:eastAsia="仿宋" w:cs="仿宋"/>
          <w:color w:val="auto"/>
          <w:sz w:val="24"/>
          <w:szCs w:val="24"/>
          <w:highlight w:val="none"/>
        </w:rPr>
        <w:t>套和副本</w:t>
      </w:r>
      <w:r>
        <w:rPr>
          <w:rFonts w:hint="eastAsia" w:ascii="仿宋" w:hAnsi="仿宋" w:eastAsia="仿宋" w:cs="仿宋"/>
          <w:color w:val="auto"/>
          <w:sz w:val="24"/>
          <w:szCs w:val="24"/>
          <w:highlight w:val="none"/>
          <w:u w:val="single"/>
          <w:lang w:val="en-US" w:eastAsia="zh-CN"/>
        </w:rPr>
        <w:t>2</w:t>
      </w:r>
      <w:r>
        <w:rPr>
          <w:rFonts w:hint="eastAsia" w:ascii="仿宋" w:hAnsi="仿宋" w:eastAsia="仿宋" w:cs="仿宋"/>
          <w:color w:val="auto"/>
          <w:sz w:val="24"/>
          <w:szCs w:val="24"/>
          <w:highlight w:val="none"/>
        </w:rPr>
        <w:t>套（如不满足将拒绝其投标），并在封面上标记“正本”或“副本”。</w:t>
      </w:r>
    </w:p>
    <w:p>
      <w:pPr>
        <w:pStyle w:val="7"/>
        <w:keepNext w:val="0"/>
        <w:keepLines w:val="0"/>
        <w:pageBreakBefore w:val="0"/>
        <w:widowControl w:val="0"/>
        <w:kinsoku/>
        <w:wordWrap/>
        <w:topLinePunct w:val="0"/>
        <w:bidi w:val="0"/>
        <w:adjustRightInd w:val="0"/>
        <w:snapToGrid w:val="0"/>
        <w:spacing w:line="360" w:lineRule="auto"/>
        <w:ind w:left="0" w:leftChars="0" w:right="0" w:rightChars="0"/>
        <w:jc w:val="both"/>
        <w:outlineLvl w:val="9"/>
        <w:rPr>
          <w:rFonts w:hint="eastAsia" w:ascii="仿宋" w:hAnsi="仿宋" w:eastAsia="仿宋" w:cs="仿宋"/>
          <w:color w:val="auto"/>
          <w:highlight w:val="none"/>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val="en-US" w:eastAsia="zh-Hans"/>
        </w:rPr>
        <w:t>.</w:t>
      </w:r>
      <w:r>
        <w:rPr>
          <w:rFonts w:hint="eastAsia" w:ascii="仿宋" w:hAnsi="仿宋" w:eastAsia="仿宋" w:cs="仿宋"/>
          <w:color w:val="auto"/>
          <w:sz w:val="24"/>
          <w:szCs w:val="24"/>
          <w:highlight w:val="none"/>
          <w:lang w:eastAsia="zh-Hans"/>
        </w:rPr>
        <w:t>3</w:t>
      </w:r>
      <w:r>
        <w:rPr>
          <w:rFonts w:hint="eastAsia" w:ascii="仿宋" w:hAnsi="仿宋" w:eastAsia="仿宋" w:cs="仿宋"/>
          <w:color w:val="auto"/>
          <w:sz w:val="24"/>
          <w:szCs w:val="24"/>
          <w:highlight w:val="none"/>
          <w:lang w:val="en-US" w:eastAsia="zh-Hans"/>
        </w:rPr>
        <w:t>.</w:t>
      </w:r>
      <w:r>
        <w:rPr>
          <w:rFonts w:hint="eastAsia" w:ascii="仿宋" w:hAnsi="仿宋" w:eastAsia="仿宋" w:cs="仿宋"/>
          <w:color w:val="auto"/>
          <w:sz w:val="24"/>
          <w:szCs w:val="24"/>
          <w:highlight w:val="none"/>
          <w:lang w:eastAsia="zh-Hans"/>
        </w:rPr>
        <w:t>6</w:t>
      </w:r>
      <w:r>
        <w:rPr>
          <w:rFonts w:hint="eastAsia" w:ascii="仿宋" w:hAnsi="仿宋" w:eastAsia="仿宋" w:cs="仿宋"/>
          <w:color w:val="auto"/>
          <w:sz w:val="24"/>
          <w:szCs w:val="24"/>
          <w:highlight w:val="none"/>
        </w:rPr>
        <w:t>投标文件的正本与副本应当完全一致。当正本和副本之间出现差异时，以正本为准。</w:t>
      </w:r>
    </w:p>
    <w:p>
      <w:pPr>
        <w:pageBreakBefore w:val="0"/>
        <w:widowControl w:val="0"/>
        <w:kinsoku/>
        <w:wordWrap/>
        <w:overflowPunct/>
        <w:topLinePunct w:val="0"/>
        <w:autoSpaceDE/>
        <w:autoSpaceDN/>
        <w:bidi w:val="0"/>
        <w:adjustRightInd w:val="0"/>
        <w:snapToGrid w:val="0"/>
        <w:spacing w:line="360" w:lineRule="auto"/>
        <w:ind w:left="0" w:leftChars="0" w:right="0" w:rightChars="0"/>
        <w:jc w:val="both"/>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3</w:t>
      </w:r>
      <w:r>
        <w:rPr>
          <w:rFonts w:hint="eastAsia" w:ascii="仿宋" w:hAnsi="仿宋" w:eastAsia="仿宋" w:cs="仿宋"/>
          <w:b/>
          <w:bCs/>
          <w:color w:val="auto"/>
          <w:sz w:val="24"/>
          <w:szCs w:val="24"/>
          <w:highlight w:val="none"/>
          <w:lang w:val="en-US" w:eastAsia="zh-Hans"/>
        </w:rPr>
        <w:t>.</w:t>
      </w:r>
      <w:r>
        <w:rPr>
          <w:rFonts w:hint="eastAsia" w:ascii="仿宋" w:hAnsi="仿宋" w:eastAsia="仿宋" w:cs="仿宋"/>
          <w:b/>
          <w:bCs/>
          <w:color w:val="auto"/>
          <w:sz w:val="24"/>
          <w:szCs w:val="24"/>
          <w:highlight w:val="none"/>
          <w:lang w:eastAsia="zh-Hans"/>
        </w:rPr>
        <w:t>4</w:t>
      </w:r>
      <w:r>
        <w:rPr>
          <w:rFonts w:hint="eastAsia" w:ascii="仿宋" w:hAnsi="仿宋" w:eastAsia="仿宋" w:cs="仿宋"/>
          <w:b/>
          <w:bCs/>
          <w:color w:val="auto"/>
          <w:sz w:val="24"/>
          <w:szCs w:val="24"/>
          <w:highlight w:val="none"/>
        </w:rPr>
        <w:t>投标货物符合招标文件规定的技术响应文件</w:t>
      </w:r>
    </w:p>
    <w:p>
      <w:pPr>
        <w:pageBreakBefore w:val="0"/>
        <w:numPr>
          <w:ilvl w:val="0"/>
          <w:numId w:val="5"/>
        </w:numPr>
        <w:kinsoku/>
        <w:wordWrap/>
        <w:bidi w:val="0"/>
        <w:adjustRightInd w:val="0"/>
        <w:snapToGrid w:val="0"/>
        <w:spacing w:line="360" w:lineRule="auto"/>
        <w:ind w:left="600" w:leftChars="0" w:right="0" w:rightChars="0" w:hanging="600" w:hangingChars="25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w:t>
      </w:r>
      <w:r>
        <w:rPr>
          <w:rFonts w:hint="eastAsia" w:ascii="仿宋" w:hAnsi="仿宋" w:eastAsia="仿宋" w:cs="仿宋"/>
          <w:color w:val="auto"/>
          <w:sz w:val="24"/>
          <w:highlight w:val="none"/>
          <w:lang w:val="en-US" w:eastAsia="zh-Hans"/>
        </w:rPr>
        <w:t>人</w:t>
      </w:r>
      <w:r>
        <w:rPr>
          <w:rFonts w:hint="eastAsia" w:ascii="仿宋" w:hAnsi="仿宋" w:eastAsia="仿宋" w:cs="仿宋"/>
          <w:color w:val="auto"/>
          <w:sz w:val="24"/>
          <w:highlight w:val="none"/>
        </w:rPr>
        <w:t>须提交证明拟供货物和服务符合招标文件规定的技术响应文件，作为</w:t>
      </w:r>
    </w:p>
    <w:p>
      <w:pPr>
        <w:pageBreakBefore w:val="0"/>
        <w:numPr>
          <w:ilvl w:val="0"/>
          <w:numId w:val="0"/>
        </w:numPr>
        <w:kinsoku/>
        <w:wordWrap/>
        <w:bidi w:val="0"/>
        <w:adjustRightInd w:val="0"/>
        <w:snapToGrid w:val="0"/>
        <w:spacing w:line="360" w:lineRule="auto"/>
        <w:ind w:leftChars="-250" w:right="0" w:rightChars="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投标文件的一部分。</w:t>
      </w:r>
    </w:p>
    <w:p>
      <w:pPr>
        <w:pageBreakBefore w:val="0"/>
        <w:kinsoku/>
        <w:wordWrap/>
        <w:bidi w:val="0"/>
        <w:adjustRightInd w:val="0"/>
        <w:snapToGrid w:val="0"/>
        <w:spacing w:line="360" w:lineRule="auto"/>
        <w:ind w:left="0" w:leftChars="0" w:right="0" w:rightChars="0"/>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下述</w:t>
      </w:r>
      <w:r>
        <w:rPr>
          <w:rFonts w:hint="eastAsia" w:ascii="仿宋" w:hAnsi="仿宋" w:eastAsia="仿宋" w:cs="仿宋"/>
          <w:color w:val="auto"/>
          <w:sz w:val="24"/>
          <w:highlight w:val="none"/>
        </w:rPr>
        <w:t>文件为文字资料、产品彩页</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和数据，并提供：</w:t>
      </w:r>
    </w:p>
    <w:p>
      <w:pPr>
        <w:pageBreakBefore w:val="0"/>
        <w:kinsoku/>
        <w:wordWrap/>
        <w:bidi w:val="0"/>
        <w:adjustRightInd w:val="0"/>
        <w:snapToGrid w:val="0"/>
        <w:spacing w:line="360" w:lineRule="auto"/>
        <w:ind w:right="0" w:rightChars="0"/>
        <w:rPr>
          <w:rFonts w:hint="eastAsia" w:ascii="仿宋" w:hAnsi="仿宋" w:eastAsia="仿宋" w:cs="仿宋"/>
          <w:color w:val="auto"/>
          <w:sz w:val="24"/>
          <w:highlight w:val="none"/>
        </w:rPr>
      </w:pPr>
      <w:r>
        <w:rPr>
          <w:rFonts w:hint="eastAsia" w:ascii="仿宋" w:hAnsi="仿宋" w:eastAsia="仿宋" w:cs="仿宋"/>
          <w:color w:val="auto"/>
          <w:sz w:val="24"/>
          <w:highlight w:val="none"/>
        </w:rPr>
        <w:t>（1）货物主要技术及性能特点的详细描述；</w:t>
      </w:r>
    </w:p>
    <w:p>
      <w:pPr>
        <w:pageBreakBefore w:val="0"/>
        <w:kinsoku/>
        <w:wordWrap/>
        <w:bidi w:val="0"/>
        <w:adjustRightInd w:val="0"/>
        <w:snapToGrid w:val="0"/>
        <w:spacing w:line="360" w:lineRule="auto"/>
        <w:ind w:left="0" w:leftChars="0" w:right="0" w:rightChars="0"/>
        <w:rPr>
          <w:rFonts w:hint="eastAsia" w:ascii="仿宋" w:hAnsi="仿宋" w:eastAsia="仿宋" w:cs="仿宋"/>
          <w:color w:val="auto"/>
          <w:sz w:val="24"/>
          <w:highlight w:val="none"/>
        </w:rPr>
      </w:pPr>
      <w:r>
        <w:rPr>
          <w:rFonts w:hint="eastAsia" w:ascii="仿宋" w:hAnsi="仿宋" w:eastAsia="仿宋" w:cs="仿宋"/>
          <w:color w:val="auto"/>
          <w:sz w:val="24"/>
          <w:highlight w:val="none"/>
        </w:rPr>
        <w:t>（2）规格、技术参数偏离表（见附件）。</w:t>
      </w:r>
    </w:p>
    <w:p>
      <w:pPr>
        <w:pageBreakBefore w:val="0"/>
        <w:kinsoku/>
        <w:wordWrap/>
        <w:bidi w:val="0"/>
        <w:adjustRightInd w:val="0"/>
        <w:snapToGrid w:val="0"/>
        <w:spacing w:line="360" w:lineRule="auto"/>
        <w:ind w:left="0" w:leftChars="0" w:right="0" w:rightChars="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（3）制造商公开发布的正式印刷的产品样本、资料（非电脑打印版和复印件），或由有关政府部门或检测机构合法出具的文件或报告</w:t>
      </w:r>
      <w:r>
        <w:rPr>
          <w:rFonts w:hint="eastAsia" w:ascii="仿宋" w:hAnsi="仿宋" w:eastAsia="仿宋" w:cs="仿宋"/>
          <w:color w:val="auto"/>
          <w:sz w:val="24"/>
          <w:highlight w:val="none"/>
          <w:lang w:eastAsia="zh-CN"/>
        </w:rPr>
        <w:t>。</w:t>
      </w:r>
    </w:p>
    <w:p>
      <w:pPr>
        <w:pStyle w:val="5"/>
        <w:pageBreakBefore w:val="0"/>
        <w:widowControl w:val="0"/>
        <w:kinsoku/>
        <w:wordWrap/>
        <w:overflowPunct/>
        <w:topLinePunct w:val="0"/>
        <w:autoSpaceDE/>
        <w:autoSpaceDN/>
        <w:bidi w:val="0"/>
        <w:adjustRightInd w:val="0"/>
        <w:snapToGrid w:val="0"/>
        <w:spacing w:before="0" w:beforeLines="0" w:after="0" w:afterLines="0" w:line="360" w:lineRule="auto"/>
        <w:ind w:left="0" w:leftChars="0" w:right="0" w:right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3.5 投标报价</w:t>
      </w:r>
      <w:bookmarkEnd w:id="135"/>
      <w:bookmarkEnd w:id="136"/>
      <w:bookmarkEnd w:id="137"/>
      <w:bookmarkEnd w:id="138"/>
      <w:bookmarkEnd w:id="139"/>
      <w:bookmarkEnd w:id="140"/>
      <w:bookmarkEnd w:id="141"/>
      <w:bookmarkEnd w:id="142"/>
    </w:p>
    <w:p>
      <w:pPr>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3.5.1 投标报价应包括国家规定的增值税税金，除投标人须知前附表另有规定外，增值税税金按一般计税方法计算。投标人应按第六章“投标文件格式”的要求在投标函中进行报价并填写分项报价表。</w:t>
      </w:r>
    </w:p>
    <w:p>
      <w:pPr>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3.5.2 投标人应充分了解该项目的总体情况以及影响投标报价的其他要素。</w:t>
      </w:r>
    </w:p>
    <w:p>
      <w:pPr>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3.5.3 投标报价为各分项报价金额之和，投标报价与分项报价的合价不一致的，应以各分项合价累计数为准，修正投标报价；如分项报价中存在缺漏项，则视为缺漏项价格已包含在其他分项报价之中。投标人在投标截止时间前修改投标函中的投标报价总额，应同时修改投标文件“分项报价表”中的相应报价。此修改须符合本章第 4.3 款的有关要求。</w:t>
      </w:r>
    </w:p>
    <w:p>
      <w:pPr>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3.5.4 招标人设有最高投标限价的，投标人的投标报价不得超过最高投标限价</w:t>
      </w:r>
      <w:r>
        <w:rPr>
          <w:rFonts w:hint="eastAsia" w:ascii="仿宋" w:hAnsi="仿宋" w:eastAsia="仿宋" w:cs="仿宋"/>
          <w:color w:val="auto"/>
          <w:sz w:val="24"/>
          <w:szCs w:val="24"/>
          <w:highlight w:val="none"/>
          <w:lang w:val="en-US" w:eastAsia="zh-Hans"/>
        </w:rPr>
        <w:t>且报价唯一</w:t>
      </w:r>
      <w:r>
        <w:rPr>
          <w:rFonts w:hint="eastAsia" w:ascii="仿宋" w:hAnsi="仿宋" w:eastAsia="仿宋" w:cs="仿宋"/>
          <w:color w:val="auto"/>
          <w:sz w:val="24"/>
          <w:szCs w:val="24"/>
          <w:highlight w:val="none"/>
        </w:rPr>
        <w:t>，最高投标限价在投标人须知前附表中载明。</w:t>
      </w:r>
    </w:p>
    <w:p>
      <w:pPr>
        <w:pStyle w:val="5"/>
        <w:pageBreakBefore w:val="0"/>
        <w:widowControl w:val="0"/>
        <w:kinsoku/>
        <w:wordWrap/>
        <w:overflowPunct/>
        <w:topLinePunct w:val="0"/>
        <w:autoSpaceDE/>
        <w:autoSpaceDN/>
        <w:bidi w:val="0"/>
        <w:adjustRightInd w:val="0"/>
        <w:snapToGrid w:val="0"/>
        <w:spacing w:before="0" w:beforeLines="0" w:after="0" w:afterLines="0" w:line="360" w:lineRule="auto"/>
        <w:ind w:left="0" w:leftChars="0" w:right="0" w:rightChars="0"/>
        <w:textAlignment w:val="auto"/>
        <w:rPr>
          <w:rFonts w:hint="eastAsia" w:ascii="仿宋" w:hAnsi="仿宋" w:eastAsia="仿宋" w:cs="仿宋"/>
          <w:color w:val="auto"/>
          <w:sz w:val="24"/>
          <w:szCs w:val="24"/>
          <w:highlight w:val="none"/>
          <w:lang w:eastAsia="zh-Hans"/>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val="en-US" w:eastAsia="zh-Hans"/>
        </w:rPr>
        <w:t>.</w:t>
      </w:r>
      <w:r>
        <w:rPr>
          <w:rFonts w:hint="eastAsia" w:ascii="仿宋" w:hAnsi="仿宋" w:eastAsia="仿宋" w:cs="仿宋"/>
          <w:color w:val="auto"/>
          <w:sz w:val="24"/>
          <w:szCs w:val="24"/>
          <w:highlight w:val="none"/>
          <w:lang w:eastAsia="zh-Hans"/>
        </w:rPr>
        <w:t>6</w:t>
      </w:r>
      <w:r>
        <w:rPr>
          <w:rFonts w:hint="eastAsia" w:ascii="仿宋" w:hAnsi="仿宋" w:eastAsia="仿宋" w:cs="仿宋"/>
          <w:color w:val="auto"/>
          <w:sz w:val="24"/>
          <w:szCs w:val="24"/>
          <w:highlight w:val="none"/>
          <w:lang w:val="en-US" w:eastAsia="zh-Hans"/>
        </w:rPr>
        <w:t>低于成本价不正当竞争措施</w:t>
      </w:r>
    </w:p>
    <w:p>
      <w:pPr>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在评标过程中，评标小组认为投标人的报价明显低于其他通过符合性审查投标人的报价，有可能影响产品质量或者不能诚信履约的，评标小组应当要求其在评标现场合理的时间内提供成本构成书面说明，并提交相关证明材料。投标人书面说明应当按照国家财务会计制度的规定要求，逐项就投标人提供的货物、工程和服务的主营业务成本（应根据投标人企业类型予以区别）、税金及附加、销售费用、管理费用、财务费用等成本构成事项详细陈述。</w:t>
      </w:r>
    </w:p>
    <w:p>
      <w:pPr>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投标人书面说明应当签字确认或者加盖公章，否则无效。书面说明的签字确认，投标人为法人的，由其法定代表人或者代理人签字确认；投标人为其他组织的，由其主要负责人或者代理人签字确认；投标人为自然人的，由其本人或者代理人签字确认。</w:t>
      </w:r>
    </w:p>
    <w:p>
      <w:pPr>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szCs w:val="24"/>
          <w:highlight w:val="none"/>
          <w:lang w:eastAsia="zh-Hans"/>
        </w:rPr>
      </w:pPr>
      <w:r>
        <w:rPr>
          <w:rFonts w:hint="eastAsia" w:ascii="仿宋" w:hAnsi="仿宋" w:eastAsia="仿宋" w:cs="仿宋"/>
          <w:color w:val="auto"/>
          <w:sz w:val="24"/>
          <w:szCs w:val="24"/>
          <w:highlight w:val="none"/>
          <w:lang w:val="en-US" w:eastAsia="zh-CN"/>
        </w:rPr>
        <w:t>投标人提供书面说明后，评标小组应当结合采购项目采购需求、专业实际情况、投标人财务状况报告、与其他投标人比较情况等就投标人书面说明进行审查评价。投标人拒绝或者变相拒绝提供有效书面说明或者书面说明不能证明其报价合理性的，评标小组应当将其投标文件作为无效处理。</w:t>
      </w:r>
    </w:p>
    <w:p>
      <w:pPr>
        <w:pStyle w:val="5"/>
        <w:pageBreakBefore w:val="0"/>
        <w:widowControl w:val="0"/>
        <w:kinsoku/>
        <w:wordWrap/>
        <w:overflowPunct/>
        <w:topLinePunct w:val="0"/>
        <w:autoSpaceDE/>
        <w:autoSpaceDN/>
        <w:bidi w:val="0"/>
        <w:adjustRightInd w:val="0"/>
        <w:snapToGrid w:val="0"/>
        <w:spacing w:before="0" w:beforeLines="0" w:after="0" w:afterLines="0" w:line="360" w:lineRule="auto"/>
        <w:ind w:left="0" w:leftChars="0" w:right="0" w:rightChars="0"/>
        <w:textAlignment w:val="auto"/>
        <w:rPr>
          <w:rFonts w:hint="eastAsia" w:ascii="仿宋" w:hAnsi="仿宋" w:eastAsia="仿宋" w:cs="仿宋"/>
          <w:color w:val="auto"/>
          <w:sz w:val="24"/>
          <w:szCs w:val="24"/>
          <w:highlight w:val="none"/>
        </w:rPr>
      </w:pPr>
      <w:bookmarkStart w:id="151" w:name="_Toc152045549"/>
      <w:bookmarkStart w:id="152" w:name="_Toc246996937"/>
      <w:bookmarkStart w:id="153" w:name="_Toc246996194"/>
      <w:bookmarkStart w:id="154" w:name="_Toc144974517"/>
      <w:bookmarkStart w:id="155" w:name="_Toc152042325"/>
      <w:bookmarkStart w:id="156" w:name="_Toc247085708"/>
      <w:bookmarkStart w:id="157" w:name="_Toc179632567"/>
      <w:bookmarkStart w:id="158" w:name="_Toc514837876"/>
      <w:r>
        <w:rPr>
          <w:rFonts w:hint="eastAsia" w:ascii="仿宋" w:hAnsi="仿宋" w:eastAsia="仿宋" w:cs="仿宋"/>
          <w:color w:val="auto"/>
          <w:sz w:val="24"/>
          <w:szCs w:val="24"/>
          <w:highlight w:val="none"/>
        </w:rPr>
        <w:t>3.7投标有效期</w:t>
      </w:r>
      <w:bookmarkEnd w:id="151"/>
      <w:bookmarkEnd w:id="152"/>
      <w:bookmarkEnd w:id="153"/>
      <w:bookmarkEnd w:id="154"/>
      <w:bookmarkEnd w:id="155"/>
      <w:bookmarkEnd w:id="156"/>
      <w:bookmarkEnd w:id="157"/>
      <w:bookmarkEnd w:id="158"/>
    </w:p>
    <w:p>
      <w:pPr>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3.7.1 除投标人须知前附表另有规定外，投标有效期为</w:t>
      </w:r>
      <w:r>
        <w:rPr>
          <w:rFonts w:hint="eastAsia" w:ascii="仿宋" w:hAnsi="仿宋" w:eastAsia="仿宋" w:cs="仿宋"/>
          <w:i w:val="0"/>
          <w:color w:val="auto"/>
          <w:kern w:val="0"/>
          <w:sz w:val="21"/>
          <w:szCs w:val="21"/>
          <w:highlight w:val="none"/>
          <w:u w:val="none"/>
          <w:lang w:val="en-US" w:eastAsia="zh-CN" w:bidi="ar"/>
        </w:rPr>
        <w:t>投标截止之日起120个日历天。</w:t>
      </w:r>
    </w:p>
    <w:p>
      <w:pPr>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3.7.2 在投标有效期内，投标人撤销投标文件的，应承担招标文件和法律规定的责任。</w:t>
      </w:r>
    </w:p>
    <w:p>
      <w:pPr>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3.7.3 出现特殊情况需要延长投标有效期的，招标人以书面形式通知所有投标人延长投标有效期。投标人应予以书面答复，同意延长的，应相应延长其投标保证金的有效期，但不得要求或被允许修改其投标文件；投标人拒绝延长的，其投标失效，但投标人有权收回其投标保证金及以现金或者支票形式递交的投标保证金的银行同期存款利息。</w:t>
      </w:r>
    </w:p>
    <w:p>
      <w:pPr>
        <w:pStyle w:val="5"/>
        <w:pageBreakBefore w:val="0"/>
        <w:widowControl w:val="0"/>
        <w:kinsoku/>
        <w:wordWrap/>
        <w:overflowPunct/>
        <w:topLinePunct w:val="0"/>
        <w:autoSpaceDE/>
        <w:autoSpaceDN/>
        <w:bidi w:val="0"/>
        <w:adjustRightInd w:val="0"/>
        <w:snapToGrid w:val="0"/>
        <w:spacing w:before="0" w:beforeLines="0" w:after="0" w:afterLines="0" w:line="360" w:lineRule="auto"/>
        <w:ind w:left="0" w:leftChars="0" w:right="0" w:rightChars="0"/>
        <w:textAlignment w:val="auto"/>
        <w:rPr>
          <w:rFonts w:hint="eastAsia" w:ascii="仿宋" w:hAnsi="仿宋" w:eastAsia="仿宋" w:cs="仿宋"/>
          <w:color w:val="auto"/>
          <w:sz w:val="24"/>
          <w:szCs w:val="24"/>
          <w:highlight w:val="none"/>
          <w:lang w:val="en-US" w:eastAsia="zh-Hans"/>
        </w:rPr>
      </w:pPr>
      <w:bookmarkStart w:id="159" w:name="_Toc152042326"/>
      <w:bookmarkStart w:id="160" w:name="_Toc152045550"/>
      <w:bookmarkStart w:id="161" w:name="_Toc247085709"/>
      <w:bookmarkStart w:id="162" w:name="_Toc246996195"/>
      <w:bookmarkStart w:id="163" w:name="_Toc246996938"/>
      <w:bookmarkStart w:id="164" w:name="_Toc179632568"/>
      <w:bookmarkStart w:id="165" w:name="_Toc514837877"/>
      <w:bookmarkStart w:id="166" w:name="_Toc144974518"/>
      <w:r>
        <w:rPr>
          <w:rFonts w:hint="eastAsia" w:ascii="仿宋" w:hAnsi="仿宋" w:eastAsia="仿宋" w:cs="仿宋"/>
          <w:color w:val="auto"/>
          <w:sz w:val="24"/>
          <w:szCs w:val="24"/>
          <w:highlight w:val="none"/>
        </w:rPr>
        <w:t>3.8投标保证金</w:t>
      </w:r>
      <w:bookmarkEnd w:id="159"/>
      <w:bookmarkEnd w:id="160"/>
      <w:bookmarkEnd w:id="161"/>
      <w:bookmarkEnd w:id="162"/>
      <w:bookmarkEnd w:id="163"/>
      <w:bookmarkEnd w:id="164"/>
      <w:bookmarkEnd w:id="165"/>
      <w:bookmarkEnd w:id="166"/>
      <w:r>
        <w:rPr>
          <w:rFonts w:hint="eastAsia" w:ascii="仿宋" w:hAnsi="仿宋" w:eastAsia="仿宋" w:cs="仿宋"/>
          <w:color w:val="auto"/>
          <w:sz w:val="24"/>
          <w:szCs w:val="24"/>
          <w:highlight w:val="none"/>
        </w:rPr>
        <w:t>：</w:t>
      </w:r>
      <w:r>
        <w:rPr>
          <w:rFonts w:hint="eastAsia" w:ascii="仿宋" w:hAnsi="仿宋" w:eastAsia="仿宋" w:cs="仿宋"/>
          <w:b w:val="0"/>
          <w:bCs w:val="0"/>
          <w:color w:val="auto"/>
          <w:sz w:val="24"/>
          <w:szCs w:val="24"/>
          <w:highlight w:val="none"/>
          <w:lang w:val="en-US" w:eastAsia="zh-Hans"/>
        </w:rPr>
        <w:t>详见投标人须知前附表</w:t>
      </w:r>
    </w:p>
    <w:p>
      <w:pPr>
        <w:pStyle w:val="7"/>
        <w:keepNext w:val="0"/>
        <w:keepLines w:val="0"/>
        <w:pageBreakBefore w:val="0"/>
        <w:kinsoku/>
        <w:wordWrap/>
        <w:topLinePunct w:val="0"/>
        <w:bidi w:val="0"/>
        <w:adjustRightInd w:val="0"/>
        <w:snapToGrid w:val="0"/>
        <w:spacing w:line="360" w:lineRule="auto"/>
        <w:ind w:left="0" w:leftChars="0" w:right="0" w:rightChars="0" w:firstLine="0" w:firstLineChars="0"/>
        <w:outlineLvl w:val="9"/>
        <w:rPr>
          <w:rFonts w:hint="eastAsia" w:ascii="仿宋" w:hAnsi="仿宋" w:eastAsia="仿宋" w:cs="仿宋"/>
          <w:b/>
          <w:bCs/>
          <w:color w:val="auto"/>
          <w:kern w:val="2"/>
          <w:sz w:val="24"/>
          <w:szCs w:val="24"/>
          <w:highlight w:val="none"/>
          <w:lang w:val="en-US" w:eastAsia="zh-Hans" w:bidi="ar-SA"/>
        </w:rPr>
      </w:pPr>
      <w:r>
        <w:rPr>
          <w:rFonts w:hint="eastAsia" w:ascii="仿宋" w:hAnsi="仿宋" w:eastAsia="仿宋" w:cs="仿宋"/>
          <w:b/>
          <w:bCs/>
          <w:color w:val="auto"/>
          <w:kern w:val="2"/>
          <w:sz w:val="24"/>
          <w:szCs w:val="24"/>
          <w:highlight w:val="none"/>
          <w:lang w:eastAsia="zh-Hans" w:bidi="ar-SA"/>
        </w:rPr>
        <w:t>3</w:t>
      </w:r>
      <w:r>
        <w:rPr>
          <w:rFonts w:hint="eastAsia" w:ascii="仿宋" w:hAnsi="仿宋" w:eastAsia="仿宋" w:cs="仿宋"/>
          <w:b/>
          <w:bCs/>
          <w:color w:val="auto"/>
          <w:kern w:val="2"/>
          <w:sz w:val="24"/>
          <w:szCs w:val="24"/>
          <w:highlight w:val="none"/>
          <w:lang w:val="en-US" w:eastAsia="zh-Hans" w:bidi="ar-SA"/>
        </w:rPr>
        <w:t>.</w:t>
      </w:r>
      <w:r>
        <w:rPr>
          <w:rFonts w:hint="eastAsia" w:ascii="仿宋" w:hAnsi="仿宋" w:eastAsia="仿宋" w:cs="仿宋"/>
          <w:b/>
          <w:bCs/>
          <w:color w:val="auto"/>
          <w:kern w:val="2"/>
          <w:sz w:val="24"/>
          <w:szCs w:val="24"/>
          <w:highlight w:val="none"/>
          <w:lang w:eastAsia="zh-Hans" w:bidi="ar-SA"/>
        </w:rPr>
        <w:t>9</w:t>
      </w:r>
      <w:r>
        <w:rPr>
          <w:rFonts w:hint="eastAsia" w:ascii="仿宋" w:hAnsi="仿宋" w:eastAsia="仿宋" w:cs="仿宋"/>
          <w:b/>
          <w:bCs/>
          <w:color w:val="auto"/>
          <w:kern w:val="2"/>
          <w:sz w:val="24"/>
          <w:szCs w:val="24"/>
          <w:highlight w:val="none"/>
          <w:lang w:val="en-US" w:eastAsia="zh-Hans" w:bidi="ar-SA"/>
        </w:rPr>
        <w:t>近年完成的类似业绩及时间要求</w:t>
      </w:r>
      <w:r>
        <w:rPr>
          <w:rFonts w:hint="eastAsia" w:ascii="仿宋" w:hAnsi="仿宋" w:eastAsia="仿宋" w:cs="仿宋"/>
          <w:b/>
          <w:bCs/>
          <w:color w:val="auto"/>
          <w:kern w:val="2"/>
          <w:sz w:val="24"/>
          <w:szCs w:val="24"/>
          <w:highlight w:val="none"/>
          <w:lang w:eastAsia="zh-Hans" w:bidi="ar-SA"/>
        </w:rPr>
        <w:t>：</w:t>
      </w:r>
      <w:bookmarkStart w:id="167" w:name="_Toc514837878"/>
      <w:r>
        <w:rPr>
          <w:rFonts w:hint="eastAsia" w:ascii="仿宋" w:hAnsi="仿宋" w:eastAsia="仿宋" w:cs="仿宋"/>
          <w:b w:val="0"/>
          <w:bCs w:val="0"/>
          <w:color w:val="auto"/>
          <w:kern w:val="2"/>
          <w:sz w:val="24"/>
          <w:szCs w:val="24"/>
          <w:highlight w:val="none"/>
          <w:lang w:val="en-US" w:eastAsia="zh-Hans" w:bidi="ar-SA"/>
        </w:rPr>
        <w:t>详见投标人须知前附表</w:t>
      </w:r>
    </w:p>
    <w:p>
      <w:pPr>
        <w:pStyle w:val="7"/>
        <w:keepNext w:val="0"/>
        <w:keepLines w:val="0"/>
        <w:pageBreakBefore w:val="0"/>
        <w:kinsoku/>
        <w:wordWrap/>
        <w:topLinePunct w:val="0"/>
        <w:bidi w:val="0"/>
        <w:adjustRightInd w:val="0"/>
        <w:snapToGrid w:val="0"/>
        <w:spacing w:line="360" w:lineRule="auto"/>
        <w:ind w:left="0" w:leftChars="0" w:right="0" w:rightChars="0" w:firstLine="0" w:firstLineChars="0"/>
        <w:outlineLvl w:val="9"/>
        <w:rPr>
          <w:rFonts w:hint="eastAsia" w:ascii="仿宋" w:hAnsi="仿宋" w:eastAsia="仿宋" w:cs="仿宋"/>
          <w:b/>
          <w:bCs/>
          <w:color w:val="auto"/>
          <w:kern w:val="2"/>
          <w:sz w:val="24"/>
          <w:szCs w:val="24"/>
          <w:highlight w:val="none"/>
          <w:lang w:val="en-US" w:eastAsia="zh-Hans" w:bidi="ar-SA"/>
        </w:rPr>
      </w:pPr>
      <w:r>
        <w:rPr>
          <w:rFonts w:hint="eastAsia" w:ascii="仿宋" w:hAnsi="仿宋" w:eastAsia="仿宋" w:cs="仿宋"/>
          <w:b/>
          <w:bCs/>
          <w:color w:val="auto"/>
          <w:kern w:val="2"/>
          <w:sz w:val="24"/>
          <w:szCs w:val="24"/>
          <w:highlight w:val="none"/>
          <w:lang w:val="en-US" w:eastAsia="zh-Hans" w:bidi="ar-SA"/>
        </w:rPr>
        <w:t>3.</w:t>
      </w:r>
      <w:r>
        <w:rPr>
          <w:rFonts w:hint="eastAsia" w:ascii="仿宋" w:hAnsi="仿宋" w:eastAsia="仿宋" w:cs="仿宋"/>
          <w:b/>
          <w:bCs/>
          <w:color w:val="auto"/>
          <w:kern w:val="2"/>
          <w:sz w:val="24"/>
          <w:szCs w:val="24"/>
          <w:highlight w:val="none"/>
          <w:lang w:eastAsia="zh-Hans" w:bidi="ar-SA"/>
        </w:rPr>
        <w:t>10</w:t>
      </w:r>
      <w:r>
        <w:rPr>
          <w:rFonts w:hint="eastAsia" w:ascii="仿宋" w:hAnsi="仿宋" w:eastAsia="仿宋" w:cs="仿宋"/>
          <w:b/>
          <w:bCs/>
          <w:color w:val="auto"/>
          <w:kern w:val="2"/>
          <w:sz w:val="24"/>
          <w:szCs w:val="24"/>
          <w:highlight w:val="none"/>
          <w:lang w:val="en-US" w:eastAsia="zh-Hans" w:bidi="ar-SA"/>
        </w:rPr>
        <w:t xml:space="preserve"> 资格审查资料</w:t>
      </w:r>
      <w:bookmarkEnd w:id="167"/>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2" w:firstLineChars="200"/>
        <w:textAlignment w:val="auto"/>
        <w:outlineLvl w:val="9"/>
        <w:rPr>
          <w:rFonts w:hint="eastAsia" w:ascii="仿宋" w:hAnsi="仿宋" w:eastAsia="仿宋" w:cs="仿宋"/>
          <w:b/>
          <w:bCs/>
          <w:color w:val="auto"/>
          <w:sz w:val="24"/>
          <w:highlight w:val="none"/>
        </w:rPr>
      </w:pPr>
      <w:r>
        <w:rPr>
          <w:rFonts w:hint="eastAsia" w:ascii="仿宋" w:hAnsi="仿宋" w:eastAsia="仿宋" w:cs="仿宋"/>
          <w:b/>
          <w:bCs/>
          <w:color w:val="auto"/>
          <w:sz w:val="24"/>
          <w:szCs w:val="24"/>
          <w:highlight w:val="none"/>
        </w:rPr>
        <w:t>3</w:t>
      </w:r>
      <w:r>
        <w:rPr>
          <w:rFonts w:hint="eastAsia" w:ascii="仿宋" w:hAnsi="仿宋" w:eastAsia="仿宋" w:cs="仿宋"/>
          <w:b/>
          <w:bCs/>
          <w:color w:val="auto"/>
          <w:sz w:val="24"/>
          <w:szCs w:val="24"/>
          <w:highlight w:val="none"/>
          <w:lang w:val="en-US" w:eastAsia="zh-Hans"/>
        </w:rPr>
        <w:t>.</w:t>
      </w:r>
      <w:r>
        <w:rPr>
          <w:rFonts w:hint="eastAsia" w:ascii="仿宋" w:hAnsi="仿宋" w:eastAsia="仿宋" w:cs="仿宋"/>
          <w:b/>
          <w:bCs/>
          <w:color w:val="auto"/>
          <w:sz w:val="24"/>
          <w:szCs w:val="24"/>
          <w:highlight w:val="none"/>
          <w:lang w:eastAsia="zh-Hans"/>
        </w:rPr>
        <w:t>10</w:t>
      </w:r>
      <w:r>
        <w:rPr>
          <w:rFonts w:hint="eastAsia" w:ascii="仿宋" w:hAnsi="仿宋" w:eastAsia="仿宋" w:cs="仿宋"/>
          <w:b/>
          <w:bCs/>
          <w:color w:val="auto"/>
          <w:sz w:val="24"/>
          <w:szCs w:val="24"/>
          <w:highlight w:val="none"/>
          <w:lang w:val="en-US" w:eastAsia="zh-Hans"/>
        </w:rPr>
        <w:t>.</w:t>
      </w:r>
      <w:r>
        <w:rPr>
          <w:rFonts w:hint="eastAsia" w:ascii="仿宋" w:hAnsi="仿宋" w:eastAsia="仿宋" w:cs="仿宋"/>
          <w:b/>
          <w:bCs/>
          <w:color w:val="auto"/>
          <w:sz w:val="24"/>
          <w:szCs w:val="24"/>
          <w:highlight w:val="none"/>
          <w:lang w:eastAsia="zh-Hans"/>
        </w:rPr>
        <w:t>1</w:t>
      </w:r>
      <w:r>
        <w:rPr>
          <w:rFonts w:hint="eastAsia" w:ascii="仿宋" w:hAnsi="仿宋" w:eastAsia="仿宋" w:cs="仿宋"/>
          <w:b/>
          <w:bCs/>
          <w:color w:val="auto"/>
          <w:sz w:val="24"/>
          <w:szCs w:val="24"/>
          <w:highlight w:val="none"/>
        </w:rPr>
        <w:t>除投标人须知前附表另有规定外，投标人应按下列规定提供资格审查资料</w:t>
      </w:r>
      <w:bookmarkStart w:id="168" w:name="_Toc514837879"/>
      <w:r>
        <w:rPr>
          <w:rFonts w:hint="eastAsia" w:ascii="仿宋" w:hAnsi="仿宋" w:eastAsia="仿宋" w:cs="仿宋"/>
          <w:b/>
          <w:bCs/>
          <w:color w:val="auto"/>
          <w:sz w:val="24"/>
          <w:highlight w:val="none"/>
          <w:u w:val="none"/>
          <w:lang w:eastAsia="zh-CN"/>
        </w:rPr>
        <w:t>，</w:t>
      </w:r>
      <w:r>
        <w:rPr>
          <w:rFonts w:hint="eastAsia" w:ascii="仿宋" w:hAnsi="仿宋" w:eastAsia="仿宋" w:cs="仿宋"/>
          <w:b/>
          <w:bCs/>
          <w:color w:val="auto"/>
          <w:sz w:val="24"/>
          <w:highlight w:val="none"/>
          <w:u w:val="none"/>
        </w:rPr>
        <w:t>如缺项将导致</w:t>
      </w:r>
      <w:r>
        <w:rPr>
          <w:rFonts w:hint="eastAsia" w:ascii="仿宋" w:hAnsi="仿宋" w:eastAsia="仿宋" w:cs="仿宋"/>
          <w:b/>
          <w:bCs/>
          <w:color w:val="auto"/>
          <w:sz w:val="24"/>
          <w:highlight w:val="none"/>
          <w:u w:val="single"/>
          <w:lang w:val="en-US" w:eastAsia="zh-CN"/>
        </w:rPr>
        <w:t>投标无效</w:t>
      </w:r>
      <w:r>
        <w:rPr>
          <w:rFonts w:hint="eastAsia" w:ascii="仿宋" w:hAnsi="仿宋" w:eastAsia="仿宋" w:cs="仿宋"/>
          <w:b/>
          <w:bCs/>
          <w:color w:val="auto"/>
          <w:sz w:val="24"/>
          <w:highlight w:val="none"/>
          <w:u w:val="none"/>
        </w:rPr>
        <w:t>。</w:t>
      </w:r>
    </w:p>
    <w:p>
      <w:pPr>
        <w:keepNext w:val="0"/>
        <w:keepLines w:val="0"/>
        <w:pageBreakBefore w:val="0"/>
        <w:widowControl/>
        <w:numPr>
          <w:ilvl w:val="0"/>
          <w:numId w:val="6"/>
        </w:numPr>
        <w:suppressLineNumbers w:val="0"/>
        <w:pBdr>
          <w:top w:val="none" w:color="auto" w:sz="0" w:space="0"/>
          <w:left w:val="none" w:color="auto" w:sz="0" w:space="0"/>
          <w:bottom w:val="none" w:color="auto" w:sz="0" w:space="0"/>
          <w:right w:val="none" w:color="auto" w:sz="0" w:space="0"/>
        </w:pBdr>
        <w:kinsoku/>
        <w:wordWrap/>
        <w:topLinePunct w:val="0"/>
        <w:bidi w:val="0"/>
        <w:adjustRightInd w:val="0"/>
        <w:snapToGrid w:val="0"/>
        <w:spacing w:beforeAutospacing="0" w:afterAutospacing="0" w:line="360" w:lineRule="auto"/>
        <w:ind w:left="0" w:leftChars="0" w:right="0" w:rightChars="0" w:firstLine="480" w:firstLineChars="200"/>
        <w:jc w:val="left"/>
        <w:outlineLvl w:val="9"/>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投标人应</w:t>
      </w:r>
      <w:r>
        <w:rPr>
          <w:rFonts w:hint="eastAsia" w:ascii="仿宋" w:hAnsi="仿宋" w:eastAsia="仿宋" w:cs="仿宋"/>
          <w:b w:val="0"/>
          <w:bCs w:val="0"/>
          <w:color w:val="auto"/>
          <w:kern w:val="0"/>
          <w:sz w:val="24"/>
          <w:szCs w:val="24"/>
          <w:highlight w:val="none"/>
          <w:lang w:val="en-US" w:eastAsia="zh-CN" w:bidi="ar"/>
        </w:rPr>
        <w:t>出具</w:t>
      </w:r>
      <w:r>
        <w:rPr>
          <w:rFonts w:hint="eastAsia" w:ascii="仿宋" w:hAnsi="仿宋" w:eastAsia="仿宋" w:cs="仿宋"/>
          <w:b w:val="0"/>
          <w:bCs w:val="0"/>
          <w:color w:val="auto"/>
          <w:sz w:val="24"/>
          <w:highlight w:val="none"/>
          <w:lang w:val="en-US" w:eastAsia="zh-Hans" w:bidi="ar"/>
        </w:rPr>
        <w:t>有效的“一证一码”或“三证合一”的营业执照</w:t>
      </w:r>
      <w:r>
        <w:rPr>
          <w:rFonts w:hint="eastAsia" w:ascii="仿宋" w:hAnsi="仿宋" w:eastAsia="仿宋" w:cs="仿宋"/>
          <w:b w:val="0"/>
          <w:bCs w:val="0"/>
          <w:color w:val="auto"/>
          <w:kern w:val="0"/>
          <w:sz w:val="24"/>
          <w:szCs w:val="24"/>
          <w:highlight w:val="none"/>
          <w:lang w:val="en-US" w:eastAsia="zh-CN" w:bidi="ar"/>
        </w:rPr>
        <w:t>副本</w:t>
      </w:r>
      <w:r>
        <w:rPr>
          <w:rFonts w:hint="eastAsia" w:ascii="仿宋" w:hAnsi="仿宋" w:eastAsia="仿宋" w:cs="仿宋"/>
          <w:color w:val="auto"/>
          <w:kern w:val="0"/>
          <w:sz w:val="24"/>
          <w:szCs w:val="24"/>
          <w:highlight w:val="none"/>
          <w:lang w:val="en-US" w:eastAsia="zh-CN" w:bidi="ar"/>
        </w:rPr>
        <w:t>原件；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topLinePunct w:val="0"/>
        <w:bidi w:val="0"/>
        <w:adjustRightInd w:val="0"/>
        <w:snapToGrid w:val="0"/>
        <w:spacing w:beforeAutospacing="0" w:afterAutospacing="0" w:line="360" w:lineRule="auto"/>
        <w:ind w:left="0" w:leftChars="0" w:right="0" w:rightChars="0" w:firstLine="480" w:firstLineChars="200"/>
        <w:jc w:val="left"/>
        <w:outlineLvl w:val="9"/>
        <w:rPr>
          <w:rFonts w:hint="eastAsia" w:ascii="仿宋" w:hAnsi="仿宋" w:eastAsia="仿宋" w:cs="仿宋"/>
          <w:color w:val="auto"/>
          <w:highlight w:val="none"/>
        </w:rPr>
      </w:pPr>
      <w:r>
        <w:rPr>
          <w:rFonts w:hint="eastAsia" w:ascii="仿宋" w:hAnsi="仿宋" w:eastAsia="仿宋" w:cs="仿宋"/>
          <w:color w:val="auto"/>
          <w:kern w:val="0"/>
          <w:sz w:val="24"/>
          <w:szCs w:val="24"/>
          <w:highlight w:val="none"/>
          <w:lang w:val="en-US" w:eastAsia="zh-CN" w:bidi="ar"/>
        </w:rPr>
        <w:t>2）法定代表人参加投标的，应提供法定代表人居民身份证原件；法定代表人授权人参加投标的，应提供法定代表人授权书及被授权人居民身份证原件；</w:t>
      </w:r>
    </w:p>
    <w:p>
      <w:pPr>
        <w:spacing w:line="360" w:lineRule="auto"/>
        <w:ind w:firstLine="480" w:firstLineChars="200"/>
        <w:rPr>
          <w:rFonts w:hint="eastAsia" w:ascii="仿宋" w:hAnsi="仿宋" w:eastAsia="仿宋" w:cs="仿宋"/>
          <w:color w:val="auto"/>
          <w:sz w:val="24"/>
          <w:szCs w:val="32"/>
          <w:highlight w:val="none"/>
          <w:lang w:val="en-US" w:eastAsia="zh-CN"/>
        </w:rPr>
      </w:pPr>
      <w:r>
        <w:rPr>
          <w:rFonts w:hint="eastAsia" w:ascii="仿宋" w:hAnsi="仿宋" w:eastAsia="仿宋" w:cs="仿宋"/>
          <w:b w:val="0"/>
          <w:bCs w:val="0"/>
          <w:color w:val="auto"/>
          <w:kern w:val="0"/>
          <w:sz w:val="24"/>
          <w:szCs w:val="24"/>
          <w:highlight w:val="none"/>
          <w:lang w:val="en-US" w:eastAsia="zh-CN" w:bidi="ar"/>
        </w:rPr>
        <w:t>3）投标人须提供通过“信用中国”网站（www.creditchina.gov.cn）和中国政府采购网（www.ccgp.gov.cn）渠道查询的本单位信用记录的网页，并加盖投标单位公章的原件，被列入失信被执行人、重大</w:t>
      </w:r>
      <w:r>
        <w:rPr>
          <w:rFonts w:hint="eastAsia" w:ascii="仿宋" w:hAnsi="仿宋" w:eastAsia="仿宋" w:cs="仿宋"/>
          <w:color w:val="auto"/>
          <w:kern w:val="2"/>
          <w:sz w:val="24"/>
          <w:szCs w:val="24"/>
          <w:highlight w:val="none"/>
          <w:lang w:val="en-US" w:eastAsia="zh-CN" w:bidi="ar"/>
        </w:rPr>
        <w:t>税收违法案件当事人名单、政府采购严重违法失信行为记录名单的单位及其他不符合《中华人民共和国政府采购法》第二十二条规定条件的投标单位，将被拒绝参与本次政府采购活动；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bidi w:val="0"/>
        <w:adjustRightInd w:val="0"/>
        <w:snapToGrid w:val="0"/>
        <w:spacing w:beforeAutospacing="0" w:afterAutospacing="0" w:line="360" w:lineRule="auto"/>
        <w:ind w:left="0" w:leftChars="0" w:right="0" w:rightChars="0" w:firstLine="480" w:firstLineChars="200"/>
        <w:jc w:val="left"/>
        <w:rPr>
          <w:rFonts w:hint="eastAsia" w:ascii="仿宋" w:hAnsi="仿宋" w:eastAsia="仿宋" w:cs="仿宋"/>
          <w:color w:val="auto"/>
          <w:highlight w:val="none"/>
        </w:rPr>
      </w:pPr>
      <w:r>
        <w:rPr>
          <w:rFonts w:hint="eastAsia" w:ascii="仿宋" w:hAnsi="仿宋" w:eastAsia="仿宋" w:cs="仿宋"/>
          <w:color w:val="auto"/>
          <w:kern w:val="2"/>
          <w:sz w:val="24"/>
          <w:szCs w:val="24"/>
          <w:highlight w:val="none"/>
          <w:lang w:val="en-US" w:eastAsia="zh-CN" w:bidi="ar"/>
        </w:rPr>
        <w:t>4</w:t>
      </w:r>
      <w:r>
        <w:rPr>
          <w:rFonts w:hint="eastAsia" w:ascii="仿宋" w:hAnsi="仿宋" w:eastAsia="仿宋" w:cs="仿宋"/>
          <w:color w:val="auto"/>
          <w:kern w:val="2"/>
          <w:sz w:val="24"/>
          <w:szCs w:val="24"/>
          <w:highlight w:val="none"/>
          <w:lang w:eastAsia="zh-CN" w:bidi="ar"/>
        </w:rPr>
        <w:t>）</w:t>
      </w:r>
      <w:r>
        <w:rPr>
          <w:rFonts w:hint="eastAsia" w:ascii="仿宋" w:hAnsi="仿宋" w:eastAsia="仿宋" w:cs="仿宋"/>
          <w:color w:val="auto"/>
          <w:kern w:val="2"/>
          <w:sz w:val="24"/>
          <w:szCs w:val="24"/>
          <w:highlight w:val="none"/>
          <w:lang w:val="en-US" w:eastAsia="zh-CN" w:bidi="ar"/>
        </w:rPr>
        <w:t>本项目不允许联合体投标。</w:t>
      </w:r>
    </w:p>
    <w:p>
      <w:pPr>
        <w:pStyle w:val="5"/>
        <w:pageBreakBefore w:val="0"/>
        <w:widowControl w:val="0"/>
        <w:kinsoku/>
        <w:wordWrap/>
        <w:overflowPunct/>
        <w:topLinePunct w:val="0"/>
        <w:autoSpaceDE/>
        <w:autoSpaceDN/>
        <w:bidi w:val="0"/>
        <w:adjustRightInd w:val="0"/>
        <w:snapToGrid w:val="0"/>
        <w:spacing w:before="0" w:beforeLines="0" w:after="0" w:afterLines="0" w:line="360" w:lineRule="auto"/>
        <w:ind w:left="0" w:leftChars="0" w:right="0" w:right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3.11备选投标方案</w:t>
      </w:r>
      <w:bookmarkEnd w:id="168"/>
    </w:p>
    <w:p>
      <w:pPr>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3.11.1 除投标人须知前附表规定允许外，投标人不得递交备选投标方案，否则其投标将被否决。</w:t>
      </w:r>
    </w:p>
    <w:p>
      <w:pPr>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3.11.2 允许投标人递交备选投标方案的，只有中标人所递交的备选投标方案方可予以考虑。评标委员会认为中标人的备选投标方案优于其按照招标文件要求编制的投标方案的，招标人可以接受该备选投标方案。</w:t>
      </w:r>
    </w:p>
    <w:p>
      <w:pPr>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3.11.3 投标人提供两个或两个以上投标报价，或者在投标文件中提供一个报价，但同时提供两个或两个以上供货方案的，视为提供备选方案。</w:t>
      </w:r>
    </w:p>
    <w:p>
      <w:pPr>
        <w:pStyle w:val="5"/>
        <w:pageBreakBefore w:val="0"/>
        <w:widowControl w:val="0"/>
        <w:kinsoku/>
        <w:wordWrap/>
        <w:overflowPunct/>
        <w:topLinePunct w:val="0"/>
        <w:autoSpaceDE/>
        <w:autoSpaceDN/>
        <w:bidi w:val="0"/>
        <w:adjustRightInd w:val="0"/>
        <w:snapToGrid w:val="0"/>
        <w:spacing w:before="0" w:beforeLines="0" w:after="0" w:afterLines="0" w:line="360" w:lineRule="auto"/>
        <w:ind w:left="0" w:leftChars="0" w:right="0" w:rightChars="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3.12相同品牌的处理</w:t>
      </w:r>
    </w:p>
    <w:p>
      <w:pPr>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sz w:val="24"/>
          <w:szCs w:val="24"/>
          <w:highlight w:val="none"/>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5"/>
        <w:pageBreakBefore w:val="0"/>
        <w:widowControl w:val="0"/>
        <w:kinsoku/>
        <w:wordWrap/>
        <w:overflowPunct/>
        <w:topLinePunct w:val="0"/>
        <w:autoSpaceDE/>
        <w:autoSpaceDN/>
        <w:bidi w:val="0"/>
        <w:adjustRightInd w:val="0"/>
        <w:snapToGrid w:val="0"/>
        <w:spacing w:before="0" w:beforeLines="0" w:after="0" w:afterLines="0" w:line="360" w:lineRule="auto"/>
        <w:ind w:left="0" w:leftChars="0" w:right="0" w:rightChars="0"/>
        <w:jc w:val="both"/>
        <w:textAlignment w:val="auto"/>
        <w:rPr>
          <w:rFonts w:hint="eastAsia" w:ascii="仿宋" w:hAnsi="仿宋" w:eastAsia="仿宋" w:cs="仿宋"/>
          <w:color w:val="auto"/>
          <w:sz w:val="24"/>
          <w:szCs w:val="24"/>
          <w:highlight w:val="none"/>
        </w:rPr>
      </w:pPr>
      <w:bookmarkStart w:id="169" w:name="_Toc144974525"/>
      <w:bookmarkStart w:id="170" w:name="_Toc514837883"/>
      <w:bookmarkStart w:id="171" w:name="_Toc246996201"/>
      <w:bookmarkStart w:id="172" w:name="_Toc152042333"/>
      <w:bookmarkStart w:id="173" w:name="_Toc246996944"/>
      <w:bookmarkStart w:id="174" w:name="_Toc152045557"/>
      <w:bookmarkStart w:id="175" w:name="_Toc179632575"/>
      <w:bookmarkStart w:id="176" w:name="_Toc247085715"/>
      <w:r>
        <w:rPr>
          <w:rFonts w:hint="eastAsia" w:ascii="仿宋" w:hAnsi="仿宋" w:eastAsia="仿宋" w:cs="仿宋"/>
          <w:color w:val="auto"/>
          <w:sz w:val="24"/>
          <w:szCs w:val="24"/>
          <w:highlight w:val="none"/>
        </w:rPr>
        <w:t>4.1投标文件的递交</w:t>
      </w:r>
      <w:bookmarkEnd w:id="169"/>
      <w:bookmarkEnd w:id="170"/>
      <w:bookmarkEnd w:id="171"/>
      <w:bookmarkEnd w:id="172"/>
      <w:bookmarkEnd w:id="173"/>
      <w:bookmarkEnd w:id="174"/>
      <w:bookmarkEnd w:id="175"/>
      <w:bookmarkEnd w:id="176"/>
    </w:p>
    <w:p>
      <w:pPr>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4.1.1 投标人应在投标人须知前附表规定的投标截止时间前递交投标文件。</w:t>
      </w:r>
    </w:p>
    <w:p>
      <w:pPr>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4.1.2投标人递交投标文件的地点：见投标人须知前附表。</w:t>
      </w:r>
    </w:p>
    <w:p>
      <w:pPr>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4.1.3除投标人须知前附表另有规定外，投标人所递交的投标文件不予退还。</w:t>
      </w:r>
    </w:p>
    <w:p>
      <w:pPr>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4.1.4招标人收到投标文件后，向投标人出具签收凭证。</w:t>
      </w:r>
    </w:p>
    <w:p>
      <w:pPr>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4.1.5逾期送达的投标文件，招标人将予以拒收。</w:t>
      </w:r>
    </w:p>
    <w:p>
      <w:pPr>
        <w:pStyle w:val="5"/>
        <w:pageBreakBefore w:val="0"/>
        <w:widowControl w:val="0"/>
        <w:kinsoku/>
        <w:wordWrap/>
        <w:overflowPunct/>
        <w:topLinePunct w:val="0"/>
        <w:autoSpaceDE/>
        <w:autoSpaceDN/>
        <w:bidi w:val="0"/>
        <w:adjustRightInd w:val="0"/>
        <w:snapToGrid w:val="0"/>
        <w:spacing w:before="0" w:beforeLines="0" w:after="0" w:afterLines="0" w:line="360" w:lineRule="auto"/>
        <w:ind w:left="0" w:leftChars="0" w:right="0" w:rightChars="0"/>
        <w:textAlignment w:val="auto"/>
        <w:rPr>
          <w:rFonts w:hint="eastAsia" w:ascii="仿宋" w:hAnsi="仿宋" w:eastAsia="仿宋" w:cs="仿宋"/>
          <w:color w:val="auto"/>
          <w:sz w:val="24"/>
          <w:szCs w:val="24"/>
          <w:highlight w:val="none"/>
        </w:rPr>
      </w:pPr>
      <w:bookmarkStart w:id="177" w:name="_Toc247085716"/>
      <w:bookmarkStart w:id="178" w:name="_Toc144974526"/>
      <w:bookmarkStart w:id="179" w:name="_Toc246996945"/>
      <w:bookmarkStart w:id="180" w:name="_Toc152045558"/>
      <w:bookmarkStart w:id="181" w:name="_Toc152042334"/>
      <w:bookmarkStart w:id="182" w:name="_Toc514837884"/>
      <w:bookmarkStart w:id="183" w:name="_Toc179632576"/>
      <w:bookmarkStart w:id="184" w:name="_Toc246996202"/>
      <w:r>
        <w:rPr>
          <w:rFonts w:hint="eastAsia" w:ascii="仿宋" w:hAnsi="仿宋" w:eastAsia="仿宋" w:cs="仿宋"/>
          <w:color w:val="auto"/>
          <w:sz w:val="24"/>
          <w:szCs w:val="24"/>
          <w:highlight w:val="none"/>
        </w:rPr>
        <w:t>4.2投标文件的修改与撤回</w:t>
      </w:r>
      <w:bookmarkEnd w:id="177"/>
      <w:bookmarkEnd w:id="178"/>
      <w:bookmarkEnd w:id="179"/>
      <w:bookmarkEnd w:id="180"/>
      <w:bookmarkEnd w:id="181"/>
      <w:bookmarkEnd w:id="182"/>
      <w:bookmarkEnd w:id="183"/>
      <w:bookmarkEnd w:id="184"/>
    </w:p>
    <w:p>
      <w:pPr>
        <w:pStyle w:val="29"/>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4.2.1投标截止日前，招标人或招标代理机构可以对招标文件进行必要的修改。修改应以书面形式作出并通知所有购买招标文件的投标人。修改构成招标文件的组成部分。</w:t>
      </w:r>
    </w:p>
    <w:p>
      <w:pPr>
        <w:pStyle w:val="29"/>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4.2.2投标人在收到招标人修改通知后，应在投标人须知前附表规定的时间内以书面形式向招标人或招标机构进行确认。</w:t>
      </w:r>
    </w:p>
    <w:p>
      <w:pPr>
        <w:pStyle w:val="29"/>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4.2.3招标人认为招标文件修改内容有可能影响投标文件编制的，应至少在投标截止日15日前发出修改通知，不足15日的，招标人相应顺延提交投标文件的截止时间。</w:t>
      </w:r>
    </w:p>
    <w:p>
      <w:pPr>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sz w:val="24"/>
          <w:szCs w:val="24"/>
          <w:highlight w:val="none"/>
        </w:rPr>
        <w:t>4.2.4招标人发出的修改文件若前后存在不一致，以后发者为准。</w:t>
      </w:r>
    </w:p>
    <w:p>
      <w:pPr>
        <w:pStyle w:val="4"/>
        <w:pageBreakBefore w:val="0"/>
        <w:widowControl w:val="0"/>
        <w:kinsoku/>
        <w:wordWrap/>
        <w:overflowPunct/>
        <w:topLinePunct w:val="0"/>
        <w:autoSpaceDE/>
        <w:autoSpaceDN/>
        <w:bidi w:val="0"/>
        <w:adjustRightInd w:val="0"/>
        <w:snapToGrid w:val="0"/>
        <w:spacing w:before="0" w:beforeLines="0" w:after="0" w:afterLines="0" w:line="360" w:lineRule="auto"/>
        <w:ind w:left="0" w:leftChars="0" w:right="0" w:right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bookmarkStart w:id="185" w:name="_Toc152045559"/>
      <w:bookmarkStart w:id="186" w:name="_Toc179632577"/>
      <w:bookmarkStart w:id="187" w:name="_Toc152042335"/>
      <w:bookmarkStart w:id="188" w:name="_Toc144974527"/>
      <w:bookmarkStart w:id="189" w:name="_Toc246996946"/>
      <w:bookmarkStart w:id="190" w:name="_Toc247085717"/>
      <w:bookmarkStart w:id="191" w:name="_Toc246996203"/>
      <w:bookmarkStart w:id="192" w:name="_Toc514837885"/>
      <w:r>
        <w:rPr>
          <w:rFonts w:hint="eastAsia" w:ascii="仿宋" w:hAnsi="仿宋" w:eastAsia="仿宋" w:cs="仿宋"/>
          <w:color w:val="auto"/>
          <w:sz w:val="24"/>
          <w:szCs w:val="24"/>
          <w:highlight w:val="none"/>
        </w:rPr>
        <w:t>5. 开标</w:t>
      </w:r>
      <w:bookmarkEnd w:id="185"/>
      <w:bookmarkEnd w:id="186"/>
      <w:bookmarkEnd w:id="187"/>
      <w:bookmarkEnd w:id="188"/>
      <w:bookmarkEnd w:id="189"/>
      <w:bookmarkEnd w:id="190"/>
      <w:bookmarkEnd w:id="191"/>
      <w:bookmarkEnd w:id="192"/>
    </w:p>
    <w:p>
      <w:pPr>
        <w:pageBreakBefore w:val="0"/>
        <w:widowControl w:val="0"/>
        <w:kinsoku/>
        <w:wordWrap/>
        <w:overflowPunct/>
        <w:topLinePunct w:val="0"/>
        <w:autoSpaceDE/>
        <w:autoSpaceDN/>
        <w:bidi w:val="0"/>
        <w:adjustRightInd w:val="0"/>
        <w:snapToGrid w:val="0"/>
        <w:spacing w:line="360" w:lineRule="auto"/>
        <w:ind w:left="0" w:leftChars="0" w:right="0" w:rightChars="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 xml:space="preserve"> </w:t>
      </w:r>
      <w:bookmarkStart w:id="193" w:name="_Toc179632578"/>
      <w:bookmarkStart w:id="194" w:name="_Toc152045560"/>
      <w:bookmarkStart w:id="195" w:name="_Toc247085718"/>
      <w:bookmarkStart w:id="196" w:name="_Toc246996204"/>
      <w:bookmarkStart w:id="197" w:name="_Toc152042336"/>
      <w:bookmarkStart w:id="198" w:name="_Toc144974528"/>
      <w:bookmarkStart w:id="199" w:name="_Toc246996947"/>
      <w:bookmarkStart w:id="200" w:name="_Toc514837886"/>
      <w:r>
        <w:rPr>
          <w:rFonts w:hint="eastAsia" w:ascii="仿宋" w:hAnsi="仿宋" w:eastAsia="仿宋" w:cs="仿宋"/>
          <w:b/>
          <w:bCs/>
          <w:color w:val="auto"/>
          <w:sz w:val="24"/>
          <w:szCs w:val="24"/>
          <w:highlight w:val="none"/>
        </w:rPr>
        <w:t xml:space="preserve">5.1 </w:t>
      </w:r>
      <w:bookmarkEnd w:id="193"/>
      <w:bookmarkEnd w:id="194"/>
      <w:bookmarkEnd w:id="195"/>
      <w:bookmarkEnd w:id="196"/>
      <w:bookmarkEnd w:id="197"/>
      <w:bookmarkEnd w:id="198"/>
      <w:bookmarkEnd w:id="199"/>
      <w:r>
        <w:rPr>
          <w:rFonts w:hint="eastAsia" w:ascii="仿宋" w:hAnsi="仿宋" w:eastAsia="仿宋" w:cs="仿宋"/>
          <w:b/>
          <w:bCs/>
          <w:color w:val="auto"/>
          <w:sz w:val="24"/>
          <w:szCs w:val="24"/>
          <w:highlight w:val="none"/>
        </w:rPr>
        <w:t>开标时间和地点</w:t>
      </w:r>
      <w:bookmarkEnd w:id="200"/>
    </w:p>
    <w:p>
      <w:pPr>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招标人在本章第 4.1.1 项规定的投标截止时间（开标时间）和投标人须知前附表规定的地点公开开标，并邀请所有投标人的法定代表人或其委托代理人准时参加。</w:t>
      </w:r>
    </w:p>
    <w:p>
      <w:pPr>
        <w:pStyle w:val="5"/>
        <w:pageBreakBefore w:val="0"/>
        <w:widowControl w:val="0"/>
        <w:kinsoku/>
        <w:wordWrap/>
        <w:overflowPunct/>
        <w:topLinePunct w:val="0"/>
        <w:autoSpaceDE/>
        <w:autoSpaceDN/>
        <w:bidi w:val="0"/>
        <w:adjustRightInd w:val="0"/>
        <w:snapToGrid w:val="0"/>
        <w:spacing w:before="0" w:beforeLines="0" w:after="0" w:afterLines="0" w:line="360" w:lineRule="auto"/>
        <w:ind w:left="0" w:leftChars="0" w:right="0" w:rightChars="0"/>
        <w:textAlignment w:val="auto"/>
        <w:rPr>
          <w:rFonts w:hint="eastAsia" w:ascii="仿宋" w:hAnsi="仿宋" w:eastAsia="仿宋" w:cs="仿宋"/>
          <w:color w:val="auto"/>
          <w:sz w:val="24"/>
          <w:szCs w:val="24"/>
          <w:highlight w:val="none"/>
        </w:rPr>
      </w:pPr>
      <w:bookmarkStart w:id="201" w:name="_Toc152045561"/>
      <w:bookmarkStart w:id="202" w:name="_Toc144974529"/>
      <w:bookmarkStart w:id="203" w:name="_Toc247085719"/>
      <w:bookmarkStart w:id="204" w:name="_Toc152042337"/>
      <w:bookmarkStart w:id="205" w:name="_Toc179632579"/>
      <w:bookmarkStart w:id="206" w:name="_Toc246996948"/>
      <w:bookmarkStart w:id="207" w:name="_Toc246996205"/>
      <w:bookmarkStart w:id="208" w:name="_Toc514837888"/>
      <w:r>
        <w:rPr>
          <w:rFonts w:hint="eastAsia" w:ascii="仿宋" w:hAnsi="仿宋" w:eastAsia="仿宋" w:cs="仿宋"/>
          <w:color w:val="auto"/>
          <w:sz w:val="24"/>
          <w:szCs w:val="24"/>
          <w:highlight w:val="none"/>
        </w:rPr>
        <w:t>5.2 开标程序</w:t>
      </w:r>
      <w:bookmarkEnd w:id="201"/>
      <w:bookmarkEnd w:id="202"/>
      <w:bookmarkEnd w:id="203"/>
      <w:bookmarkEnd w:id="204"/>
      <w:bookmarkEnd w:id="205"/>
      <w:bookmarkEnd w:id="206"/>
      <w:bookmarkEnd w:id="207"/>
      <w:bookmarkEnd w:id="208"/>
    </w:p>
    <w:p>
      <w:pPr>
        <w:pageBreakBefore w:val="0"/>
        <w:widowControl w:val="0"/>
        <w:kinsoku/>
        <w:wordWrap/>
        <w:overflowPunct/>
        <w:topLinePunct w:val="0"/>
        <w:autoSpaceDE/>
        <w:autoSpaceDN/>
        <w:bidi w:val="0"/>
        <w:adjustRightInd w:val="0"/>
        <w:snapToGrid w:val="0"/>
        <w:spacing w:line="360" w:lineRule="auto"/>
        <w:ind w:left="0" w:leftChars="0" w:right="0" w:rightChars="0" w:firstLine="410" w:firstLineChars="171"/>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主持人按下列程序进行开标：</w:t>
      </w:r>
    </w:p>
    <w:p>
      <w:pPr>
        <w:pageBreakBefore w:val="0"/>
        <w:widowControl w:val="0"/>
        <w:kinsoku/>
        <w:wordWrap/>
        <w:overflowPunct/>
        <w:topLinePunct w:val="0"/>
        <w:autoSpaceDE/>
        <w:autoSpaceDN/>
        <w:bidi w:val="0"/>
        <w:adjustRightInd w:val="0"/>
        <w:snapToGrid w:val="0"/>
        <w:spacing w:line="360" w:lineRule="auto"/>
        <w:ind w:left="0" w:leftChars="0" w:right="0" w:rightChars="0" w:firstLine="410" w:firstLineChars="171"/>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（1）宣布开标纪律；</w:t>
      </w:r>
    </w:p>
    <w:p>
      <w:pPr>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（2）公布在投标截止时间前递交投标文件的投标人名称；</w:t>
      </w:r>
    </w:p>
    <w:p>
      <w:pPr>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（3）宣布开标人、唱标人、记录人、监标人等有关人员姓名；</w:t>
      </w:r>
    </w:p>
    <w:p>
      <w:pPr>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r>
        <w:rPr>
          <w:rFonts w:hint="eastAsia" w:ascii="仿宋" w:hAnsi="仿宋" w:eastAsia="仿宋" w:cs="仿宋"/>
          <w:color w:val="auto"/>
          <w:sz w:val="24"/>
          <w:szCs w:val="24"/>
          <w:highlight w:val="none"/>
          <w:lang w:val="en-US" w:eastAsia="zh-Hans"/>
        </w:rPr>
        <w:t>资格审查</w:t>
      </w:r>
      <w:r>
        <w:rPr>
          <w:rFonts w:hint="eastAsia" w:ascii="仿宋" w:hAnsi="仿宋" w:eastAsia="仿宋" w:cs="仿宋"/>
          <w:color w:val="auto"/>
          <w:sz w:val="24"/>
          <w:szCs w:val="24"/>
          <w:highlight w:val="none"/>
          <w:lang w:eastAsia="zh-Hans"/>
        </w:rPr>
        <w:t>；</w:t>
      </w:r>
    </w:p>
    <w:p>
      <w:pPr>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r>
        <w:rPr>
          <w:rFonts w:hint="eastAsia" w:ascii="仿宋" w:hAnsi="仿宋" w:eastAsia="仿宋" w:cs="仿宋"/>
          <w:color w:val="auto"/>
          <w:sz w:val="24"/>
          <w:highlight w:val="none"/>
        </w:rPr>
        <w:t>开标和唱标的顺序，按照递交投标文件的先后顺序依次进行</w:t>
      </w:r>
      <w:r>
        <w:rPr>
          <w:rFonts w:hint="eastAsia" w:ascii="仿宋" w:hAnsi="仿宋" w:eastAsia="仿宋" w:cs="仿宋"/>
          <w:color w:val="auto"/>
          <w:sz w:val="24"/>
          <w:szCs w:val="24"/>
          <w:highlight w:val="none"/>
        </w:rPr>
        <w:t>；</w:t>
      </w:r>
    </w:p>
    <w:p>
      <w:pPr>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（6）检查投标文件的密封情况，确认无误后拆封，</w:t>
      </w:r>
      <w:r>
        <w:rPr>
          <w:rFonts w:hint="eastAsia" w:ascii="仿宋" w:hAnsi="仿宋" w:eastAsia="仿宋" w:cs="仿宋"/>
          <w:color w:val="auto"/>
          <w:sz w:val="24"/>
          <w:szCs w:val="24"/>
          <w:highlight w:val="none"/>
          <w:lang w:val="en-US" w:eastAsia="zh-Hans"/>
        </w:rPr>
        <w:t>按</w:t>
      </w:r>
      <w:r>
        <w:rPr>
          <w:rFonts w:hint="eastAsia" w:ascii="仿宋" w:hAnsi="仿宋" w:eastAsia="仿宋" w:cs="仿宋"/>
          <w:color w:val="auto"/>
          <w:sz w:val="24"/>
          <w:szCs w:val="24"/>
          <w:highlight w:val="none"/>
        </w:rPr>
        <w:t>开标顺序当众</w:t>
      </w:r>
      <w:r>
        <w:rPr>
          <w:rFonts w:hint="eastAsia" w:ascii="仿宋" w:hAnsi="仿宋" w:eastAsia="仿宋" w:cs="仿宋"/>
          <w:color w:val="auto"/>
          <w:sz w:val="24"/>
          <w:szCs w:val="24"/>
          <w:highlight w:val="none"/>
          <w:lang w:val="en-US" w:eastAsia="zh-Hans"/>
        </w:rPr>
        <w:t>唱标</w:t>
      </w:r>
      <w:r>
        <w:rPr>
          <w:rFonts w:hint="eastAsia" w:ascii="仿宋" w:hAnsi="仿宋" w:eastAsia="仿宋" w:cs="仿宋"/>
          <w:color w:val="auto"/>
          <w:sz w:val="24"/>
          <w:szCs w:val="24"/>
          <w:highlight w:val="none"/>
        </w:rPr>
        <w:t>，</w:t>
      </w:r>
      <w:r>
        <w:rPr>
          <w:rFonts w:hint="eastAsia" w:ascii="仿宋" w:hAnsi="仿宋" w:eastAsia="仿宋" w:cs="仿宋"/>
          <w:color w:val="auto"/>
          <w:sz w:val="24"/>
          <w:highlight w:val="none"/>
        </w:rPr>
        <w:t>唱标以投标人提交的“开标一览表”的内容为准，并对唱标内容作以记录</w:t>
      </w:r>
      <w:r>
        <w:rPr>
          <w:rFonts w:hint="eastAsia" w:ascii="仿宋" w:hAnsi="仿宋" w:eastAsia="仿宋" w:cs="仿宋"/>
          <w:color w:val="auto"/>
          <w:sz w:val="24"/>
          <w:szCs w:val="24"/>
          <w:highlight w:val="none"/>
        </w:rPr>
        <w:t>；</w:t>
      </w:r>
    </w:p>
    <w:p>
      <w:pPr>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（7）投标人代表、招标人代表、监标人、记录人等有关人员在</w:t>
      </w:r>
      <w:r>
        <w:rPr>
          <w:rFonts w:hint="eastAsia" w:ascii="仿宋" w:hAnsi="仿宋" w:eastAsia="仿宋" w:cs="仿宋"/>
          <w:color w:val="auto"/>
          <w:sz w:val="24"/>
          <w:szCs w:val="24"/>
          <w:highlight w:val="none"/>
          <w:lang w:val="en-US" w:eastAsia="zh-Hans"/>
        </w:rPr>
        <w:t>开标</w:t>
      </w:r>
      <w:r>
        <w:rPr>
          <w:rFonts w:hint="eastAsia" w:ascii="仿宋" w:hAnsi="仿宋" w:eastAsia="仿宋" w:cs="仿宋"/>
          <w:color w:val="auto"/>
          <w:sz w:val="24"/>
          <w:szCs w:val="24"/>
          <w:highlight w:val="none"/>
        </w:rPr>
        <w:t>记录上签字确认；</w:t>
      </w:r>
    </w:p>
    <w:p>
      <w:pPr>
        <w:pageBreakBefore w:val="0"/>
        <w:widowControl w:val="0"/>
        <w:kinsoku/>
        <w:wordWrap/>
        <w:overflowPunct/>
        <w:topLinePunct w:val="0"/>
        <w:autoSpaceDE/>
        <w:autoSpaceDN/>
        <w:bidi w:val="0"/>
        <w:adjustRightInd w:val="0"/>
        <w:snapToGrid w:val="0"/>
        <w:spacing w:line="360" w:lineRule="auto"/>
        <w:ind w:left="0" w:leftChars="0" w:right="0" w:rightChars="0" w:firstLine="410" w:firstLineChars="171"/>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（8）开标结束。</w:t>
      </w:r>
    </w:p>
    <w:p>
      <w:pPr>
        <w:pStyle w:val="5"/>
        <w:pageBreakBefore w:val="0"/>
        <w:widowControl w:val="0"/>
        <w:kinsoku/>
        <w:wordWrap/>
        <w:overflowPunct/>
        <w:topLinePunct w:val="0"/>
        <w:autoSpaceDE/>
        <w:autoSpaceDN/>
        <w:bidi w:val="0"/>
        <w:adjustRightInd w:val="0"/>
        <w:snapToGrid w:val="0"/>
        <w:spacing w:before="0" w:beforeLines="0" w:after="0" w:afterLines="0" w:line="360" w:lineRule="auto"/>
        <w:ind w:left="0" w:leftChars="0" w:right="0" w:rightChars="0"/>
        <w:textAlignment w:val="auto"/>
        <w:rPr>
          <w:rFonts w:hint="eastAsia" w:ascii="仿宋" w:hAnsi="仿宋" w:eastAsia="仿宋" w:cs="仿宋"/>
          <w:color w:val="auto"/>
          <w:sz w:val="24"/>
          <w:szCs w:val="24"/>
          <w:highlight w:val="none"/>
        </w:rPr>
      </w:pPr>
      <w:bookmarkStart w:id="209" w:name="_Toc514837889"/>
      <w:r>
        <w:rPr>
          <w:rFonts w:hint="eastAsia" w:ascii="仿宋" w:hAnsi="仿宋" w:eastAsia="仿宋" w:cs="仿宋"/>
          <w:color w:val="auto"/>
          <w:sz w:val="24"/>
          <w:szCs w:val="24"/>
          <w:highlight w:val="none"/>
        </w:rPr>
        <w:t>5.3 开标异议</w:t>
      </w:r>
      <w:bookmarkEnd w:id="209"/>
    </w:p>
    <w:p>
      <w:pPr>
        <w:pageBreakBefore w:val="0"/>
        <w:widowControl w:val="0"/>
        <w:kinsoku/>
        <w:wordWrap/>
        <w:overflowPunct/>
        <w:topLinePunct w:val="0"/>
        <w:autoSpaceDE/>
        <w:autoSpaceDN/>
        <w:bidi w:val="0"/>
        <w:adjustRightInd w:val="0"/>
        <w:snapToGrid w:val="0"/>
        <w:spacing w:line="360" w:lineRule="auto"/>
        <w:ind w:left="0" w:leftChars="0" w:right="0" w:rightChars="0" w:firstLine="410" w:firstLineChars="171"/>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投标人对开标有异议的，应当在开标现场提出，招标人当场作出答复，并制作记录。</w:t>
      </w:r>
    </w:p>
    <w:p>
      <w:pPr>
        <w:pStyle w:val="4"/>
        <w:pageBreakBefore w:val="0"/>
        <w:widowControl w:val="0"/>
        <w:kinsoku/>
        <w:wordWrap/>
        <w:overflowPunct/>
        <w:topLinePunct w:val="0"/>
        <w:autoSpaceDE/>
        <w:autoSpaceDN/>
        <w:bidi w:val="0"/>
        <w:adjustRightInd w:val="0"/>
        <w:snapToGrid w:val="0"/>
        <w:spacing w:before="0" w:beforeLines="0" w:after="0" w:afterLines="0" w:line="360" w:lineRule="auto"/>
        <w:ind w:left="0" w:leftChars="0" w:right="0" w:rightChars="0"/>
        <w:textAlignment w:val="auto"/>
        <w:rPr>
          <w:rFonts w:hint="eastAsia" w:ascii="仿宋" w:hAnsi="仿宋" w:eastAsia="仿宋" w:cs="仿宋"/>
          <w:color w:val="auto"/>
          <w:sz w:val="24"/>
          <w:szCs w:val="24"/>
          <w:highlight w:val="none"/>
        </w:rPr>
      </w:pPr>
      <w:bookmarkStart w:id="210" w:name="_Toc246996949"/>
      <w:bookmarkStart w:id="211" w:name="_Toc247085720"/>
      <w:bookmarkStart w:id="212" w:name="_Toc179632580"/>
      <w:bookmarkStart w:id="213" w:name="_Toc152042338"/>
      <w:bookmarkStart w:id="214" w:name="_Toc246996206"/>
      <w:bookmarkStart w:id="215" w:name="_Toc152045562"/>
      <w:bookmarkStart w:id="216" w:name="_Toc144974530"/>
      <w:bookmarkStart w:id="217" w:name="_Toc514837890"/>
      <w:r>
        <w:rPr>
          <w:rFonts w:hint="eastAsia" w:ascii="仿宋" w:hAnsi="仿宋" w:eastAsia="仿宋" w:cs="仿宋"/>
          <w:color w:val="auto"/>
          <w:sz w:val="24"/>
          <w:szCs w:val="24"/>
          <w:highlight w:val="none"/>
        </w:rPr>
        <w:t>6. 评标</w:t>
      </w:r>
      <w:bookmarkEnd w:id="210"/>
      <w:bookmarkEnd w:id="211"/>
      <w:bookmarkEnd w:id="212"/>
      <w:bookmarkEnd w:id="213"/>
      <w:bookmarkEnd w:id="214"/>
      <w:bookmarkEnd w:id="215"/>
      <w:bookmarkEnd w:id="216"/>
      <w:bookmarkEnd w:id="217"/>
    </w:p>
    <w:p>
      <w:pPr>
        <w:pStyle w:val="5"/>
        <w:pageBreakBefore w:val="0"/>
        <w:widowControl w:val="0"/>
        <w:kinsoku/>
        <w:wordWrap/>
        <w:overflowPunct/>
        <w:topLinePunct w:val="0"/>
        <w:autoSpaceDE/>
        <w:autoSpaceDN/>
        <w:bidi w:val="0"/>
        <w:adjustRightInd w:val="0"/>
        <w:snapToGrid w:val="0"/>
        <w:spacing w:before="0" w:beforeLines="0" w:after="0" w:afterLines="0" w:line="360" w:lineRule="auto"/>
        <w:ind w:left="0" w:leftChars="0" w:right="0" w:rightChars="0"/>
        <w:textAlignment w:val="auto"/>
        <w:rPr>
          <w:rFonts w:hint="eastAsia" w:ascii="仿宋" w:hAnsi="仿宋" w:eastAsia="仿宋" w:cs="仿宋"/>
          <w:color w:val="auto"/>
          <w:sz w:val="24"/>
          <w:szCs w:val="24"/>
          <w:highlight w:val="none"/>
        </w:rPr>
      </w:pPr>
      <w:bookmarkStart w:id="218" w:name="_Toc144974531"/>
      <w:bookmarkStart w:id="219" w:name="_Toc246996950"/>
      <w:bookmarkStart w:id="220" w:name="_Toc152045563"/>
      <w:bookmarkStart w:id="221" w:name="_Toc152042339"/>
      <w:bookmarkStart w:id="222" w:name="_Toc246996207"/>
      <w:bookmarkStart w:id="223" w:name="_Toc179632581"/>
      <w:bookmarkStart w:id="224" w:name="_Toc247085721"/>
      <w:bookmarkStart w:id="225" w:name="_Toc514837891"/>
      <w:r>
        <w:rPr>
          <w:rFonts w:hint="eastAsia" w:ascii="仿宋" w:hAnsi="仿宋" w:eastAsia="仿宋" w:cs="仿宋"/>
          <w:color w:val="auto"/>
          <w:sz w:val="24"/>
          <w:szCs w:val="24"/>
          <w:highlight w:val="none"/>
        </w:rPr>
        <w:t>6.1 评标委员会</w:t>
      </w:r>
      <w:bookmarkEnd w:id="218"/>
      <w:bookmarkEnd w:id="219"/>
      <w:bookmarkEnd w:id="220"/>
      <w:bookmarkEnd w:id="221"/>
      <w:bookmarkEnd w:id="222"/>
      <w:bookmarkEnd w:id="223"/>
      <w:bookmarkEnd w:id="224"/>
      <w:bookmarkEnd w:id="225"/>
    </w:p>
    <w:p>
      <w:pPr>
        <w:pageBreakBefore w:val="0"/>
        <w:widowControl w:val="0"/>
        <w:kinsoku/>
        <w:wordWrap/>
        <w:overflowPunct/>
        <w:topLinePunct w:val="0"/>
        <w:autoSpaceDE/>
        <w:autoSpaceDN/>
        <w:bidi w:val="0"/>
        <w:adjustRightInd w:val="0"/>
        <w:snapToGrid w:val="0"/>
        <w:spacing w:line="360" w:lineRule="auto"/>
        <w:ind w:left="0" w:leftChars="0" w:right="0" w:rightChars="0" w:firstLine="410" w:firstLineChars="171"/>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6.1.1 评标由招标人依法组建的评标委员会负责。评标委员会由招标人或其委托的招标代理 机构熟悉相关业务的代表，以及有关技术、经济等方面的专家组成。评标委员会成员人数以及 技术、经济等方面专家的确定方式见投标人须知前附表。</w:t>
      </w:r>
    </w:p>
    <w:p>
      <w:pPr>
        <w:pageBreakBefore w:val="0"/>
        <w:widowControl w:val="0"/>
        <w:kinsoku/>
        <w:wordWrap/>
        <w:overflowPunct/>
        <w:topLinePunct w:val="0"/>
        <w:autoSpaceDE/>
        <w:autoSpaceDN/>
        <w:bidi w:val="0"/>
        <w:adjustRightInd w:val="0"/>
        <w:snapToGrid w:val="0"/>
        <w:spacing w:line="360" w:lineRule="auto"/>
        <w:ind w:left="0" w:leftChars="0" w:right="0" w:rightChars="0" w:firstLine="410" w:firstLineChars="171"/>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6.1.2 评标委员会成员有下列情形之一的，应当回避：</w:t>
      </w:r>
    </w:p>
    <w:p>
      <w:pPr>
        <w:pageBreakBefore w:val="0"/>
        <w:widowControl w:val="0"/>
        <w:kinsoku/>
        <w:wordWrap/>
        <w:overflowPunct/>
        <w:topLinePunct w:val="0"/>
        <w:autoSpaceDE/>
        <w:autoSpaceDN/>
        <w:bidi w:val="0"/>
        <w:adjustRightInd w:val="0"/>
        <w:snapToGrid w:val="0"/>
        <w:spacing w:line="360" w:lineRule="auto"/>
        <w:ind w:left="0" w:leftChars="0" w:right="0" w:rightChars="0" w:firstLine="410" w:firstLineChars="171"/>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（1）投标人或投标人主要负责人的近亲属；</w:t>
      </w:r>
    </w:p>
    <w:p>
      <w:pPr>
        <w:pageBreakBefore w:val="0"/>
        <w:widowControl w:val="0"/>
        <w:kinsoku/>
        <w:wordWrap/>
        <w:overflowPunct/>
        <w:topLinePunct w:val="0"/>
        <w:autoSpaceDE/>
        <w:autoSpaceDN/>
        <w:bidi w:val="0"/>
        <w:adjustRightInd w:val="0"/>
        <w:snapToGrid w:val="0"/>
        <w:spacing w:line="360" w:lineRule="auto"/>
        <w:ind w:left="0" w:leftChars="0" w:right="0" w:rightChars="0" w:firstLine="410" w:firstLineChars="171"/>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（2）项目主管部门或者行政监督部门的人员；</w:t>
      </w:r>
    </w:p>
    <w:p>
      <w:pPr>
        <w:pageBreakBefore w:val="0"/>
        <w:widowControl w:val="0"/>
        <w:kinsoku/>
        <w:wordWrap/>
        <w:overflowPunct/>
        <w:topLinePunct w:val="0"/>
        <w:autoSpaceDE/>
        <w:autoSpaceDN/>
        <w:bidi w:val="0"/>
        <w:adjustRightInd w:val="0"/>
        <w:snapToGrid w:val="0"/>
        <w:spacing w:line="360" w:lineRule="auto"/>
        <w:ind w:left="0" w:leftChars="0" w:right="0" w:rightChars="0" w:firstLine="410" w:firstLineChars="171"/>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（3）与投标人有经济利益关系，可能影响对投标公正评审的；</w:t>
      </w:r>
    </w:p>
    <w:p>
      <w:pPr>
        <w:pageBreakBefore w:val="0"/>
        <w:widowControl w:val="0"/>
        <w:kinsoku/>
        <w:wordWrap/>
        <w:overflowPunct/>
        <w:topLinePunct w:val="0"/>
        <w:autoSpaceDE/>
        <w:autoSpaceDN/>
        <w:bidi w:val="0"/>
        <w:adjustRightInd w:val="0"/>
        <w:snapToGrid w:val="0"/>
        <w:spacing w:line="360" w:lineRule="auto"/>
        <w:ind w:left="0" w:leftChars="0" w:right="0" w:rightChars="0" w:firstLine="410" w:firstLineChars="171"/>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（4）曾因在招标、评标以及其他与招标投标有关活动中从事违法行为而受过行政处罚或刑事处罚的；</w:t>
      </w:r>
    </w:p>
    <w:p>
      <w:pPr>
        <w:pageBreakBefore w:val="0"/>
        <w:widowControl w:val="0"/>
        <w:kinsoku/>
        <w:wordWrap/>
        <w:overflowPunct/>
        <w:topLinePunct w:val="0"/>
        <w:autoSpaceDE/>
        <w:autoSpaceDN/>
        <w:bidi w:val="0"/>
        <w:adjustRightInd w:val="0"/>
        <w:snapToGrid w:val="0"/>
        <w:spacing w:line="360" w:lineRule="auto"/>
        <w:ind w:left="0" w:leftChars="0" w:right="0" w:rightChars="0" w:firstLine="410" w:firstLineChars="171"/>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（5）与投标人有其他利害关系。</w:t>
      </w:r>
    </w:p>
    <w:p>
      <w:pPr>
        <w:pageBreakBefore w:val="0"/>
        <w:widowControl w:val="0"/>
        <w:kinsoku/>
        <w:wordWrap/>
        <w:overflowPunct/>
        <w:topLinePunct w:val="0"/>
        <w:autoSpaceDE/>
        <w:autoSpaceDN/>
        <w:bidi w:val="0"/>
        <w:adjustRightInd w:val="0"/>
        <w:snapToGrid w:val="0"/>
        <w:spacing w:line="360" w:lineRule="auto"/>
        <w:ind w:left="0" w:leftChars="0" w:right="0" w:rightChars="0" w:firstLine="410" w:firstLineChars="171"/>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6.1.3 评标过程中，评标委员会成员有回避事由、擅离职守或者因健康等原因不能继续评标的，招标人有权更换。被更换的评标委员会成员作出的评审结论无效，由更换后的评标委员会成员重新进行评审。</w:t>
      </w:r>
    </w:p>
    <w:p>
      <w:pPr>
        <w:pStyle w:val="5"/>
        <w:pageBreakBefore w:val="0"/>
        <w:widowControl w:val="0"/>
        <w:kinsoku/>
        <w:wordWrap/>
        <w:overflowPunct/>
        <w:topLinePunct w:val="0"/>
        <w:autoSpaceDE/>
        <w:autoSpaceDN/>
        <w:bidi w:val="0"/>
        <w:adjustRightInd w:val="0"/>
        <w:snapToGrid w:val="0"/>
        <w:spacing w:before="0" w:beforeLines="0" w:after="0" w:afterLines="0" w:line="360" w:lineRule="auto"/>
        <w:ind w:left="0" w:leftChars="0" w:right="0" w:rightChars="0"/>
        <w:textAlignment w:val="auto"/>
        <w:rPr>
          <w:rFonts w:hint="eastAsia" w:ascii="仿宋" w:hAnsi="仿宋" w:eastAsia="仿宋" w:cs="仿宋"/>
          <w:color w:val="auto"/>
          <w:sz w:val="24"/>
          <w:szCs w:val="24"/>
          <w:highlight w:val="none"/>
        </w:rPr>
      </w:pPr>
      <w:bookmarkStart w:id="226" w:name="_Toc246996208"/>
      <w:bookmarkStart w:id="227" w:name="_Toc247085722"/>
      <w:bookmarkStart w:id="228" w:name="_Toc246996951"/>
      <w:bookmarkStart w:id="229" w:name="_Toc152045564"/>
      <w:bookmarkStart w:id="230" w:name="_Toc514837892"/>
      <w:bookmarkStart w:id="231" w:name="_Toc179632582"/>
      <w:bookmarkStart w:id="232" w:name="_Toc144974532"/>
      <w:bookmarkStart w:id="233" w:name="_Toc152042340"/>
      <w:r>
        <w:rPr>
          <w:rFonts w:hint="eastAsia" w:ascii="仿宋" w:hAnsi="仿宋" w:eastAsia="仿宋" w:cs="仿宋"/>
          <w:color w:val="auto"/>
          <w:sz w:val="24"/>
          <w:szCs w:val="24"/>
          <w:highlight w:val="none"/>
        </w:rPr>
        <w:t>6.2 评标原则</w:t>
      </w:r>
      <w:bookmarkEnd w:id="226"/>
      <w:bookmarkEnd w:id="227"/>
      <w:bookmarkEnd w:id="228"/>
      <w:bookmarkEnd w:id="229"/>
      <w:bookmarkEnd w:id="230"/>
      <w:bookmarkEnd w:id="231"/>
      <w:bookmarkEnd w:id="232"/>
      <w:bookmarkEnd w:id="233"/>
    </w:p>
    <w:p>
      <w:pPr>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评标活动遵循公平、公正、科学和择优的原则。</w:t>
      </w:r>
    </w:p>
    <w:p>
      <w:pPr>
        <w:pStyle w:val="5"/>
        <w:pageBreakBefore w:val="0"/>
        <w:widowControl w:val="0"/>
        <w:kinsoku/>
        <w:wordWrap/>
        <w:overflowPunct/>
        <w:topLinePunct w:val="0"/>
        <w:autoSpaceDE/>
        <w:autoSpaceDN/>
        <w:bidi w:val="0"/>
        <w:adjustRightInd w:val="0"/>
        <w:snapToGrid w:val="0"/>
        <w:spacing w:before="0" w:beforeLines="0" w:after="0" w:afterLines="0" w:line="360" w:lineRule="auto"/>
        <w:ind w:left="0" w:leftChars="0" w:right="0" w:rightChars="0"/>
        <w:textAlignment w:val="auto"/>
        <w:rPr>
          <w:rFonts w:hint="eastAsia" w:ascii="仿宋" w:hAnsi="仿宋" w:eastAsia="仿宋" w:cs="仿宋"/>
          <w:color w:val="auto"/>
          <w:sz w:val="24"/>
          <w:szCs w:val="24"/>
          <w:highlight w:val="none"/>
        </w:rPr>
      </w:pPr>
      <w:bookmarkStart w:id="234" w:name="_Toc246996209"/>
      <w:bookmarkStart w:id="235" w:name="_Toc247085723"/>
      <w:bookmarkStart w:id="236" w:name="_Toc246996952"/>
      <w:bookmarkStart w:id="237" w:name="_Toc152045565"/>
      <w:bookmarkStart w:id="238" w:name="_Toc179632583"/>
      <w:bookmarkStart w:id="239" w:name="_Toc152042341"/>
      <w:bookmarkStart w:id="240" w:name="_Toc144974533"/>
      <w:bookmarkStart w:id="241" w:name="_Toc514837893"/>
      <w:r>
        <w:rPr>
          <w:rFonts w:hint="eastAsia" w:ascii="仿宋" w:hAnsi="仿宋" w:eastAsia="仿宋" w:cs="仿宋"/>
          <w:color w:val="auto"/>
          <w:sz w:val="24"/>
          <w:szCs w:val="24"/>
          <w:highlight w:val="none"/>
        </w:rPr>
        <w:t>6.3 评标</w:t>
      </w:r>
      <w:bookmarkEnd w:id="234"/>
      <w:bookmarkEnd w:id="235"/>
      <w:bookmarkEnd w:id="236"/>
      <w:bookmarkEnd w:id="237"/>
      <w:bookmarkEnd w:id="238"/>
      <w:bookmarkEnd w:id="239"/>
      <w:bookmarkEnd w:id="240"/>
      <w:bookmarkEnd w:id="241"/>
    </w:p>
    <w:p>
      <w:pPr>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6.3.1 评标委员会按照第三章“评标办法”规定的方法、评审因素、标准和程序对投标文件进行评审。第三章“评标办法”没有规定的方法、评审因素和标准，不作为评标依据。</w:t>
      </w:r>
    </w:p>
    <w:p>
      <w:pPr>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6.3.2 评标完成后，评标委员会应当向招标人提交书面评标报告和中标候选人名单。评标委员会推荐中标候选人的人数见投标人须知前附表。</w:t>
      </w:r>
    </w:p>
    <w:p>
      <w:pPr>
        <w:pStyle w:val="4"/>
        <w:pageBreakBefore w:val="0"/>
        <w:widowControl w:val="0"/>
        <w:kinsoku/>
        <w:wordWrap/>
        <w:overflowPunct/>
        <w:topLinePunct w:val="0"/>
        <w:autoSpaceDE/>
        <w:autoSpaceDN/>
        <w:bidi w:val="0"/>
        <w:adjustRightInd w:val="0"/>
        <w:snapToGrid w:val="0"/>
        <w:spacing w:before="0" w:beforeLines="0" w:after="0" w:afterLines="0" w:line="360" w:lineRule="auto"/>
        <w:ind w:left="0" w:leftChars="0" w:right="0" w:rightChars="0"/>
        <w:textAlignment w:val="auto"/>
        <w:rPr>
          <w:rFonts w:hint="eastAsia" w:ascii="仿宋" w:hAnsi="仿宋" w:eastAsia="仿宋" w:cs="仿宋"/>
          <w:color w:val="auto"/>
          <w:sz w:val="24"/>
          <w:szCs w:val="24"/>
          <w:highlight w:val="none"/>
        </w:rPr>
      </w:pPr>
      <w:bookmarkStart w:id="242" w:name="_Toc152045566"/>
      <w:bookmarkStart w:id="243" w:name="_Toc144974534"/>
      <w:bookmarkStart w:id="244" w:name="_Toc246996953"/>
      <w:bookmarkStart w:id="245" w:name="_Toc246996210"/>
      <w:bookmarkStart w:id="246" w:name="_Toc179632584"/>
      <w:bookmarkStart w:id="247" w:name="_Toc514837894"/>
      <w:bookmarkStart w:id="248" w:name="_Toc152042342"/>
      <w:bookmarkStart w:id="249" w:name="_Toc247085724"/>
      <w:r>
        <w:rPr>
          <w:rFonts w:hint="eastAsia" w:ascii="仿宋" w:hAnsi="仿宋" w:eastAsia="仿宋" w:cs="仿宋"/>
          <w:color w:val="auto"/>
          <w:sz w:val="24"/>
          <w:szCs w:val="24"/>
          <w:highlight w:val="none"/>
        </w:rPr>
        <w:t>7. 合同授予</w:t>
      </w:r>
      <w:bookmarkEnd w:id="242"/>
      <w:bookmarkEnd w:id="243"/>
      <w:bookmarkEnd w:id="244"/>
      <w:bookmarkEnd w:id="245"/>
      <w:bookmarkEnd w:id="246"/>
      <w:bookmarkEnd w:id="247"/>
      <w:bookmarkEnd w:id="248"/>
      <w:bookmarkEnd w:id="249"/>
    </w:p>
    <w:p>
      <w:pPr>
        <w:pStyle w:val="5"/>
        <w:pageBreakBefore w:val="0"/>
        <w:widowControl w:val="0"/>
        <w:kinsoku/>
        <w:wordWrap/>
        <w:overflowPunct/>
        <w:topLinePunct w:val="0"/>
        <w:autoSpaceDE/>
        <w:autoSpaceDN/>
        <w:bidi w:val="0"/>
        <w:adjustRightInd w:val="0"/>
        <w:snapToGrid w:val="0"/>
        <w:spacing w:before="0" w:beforeLines="0" w:after="0" w:afterLines="0" w:line="360" w:lineRule="auto"/>
        <w:ind w:left="0" w:leftChars="0" w:right="0" w:rightChars="0"/>
        <w:textAlignment w:val="auto"/>
        <w:rPr>
          <w:rFonts w:hint="eastAsia" w:ascii="仿宋" w:hAnsi="仿宋" w:eastAsia="仿宋" w:cs="仿宋"/>
          <w:color w:val="auto"/>
          <w:sz w:val="24"/>
          <w:szCs w:val="24"/>
          <w:highlight w:val="none"/>
        </w:rPr>
      </w:pPr>
      <w:bookmarkStart w:id="250" w:name="_Toc152042343"/>
      <w:bookmarkStart w:id="251" w:name="_Toc514837895"/>
      <w:bookmarkStart w:id="252" w:name="_Toc246996954"/>
      <w:bookmarkStart w:id="253" w:name="_Toc179632585"/>
      <w:bookmarkStart w:id="254" w:name="_Toc247085725"/>
      <w:bookmarkStart w:id="255" w:name="_Toc144974535"/>
      <w:bookmarkStart w:id="256" w:name="_Toc246996211"/>
      <w:bookmarkStart w:id="257" w:name="_Toc152045567"/>
      <w:r>
        <w:rPr>
          <w:rFonts w:hint="eastAsia" w:ascii="仿宋" w:hAnsi="仿宋" w:eastAsia="仿宋" w:cs="仿宋"/>
          <w:color w:val="auto"/>
          <w:sz w:val="24"/>
          <w:szCs w:val="24"/>
          <w:highlight w:val="none"/>
        </w:rPr>
        <w:t>7.1 中标候选人公示</w:t>
      </w:r>
      <w:bookmarkEnd w:id="250"/>
      <w:bookmarkEnd w:id="251"/>
      <w:bookmarkEnd w:id="252"/>
      <w:bookmarkEnd w:id="253"/>
      <w:bookmarkEnd w:id="254"/>
      <w:bookmarkEnd w:id="255"/>
      <w:bookmarkEnd w:id="256"/>
      <w:bookmarkEnd w:id="257"/>
    </w:p>
    <w:p>
      <w:pPr>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szCs w:val="24"/>
          <w:highlight w:val="none"/>
        </w:rPr>
      </w:pPr>
      <w:bookmarkStart w:id="258" w:name="_Toc514837896"/>
      <w:r>
        <w:rPr>
          <w:rFonts w:hint="eastAsia" w:ascii="仿宋" w:hAnsi="仿宋" w:eastAsia="仿宋" w:cs="仿宋"/>
          <w:color w:val="auto"/>
          <w:sz w:val="24"/>
          <w:szCs w:val="24"/>
          <w:highlight w:val="none"/>
        </w:rPr>
        <w:t>采购人应当自收到评标报告之日起５个工作日内，在评标报告确定的中标候选人名单中按顺序确定中标人。自中标人确定之日起2个工作日内，按照投标人须知前附表规定的公示媒介公示</w:t>
      </w:r>
      <w:r>
        <w:rPr>
          <w:rFonts w:hint="eastAsia" w:ascii="仿宋" w:hAnsi="仿宋" w:eastAsia="仿宋" w:cs="仿宋"/>
          <w:color w:val="auto"/>
          <w:sz w:val="24"/>
          <w:szCs w:val="24"/>
          <w:highlight w:val="none"/>
          <w:lang w:val="en-US" w:eastAsia="zh-CN"/>
        </w:rPr>
        <w:t>中标结果</w:t>
      </w:r>
      <w:r>
        <w:rPr>
          <w:rFonts w:hint="eastAsia" w:ascii="仿宋" w:hAnsi="仿宋" w:eastAsia="仿宋" w:cs="仿宋"/>
          <w:color w:val="auto"/>
          <w:sz w:val="24"/>
          <w:szCs w:val="24"/>
          <w:highlight w:val="none"/>
        </w:rPr>
        <w:t>，公示期</w:t>
      </w:r>
      <w:r>
        <w:rPr>
          <w:rFonts w:hint="eastAsia" w:ascii="仿宋" w:hAnsi="仿宋" w:eastAsia="仿宋" w:cs="仿宋"/>
          <w:color w:val="auto"/>
          <w:sz w:val="24"/>
          <w:szCs w:val="24"/>
          <w:highlight w:val="none"/>
          <w:lang w:val="en-US" w:eastAsia="zh-CN"/>
        </w:rPr>
        <w:t>为1个工作日</w:t>
      </w:r>
      <w:r>
        <w:rPr>
          <w:rFonts w:hint="eastAsia" w:ascii="仿宋" w:hAnsi="仿宋" w:eastAsia="仿宋" w:cs="仿宋"/>
          <w:color w:val="auto"/>
          <w:sz w:val="24"/>
          <w:szCs w:val="24"/>
          <w:highlight w:val="none"/>
        </w:rPr>
        <w:t>。</w:t>
      </w:r>
    </w:p>
    <w:p>
      <w:pPr>
        <w:pStyle w:val="5"/>
        <w:pageBreakBefore w:val="0"/>
        <w:widowControl w:val="0"/>
        <w:kinsoku/>
        <w:wordWrap/>
        <w:overflowPunct/>
        <w:topLinePunct w:val="0"/>
        <w:autoSpaceDE/>
        <w:autoSpaceDN/>
        <w:bidi w:val="0"/>
        <w:adjustRightInd w:val="0"/>
        <w:snapToGrid w:val="0"/>
        <w:spacing w:before="0" w:beforeLines="0" w:after="0" w:afterLines="0" w:line="360" w:lineRule="auto"/>
        <w:ind w:left="0" w:leftChars="0" w:right="0" w:right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7.2 评标结果异议</w:t>
      </w:r>
      <w:bookmarkEnd w:id="258"/>
    </w:p>
    <w:p>
      <w:pPr>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投标人或者其他利害关系人对评标结果有异议的，应当在</w:t>
      </w:r>
      <w:r>
        <w:rPr>
          <w:rFonts w:hint="eastAsia" w:ascii="仿宋" w:hAnsi="仿宋" w:eastAsia="仿宋" w:cs="仿宋"/>
          <w:color w:val="auto"/>
          <w:sz w:val="24"/>
          <w:szCs w:val="24"/>
          <w:highlight w:val="none"/>
          <w:lang w:val="en-US" w:eastAsia="zh-CN"/>
        </w:rPr>
        <w:t>中标结果</w:t>
      </w:r>
      <w:r>
        <w:rPr>
          <w:rFonts w:hint="eastAsia" w:ascii="仿宋" w:hAnsi="仿宋" w:eastAsia="仿宋" w:cs="仿宋"/>
          <w:color w:val="auto"/>
          <w:sz w:val="24"/>
          <w:szCs w:val="24"/>
          <w:highlight w:val="none"/>
        </w:rPr>
        <w:t>公示期间提出。。招标人将在收到异议之日起 3 日内作出答复；作出答复前，将暂停招标投标活动。</w:t>
      </w:r>
    </w:p>
    <w:p>
      <w:pPr>
        <w:pStyle w:val="5"/>
        <w:pageBreakBefore w:val="0"/>
        <w:widowControl w:val="0"/>
        <w:kinsoku/>
        <w:wordWrap/>
        <w:overflowPunct/>
        <w:topLinePunct w:val="0"/>
        <w:autoSpaceDE/>
        <w:autoSpaceDN/>
        <w:bidi w:val="0"/>
        <w:adjustRightInd w:val="0"/>
        <w:snapToGrid w:val="0"/>
        <w:spacing w:before="0" w:beforeLines="0" w:after="0" w:afterLines="0" w:line="360" w:lineRule="auto"/>
        <w:ind w:left="0" w:leftChars="0" w:right="0" w:rightChars="0"/>
        <w:textAlignment w:val="auto"/>
        <w:rPr>
          <w:rFonts w:hint="eastAsia" w:ascii="仿宋" w:hAnsi="仿宋" w:eastAsia="仿宋" w:cs="仿宋"/>
          <w:color w:val="auto"/>
          <w:sz w:val="24"/>
          <w:szCs w:val="24"/>
          <w:highlight w:val="none"/>
        </w:rPr>
      </w:pPr>
      <w:bookmarkStart w:id="259" w:name="_Toc514837897"/>
      <w:r>
        <w:rPr>
          <w:rFonts w:hint="eastAsia" w:ascii="仿宋" w:hAnsi="仿宋" w:eastAsia="仿宋" w:cs="仿宋"/>
          <w:color w:val="auto"/>
          <w:sz w:val="24"/>
          <w:szCs w:val="24"/>
          <w:highlight w:val="none"/>
        </w:rPr>
        <w:t>7.3 中标候选人履约能力审查</w:t>
      </w:r>
      <w:bookmarkEnd w:id="259"/>
    </w:p>
    <w:p>
      <w:pPr>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中标候选人的经营、财务状况发生较大变化或存在违法行为，招标人认为可能影响其履约能力的，将在发出中标通知书前提请原评标委员会按照招标文件规定的标准和方法进行审查确认。</w:t>
      </w:r>
    </w:p>
    <w:p>
      <w:pPr>
        <w:pStyle w:val="5"/>
        <w:pageBreakBefore w:val="0"/>
        <w:widowControl w:val="0"/>
        <w:kinsoku/>
        <w:wordWrap/>
        <w:overflowPunct/>
        <w:topLinePunct w:val="0"/>
        <w:autoSpaceDE/>
        <w:autoSpaceDN/>
        <w:bidi w:val="0"/>
        <w:adjustRightInd w:val="0"/>
        <w:snapToGrid w:val="0"/>
        <w:spacing w:before="0" w:beforeLines="0" w:after="0" w:afterLines="0" w:line="360" w:lineRule="auto"/>
        <w:ind w:left="0" w:leftChars="0" w:right="0" w:rightChars="0"/>
        <w:textAlignment w:val="auto"/>
        <w:rPr>
          <w:rFonts w:hint="eastAsia" w:ascii="仿宋" w:hAnsi="仿宋" w:eastAsia="仿宋" w:cs="仿宋"/>
          <w:color w:val="auto"/>
          <w:sz w:val="24"/>
          <w:szCs w:val="24"/>
          <w:highlight w:val="none"/>
        </w:rPr>
      </w:pPr>
      <w:bookmarkStart w:id="260" w:name="_Toc144974537"/>
      <w:bookmarkStart w:id="261" w:name="_Toc246996213"/>
      <w:bookmarkStart w:id="262" w:name="_Toc247085727"/>
      <w:bookmarkStart w:id="263" w:name="_Toc179632587"/>
      <w:bookmarkStart w:id="264" w:name="_Toc152042345"/>
      <w:bookmarkStart w:id="265" w:name="_Toc246996956"/>
      <w:bookmarkStart w:id="266" w:name="_Toc152045569"/>
      <w:bookmarkStart w:id="267" w:name="_Toc514837898"/>
      <w:r>
        <w:rPr>
          <w:rFonts w:hint="eastAsia" w:ascii="仿宋" w:hAnsi="仿宋" w:eastAsia="仿宋" w:cs="仿宋"/>
          <w:color w:val="auto"/>
          <w:sz w:val="24"/>
          <w:szCs w:val="24"/>
          <w:highlight w:val="none"/>
        </w:rPr>
        <w:t>7.4</w:t>
      </w:r>
      <w:bookmarkEnd w:id="260"/>
      <w:bookmarkEnd w:id="261"/>
      <w:bookmarkEnd w:id="262"/>
      <w:bookmarkEnd w:id="263"/>
      <w:bookmarkEnd w:id="264"/>
      <w:bookmarkEnd w:id="265"/>
      <w:bookmarkEnd w:id="266"/>
      <w:r>
        <w:rPr>
          <w:rFonts w:hint="eastAsia" w:ascii="仿宋" w:hAnsi="仿宋" w:eastAsia="仿宋" w:cs="仿宋"/>
          <w:color w:val="auto"/>
          <w:sz w:val="24"/>
          <w:szCs w:val="24"/>
          <w:highlight w:val="none"/>
        </w:rPr>
        <w:t>定标</w:t>
      </w:r>
      <w:bookmarkEnd w:id="267"/>
    </w:p>
    <w:p>
      <w:pPr>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按照投标人须知前附表的规定，招标人或招标人授权的评标委员会依法确定中标人。</w:t>
      </w:r>
    </w:p>
    <w:p>
      <w:pPr>
        <w:pStyle w:val="5"/>
        <w:pageBreakBefore w:val="0"/>
        <w:widowControl w:val="0"/>
        <w:kinsoku/>
        <w:wordWrap/>
        <w:overflowPunct/>
        <w:topLinePunct w:val="0"/>
        <w:autoSpaceDE/>
        <w:autoSpaceDN/>
        <w:bidi w:val="0"/>
        <w:adjustRightInd w:val="0"/>
        <w:snapToGrid w:val="0"/>
        <w:spacing w:before="0" w:beforeLines="0" w:after="0" w:afterLines="0" w:line="360" w:lineRule="auto"/>
        <w:ind w:left="0" w:leftChars="0" w:right="0" w:rightChars="0"/>
        <w:textAlignment w:val="auto"/>
        <w:rPr>
          <w:rFonts w:hint="eastAsia" w:ascii="仿宋" w:hAnsi="仿宋" w:eastAsia="仿宋" w:cs="仿宋"/>
          <w:color w:val="auto"/>
          <w:sz w:val="24"/>
          <w:szCs w:val="24"/>
          <w:highlight w:val="none"/>
        </w:rPr>
      </w:pPr>
      <w:bookmarkStart w:id="268" w:name="_Toc179632588"/>
      <w:bookmarkStart w:id="269" w:name="_Toc144974538"/>
      <w:bookmarkStart w:id="270" w:name="_Toc247085728"/>
      <w:bookmarkStart w:id="271" w:name="_Toc152042346"/>
      <w:bookmarkStart w:id="272" w:name="_Toc246996957"/>
      <w:bookmarkStart w:id="273" w:name="_Toc246996214"/>
      <w:bookmarkStart w:id="274" w:name="_Toc152045570"/>
      <w:bookmarkStart w:id="275" w:name="_Toc514837899"/>
      <w:r>
        <w:rPr>
          <w:rFonts w:hint="eastAsia" w:ascii="仿宋" w:hAnsi="仿宋" w:eastAsia="仿宋" w:cs="仿宋"/>
          <w:color w:val="auto"/>
          <w:sz w:val="24"/>
          <w:szCs w:val="24"/>
          <w:highlight w:val="none"/>
        </w:rPr>
        <w:t>7.5</w:t>
      </w:r>
      <w:bookmarkEnd w:id="268"/>
      <w:bookmarkEnd w:id="269"/>
      <w:bookmarkEnd w:id="270"/>
      <w:bookmarkEnd w:id="271"/>
      <w:bookmarkEnd w:id="272"/>
      <w:bookmarkEnd w:id="273"/>
      <w:bookmarkEnd w:id="274"/>
      <w:r>
        <w:rPr>
          <w:rFonts w:hint="eastAsia" w:ascii="仿宋" w:hAnsi="仿宋" w:eastAsia="仿宋" w:cs="仿宋"/>
          <w:color w:val="auto"/>
          <w:sz w:val="24"/>
          <w:szCs w:val="24"/>
          <w:highlight w:val="none"/>
        </w:rPr>
        <w:t>中标通知</w:t>
      </w:r>
      <w:bookmarkEnd w:id="275"/>
    </w:p>
    <w:p>
      <w:pPr>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在本章第 3.4</w:t>
      </w:r>
      <w:r>
        <w:rPr>
          <w:rFonts w:hint="eastAsia" w:ascii="仿宋" w:hAnsi="仿宋" w:eastAsia="仿宋" w:cs="仿宋"/>
          <w:color w:val="auto"/>
          <w:sz w:val="24"/>
          <w:szCs w:val="24"/>
          <w:highlight w:val="none"/>
          <w:lang w:val="en-US" w:eastAsia="zh-Hans"/>
        </w:rPr>
        <w:t>.</w:t>
      </w:r>
      <w:r>
        <w:rPr>
          <w:rFonts w:hint="eastAsia" w:ascii="仿宋" w:hAnsi="仿宋" w:eastAsia="仿宋" w:cs="仿宋"/>
          <w:color w:val="auto"/>
          <w:sz w:val="24"/>
          <w:szCs w:val="24"/>
          <w:highlight w:val="none"/>
          <w:lang w:eastAsia="zh-Hans"/>
        </w:rPr>
        <w:t>1</w:t>
      </w:r>
      <w:r>
        <w:rPr>
          <w:rFonts w:hint="eastAsia" w:ascii="仿宋" w:hAnsi="仿宋" w:eastAsia="仿宋" w:cs="仿宋"/>
          <w:color w:val="auto"/>
          <w:sz w:val="24"/>
          <w:szCs w:val="24"/>
          <w:highlight w:val="none"/>
        </w:rPr>
        <w:t>款规定的投标有效期内，招标人以书面形式向中标人发出中标通知书，同时将中标结果通知未中标的投标人。</w:t>
      </w:r>
    </w:p>
    <w:p>
      <w:pPr>
        <w:pStyle w:val="5"/>
        <w:pageBreakBefore w:val="0"/>
        <w:widowControl w:val="0"/>
        <w:kinsoku/>
        <w:wordWrap/>
        <w:overflowPunct/>
        <w:topLinePunct w:val="0"/>
        <w:autoSpaceDE/>
        <w:autoSpaceDN/>
        <w:bidi w:val="0"/>
        <w:adjustRightInd w:val="0"/>
        <w:snapToGrid w:val="0"/>
        <w:spacing w:before="0" w:beforeLines="0" w:after="0" w:afterLines="0" w:line="360" w:lineRule="auto"/>
        <w:ind w:left="0" w:leftChars="0" w:right="0" w:rightChars="0"/>
        <w:textAlignment w:val="auto"/>
        <w:rPr>
          <w:rFonts w:hint="eastAsia" w:ascii="仿宋" w:hAnsi="仿宋" w:eastAsia="仿宋" w:cs="仿宋"/>
          <w:color w:val="auto"/>
          <w:sz w:val="24"/>
          <w:szCs w:val="24"/>
          <w:highlight w:val="none"/>
        </w:rPr>
      </w:pPr>
      <w:bookmarkStart w:id="276" w:name="_Toc514837901"/>
      <w:r>
        <w:rPr>
          <w:rFonts w:hint="eastAsia" w:ascii="仿宋" w:hAnsi="仿宋" w:eastAsia="仿宋" w:cs="仿宋"/>
          <w:color w:val="auto"/>
          <w:sz w:val="24"/>
          <w:szCs w:val="24"/>
          <w:highlight w:val="none"/>
        </w:rPr>
        <w:t>7.</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签订合同</w:t>
      </w:r>
      <w:bookmarkEnd w:id="276"/>
    </w:p>
    <w:p>
      <w:pPr>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.1 招标人和中标人应当在中标通知书发出之日起 30 日内，根据招标文件和中标人的投 标文件订立书面合同。中标人无正当理由拒签合同，在签订合同时向招标人提出附加条件，招标人有权取消其中标资格；给招标人造成的损失超过投标保证金数额的，中标人还应当对超过部分予以赔偿。</w:t>
      </w:r>
    </w:p>
    <w:p>
      <w:pPr>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.2 发出中标通知书后，招标人无正当理由拒签合同，或者在签订合同时向中标人提出附加条件的，招标人向中标人退还投标保证金；给中标人造成损失的，还应当赔偿损失。</w:t>
      </w:r>
    </w:p>
    <w:p>
      <w:pPr>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.3 联合体中标的，联合体各方应当共同与招标人签订合同，就中标项目向招标人承担连带责任。</w:t>
      </w:r>
    </w:p>
    <w:p>
      <w:pPr>
        <w:pStyle w:val="4"/>
        <w:keepNext w:val="0"/>
        <w:pageBreakBefore w:val="0"/>
        <w:widowControl w:val="0"/>
        <w:kinsoku/>
        <w:wordWrap/>
        <w:overflowPunct/>
        <w:topLinePunct w:val="0"/>
        <w:autoSpaceDE/>
        <w:autoSpaceDN/>
        <w:bidi w:val="0"/>
        <w:adjustRightInd w:val="0"/>
        <w:snapToGrid w:val="0"/>
        <w:spacing w:before="0" w:beforeLines="0" w:after="0" w:afterLines="0" w:line="360" w:lineRule="auto"/>
        <w:ind w:left="0" w:leftChars="0" w:right="0" w:rightChars="0"/>
        <w:textAlignment w:val="auto"/>
        <w:rPr>
          <w:rFonts w:hint="eastAsia" w:ascii="仿宋" w:hAnsi="仿宋" w:eastAsia="仿宋" w:cs="仿宋"/>
          <w:color w:val="auto"/>
          <w:sz w:val="24"/>
          <w:szCs w:val="24"/>
          <w:highlight w:val="none"/>
        </w:rPr>
      </w:pPr>
      <w:bookmarkStart w:id="277" w:name="_Toc514837902"/>
      <w:r>
        <w:rPr>
          <w:rFonts w:hint="eastAsia" w:ascii="仿宋" w:hAnsi="仿宋" w:eastAsia="仿宋" w:cs="仿宋"/>
          <w:color w:val="auto"/>
          <w:sz w:val="24"/>
          <w:szCs w:val="24"/>
          <w:highlight w:val="none"/>
        </w:rPr>
        <w:t>8. 纪律和监督</w:t>
      </w:r>
      <w:bookmarkEnd w:id="277"/>
    </w:p>
    <w:p>
      <w:pPr>
        <w:pStyle w:val="5"/>
        <w:keepNext w:val="0"/>
        <w:pageBreakBefore w:val="0"/>
        <w:widowControl w:val="0"/>
        <w:kinsoku/>
        <w:wordWrap/>
        <w:overflowPunct/>
        <w:topLinePunct w:val="0"/>
        <w:autoSpaceDE/>
        <w:autoSpaceDN/>
        <w:bidi w:val="0"/>
        <w:adjustRightInd w:val="0"/>
        <w:snapToGrid w:val="0"/>
        <w:spacing w:before="0" w:beforeLines="0" w:after="0" w:afterLines="0" w:line="360" w:lineRule="auto"/>
        <w:ind w:left="0" w:leftChars="0" w:right="0" w:rightChars="0"/>
        <w:textAlignment w:val="auto"/>
        <w:rPr>
          <w:rFonts w:hint="eastAsia" w:ascii="仿宋" w:hAnsi="仿宋" w:eastAsia="仿宋" w:cs="仿宋"/>
          <w:color w:val="auto"/>
          <w:sz w:val="24"/>
          <w:szCs w:val="24"/>
          <w:highlight w:val="none"/>
        </w:rPr>
      </w:pPr>
      <w:bookmarkStart w:id="278" w:name="_Toc514837903"/>
      <w:r>
        <w:rPr>
          <w:rFonts w:hint="eastAsia" w:ascii="仿宋" w:hAnsi="仿宋" w:eastAsia="仿宋" w:cs="仿宋"/>
          <w:color w:val="auto"/>
          <w:sz w:val="24"/>
          <w:szCs w:val="24"/>
          <w:highlight w:val="none"/>
        </w:rPr>
        <w:t>8.1 对招标人的纪律要求</w:t>
      </w:r>
      <w:bookmarkEnd w:id="278"/>
    </w:p>
    <w:p>
      <w:pPr>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招标人不得泄露招标投标活动中应当保密的情况和资料，不得与投标人串通损害国家利益、社会公共利益或者他人合法权益。</w:t>
      </w:r>
    </w:p>
    <w:p>
      <w:pPr>
        <w:pStyle w:val="5"/>
        <w:pageBreakBefore w:val="0"/>
        <w:widowControl w:val="0"/>
        <w:kinsoku/>
        <w:wordWrap/>
        <w:overflowPunct/>
        <w:topLinePunct w:val="0"/>
        <w:autoSpaceDE/>
        <w:autoSpaceDN/>
        <w:bidi w:val="0"/>
        <w:adjustRightInd w:val="0"/>
        <w:snapToGrid w:val="0"/>
        <w:spacing w:before="0" w:beforeLines="0" w:after="0" w:afterLines="0" w:line="360" w:lineRule="auto"/>
        <w:ind w:left="0" w:leftChars="0" w:right="0" w:rightChars="0"/>
        <w:textAlignment w:val="auto"/>
        <w:rPr>
          <w:rFonts w:hint="eastAsia" w:ascii="仿宋" w:hAnsi="仿宋" w:eastAsia="仿宋" w:cs="仿宋"/>
          <w:color w:val="auto"/>
          <w:sz w:val="24"/>
          <w:szCs w:val="24"/>
          <w:highlight w:val="none"/>
        </w:rPr>
      </w:pPr>
      <w:bookmarkStart w:id="279" w:name="_Toc514837904"/>
      <w:r>
        <w:rPr>
          <w:rFonts w:hint="eastAsia" w:ascii="仿宋" w:hAnsi="仿宋" w:eastAsia="仿宋" w:cs="仿宋"/>
          <w:color w:val="auto"/>
          <w:sz w:val="24"/>
          <w:szCs w:val="24"/>
          <w:highlight w:val="none"/>
        </w:rPr>
        <w:t>8.2 对投标人的纪律要求</w:t>
      </w:r>
      <w:bookmarkEnd w:id="279"/>
    </w:p>
    <w:p>
      <w:pPr>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投标人不得相互串通投标或者与招标人串通投标，不得向招标人或者评标委员会成员行贿 谋取中标，不得以他人名义投标或者以其他方式弄虚作假骗取中标；投标人不得以任何方式干 扰、影响评标工作。</w:t>
      </w:r>
    </w:p>
    <w:p>
      <w:pPr>
        <w:pStyle w:val="5"/>
        <w:pageBreakBefore w:val="0"/>
        <w:widowControl w:val="0"/>
        <w:kinsoku/>
        <w:wordWrap/>
        <w:overflowPunct/>
        <w:topLinePunct w:val="0"/>
        <w:autoSpaceDE/>
        <w:autoSpaceDN/>
        <w:bidi w:val="0"/>
        <w:adjustRightInd w:val="0"/>
        <w:snapToGrid w:val="0"/>
        <w:spacing w:before="0" w:beforeLines="0" w:after="0" w:afterLines="0" w:line="360" w:lineRule="auto"/>
        <w:ind w:left="0" w:leftChars="0" w:right="0" w:rightChars="0"/>
        <w:textAlignment w:val="auto"/>
        <w:rPr>
          <w:rFonts w:hint="eastAsia" w:ascii="仿宋" w:hAnsi="仿宋" w:eastAsia="仿宋" w:cs="仿宋"/>
          <w:color w:val="auto"/>
          <w:sz w:val="24"/>
          <w:szCs w:val="24"/>
          <w:highlight w:val="none"/>
        </w:rPr>
      </w:pPr>
      <w:bookmarkStart w:id="280" w:name="_Toc514837905"/>
      <w:r>
        <w:rPr>
          <w:rFonts w:hint="eastAsia" w:ascii="仿宋" w:hAnsi="仿宋" w:eastAsia="仿宋" w:cs="仿宋"/>
          <w:color w:val="auto"/>
          <w:sz w:val="24"/>
          <w:szCs w:val="24"/>
          <w:highlight w:val="none"/>
        </w:rPr>
        <w:t>8.3 对评标委员会成员的纪律要求</w:t>
      </w:r>
      <w:bookmarkEnd w:id="280"/>
    </w:p>
    <w:p>
      <w:pPr>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标委员会成员不得收受他人的财物或者其他好处，不得向他人透露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pPr>
        <w:pStyle w:val="5"/>
        <w:pageBreakBefore w:val="0"/>
        <w:widowControl w:val="0"/>
        <w:kinsoku/>
        <w:wordWrap/>
        <w:overflowPunct/>
        <w:topLinePunct w:val="0"/>
        <w:autoSpaceDE/>
        <w:autoSpaceDN/>
        <w:bidi w:val="0"/>
        <w:adjustRightInd w:val="0"/>
        <w:snapToGrid w:val="0"/>
        <w:spacing w:before="0" w:beforeLines="0" w:after="0" w:afterLines="0" w:line="360" w:lineRule="auto"/>
        <w:ind w:left="0" w:leftChars="0" w:right="0" w:rightChars="0"/>
        <w:textAlignment w:val="auto"/>
        <w:rPr>
          <w:rFonts w:hint="eastAsia" w:ascii="仿宋" w:hAnsi="仿宋" w:eastAsia="仿宋" w:cs="仿宋"/>
          <w:color w:val="auto"/>
          <w:sz w:val="24"/>
          <w:szCs w:val="24"/>
          <w:highlight w:val="none"/>
        </w:rPr>
      </w:pPr>
      <w:bookmarkStart w:id="281" w:name="_Toc514837906"/>
      <w:r>
        <w:rPr>
          <w:rFonts w:hint="eastAsia" w:ascii="仿宋" w:hAnsi="仿宋" w:eastAsia="仿宋" w:cs="仿宋"/>
          <w:color w:val="auto"/>
          <w:sz w:val="24"/>
          <w:szCs w:val="24"/>
          <w:highlight w:val="none"/>
        </w:rPr>
        <w:t>8.4 对与评标活动有关的工作人员的纪律要求</w:t>
      </w:r>
      <w:bookmarkEnd w:id="281"/>
    </w:p>
    <w:p>
      <w:pPr>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与评标活动有关的工作人员不得收受他人的财物或者其他好处，不得向他人透露对投标文件的评审和比较、中标候选人的推荐情况以及评标有关的其他情况。在评标活动中，与评标活动有关的工作人员不得擅离职守，影响评标程序正常进行。</w:t>
      </w:r>
    </w:p>
    <w:p>
      <w:pPr>
        <w:pStyle w:val="5"/>
        <w:pageBreakBefore w:val="0"/>
        <w:widowControl w:val="0"/>
        <w:kinsoku/>
        <w:wordWrap/>
        <w:overflowPunct/>
        <w:topLinePunct w:val="0"/>
        <w:autoSpaceDE/>
        <w:autoSpaceDN/>
        <w:bidi w:val="0"/>
        <w:adjustRightInd w:val="0"/>
        <w:snapToGrid w:val="0"/>
        <w:spacing w:before="0" w:beforeLines="0" w:after="0" w:afterLines="0" w:line="360" w:lineRule="auto"/>
        <w:ind w:left="0" w:leftChars="0" w:right="0" w:rightChars="0"/>
        <w:textAlignment w:val="auto"/>
        <w:rPr>
          <w:rFonts w:hint="eastAsia" w:ascii="仿宋" w:hAnsi="仿宋" w:eastAsia="仿宋" w:cs="仿宋"/>
          <w:color w:val="auto"/>
          <w:sz w:val="24"/>
          <w:szCs w:val="24"/>
          <w:highlight w:val="none"/>
        </w:rPr>
      </w:pPr>
      <w:bookmarkStart w:id="282" w:name="_Toc514837907"/>
      <w:r>
        <w:rPr>
          <w:rFonts w:hint="eastAsia" w:ascii="仿宋" w:hAnsi="仿宋" w:eastAsia="仿宋" w:cs="仿宋"/>
          <w:color w:val="auto"/>
          <w:sz w:val="24"/>
          <w:szCs w:val="24"/>
          <w:highlight w:val="none"/>
        </w:rPr>
        <w:t>8.5 投诉</w:t>
      </w:r>
      <w:bookmarkEnd w:id="282"/>
    </w:p>
    <w:p>
      <w:pPr>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8.5.1 投标人或者其他利害关系人认为招标投标活动不符合法律、行政法规规定的，可以自知道或者应当知道之日起 10 日内向有关监督部门投诉。投诉应当有明确的请求和必要的证明材料。</w:t>
      </w:r>
    </w:p>
    <w:p>
      <w:pPr>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8.5.2 投标人或者其他利害关系人对招标文件、开标和评标结果提出投诉的，应当按照投标人须知第2.4款、第5.3款和第7.2款的规定先向招标人提出异议。异议答复期间不计算在第8.5.1项规定的期限内。</w:t>
      </w:r>
    </w:p>
    <w:p>
      <w:pPr>
        <w:pStyle w:val="4"/>
        <w:pageBreakBefore w:val="0"/>
        <w:widowControl w:val="0"/>
        <w:kinsoku/>
        <w:wordWrap/>
        <w:overflowPunct/>
        <w:topLinePunct w:val="0"/>
        <w:autoSpaceDE/>
        <w:autoSpaceDN/>
        <w:bidi w:val="0"/>
        <w:adjustRightInd w:val="0"/>
        <w:snapToGrid w:val="0"/>
        <w:spacing w:before="0" w:beforeLines="0" w:after="0" w:afterLines="0" w:line="360" w:lineRule="auto"/>
        <w:ind w:left="0" w:leftChars="0" w:right="0" w:rightChars="0"/>
        <w:textAlignment w:val="auto"/>
        <w:rPr>
          <w:rFonts w:hint="eastAsia" w:ascii="仿宋" w:hAnsi="仿宋" w:eastAsia="仿宋" w:cs="仿宋"/>
          <w:color w:val="auto"/>
          <w:sz w:val="24"/>
          <w:szCs w:val="24"/>
          <w:highlight w:val="none"/>
        </w:rPr>
      </w:pPr>
      <w:bookmarkStart w:id="283" w:name="_Toc514837909"/>
      <w:r>
        <w:rPr>
          <w:rFonts w:hint="eastAsia" w:ascii="仿宋" w:hAnsi="仿宋" w:eastAsia="仿宋" w:cs="仿宋"/>
          <w:color w:val="auto"/>
          <w:sz w:val="24"/>
          <w:szCs w:val="24"/>
          <w:highlight w:val="none"/>
        </w:rPr>
        <w:t>9. 需要补充的其他内容</w:t>
      </w:r>
      <w:bookmarkEnd w:id="283"/>
    </w:p>
    <w:p>
      <w:pPr>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szCs w:val="24"/>
          <w:highlight w:val="none"/>
          <w:lang w:eastAsia="zh-Hans"/>
        </w:rPr>
      </w:pPr>
      <w:r>
        <w:rPr>
          <w:rFonts w:hint="eastAsia" w:ascii="仿宋" w:hAnsi="仿宋" w:eastAsia="仿宋" w:cs="仿宋"/>
          <w:color w:val="auto"/>
          <w:sz w:val="24"/>
          <w:szCs w:val="24"/>
          <w:highlight w:val="none"/>
        </w:rPr>
        <w:t>9</w:t>
      </w:r>
      <w:r>
        <w:rPr>
          <w:rFonts w:hint="eastAsia" w:ascii="仿宋" w:hAnsi="仿宋" w:eastAsia="仿宋" w:cs="仿宋"/>
          <w:color w:val="auto"/>
          <w:sz w:val="24"/>
          <w:szCs w:val="24"/>
          <w:highlight w:val="none"/>
          <w:lang w:val="en-US" w:eastAsia="zh-Hans"/>
        </w:rPr>
        <w:t>.</w:t>
      </w:r>
      <w:r>
        <w:rPr>
          <w:rFonts w:hint="eastAsia" w:ascii="仿宋" w:hAnsi="仿宋" w:eastAsia="仿宋" w:cs="仿宋"/>
          <w:color w:val="auto"/>
          <w:sz w:val="24"/>
          <w:szCs w:val="24"/>
          <w:highlight w:val="none"/>
          <w:lang w:eastAsia="zh-Hans"/>
        </w:rPr>
        <w:t>1中标人须向招标代理机构按如下标准和规定交纳招标代理服务费：招标代理服务费以中标金额为基数，按国家发改委计价格[2002]1980号文载明的“</w:t>
      </w:r>
      <w:r>
        <w:rPr>
          <w:rFonts w:hint="eastAsia" w:ascii="仿宋" w:hAnsi="仿宋" w:eastAsia="仿宋" w:cs="仿宋"/>
          <w:color w:val="auto"/>
          <w:sz w:val="24"/>
          <w:szCs w:val="24"/>
          <w:highlight w:val="none"/>
          <w:lang w:val="en-US" w:eastAsia="zh-Hans"/>
        </w:rPr>
        <w:t>货物</w:t>
      </w:r>
      <w:r>
        <w:rPr>
          <w:rFonts w:hint="eastAsia" w:ascii="仿宋" w:hAnsi="仿宋" w:eastAsia="仿宋" w:cs="仿宋"/>
          <w:color w:val="auto"/>
          <w:sz w:val="24"/>
          <w:szCs w:val="24"/>
          <w:highlight w:val="none"/>
          <w:lang w:eastAsia="zh-Hans"/>
        </w:rPr>
        <w:t>招标”计算。根据发改办价格[2003]857号文规定向中标人收取。</w:t>
      </w:r>
    </w:p>
    <w:p>
      <w:pPr>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highlight w:val="none"/>
          <w:lang w:eastAsia="zh-Hans"/>
        </w:rPr>
        <w:sectPr>
          <w:pgSz w:w="11906" w:h="16838"/>
          <w:pgMar w:top="1440" w:right="1800" w:bottom="1440" w:left="1800" w:header="851" w:footer="992" w:gutter="0"/>
          <w:cols w:space="720" w:num="1"/>
          <w:docGrid w:type="lines" w:linePitch="312" w:charSpace="0"/>
        </w:sectPr>
      </w:pPr>
      <w:r>
        <w:rPr>
          <w:rFonts w:hint="eastAsia" w:ascii="仿宋" w:hAnsi="仿宋" w:eastAsia="仿宋" w:cs="仿宋"/>
          <w:color w:val="auto"/>
          <w:sz w:val="24"/>
          <w:szCs w:val="24"/>
          <w:highlight w:val="none"/>
          <w:lang w:eastAsia="zh-Hans"/>
        </w:rPr>
        <w:t>9</w:t>
      </w:r>
      <w:r>
        <w:rPr>
          <w:rFonts w:hint="eastAsia" w:ascii="仿宋" w:hAnsi="仿宋" w:eastAsia="仿宋" w:cs="仿宋"/>
          <w:color w:val="auto"/>
          <w:sz w:val="24"/>
          <w:szCs w:val="24"/>
          <w:highlight w:val="none"/>
          <w:lang w:val="en-US" w:eastAsia="zh-Hans"/>
        </w:rPr>
        <w:t>.</w:t>
      </w:r>
      <w:r>
        <w:rPr>
          <w:rFonts w:hint="eastAsia" w:ascii="仿宋" w:hAnsi="仿宋" w:eastAsia="仿宋" w:cs="仿宋"/>
          <w:color w:val="auto"/>
          <w:sz w:val="24"/>
          <w:szCs w:val="24"/>
          <w:highlight w:val="none"/>
          <w:lang w:eastAsia="zh-Hans"/>
        </w:rPr>
        <w:t>2招标人拥有本套招标文件最终解释权</w:t>
      </w:r>
      <w:bookmarkEnd w:id="20"/>
      <w:bookmarkEnd w:id="21"/>
      <w:bookmarkEnd w:id="22"/>
    </w:p>
    <w:p>
      <w:pPr>
        <w:pageBreakBefore w:val="0"/>
        <w:kinsoku/>
        <w:wordWrap/>
        <w:bidi w:val="0"/>
        <w:adjustRightInd w:val="0"/>
        <w:snapToGrid w:val="0"/>
        <w:spacing w:line="360" w:lineRule="auto"/>
        <w:ind w:left="0" w:leftChars="0" w:right="0" w:rightChars="0" w:firstLine="420" w:firstLineChars="200"/>
        <w:rPr>
          <w:rFonts w:hint="eastAsia" w:ascii="仿宋" w:hAnsi="仿宋" w:eastAsia="仿宋" w:cs="仿宋"/>
          <w:color w:val="auto"/>
          <w:highlight w:val="none"/>
          <w:lang w:eastAsia="zh-Hans"/>
        </w:rPr>
      </w:pPr>
    </w:p>
    <w:p>
      <w:pPr>
        <w:pStyle w:val="5"/>
        <w:pageBreakBefore w:val="0"/>
        <w:kinsoku/>
        <w:wordWrap/>
        <w:bidi w:val="0"/>
        <w:adjustRightInd w:val="0"/>
        <w:snapToGrid w:val="0"/>
        <w:spacing w:before="0" w:beforeLines="0" w:after="0" w:afterLines="0" w:line="360" w:lineRule="auto"/>
        <w:ind w:left="0" w:leftChars="0" w:right="0" w:rightChars="0"/>
        <w:rPr>
          <w:rFonts w:hint="eastAsia" w:ascii="仿宋" w:hAnsi="仿宋" w:eastAsia="仿宋" w:cs="仿宋"/>
          <w:color w:val="auto"/>
          <w:sz w:val="24"/>
          <w:szCs w:val="24"/>
          <w:highlight w:val="none"/>
        </w:rPr>
      </w:pPr>
      <w:bookmarkStart w:id="284" w:name="_Toc144974548"/>
      <w:bookmarkStart w:id="285" w:name="_Toc152042358"/>
      <w:bookmarkStart w:id="286" w:name="_Toc179632599"/>
      <w:bookmarkStart w:id="287" w:name="_Toc514837910"/>
      <w:bookmarkStart w:id="288" w:name="_Toc247085739"/>
      <w:bookmarkStart w:id="289" w:name="_Toc152045581"/>
      <w:bookmarkStart w:id="290" w:name="_Toc383485457_WPSOffice_Level1"/>
      <w:bookmarkStart w:id="291" w:name="_Toc33087739"/>
      <w:bookmarkStart w:id="292" w:name="_Toc18616_WPSOffice_Level1"/>
      <w:r>
        <w:rPr>
          <w:rFonts w:hint="eastAsia" w:ascii="仿宋" w:hAnsi="仿宋" w:eastAsia="仿宋" w:cs="仿宋"/>
          <w:color w:val="auto"/>
          <w:highlight w:val="none"/>
        </w:rPr>
        <w:t>附件一</w:t>
      </w:r>
      <w:r>
        <w:rPr>
          <w:rFonts w:hint="eastAsia" w:ascii="仿宋" w:hAnsi="仿宋" w:eastAsia="仿宋" w:cs="仿宋"/>
          <w:color w:val="auto"/>
          <w:sz w:val="24"/>
          <w:szCs w:val="24"/>
          <w:highlight w:val="none"/>
        </w:rPr>
        <w:t>：开标记录表</w:t>
      </w:r>
      <w:bookmarkEnd w:id="284"/>
      <w:bookmarkEnd w:id="285"/>
      <w:bookmarkEnd w:id="286"/>
      <w:bookmarkEnd w:id="287"/>
      <w:bookmarkEnd w:id="288"/>
      <w:bookmarkEnd w:id="289"/>
    </w:p>
    <w:p>
      <w:pPr>
        <w:pageBreakBefore w:val="0"/>
        <w:kinsoku/>
        <w:wordWrap/>
        <w:bidi w:val="0"/>
        <w:adjustRightInd w:val="0"/>
        <w:snapToGrid w:val="0"/>
        <w:spacing w:line="360" w:lineRule="auto"/>
        <w:ind w:left="0" w:leftChars="0" w:right="0" w:right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开标记录表</w:t>
      </w:r>
    </w:p>
    <w:p>
      <w:pPr>
        <w:pStyle w:val="7"/>
        <w:ind w:left="0" w:leftChars="0" w:firstLine="0" w:firstLineChars="0"/>
        <w:jc w:val="right"/>
        <w:rPr>
          <w:rFonts w:hint="eastAsia" w:ascii="仿宋" w:hAnsi="仿宋" w:eastAsia="仿宋" w:cs="仿宋"/>
          <w:color w:val="auto"/>
          <w:sz w:val="24"/>
          <w:szCs w:val="24"/>
          <w:highlight w:val="none"/>
        </w:rPr>
      </w:pPr>
    </w:p>
    <w:p>
      <w:pPr>
        <w:pageBreakBefore w:val="0"/>
        <w:kinsoku/>
        <w:wordWrap/>
        <w:bidi w:val="0"/>
        <w:adjustRightInd w:val="0"/>
        <w:snapToGrid w:val="0"/>
        <w:spacing w:line="360" w:lineRule="auto"/>
        <w:ind w:right="0" w:rightChars="0"/>
        <w:jc w:val="righ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开标时间：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pPr>
        <w:pStyle w:val="7"/>
        <w:rPr>
          <w:rFonts w:hint="eastAsia" w:ascii="仿宋" w:hAnsi="仿宋" w:eastAsia="仿宋" w:cs="仿宋"/>
          <w:color w:val="auto"/>
          <w:sz w:val="24"/>
          <w:szCs w:val="24"/>
          <w:highlight w:val="none"/>
        </w:rPr>
      </w:pPr>
    </w:p>
    <w:tbl>
      <w:tblPr>
        <w:tblStyle w:val="21"/>
        <w:tblW w:w="5457"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459"/>
        <w:gridCol w:w="1980"/>
        <w:gridCol w:w="1804"/>
        <w:gridCol w:w="1633"/>
        <w:gridCol w:w="1025"/>
        <w:gridCol w:w="1750"/>
        <w:gridCol w:w="6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jc w:val="center"/>
        </w:trPr>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bookmarkStart w:id="293" w:name="_Toc152042359"/>
            <w:bookmarkStart w:id="294" w:name="_Toc247085740"/>
            <w:bookmarkStart w:id="295" w:name="_Toc246996225"/>
            <w:bookmarkStart w:id="296" w:name="_Toc179632600"/>
            <w:bookmarkStart w:id="297" w:name="_Toc152045582"/>
            <w:bookmarkStart w:id="298" w:name="_Toc514837911"/>
            <w:bookmarkStart w:id="299" w:name="_Toc246996968"/>
            <w:bookmarkStart w:id="300" w:name="_Toc144974549"/>
            <w:r>
              <w:rPr>
                <w:rFonts w:hint="eastAsia" w:ascii="仿宋" w:hAnsi="仿宋" w:eastAsia="仿宋" w:cs="仿宋"/>
                <w:i w:val="0"/>
                <w:color w:val="auto"/>
                <w:kern w:val="0"/>
                <w:sz w:val="21"/>
                <w:szCs w:val="21"/>
                <w:highlight w:val="none"/>
                <w:u w:val="none"/>
                <w:lang w:val="en-US" w:eastAsia="zh-CN" w:bidi="ar"/>
              </w:rPr>
              <w:t>序号</w:t>
            </w:r>
          </w:p>
        </w:tc>
        <w:tc>
          <w:tcPr>
            <w:tcW w:w="10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投标人</w:t>
            </w:r>
          </w:p>
        </w:tc>
        <w:tc>
          <w:tcPr>
            <w:tcW w:w="9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投标总价（万元）</w:t>
            </w:r>
          </w:p>
        </w:tc>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投标保证金</w:t>
            </w:r>
            <w:r>
              <w:rPr>
                <w:rFonts w:hint="eastAsia" w:ascii="仿宋" w:hAnsi="仿宋" w:eastAsia="仿宋" w:cs="仿宋"/>
                <w:i w:val="0"/>
                <w:color w:val="auto"/>
                <w:kern w:val="0"/>
                <w:sz w:val="21"/>
                <w:szCs w:val="21"/>
                <w:highlight w:val="none"/>
                <w:u w:val="none"/>
                <w:lang w:val="en-US" w:eastAsia="zh-Hans" w:bidi="ar"/>
              </w:rPr>
              <w:t>缴纳</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质保期</w:t>
            </w:r>
          </w:p>
        </w:tc>
        <w:tc>
          <w:tcPr>
            <w:tcW w:w="9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供货与安装</w:t>
            </w:r>
            <w:r>
              <w:rPr>
                <w:rFonts w:hint="eastAsia" w:ascii="仿宋" w:hAnsi="仿宋" w:eastAsia="仿宋" w:cs="仿宋"/>
                <w:i w:val="0"/>
                <w:color w:val="auto"/>
                <w:kern w:val="0"/>
                <w:sz w:val="21"/>
                <w:szCs w:val="21"/>
                <w:highlight w:val="none"/>
                <w:u w:val="none"/>
                <w:lang w:val="en-US" w:eastAsia="zh-Hans" w:bidi="ar"/>
              </w:rPr>
              <w:t>周期</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1</w:t>
            </w:r>
          </w:p>
        </w:tc>
        <w:tc>
          <w:tcPr>
            <w:tcW w:w="10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auto"/>
                <w:sz w:val="21"/>
                <w:szCs w:val="21"/>
                <w:highlight w:val="none"/>
                <w:u w:val="none"/>
              </w:rPr>
            </w:pPr>
          </w:p>
        </w:tc>
        <w:tc>
          <w:tcPr>
            <w:tcW w:w="96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auto"/>
                <w:sz w:val="21"/>
                <w:szCs w:val="21"/>
                <w:highlight w:val="none"/>
                <w:u w:val="none"/>
              </w:rPr>
            </w:pPr>
          </w:p>
        </w:tc>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auto"/>
                <w:sz w:val="21"/>
                <w:szCs w:val="21"/>
                <w:highlight w:val="none"/>
                <w:u w:val="none"/>
              </w:rPr>
            </w:pP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auto"/>
                <w:sz w:val="21"/>
                <w:szCs w:val="21"/>
                <w:highlight w:val="none"/>
                <w:u w:val="none"/>
              </w:rPr>
            </w:pPr>
          </w:p>
        </w:tc>
        <w:tc>
          <w:tcPr>
            <w:tcW w:w="93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auto"/>
                <w:sz w:val="21"/>
                <w:szCs w:val="21"/>
                <w:highlight w:val="none"/>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 w:hAnsi="仿宋" w:eastAsia="仿宋" w:cs="仿宋"/>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2</w:t>
            </w:r>
          </w:p>
        </w:tc>
        <w:tc>
          <w:tcPr>
            <w:tcW w:w="10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auto"/>
                <w:sz w:val="21"/>
                <w:szCs w:val="21"/>
                <w:highlight w:val="none"/>
                <w:u w:val="none"/>
              </w:rPr>
            </w:pPr>
          </w:p>
        </w:tc>
        <w:tc>
          <w:tcPr>
            <w:tcW w:w="96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auto"/>
                <w:sz w:val="21"/>
                <w:szCs w:val="21"/>
                <w:highlight w:val="none"/>
                <w:u w:val="none"/>
              </w:rPr>
            </w:pPr>
          </w:p>
        </w:tc>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auto"/>
                <w:sz w:val="21"/>
                <w:szCs w:val="21"/>
                <w:highlight w:val="none"/>
                <w:u w:val="none"/>
              </w:rPr>
            </w:pP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auto"/>
                <w:sz w:val="21"/>
                <w:szCs w:val="21"/>
                <w:highlight w:val="none"/>
                <w:u w:val="none"/>
              </w:rPr>
            </w:pPr>
          </w:p>
        </w:tc>
        <w:tc>
          <w:tcPr>
            <w:tcW w:w="93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auto"/>
                <w:sz w:val="21"/>
                <w:szCs w:val="21"/>
                <w:highlight w:val="none"/>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 w:hAnsi="仿宋" w:eastAsia="仿宋" w:cs="仿宋"/>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eastAsia="zh-CN" w:bidi="ar"/>
              </w:rPr>
            </w:pPr>
            <w:r>
              <w:rPr>
                <w:rFonts w:hint="eastAsia" w:ascii="仿宋" w:hAnsi="仿宋" w:eastAsia="仿宋" w:cs="仿宋"/>
                <w:i w:val="0"/>
                <w:color w:val="auto"/>
                <w:kern w:val="0"/>
                <w:sz w:val="21"/>
                <w:szCs w:val="21"/>
                <w:highlight w:val="none"/>
                <w:u w:val="none"/>
                <w:lang w:eastAsia="zh-CN" w:bidi="ar"/>
              </w:rPr>
              <w:t>3</w:t>
            </w:r>
          </w:p>
        </w:tc>
        <w:tc>
          <w:tcPr>
            <w:tcW w:w="10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 w:hAnsi="仿宋" w:eastAsia="仿宋" w:cs="仿宋"/>
                <w:i w:val="0"/>
                <w:color w:val="auto"/>
                <w:sz w:val="21"/>
                <w:szCs w:val="21"/>
                <w:highlight w:val="none"/>
                <w:u w:val="none"/>
              </w:rPr>
            </w:pPr>
          </w:p>
        </w:tc>
        <w:tc>
          <w:tcPr>
            <w:tcW w:w="96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auto"/>
                <w:sz w:val="21"/>
                <w:szCs w:val="21"/>
                <w:highlight w:val="none"/>
                <w:u w:val="none"/>
              </w:rPr>
            </w:pPr>
          </w:p>
        </w:tc>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auto"/>
                <w:sz w:val="21"/>
                <w:szCs w:val="21"/>
                <w:highlight w:val="none"/>
                <w:u w:val="none"/>
              </w:rPr>
            </w:pP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auto"/>
                <w:sz w:val="21"/>
                <w:szCs w:val="21"/>
                <w:highlight w:val="none"/>
                <w:u w:val="none"/>
              </w:rPr>
            </w:pPr>
          </w:p>
        </w:tc>
        <w:tc>
          <w:tcPr>
            <w:tcW w:w="93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auto"/>
                <w:sz w:val="21"/>
                <w:szCs w:val="21"/>
                <w:highlight w:val="none"/>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eastAsia="zh-CN" w:bidi="ar"/>
              </w:rPr>
            </w:pPr>
            <w:r>
              <w:rPr>
                <w:rFonts w:hint="eastAsia" w:ascii="仿宋" w:hAnsi="仿宋" w:eastAsia="仿宋" w:cs="仿宋"/>
                <w:i w:val="0"/>
                <w:color w:val="auto"/>
                <w:kern w:val="0"/>
                <w:sz w:val="21"/>
                <w:szCs w:val="21"/>
                <w:highlight w:val="none"/>
                <w:u w:val="none"/>
                <w:lang w:eastAsia="zh-CN" w:bidi="ar"/>
              </w:rPr>
              <w:t>4</w:t>
            </w:r>
          </w:p>
        </w:tc>
        <w:tc>
          <w:tcPr>
            <w:tcW w:w="10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 w:hAnsi="仿宋" w:eastAsia="仿宋" w:cs="仿宋"/>
                <w:i w:val="0"/>
                <w:color w:val="auto"/>
                <w:sz w:val="21"/>
                <w:szCs w:val="21"/>
                <w:highlight w:val="none"/>
                <w:u w:val="none"/>
              </w:rPr>
            </w:pPr>
          </w:p>
        </w:tc>
        <w:tc>
          <w:tcPr>
            <w:tcW w:w="96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auto"/>
                <w:sz w:val="21"/>
                <w:szCs w:val="21"/>
                <w:highlight w:val="none"/>
                <w:u w:val="none"/>
              </w:rPr>
            </w:pPr>
          </w:p>
        </w:tc>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auto"/>
                <w:sz w:val="21"/>
                <w:szCs w:val="21"/>
                <w:highlight w:val="none"/>
                <w:u w:val="none"/>
              </w:rPr>
            </w:pP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auto"/>
                <w:sz w:val="21"/>
                <w:szCs w:val="21"/>
                <w:highlight w:val="none"/>
                <w:u w:val="none"/>
              </w:rPr>
            </w:pPr>
          </w:p>
        </w:tc>
        <w:tc>
          <w:tcPr>
            <w:tcW w:w="93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auto"/>
                <w:sz w:val="21"/>
                <w:szCs w:val="21"/>
                <w:highlight w:val="none"/>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sz w:val="21"/>
                <w:szCs w:val="21"/>
                <w:highlight w:val="none"/>
                <w:u w:val="none"/>
              </w:rPr>
              <w:t>5</w:t>
            </w:r>
          </w:p>
        </w:tc>
        <w:tc>
          <w:tcPr>
            <w:tcW w:w="10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 w:hAnsi="仿宋" w:eastAsia="仿宋" w:cs="仿宋"/>
                <w:i w:val="0"/>
                <w:color w:val="auto"/>
                <w:sz w:val="21"/>
                <w:szCs w:val="21"/>
                <w:highlight w:val="none"/>
                <w:u w:val="none"/>
              </w:rPr>
            </w:pPr>
          </w:p>
        </w:tc>
        <w:tc>
          <w:tcPr>
            <w:tcW w:w="96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auto"/>
                <w:sz w:val="21"/>
                <w:szCs w:val="21"/>
                <w:highlight w:val="none"/>
                <w:u w:val="none"/>
              </w:rPr>
            </w:pPr>
          </w:p>
        </w:tc>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auto"/>
                <w:sz w:val="21"/>
                <w:szCs w:val="21"/>
                <w:highlight w:val="none"/>
                <w:u w:val="none"/>
              </w:rPr>
            </w:pP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auto"/>
                <w:sz w:val="21"/>
                <w:szCs w:val="21"/>
                <w:highlight w:val="none"/>
                <w:u w:val="none"/>
              </w:rPr>
            </w:pPr>
          </w:p>
        </w:tc>
        <w:tc>
          <w:tcPr>
            <w:tcW w:w="93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auto"/>
                <w:sz w:val="21"/>
                <w:szCs w:val="21"/>
                <w:highlight w:val="none"/>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color w:val="auto"/>
                <w:sz w:val="21"/>
                <w:szCs w:val="21"/>
                <w:highlight w:val="none"/>
                <w:u w:val="none"/>
              </w:rPr>
            </w:pPr>
          </w:p>
        </w:tc>
      </w:tr>
    </w:tbl>
    <w:p>
      <w:pPr>
        <w:pStyle w:val="5"/>
        <w:pageBreakBefore w:val="0"/>
        <w:kinsoku/>
        <w:wordWrap/>
        <w:bidi w:val="0"/>
        <w:adjustRightInd w:val="0"/>
        <w:snapToGrid w:val="0"/>
        <w:spacing w:before="0" w:beforeLines="0" w:after="0" w:afterLines="0" w:line="360" w:lineRule="auto"/>
        <w:ind w:left="0" w:leftChars="0" w:right="0" w:rightChars="0"/>
        <w:rPr>
          <w:rFonts w:hint="eastAsia" w:ascii="仿宋" w:hAnsi="仿宋" w:eastAsia="仿宋" w:cs="仿宋"/>
          <w:color w:val="auto"/>
          <w:kern w:val="0"/>
          <w:position w:val="-2"/>
          <w:sz w:val="24"/>
          <w:szCs w:val="24"/>
          <w:highlight w:val="none"/>
        </w:rPr>
      </w:pPr>
    </w:p>
    <w:p>
      <w:pPr>
        <w:pStyle w:val="5"/>
        <w:pageBreakBefore w:val="0"/>
        <w:kinsoku/>
        <w:wordWrap/>
        <w:bidi w:val="0"/>
        <w:adjustRightInd w:val="0"/>
        <w:snapToGrid w:val="0"/>
        <w:spacing w:before="0" w:beforeLines="0" w:after="0" w:afterLines="0" w:line="360" w:lineRule="auto"/>
        <w:ind w:left="0" w:leftChars="0" w:right="0" w:rightChars="0"/>
        <w:rPr>
          <w:rFonts w:hint="eastAsia" w:ascii="仿宋" w:hAnsi="仿宋" w:eastAsia="仿宋" w:cs="仿宋"/>
          <w:b w:val="0"/>
          <w:bCs w:val="0"/>
          <w:color w:val="auto"/>
          <w:kern w:val="0"/>
          <w:position w:val="-2"/>
          <w:sz w:val="24"/>
          <w:szCs w:val="24"/>
          <w:highlight w:val="none"/>
        </w:rPr>
      </w:pPr>
    </w:p>
    <w:p>
      <w:pPr>
        <w:pStyle w:val="5"/>
        <w:pageBreakBefore w:val="0"/>
        <w:kinsoku/>
        <w:wordWrap/>
        <w:bidi w:val="0"/>
        <w:adjustRightInd w:val="0"/>
        <w:snapToGrid w:val="0"/>
        <w:spacing w:before="0" w:beforeLines="0" w:after="0" w:afterLines="0" w:line="360" w:lineRule="auto"/>
        <w:ind w:left="0" w:leftChars="0" w:right="0" w:rightChars="0"/>
        <w:jc w:val="left"/>
        <w:rPr>
          <w:rFonts w:hint="eastAsia" w:ascii="仿宋" w:hAnsi="仿宋" w:eastAsia="仿宋" w:cs="仿宋"/>
          <w:b w:val="0"/>
          <w:bCs w:val="0"/>
          <w:color w:val="auto"/>
          <w:kern w:val="0"/>
          <w:position w:val="-2"/>
          <w:sz w:val="24"/>
          <w:szCs w:val="24"/>
          <w:highlight w:val="none"/>
          <w:u w:val="single"/>
        </w:rPr>
        <w:sectPr>
          <w:pgSz w:w="11906" w:h="16838"/>
          <w:pgMar w:top="1440" w:right="1800" w:bottom="1440" w:left="1600" w:header="851" w:footer="992" w:gutter="0"/>
          <w:cols w:space="720" w:num="1"/>
          <w:docGrid w:type="lines" w:linePitch="312" w:charSpace="0"/>
        </w:sectPr>
      </w:pPr>
      <w:r>
        <w:rPr>
          <w:rFonts w:hint="eastAsia" w:ascii="仿宋" w:hAnsi="仿宋" w:eastAsia="仿宋" w:cs="仿宋"/>
          <w:b w:val="0"/>
          <w:bCs w:val="0"/>
          <w:color w:val="auto"/>
          <w:kern w:val="0"/>
          <w:position w:val="-2"/>
          <w:sz w:val="24"/>
          <w:szCs w:val="24"/>
          <w:highlight w:val="none"/>
          <w:lang w:val="en-US" w:eastAsia="zh-CN"/>
        </w:rPr>
        <w:t>唱标人</w:t>
      </w:r>
      <w:r>
        <w:rPr>
          <w:rFonts w:hint="eastAsia" w:ascii="仿宋" w:hAnsi="仿宋" w:eastAsia="仿宋" w:cs="仿宋"/>
          <w:b w:val="0"/>
          <w:bCs w:val="0"/>
          <w:color w:val="auto"/>
          <w:kern w:val="0"/>
          <w:position w:val="-2"/>
          <w:sz w:val="24"/>
          <w:szCs w:val="24"/>
          <w:highlight w:val="none"/>
        </w:rPr>
        <w:t>：</w:t>
      </w:r>
      <w:r>
        <w:rPr>
          <w:rFonts w:hint="eastAsia" w:ascii="仿宋" w:hAnsi="仿宋" w:eastAsia="仿宋" w:cs="仿宋"/>
          <w:b w:val="0"/>
          <w:bCs w:val="0"/>
          <w:color w:val="auto"/>
          <w:w w:val="169"/>
          <w:kern w:val="0"/>
          <w:position w:val="-2"/>
          <w:sz w:val="24"/>
          <w:szCs w:val="24"/>
          <w:highlight w:val="none"/>
          <w:u w:val="single"/>
        </w:rPr>
        <w:t xml:space="preserve"> </w:t>
      </w:r>
      <w:r>
        <w:rPr>
          <w:rFonts w:hint="eastAsia" w:ascii="仿宋" w:hAnsi="仿宋" w:eastAsia="仿宋" w:cs="仿宋"/>
          <w:b w:val="0"/>
          <w:bCs w:val="0"/>
          <w:color w:val="auto"/>
          <w:kern w:val="0"/>
          <w:position w:val="-2"/>
          <w:sz w:val="24"/>
          <w:szCs w:val="24"/>
          <w:highlight w:val="none"/>
          <w:u w:val="single"/>
        </w:rPr>
        <w:tab/>
      </w:r>
      <w:r>
        <w:rPr>
          <w:rFonts w:hint="eastAsia" w:ascii="仿宋" w:hAnsi="仿宋" w:eastAsia="仿宋" w:cs="仿宋"/>
          <w:b w:val="0"/>
          <w:bCs w:val="0"/>
          <w:color w:val="auto"/>
          <w:kern w:val="0"/>
          <w:position w:val="-2"/>
          <w:sz w:val="24"/>
          <w:szCs w:val="24"/>
          <w:highlight w:val="none"/>
        </w:rPr>
        <w:tab/>
      </w:r>
      <w:r>
        <w:rPr>
          <w:rFonts w:hint="eastAsia" w:ascii="仿宋" w:hAnsi="仿宋" w:eastAsia="仿宋" w:cs="仿宋"/>
          <w:b w:val="0"/>
          <w:bCs w:val="0"/>
          <w:color w:val="auto"/>
          <w:spacing w:val="-2"/>
          <w:kern w:val="0"/>
          <w:position w:val="-2"/>
          <w:sz w:val="24"/>
          <w:szCs w:val="24"/>
          <w:highlight w:val="none"/>
        </w:rPr>
        <w:t>记</w:t>
      </w:r>
      <w:r>
        <w:rPr>
          <w:rFonts w:hint="eastAsia" w:ascii="仿宋" w:hAnsi="仿宋" w:eastAsia="仿宋" w:cs="仿宋"/>
          <w:b w:val="0"/>
          <w:bCs w:val="0"/>
          <w:color w:val="auto"/>
          <w:kern w:val="0"/>
          <w:position w:val="-2"/>
          <w:sz w:val="24"/>
          <w:szCs w:val="24"/>
          <w:highlight w:val="none"/>
        </w:rPr>
        <w:t>录</w:t>
      </w:r>
      <w:r>
        <w:rPr>
          <w:rFonts w:hint="eastAsia" w:ascii="仿宋" w:hAnsi="仿宋" w:eastAsia="仿宋" w:cs="仿宋"/>
          <w:b w:val="0"/>
          <w:bCs w:val="0"/>
          <w:color w:val="auto"/>
          <w:spacing w:val="-2"/>
          <w:kern w:val="0"/>
          <w:position w:val="-2"/>
          <w:sz w:val="24"/>
          <w:szCs w:val="24"/>
          <w:highlight w:val="none"/>
        </w:rPr>
        <w:t>人</w:t>
      </w:r>
      <w:r>
        <w:rPr>
          <w:rFonts w:hint="eastAsia" w:ascii="仿宋" w:hAnsi="仿宋" w:eastAsia="仿宋" w:cs="仿宋"/>
          <w:b w:val="0"/>
          <w:bCs w:val="0"/>
          <w:color w:val="auto"/>
          <w:kern w:val="0"/>
          <w:position w:val="-2"/>
          <w:sz w:val="24"/>
          <w:szCs w:val="24"/>
          <w:highlight w:val="none"/>
        </w:rPr>
        <w:t>：</w:t>
      </w:r>
      <w:r>
        <w:rPr>
          <w:rFonts w:hint="eastAsia" w:ascii="仿宋" w:hAnsi="仿宋" w:eastAsia="仿宋" w:cs="仿宋"/>
          <w:b w:val="0"/>
          <w:bCs w:val="0"/>
          <w:color w:val="auto"/>
          <w:w w:val="169"/>
          <w:kern w:val="0"/>
          <w:position w:val="-2"/>
          <w:sz w:val="24"/>
          <w:szCs w:val="24"/>
          <w:highlight w:val="none"/>
          <w:u w:val="single"/>
        </w:rPr>
        <w:t xml:space="preserve"> </w:t>
      </w:r>
      <w:r>
        <w:rPr>
          <w:rFonts w:hint="eastAsia" w:ascii="仿宋" w:hAnsi="仿宋" w:eastAsia="仿宋" w:cs="仿宋"/>
          <w:b w:val="0"/>
          <w:bCs w:val="0"/>
          <w:color w:val="auto"/>
          <w:kern w:val="0"/>
          <w:position w:val="-2"/>
          <w:sz w:val="24"/>
          <w:szCs w:val="24"/>
          <w:highlight w:val="none"/>
          <w:u w:val="single"/>
        </w:rPr>
        <w:tab/>
      </w:r>
      <w:r>
        <w:rPr>
          <w:rFonts w:hint="eastAsia" w:ascii="仿宋" w:hAnsi="仿宋" w:eastAsia="仿宋" w:cs="仿宋"/>
          <w:b w:val="0"/>
          <w:bCs w:val="0"/>
          <w:color w:val="auto"/>
          <w:kern w:val="0"/>
          <w:position w:val="-2"/>
          <w:sz w:val="24"/>
          <w:szCs w:val="24"/>
          <w:highlight w:val="none"/>
        </w:rPr>
        <w:tab/>
      </w:r>
      <w:r>
        <w:rPr>
          <w:rFonts w:hint="eastAsia" w:ascii="仿宋" w:hAnsi="仿宋" w:eastAsia="仿宋" w:cs="仿宋"/>
          <w:b w:val="0"/>
          <w:bCs w:val="0"/>
          <w:color w:val="auto"/>
          <w:spacing w:val="-2"/>
          <w:kern w:val="0"/>
          <w:position w:val="-2"/>
          <w:sz w:val="24"/>
          <w:szCs w:val="24"/>
          <w:highlight w:val="none"/>
        </w:rPr>
        <w:t>监</w:t>
      </w:r>
      <w:r>
        <w:rPr>
          <w:rFonts w:hint="eastAsia" w:ascii="仿宋" w:hAnsi="仿宋" w:eastAsia="仿宋" w:cs="仿宋"/>
          <w:b w:val="0"/>
          <w:bCs w:val="0"/>
          <w:color w:val="auto"/>
          <w:kern w:val="0"/>
          <w:position w:val="-2"/>
          <w:sz w:val="24"/>
          <w:szCs w:val="24"/>
          <w:highlight w:val="none"/>
        </w:rPr>
        <w:t>标</w:t>
      </w:r>
      <w:r>
        <w:rPr>
          <w:rFonts w:hint="eastAsia" w:ascii="仿宋" w:hAnsi="仿宋" w:eastAsia="仿宋" w:cs="仿宋"/>
          <w:b w:val="0"/>
          <w:bCs w:val="0"/>
          <w:color w:val="auto"/>
          <w:spacing w:val="-2"/>
          <w:kern w:val="0"/>
          <w:position w:val="-2"/>
          <w:sz w:val="24"/>
          <w:szCs w:val="24"/>
          <w:highlight w:val="none"/>
        </w:rPr>
        <w:t>人</w:t>
      </w:r>
      <w:r>
        <w:rPr>
          <w:rFonts w:hint="eastAsia" w:ascii="仿宋" w:hAnsi="仿宋" w:eastAsia="仿宋" w:cs="仿宋"/>
          <w:b w:val="0"/>
          <w:bCs w:val="0"/>
          <w:color w:val="auto"/>
          <w:kern w:val="0"/>
          <w:position w:val="-2"/>
          <w:sz w:val="24"/>
          <w:szCs w:val="24"/>
          <w:highlight w:val="none"/>
        </w:rPr>
        <w:t>：</w:t>
      </w:r>
      <w:r>
        <w:rPr>
          <w:rFonts w:hint="eastAsia" w:ascii="仿宋" w:hAnsi="仿宋" w:eastAsia="仿宋" w:cs="仿宋"/>
          <w:b w:val="0"/>
          <w:bCs w:val="0"/>
          <w:color w:val="auto"/>
          <w:w w:val="169"/>
          <w:kern w:val="0"/>
          <w:position w:val="-2"/>
          <w:sz w:val="24"/>
          <w:szCs w:val="24"/>
          <w:highlight w:val="none"/>
          <w:u w:val="single"/>
        </w:rPr>
        <w:t xml:space="preserve"> </w:t>
      </w:r>
      <w:r>
        <w:rPr>
          <w:rFonts w:hint="eastAsia" w:ascii="仿宋" w:hAnsi="仿宋" w:eastAsia="仿宋" w:cs="仿宋"/>
          <w:b w:val="0"/>
          <w:bCs w:val="0"/>
          <w:color w:val="auto"/>
          <w:kern w:val="0"/>
          <w:position w:val="-2"/>
          <w:sz w:val="24"/>
          <w:szCs w:val="24"/>
          <w:highlight w:val="none"/>
          <w:u w:val="single"/>
        </w:rPr>
        <w:tab/>
      </w:r>
    </w:p>
    <w:p>
      <w:pPr>
        <w:pStyle w:val="5"/>
        <w:pageBreakBefore w:val="0"/>
        <w:kinsoku/>
        <w:wordWrap/>
        <w:bidi w:val="0"/>
        <w:adjustRightInd w:val="0"/>
        <w:snapToGrid w:val="0"/>
        <w:spacing w:before="0" w:beforeLines="0" w:after="0" w:afterLines="0" w:line="360" w:lineRule="auto"/>
        <w:ind w:left="0" w:leftChars="0" w:right="0" w:rightChars="0"/>
        <w:rPr>
          <w:rFonts w:hint="eastAsia" w:ascii="仿宋" w:hAnsi="仿宋" w:eastAsia="仿宋" w:cs="仿宋"/>
          <w:color w:val="auto"/>
          <w:highlight w:val="none"/>
        </w:rPr>
      </w:pPr>
      <w:r>
        <w:rPr>
          <w:rFonts w:hint="eastAsia" w:ascii="仿宋" w:hAnsi="仿宋" w:eastAsia="仿宋" w:cs="仿宋"/>
          <w:color w:val="auto"/>
          <w:highlight w:val="none"/>
        </w:rPr>
        <w:t>附件二：问题澄清通知</w:t>
      </w:r>
      <w:bookmarkEnd w:id="293"/>
      <w:bookmarkEnd w:id="294"/>
      <w:bookmarkEnd w:id="295"/>
      <w:bookmarkEnd w:id="296"/>
      <w:bookmarkEnd w:id="297"/>
      <w:bookmarkEnd w:id="298"/>
      <w:bookmarkEnd w:id="299"/>
      <w:bookmarkEnd w:id="300"/>
    </w:p>
    <w:p>
      <w:pPr>
        <w:pageBreakBefore w:val="0"/>
        <w:kinsoku/>
        <w:wordWrap/>
        <w:bidi w:val="0"/>
        <w:adjustRightInd w:val="0"/>
        <w:snapToGrid w:val="0"/>
        <w:spacing w:line="360" w:lineRule="auto"/>
        <w:ind w:left="0" w:leftChars="0" w:right="0" w:rightChars="0"/>
        <w:jc w:val="center"/>
        <w:rPr>
          <w:rFonts w:hint="eastAsia" w:ascii="仿宋" w:hAnsi="仿宋" w:eastAsia="仿宋" w:cs="仿宋"/>
          <w:color w:val="auto"/>
          <w:szCs w:val="21"/>
          <w:highlight w:val="none"/>
        </w:rPr>
      </w:pPr>
    </w:p>
    <w:p>
      <w:pPr>
        <w:pageBreakBefore w:val="0"/>
        <w:kinsoku/>
        <w:wordWrap/>
        <w:bidi w:val="0"/>
        <w:adjustRightInd w:val="0"/>
        <w:snapToGrid w:val="0"/>
        <w:spacing w:line="360" w:lineRule="auto"/>
        <w:ind w:left="0" w:leftChars="0" w:right="0" w:rightChars="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问题澄清通知</w:t>
      </w:r>
    </w:p>
    <w:p>
      <w:pPr>
        <w:pageBreakBefore w:val="0"/>
        <w:kinsoku/>
        <w:wordWrap/>
        <w:bidi w:val="0"/>
        <w:adjustRightInd w:val="0"/>
        <w:snapToGrid w:val="0"/>
        <w:spacing w:line="360" w:lineRule="auto"/>
        <w:ind w:left="0" w:leftChars="0" w:right="0" w:rightChars="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（编号：</w:t>
      </w:r>
      <w:r>
        <w:rPr>
          <w:rFonts w:hint="eastAsia" w:ascii="仿宋" w:hAnsi="仿宋" w:eastAsia="仿宋" w:cs="仿宋"/>
          <w:color w:val="auto"/>
          <w:highlight w:val="none"/>
          <w:u w:val="single"/>
        </w:rPr>
        <w:t xml:space="preserve">                </w:t>
      </w:r>
      <w:r>
        <w:rPr>
          <w:rFonts w:hint="eastAsia" w:ascii="仿宋" w:hAnsi="仿宋" w:eastAsia="仿宋" w:cs="仿宋"/>
          <w:color w:val="auto"/>
          <w:szCs w:val="21"/>
          <w:highlight w:val="none"/>
        </w:rPr>
        <w:t>）</w:t>
      </w:r>
    </w:p>
    <w:p>
      <w:pPr>
        <w:pageBreakBefore w:val="0"/>
        <w:kinsoku/>
        <w:wordWrap/>
        <w:bidi w:val="0"/>
        <w:adjustRightInd w:val="0"/>
        <w:snapToGrid w:val="0"/>
        <w:spacing w:line="360" w:lineRule="auto"/>
        <w:ind w:left="0" w:leftChars="0" w:right="0" w:rightChars="0"/>
        <w:rPr>
          <w:rFonts w:hint="eastAsia" w:ascii="仿宋" w:hAnsi="仿宋" w:eastAsia="仿宋" w:cs="仿宋"/>
          <w:color w:val="auto"/>
          <w:szCs w:val="21"/>
          <w:highlight w:val="none"/>
        </w:rPr>
      </w:pPr>
    </w:p>
    <w:p>
      <w:pPr>
        <w:pageBreakBefore w:val="0"/>
        <w:kinsoku/>
        <w:wordWrap/>
        <w:bidi w:val="0"/>
        <w:adjustRightInd w:val="0"/>
        <w:snapToGrid w:val="0"/>
        <w:spacing w:line="360" w:lineRule="auto"/>
        <w:ind w:left="0" w:leftChars="0" w:right="0" w:rightChars="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（投标人名称）：</w:t>
      </w:r>
    </w:p>
    <w:p>
      <w:pPr>
        <w:pageBreakBefore w:val="0"/>
        <w:kinsoku/>
        <w:wordWrap/>
        <w:bidi w:val="0"/>
        <w:adjustRightInd w:val="0"/>
        <w:snapToGrid w:val="0"/>
        <w:spacing w:line="360" w:lineRule="auto"/>
        <w:ind w:left="0" w:leftChars="0" w:right="0" w:rightChars="0"/>
        <w:rPr>
          <w:rFonts w:hint="eastAsia" w:ascii="仿宋" w:hAnsi="仿宋" w:eastAsia="仿宋" w:cs="仿宋"/>
          <w:color w:val="auto"/>
          <w:szCs w:val="21"/>
          <w:highlight w:val="none"/>
        </w:rPr>
      </w:pPr>
    </w:p>
    <w:p>
      <w:pPr>
        <w:pageBreakBefore w:val="0"/>
        <w:kinsoku/>
        <w:wordWrap/>
        <w:bidi w:val="0"/>
        <w:adjustRightInd w:val="0"/>
        <w:snapToGrid w:val="0"/>
        <w:spacing w:line="360" w:lineRule="auto"/>
        <w:ind w:left="0" w:leftChars="0" w:right="0" w:rightChars="0"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评标委员会对你方的投标文件进行了仔细的审查，现需你方对下列问题以书面形式予以澄</w:t>
      </w:r>
    </w:p>
    <w:p>
      <w:pPr>
        <w:pageBreakBefore w:val="0"/>
        <w:kinsoku/>
        <w:wordWrap/>
        <w:bidi w:val="0"/>
        <w:adjustRightInd w:val="0"/>
        <w:snapToGrid w:val="0"/>
        <w:spacing w:line="360" w:lineRule="auto"/>
        <w:ind w:left="0" w:leftChars="0" w:right="0" w:rightChars="0"/>
        <w:rPr>
          <w:rFonts w:hint="eastAsia" w:ascii="仿宋" w:hAnsi="仿宋" w:eastAsia="仿宋" w:cs="仿宋"/>
          <w:color w:val="auto"/>
          <w:szCs w:val="21"/>
          <w:highlight w:val="none"/>
        </w:rPr>
      </w:pPr>
      <w:r>
        <w:rPr>
          <w:rFonts w:hint="eastAsia" w:ascii="仿宋" w:hAnsi="仿宋" w:eastAsia="仿宋" w:cs="仿宋"/>
          <w:color w:val="auto"/>
          <w:szCs w:val="21"/>
          <w:highlight w:val="none"/>
        </w:rPr>
        <w:t>清、说明或补正：</w:t>
      </w:r>
    </w:p>
    <w:p>
      <w:pPr>
        <w:pageBreakBefore w:val="0"/>
        <w:kinsoku/>
        <w:wordWrap/>
        <w:bidi w:val="0"/>
        <w:adjustRightInd w:val="0"/>
        <w:snapToGrid w:val="0"/>
        <w:spacing w:line="360" w:lineRule="auto"/>
        <w:ind w:left="0" w:leftChars="0" w:right="0" w:rightChars="0"/>
        <w:rPr>
          <w:rFonts w:hint="eastAsia" w:ascii="仿宋" w:hAnsi="仿宋" w:eastAsia="仿宋" w:cs="仿宋"/>
          <w:color w:val="auto"/>
          <w:szCs w:val="21"/>
          <w:highlight w:val="none"/>
        </w:rPr>
      </w:pPr>
      <w:r>
        <w:rPr>
          <w:rFonts w:hint="eastAsia" w:ascii="仿宋" w:hAnsi="仿宋" w:eastAsia="仿宋" w:cs="仿宋"/>
          <w:color w:val="auto"/>
          <w:szCs w:val="21"/>
          <w:highlight w:val="none"/>
        </w:rPr>
        <w:t>　　</w:t>
      </w:r>
    </w:p>
    <w:p>
      <w:pPr>
        <w:pageBreakBefore w:val="0"/>
        <w:kinsoku/>
        <w:wordWrap/>
        <w:bidi w:val="0"/>
        <w:adjustRightInd w:val="0"/>
        <w:snapToGrid w:val="0"/>
        <w:spacing w:line="360" w:lineRule="auto"/>
        <w:ind w:left="0" w:leftChars="0" w:right="0" w:rightChars="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1.</w:t>
      </w:r>
    </w:p>
    <w:p>
      <w:pPr>
        <w:pageBreakBefore w:val="0"/>
        <w:kinsoku/>
        <w:wordWrap/>
        <w:bidi w:val="0"/>
        <w:adjustRightInd w:val="0"/>
        <w:snapToGrid w:val="0"/>
        <w:spacing w:line="360" w:lineRule="auto"/>
        <w:ind w:left="0" w:leftChars="0" w:right="0" w:rightChars="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2.</w:t>
      </w:r>
    </w:p>
    <w:p>
      <w:pPr>
        <w:pageBreakBefore w:val="0"/>
        <w:kinsoku/>
        <w:wordWrap/>
        <w:bidi w:val="0"/>
        <w:adjustRightInd w:val="0"/>
        <w:snapToGrid w:val="0"/>
        <w:spacing w:line="360" w:lineRule="auto"/>
        <w:ind w:left="0" w:leftChars="0" w:right="0" w:rightChars="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   </w:t>
      </w:r>
    </w:p>
    <w:p>
      <w:pPr>
        <w:pageBreakBefore w:val="0"/>
        <w:kinsoku/>
        <w:wordWrap/>
        <w:bidi w:val="0"/>
        <w:adjustRightInd w:val="0"/>
        <w:snapToGrid w:val="0"/>
        <w:spacing w:line="360" w:lineRule="auto"/>
        <w:ind w:left="0" w:leftChars="0" w:right="0" w:rightChars="0"/>
        <w:rPr>
          <w:rFonts w:hint="eastAsia" w:ascii="仿宋" w:hAnsi="仿宋" w:eastAsia="仿宋" w:cs="仿宋"/>
          <w:color w:val="auto"/>
          <w:szCs w:val="21"/>
          <w:highlight w:val="none"/>
        </w:rPr>
      </w:pPr>
      <w:r>
        <w:rPr>
          <w:rFonts w:hint="eastAsia" w:ascii="仿宋" w:hAnsi="仿宋" w:eastAsia="仿宋" w:cs="仿宋"/>
          <w:color w:val="auto"/>
          <w:szCs w:val="21"/>
          <w:highlight w:val="none"/>
        </w:rPr>
        <w:t>　　　</w:t>
      </w:r>
    </w:p>
    <w:p>
      <w:pPr>
        <w:pageBreakBefore w:val="0"/>
        <w:kinsoku/>
        <w:wordWrap/>
        <w:bidi w:val="0"/>
        <w:adjustRightInd w:val="0"/>
        <w:snapToGrid w:val="0"/>
        <w:spacing w:line="360" w:lineRule="auto"/>
        <w:ind w:left="0" w:leftChars="0" w:right="0" w:rightChars="0"/>
        <w:rPr>
          <w:rFonts w:hint="eastAsia" w:ascii="仿宋" w:hAnsi="仿宋" w:eastAsia="仿宋" w:cs="仿宋"/>
          <w:color w:val="auto"/>
          <w:szCs w:val="21"/>
          <w:highlight w:val="none"/>
        </w:rPr>
      </w:pPr>
      <w:r>
        <w:rPr>
          <w:rFonts w:hint="eastAsia" w:ascii="仿宋" w:hAnsi="仿宋" w:eastAsia="仿宋" w:cs="仿宋"/>
          <w:color w:val="auto"/>
          <w:szCs w:val="21"/>
          <w:highlight w:val="none"/>
        </w:rPr>
        <w:t>　　请将上述问题的澄清、说明或补正于</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年</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月</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日</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时前递交至</w:t>
      </w:r>
    </w:p>
    <w:p>
      <w:pPr>
        <w:pageBreakBefore w:val="0"/>
        <w:kinsoku/>
        <w:wordWrap/>
        <w:bidi w:val="0"/>
        <w:adjustRightInd w:val="0"/>
        <w:snapToGrid w:val="0"/>
        <w:spacing w:line="360" w:lineRule="auto"/>
        <w:ind w:left="0" w:leftChars="0" w:right="0" w:rightChars="0"/>
        <w:rPr>
          <w:rFonts w:hint="eastAsia" w:ascii="仿宋" w:hAnsi="仿宋" w:eastAsia="仿宋" w:cs="仿宋"/>
          <w:color w:val="auto"/>
          <w:szCs w:val="21"/>
          <w:highlight w:val="none"/>
        </w:rPr>
      </w:pP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（详细地址）或传真至</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（传真号码）或通过下载招标文件的电子招标交易平台上传。采用传真方式的，应在</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年</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月</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日</w:t>
      </w:r>
    </w:p>
    <w:p>
      <w:pPr>
        <w:pageBreakBefore w:val="0"/>
        <w:kinsoku/>
        <w:wordWrap/>
        <w:bidi w:val="0"/>
        <w:adjustRightInd w:val="0"/>
        <w:snapToGrid w:val="0"/>
        <w:spacing w:line="360" w:lineRule="auto"/>
        <w:ind w:left="0" w:leftChars="0" w:right="0" w:rightChars="0"/>
        <w:rPr>
          <w:rFonts w:hint="eastAsia" w:ascii="仿宋" w:hAnsi="仿宋" w:eastAsia="仿宋" w:cs="仿宋"/>
          <w:color w:val="auto"/>
          <w:szCs w:val="21"/>
          <w:highlight w:val="none"/>
        </w:rPr>
      </w:pP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时前将原件递交至</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（详细地址）。</w:t>
      </w:r>
    </w:p>
    <w:p>
      <w:pPr>
        <w:pageBreakBefore w:val="0"/>
        <w:kinsoku/>
        <w:wordWrap/>
        <w:bidi w:val="0"/>
        <w:adjustRightInd w:val="0"/>
        <w:snapToGrid w:val="0"/>
        <w:spacing w:line="360" w:lineRule="auto"/>
        <w:ind w:left="0" w:leftChars="0" w:right="0" w:rightChars="0"/>
        <w:rPr>
          <w:rFonts w:hint="eastAsia" w:ascii="仿宋" w:hAnsi="仿宋" w:eastAsia="仿宋" w:cs="仿宋"/>
          <w:color w:val="auto"/>
          <w:szCs w:val="21"/>
          <w:highlight w:val="none"/>
        </w:rPr>
      </w:pPr>
    </w:p>
    <w:p>
      <w:pPr>
        <w:pageBreakBefore w:val="0"/>
        <w:kinsoku/>
        <w:wordWrap/>
        <w:bidi w:val="0"/>
        <w:adjustRightInd w:val="0"/>
        <w:snapToGrid w:val="0"/>
        <w:spacing w:line="360" w:lineRule="auto"/>
        <w:ind w:left="0" w:leftChars="0" w:right="0" w:rightChars="0"/>
        <w:rPr>
          <w:rFonts w:hint="eastAsia" w:ascii="仿宋" w:hAnsi="仿宋" w:eastAsia="仿宋" w:cs="仿宋"/>
          <w:color w:val="auto"/>
          <w:szCs w:val="21"/>
          <w:highlight w:val="none"/>
        </w:rPr>
      </w:pPr>
    </w:p>
    <w:p>
      <w:pPr>
        <w:pageBreakBefore w:val="0"/>
        <w:kinsoku/>
        <w:wordWrap/>
        <w:bidi w:val="0"/>
        <w:adjustRightInd w:val="0"/>
        <w:snapToGrid w:val="0"/>
        <w:spacing w:line="360" w:lineRule="auto"/>
        <w:ind w:left="0" w:leftChars="0" w:right="0" w:rightChars="0"/>
        <w:jc w:val="right"/>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评标委员会授权的招标人或招标代理机构：</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（签字或盖章）</w:t>
      </w:r>
    </w:p>
    <w:p>
      <w:pPr>
        <w:pageBreakBefore w:val="0"/>
        <w:kinsoku/>
        <w:wordWrap/>
        <w:bidi w:val="0"/>
        <w:adjustRightInd w:val="0"/>
        <w:snapToGrid w:val="0"/>
        <w:spacing w:line="360" w:lineRule="auto"/>
        <w:ind w:left="0" w:leftChars="0" w:right="0" w:rightChars="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w:t>
      </w:r>
    </w:p>
    <w:p>
      <w:pPr>
        <w:pageBreakBefore w:val="0"/>
        <w:kinsoku/>
        <w:wordWrap/>
        <w:bidi w:val="0"/>
        <w:adjustRightInd w:val="0"/>
        <w:snapToGrid w:val="0"/>
        <w:spacing w:line="360" w:lineRule="auto"/>
        <w:ind w:left="0" w:leftChars="0" w:right="0" w:rightChars="0" w:firstLine="3045" w:firstLineChars="145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 xml:space="preserve">年 </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 xml:space="preserve">月 </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日</w:t>
      </w:r>
    </w:p>
    <w:p>
      <w:pPr>
        <w:pageBreakBefore w:val="0"/>
        <w:kinsoku/>
        <w:wordWrap/>
        <w:bidi w:val="0"/>
        <w:adjustRightInd w:val="0"/>
        <w:snapToGrid w:val="0"/>
        <w:spacing w:line="360" w:lineRule="auto"/>
        <w:ind w:left="0" w:leftChars="0" w:right="0" w:rightChars="0"/>
        <w:rPr>
          <w:rFonts w:hint="eastAsia" w:ascii="仿宋" w:hAnsi="仿宋" w:eastAsia="仿宋" w:cs="仿宋"/>
          <w:color w:val="auto"/>
          <w:highlight w:val="none"/>
        </w:rPr>
      </w:pPr>
    </w:p>
    <w:p>
      <w:pPr>
        <w:pageBreakBefore w:val="0"/>
        <w:kinsoku/>
        <w:wordWrap/>
        <w:bidi w:val="0"/>
        <w:adjustRightInd w:val="0"/>
        <w:snapToGrid w:val="0"/>
        <w:spacing w:line="360" w:lineRule="auto"/>
        <w:ind w:left="0" w:leftChars="0" w:right="0" w:rightChars="0"/>
        <w:rPr>
          <w:rFonts w:hint="eastAsia" w:ascii="仿宋" w:hAnsi="仿宋" w:eastAsia="仿宋" w:cs="仿宋"/>
          <w:color w:val="auto"/>
          <w:highlight w:val="none"/>
        </w:rPr>
      </w:pPr>
      <w:r>
        <w:rPr>
          <w:rFonts w:hint="eastAsia" w:ascii="仿宋" w:hAnsi="仿宋" w:eastAsia="仿宋" w:cs="仿宋"/>
          <w:color w:val="auto"/>
          <w:highlight w:val="none"/>
        </w:rPr>
        <w:br w:type="page"/>
      </w:r>
    </w:p>
    <w:p>
      <w:pPr>
        <w:pStyle w:val="5"/>
        <w:pageBreakBefore w:val="0"/>
        <w:kinsoku/>
        <w:wordWrap/>
        <w:bidi w:val="0"/>
        <w:adjustRightInd w:val="0"/>
        <w:snapToGrid w:val="0"/>
        <w:spacing w:before="0" w:beforeLines="0" w:after="0" w:afterLines="0" w:line="360" w:lineRule="auto"/>
        <w:ind w:left="0" w:leftChars="0" w:right="0" w:rightChars="0"/>
        <w:rPr>
          <w:rFonts w:hint="eastAsia" w:ascii="仿宋" w:hAnsi="仿宋" w:eastAsia="仿宋" w:cs="仿宋"/>
          <w:color w:val="auto"/>
          <w:highlight w:val="none"/>
        </w:rPr>
      </w:pPr>
      <w:bookmarkStart w:id="301" w:name="_Toc179632601"/>
      <w:bookmarkStart w:id="302" w:name="_Toc152042360"/>
      <w:bookmarkStart w:id="303" w:name="_Toc247085741"/>
      <w:bookmarkStart w:id="304" w:name="_Toc514837912"/>
      <w:bookmarkStart w:id="305" w:name="_Toc246996969"/>
      <w:bookmarkStart w:id="306" w:name="_Toc246996226"/>
      <w:bookmarkStart w:id="307" w:name="_Toc144974550"/>
      <w:bookmarkStart w:id="308" w:name="_Toc152045583"/>
      <w:r>
        <w:rPr>
          <w:rFonts w:hint="eastAsia" w:ascii="仿宋" w:hAnsi="仿宋" w:eastAsia="仿宋" w:cs="仿宋"/>
          <w:color w:val="auto"/>
          <w:highlight w:val="none"/>
        </w:rPr>
        <w:t>附件三：问题的澄清</w:t>
      </w:r>
      <w:bookmarkEnd w:id="301"/>
      <w:bookmarkEnd w:id="302"/>
      <w:bookmarkEnd w:id="303"/>
      <w:bookmarkEnd w:id="304"/>
      <w:bookmarkEnd w:id="305"/>
      <w:bookmarkEnd w:id="306"/>
      <w:bookmarkEnd w:id="307"/>
      <w:bookmarkEnd w:id="308"/>
    </w:p>
    <w:p>
      <w:pPr>
        <w:pageBreakBefore w:val="0"/>
        <w:kinsoku/>
        <w:wordWrap/>
        <w:bidi w:val="0"/>
        <w:adjustRightInd w:val="0"/>
        <w:snapToGrid w:val="0"/>
        <w:spacing w:line="360" w:lineRule="auto"/>
        <w:ind w:left="0" w:leftChars="0" w:right="0" w:rightChars="0"/>
        <w:jc w:val="center"/>
        <w:rPr>
          <w:rFonts w:hint="eastAsia" w:ascii="仿宋" w:hAnsi="仿宋" w:eastAsia="仿宋" w:cs="仿宋"/>
          <w:color w:val="auto"/>
          <w:sz w:val="28"/>
          <w:szCs w:val="28"/>
          <w:highlight w:val="none"/>
        </w:rPr>
      </w:pPr>
    </w:p>
    <w:p>
      <w:pPr>
        <w:pageBreakBefore w:val="0"/>
        <w:kinsoku/>
        <w:wordWrap/>
        <w:bidi w:val="0"/>
        <w:adjustRightInd w:val="0"/>
        <w:snapToGrid w:val="0"/>
        <w:spacing w:line="360" w:lineRule="auto"/>
        <w:ind w:left="0" w:leftChars="0" w:right="0" w:rightChars="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问题的澄清</w:t>
      </w:r>
    </w:p>
    <w:p>
      <w:pPr>
        <w:pageBreakBefore w:val="0"/>
        <w:kinsoku/>
        <w:wordWrap/>
        <w:bidi w:val="0"/>
        <w:adjustRightInd w:val="0"/>
        <w:snapToGrid w:val="0"/>
        <w:spacing w:line="360" w:lineRule="auto"/>
        <w:ind w:left="0" w:leftChars="0" w:right="0" w:rightChars="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（编号：</w:t>
      </w:r>
      <w:r>
        <w:rPr>
          <w:rFonts w:hint="eastAsia" w:ascii="仿宋" w:hAnsi="仿宋" w:eastAsia="仿宋" w:cs="仿宋"/>
          <w:color w:val="auto"/>
          <w:highlight w:val="none"/>
          <w:u w:val="single"/>
        </w:rPr>
        <w:t xml:space="preserve">                </w:t>
      </w:r>
      <w:r>
        <w:rPr>
          <w:rFonts w:hint="eastAsia" w:ascii="仿宋" w:hAnsi="仿宋" w:eastAsia="仿宋" w:cs="仿宋"/>
          <w:color w:val="auto"/>
          <w:szCs w:val="21"/>
          <w:highlight w:val="none"/>
        </w:rPr>
        <w:t>）</w:t>
      </w:r>
    </w:p>
    <w:p>
      <w:pPr>
        <w:pageBreakBefore w:val="0"/>
        <w:kinsoku/>
        <w:wordWrap/>
        <w:bidi w:val="0"/>
        <w:adjustRightInd w:val="0"/>
        <w:snapToGrid w:val="0"/>
        <w:spacing w:line="360" w:lineRule="auto"/>
        <w:ind w:left="0" w:leftChars="0" w:right="0" w:rightChars="0"/>
        <w:rPr>
          <w:rFonts w:hint="eastAsia" w:ascii="仿宋" w:hAnsi="仿宋" w:eastAsia="仿宋" w:cs="仿宋"/>
          <w:color w:val="auto"/>
          <w:szCs w:val="21"/>
          <w:highlight w:val="none"/>
        </w:rPr>
      </w:pPr>
    </w:p>
    <w:p>
      <w:pPr>
        <w:pageBreakBefore w:val="0"/>
        <w:kinsoku/>
        <w:wordWrap/>
        <w:bidi w:val="0"/>
        <w:adjustRightInd w:val="0"/>
        <w:snapToGrid w:val="0"/>
        <w:spacing w:line="360" w:lineRule="auto"/>
        <w:ind w:left="0" w:leftChars="0" w:right="0" w:rightChars="0"/>
        <w:rPr>
          <w:rFonts w:hint="eastAsia" w:ascii="仿宋" w:hAnsi="仿宋" w:eastAsia="仿宋" w:cs="仿宋"/>
          <w:color w:val="auto"/>
          <w:szCs w:val="21"/>
          <w:highlight w:val="none"/>
        </w:rPr>
      </w:pPr>
      <w:r>
        <w:rPr>
          <w:rFonts w:hint="eastAsia" w:ascii="仿宋" w:hAnsi="仿宋" w:eastAsia="仿宋" w:cs="仿宋"/>
          <w:color w:val="auto"/>
          <w:szCs w:val="21"/>
          <w:highlight w:val="none"/>
        </w:rPr>
        <w:t>评标委员会：</w:t>
      </w:r>
    </w:p>
    <w:p>
      <w:pPr>
        <w:pageBreakBefore w:val="0"/>
        <w:kinsoku/>
        <w:wordWrap/>
        <w:bidi w:val="0"/>
        <w:adjustRightInd w:val="0"/>
        <w:snapToGrid w:val="0"/>
        <w:spacing w:line="360" w:lineRule="auto"/>
        <w:ind w:left="0" w:leftChars="0" w:right="0" w:rightChars="0"/>
        <w:rPr>
          <w:rFonts w:hint="eastAsia" w:ascii="仿宋" w:hAnsi="仿宋" w:eastAsia="仿宋" w:cs="仿宋"/>
          <w:color w:val="auto"/>
          <w:szCs w:val="21"/>
          <w:highlight w:val="none"/>
        </w:rPr>
      </w:pPr>
    </w:p>
    <w:p>
      <w:pPr>
        <w:pageBreakBefore w:val="0"/>
        <w:kinsoku/>
        <w:wordWrap/>
        <w:bidi w:val="0"/>
        <w:adjustRightInd w:val="0"/>
        <w:snapToGrid w:val="0"/>
        <w:spacing w:line="360" w:lineRule="auto"/>
        <w:ind w:left="0" w:leftChars="0" w:right="0" w:rightChars="0"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问题澄清通知（编号：</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）已收悉，现澄清、说明或补正如下：</w:t>
      </w:r>
    </w:p>
    <w:p>
      <w:pPr>
        <w:pageBreakBefore w:val="0"/>
        <w:kinsoku/>
        <w:wordWrap/>
        <w:bidi w:val="0"/>
        <w:adjustRightInd w:val="0"/>
        <w:snapToGrid w:val="0"/>
        <w:spacing w:line="360" w:lineRule="auto"/>
        <w:ind w:left="0" w:leftChars="0" w:right="0" w:rightChars="0"/>
        <w:rPr>
          <w:rFonts w:hint="eastAsia" w:ascii="仿宋" w:hAnsi="仿宋" w:eastAsia="仿宋" w:cs="仿宋"/>
          <w:color w:val="auto"/>
          <w:szCs w:val="21"/>
          <w:highlight w:val="none"/>
        </w:rPr>
      </w:pPr>
      <w:r>
        <w:rPr>
          <w:rFonts w:hint="eastAsia" w:ascii="仿宋" w:hAnsi="仿宋" w:eastAsia="仿宋" w:cs="仿宋"/>
          <w:color w:val="auto"/>
          <w:szCs w:val="21"/>
          <w:highlight w:val="none"/>
        </w:rPr>
        <w:t>　     1.</w:t>
      </w:r>
    </w:p>
    <w:p>
      <w:pPr>
        <w:pageBreakBefore w:val="0"/>
        <w:kinsoku/>
        <w:wordWrap/>
        <w:bidi w:val="0"/>
        <w:adjustRightInd w:val="0"/>
        <w:snapToGrid w:val="0"/>
        <w:spacing w:line="360" w:lineRule="auto"/>
        <w:ind w:left="0" w:leftChars="0" w:right="0" w:rightChars="0"/>
        <w:rPr>
          <w:rFonts w:hint="eastAsia" w:ascii="仿宋" w:hAnsi="仿宋" w:eastAsia="仿宋" w:cs="仿宋"/>
          <w:color w:val="auto"/>
          <w:szCs w:val="21"/>
          <w:highlight w:val="none"/>
        </w:rPr>
      </w:pPr>
      <w:r>
        <w:rPr>
          <w:rFonts w:hint="eastAsia" w:ascii="仿宋" w:hAnsi="仿宋" w:eastAsia="仿宋" w:cs="仿宋"/>
          <w:color w:val="auto"/>
          <w:szCs w:val="21"/>
          <w:highlight w:val="none"/>
        </w:rPr>
        <w:t>　     2.</w:t>
      </w:r>
    </w:p>
    <w:p>
      <w:pPr>
        <w:pageBreakBefore w:val="0"/>
        <w:kinsoku/>
        <w:wordWrap/>
        <w:bidi w:val="0"/>
        <w:adjustRightInd w:val="0"/>
        <w:snapToGrid w:val="0"/>
        <w:spacing w:line="360" w:lineRule="auto"/>
        <w:ind w:left="0" w:leftChars="0" w:right="0" w:rightChars="0"/>
        <w:rPr>
          <w:rFonts w:hint="eastAsia" w:ascii="仿宋" w:hAnsi="仿宋" w:eastAsia="仿宋" w:cs="仿宋"/>
          <w:color w:val="auto"/>
          <w:szCs w:val="21"/>
          <w:highlight w:val="none"/>
        </w:rPr>
      </w:pPr>
      <w:r>
        <w:rPr>
          <w:rFonts w:hint="eastAsia" w:ascii="仿宋" w:hAnsi="仿宋" w:eastAsia="仿宋" w:cs="仿宋"/>
          <w:color w:val="auto"/>
          <w:szCs w:val="21"/>
          <w:highlight w:val="none"/>
        </w:rPr>
        <w:t>　    .....</w:t>
      </w:r>
    </w:p>
    <w:p>
      <w:pPr>
        <w:pageBreakBefore w:val="0"/>
        <w:kinsoku/>
        <w:wordWrap/>
        <w:bidi w:val="0"/>
        <w:adjustRightInd w:val="0"/>
        <w:snapToGrid w:val="0"/>
        <w:spacing w:line="360" w:lineRule="auto"/>
        <w:ind w:left="0" w:leftChars="0" w:right="0" w:rightChars="0"/>
        <w:rPr>
          <w:rFonts w:hint="eastAsia" w:ascii="仿宋" w:hAnsi="仿宋" w:eastAsia="仿宋" w:cs="仿宋"/>
          <w:color w:val="auto"/>
          <w:szCs w:val="21"/>
          <w:highlight w:val="none"/>
        </w:rPr>
      </w:pPr>
    </w:p>
    <w:p>
      <w:pPr>
        <w:pageBreakBefore w:val="0"/>
        <w:kinsoku/>
        <w:wordWrap/>
        <w:bidi w:val="0"/>
        <w:adjustRightInd w:val="0"/>
        <w:snapToGrid w:val="0"/>
        <w:spacing w:line="360" w:lineRule="auto"/>
        <w:ind w:left="0" w:leftChars="0" w:right="0" w:rightChars="0"/>
        <w:rPr>
          <w:rFonts w:hint="eastAsia" w:ascii="仿宋" w:hAnsi="仿宋" w:eastAsia="仿宋" w:cs="仿宋"/>
          <w:color w:val="auto"/>
          <w:szCs w:val="21"/>
          <w:highlight w:val="none"/>
        </w:rPr>
      </w:pPr>
    </w:p>
    <w:p>
      <w:pPr>
        <w:pageBreakBefore w:val="0"/>
        <w:kinsoku/>
        <w:wordWrap/>
        <w:bidi w:val="0"/>
        <w:adjustRightInd w:val="0"/>
        <w:snapToGrid w:val="0"/>
        <w:spacing w:line="360" w:lineRule="auto"/>
        <w:ind w:left="0" w:leftChars="0" w:right="0" w:rightChars="0"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上述问题澄清、说明或补正，不改变我方投标文件的实质性内容，构成我方投标文件的组成部分。</w:t>
      </w:r>
    </w:p>
    <w:p>
      <w:pPr>
        <w:pageBreakBefore w:val="0"/>
        <w:kinsoku/>
        <w:wordWrap/>
        <w:bidi w:val="0"/>
        <w:adjustRightInd w:val="0"/>
        <w:snapToGrid w:val="0"/>
        <w:spacing w:line="360" w:lineRule="auto"/>
        <w:ind w:left="0" w:leftChars="0" w:right="0" w:rightChars="0"/>
        <w:rPr>
          <w:rFonts w:hint="eastAsia" w:ascii="仿宋" w:hAnsi="仿宋" w:eastAsia="仿宋" w:cs="仿宋"/>
          <w:color w:val="auto"/>
          <w:szCs w:val="21"/>
          <w:highlight w:val="none"/>
        </w:rPr>
      </w:pPr>
    </w:p>
    <w:p>
      <w:pPr>
        <w:pageBreakBefore w:val="0"/>
        <w:kinsoku/>
        <w:wordWrap/>
        <w:bidi w:val="0"/>
        <w:adjustRightInd w:val="0"/>
        <w:snapToGrid w:val="0"/>
        <w:spacing w:line="360" w:lineRule="auto"/>
        <w:ind w:left="0" w:leftChars="0" w:right="0" w:rightChars="0"/>
        <w:rPr>
          <w:rFonts w:hint="eastAsia" w:ascii="仿宋" w:hAnsi="仿宋" w:eastAsia="仿宋" w:cs="仿宋"/>
          <w:color w:val="auto"/>
          <w:szCs w:val="21"/>
          <w:highlight w:val="none"/>
        </w:rPr>
      </w:pPr>
      <w:r>
        <w:rPr>
          <w:rFonts w:hint="eastAsia" w:ascii="仿宋" w:hAnsi="仿宋" w:eastAsia="仿宋" w:cs="仿宋"/>
          <w:color w:val="auto"/>
          <w:szCs w:val="21"/>
          <w:highlight w:val="none"/>
        </w:rPr>
        <w:t>　　　　　　　　　　　　投标人：</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（盖单位章）</w:t>
      </w:r>
    </w:p>
    <w:p>
      <w:pPr>
        <w:pageBreakBefore w:val="0"/>
        <w:kinsoku/>
        <w:wordWrap/>
        <w:bidi w:val="0"/>
        <w:adjustRightInd w:val="0"/>
        <w:snapToGrid w:val="0"/>
        <w:spacing w:line="360" w:lineRule="auto"/>
        <w:ind w:left="0" w:leftChars="0" w:right="0" w:rightChars="0"/>
        <w:rPr>
          <w:rFonts w:hint="eastAsia" w:ascii="仿宋" w:hAnsi="仿宋" w:eastAsia="仿宋" w:cs="仿宋"/>
          <w:color w:val="auto"/>
          <w:szCs w:val="21"/>
          <w:highlight w:val="none"/>
        </w:rPr>
      </w:pPr>
      <w:r>
        <w:rPr>
          <w:rFonts w:hint="eastAsia" w:ascii="仿宋" w:hAnsi="仿宋" w:eastAsia="仿宋" w:cs="仿宋"/>
          <w:color w:val="auto"/>
          <w:szCs w:val="21"/>
          <w:highlight w:val="none"/>
        </w:rPr>
        <w:t>　　　　　　　　　　　　　　　</w:t>
      </w:r>
    </w:p>
    <w:p>
      <w:pPr>
        <w:pageBreakBefore w:val="0"/>
        <w:kinsoku/>
        <w:wordWrap/>
        <w:bidi w:val="0"/>
        <w:adjustRightInd w:val="0"/>
        <w:snapToGrid w:val="0"/>
        <w:spacing w:line="360" w:lineRule="auto"/>
        <w:ind w:left="0" w:leftChars="0" w:right="0" w:rightChars="0"/>
        <w:rPr>
          <w:rFonts w:hint="eastAsia" w:ascii="仿宋" w:hAnsi="仿宋" w:eastAsia="仿宋" w:cs="仿宋"/>
          <w:color w:val="auto"/>
          <w:szCs w:val="21"/>
          <w:highlight w:val="none"/>
        </w:rPr>
      </w:pPr>
      <w:r>
        <w:rPr>
          <w:rFonts w:hint="eastAsia" w:ascii="仿宋" w:hAnsi="仿宋" w:eastAsia="仿宋" w:cs="仿宋"/>
          <w:color w:val="auto"/>
          <w:szCs w:val="21"/>
          <w:highlight w:val="none"/>
        </w:rPr>
        <w:t>　　　　　　　　　　　　法定代表人或其委托代理人：</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（签字）</w:t>
      </w:r>
    </w:p>
    <w:p>
      <w:pPr>
        <w:pageBreakBefore w:val="0"/>
        <w:kinsoku/>
        <w:wordWrap/>
        <w:bidi w:val="0"/>
        <w:adjustRightInd w:val="0"/>
        <w:snapToGrid w:val="0"/>
        <w:spacing w:line="360" w:lineRule="auto"/>
        <w:ind w:left="0" w:leftChars="0" w:right="0" w:rightChars="0"/>
        <w:rPr>
          <w:rFonts w:hint="eastAsia" w:ascii="仿宋" w:hAnsi="仿宋" w:eastAsia="仿宋" w:cs="仿宋"/>
          <w:color w:val="auto"/>
          <w:szCs w:val="21"/>
          <w:highlight w:val="none"/>
        </w:rPr>
      </w:pPr>
      <w:r>
        <w:rPr>
          <w:rFonts w:hint="eastAsia" w:ascii="仿宋" w:hAnsi="仿宋" w:eastAsia="仿宋" w:cs="仿宋"/>
          <w:color w:val="auto"/>
          <w:szCs w:val="21"/>
          <w:highlight w:val="none"/>
        </w:rPr>
        <w:t>　　　　　　　　　　　　　　　</w:t>
      </w:r>
    </w:p>
    <w:p>
      <w:pPr>
        <w:pageBreakBefore w:val="0"/>
        <w:kinsoku/>
        <w:wordWrap/>
        <w:bidi w:val="0"/>
        <w:adjustRightInd w:val="0"/>
        <w:snapToGrid w:val="0"/>
        <w:spacing w:line="360" w:lineRule="auto"/>
        <w:ind w:left="0" w:leftChars="0" w:right="0" w:rightChars="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年</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月</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日</w:t>
      </w:r>
    </w:p>
    <w:p>
      <w:pPr>
        <w:pageBreakBefore w:val="0"/>
        <w:kinsoku/>
        <w:wordWrap/>
        <w:bidi w:val="0"/>
        <w:adjustRightInd w:val="0"/>
        <w:snapToGrid w:val="0"/>
        <w:spacing w:line="360" w:lineRule="auto"/>
        <w:ind w:left="0" w:leftChars="0" w:right="0" w:rightChars="0"/>
        <w:rPr>
          <w:rFonts w:hint="eastAsia" w:ascii="仿宋" w:hAnsi="仿宋" w:eastAsia="仿宋" w:cs="仿宋"/>
          <w:color w:val="auto"/>
          <w:highlight w:val="none"/>
        </w:rPr>
      </w:pPr>
    </w:p>
    <w:p>
      <w:pPr>
        <w:pageBreakBefore w:val="0"/>
        <w:kinsoku/>
        <w:wordWrap/>
        <w:autoSpaceDE w:val="0"/>
        <w:autoSpaceDN w:val="0"/>
        <w:bidi w:val="0"/>
        <w:adjustRightInd w:val="0"/>
        <w:snapToGrid w:val="0"/>
        <w:spacing w:line="360" w:lineRule="auto"/>
        <w:ind w:left="0" w:leftChars="0" w:right="0" w:rightChars="0"/>
        <w:jc w:val="left"/>
        <w:rPr>
          <w:rFonts w:hint="eastAsia" w:ascii="仿宋" w:hAnsi="仿宋" w:eastAsia="仿宋" w:cs="仿宋"/>
          <w:color w:val="auto"/>
          <w:kern w:val="0"/>
          <w:sz w:val="26"/>
          <w:szCs w:val="26"/>
          <w:highlight w:val="none"/>
        </w:rPr>
      </w:pPr>
      <w:r>
        <w:rPr>
          <w:rFonts w:hint="eastAsia" w:ascii="仿宋" w:hAnsi="仿宋" w:eastAsia="仿宋" w:cs="仿宋"/>
          <w:color w:val="auto"/>
          <w:highlight w:val="none"/>
        </w:rPr>
        <w:br w:type="page"/>
      </w:r>
    </w:p>
    <w:p>
      <w:pPr>
        <w:pStyle w:val="3"/>
        <w:bidi w:val="0"/>
        <w:rPr>
          <w:rFonts w:hint="eastAsia" w:ascii="仿宋" w:hAnsi="仿宋" w:eastAsia="仿宋" w:cs="仿宋"/>
          <w:color w:val="auto"/>
          <w:highlight w:val="none"/>
          <w:lang w:val="en-US" w:eastAsia="zh-Hans"/>
        </w:rPr>
      </w:pPr>
      <w:bookmarkStart w:id="309" w:name="_Toc283634446_WPSOffice_Level1"/>
      <w:r>
        <w:rPr>
          <w:rFonts w:hint="eastAsia" w:ascii="仿宋" w:hAnsi="仿宋" w:eastAsia="仿宋" w:cs="仿宋"/>
          <w:color w:val="auto"/>
          <w:highlight w:val="none"/>
          <w:lang w:val="en-US" w:eastAsia="zh-Hans"/>
        </w:rPr>
        <w:t>第三章</w:t>
      </w:r>
      <w:r>
        <w:rPr>
          <w:rFonts w:hint="eastAsia" w:ascii="仿宋" w:hAnsi="仿宋" w:eastAsia="仿宋" w:cs="仿宋"/>
          <w:color w:val="auto"/>
          <w:highlight w:val="none"/>
          <w:lang w:eastAsia="zh-Hans"/>
        </w:rPr>
        <w:t xml:space="preserve"> </w:t>
      </w:r>
      <w:r>
        <w:rPr>
          <w:rFonts w:hint="eastAsia" w:ascii="仿宋" w:hAnsi="仿宋" w:eastAsia="仿宋" w:cs="仿宋"/>
          <w:color w:val="auto"/>
          <w:highlight w:val="none"/>
          <w:lang w:val="en-US" w:eastAsia="zh-Hans"/>
        </w:rPr>
        <w:t>评标办法</w:t>
      </w:r>
      <w:r>
        <w:rPr>
          <w:rFonts w:hint="eastAsia" w:ascii="仿宋" w:hAnsi="仿宋" w:eastAsia="仿宋" w:cs="仿宋"/>
          <w:color w:val="auto"/>
          <w:highlight w:val="none"/>
          <w:lang w:eastAsia="zh-Hans"/>
        </w:rPr>
        <w:t>（综合评分法）</w:t>
      </w:r>
      <w:bookmarkEnd w:id="309"/>
    </w:p>
    <w:p>
      <w:pPr>
        <w:pStyle w:val="4"/>
        <w:keepNext/>
        <w:keepLines/>
        <w:pageBreakBefore w:val="0"/>
        <w:widowControl w:val="0"/>
        <w:kinsoku/>
        <w:wordWrap/>
        <w:overflowPunct/>
        <w:topLinePunct w:val="0"/>
        <w:autoSpaceDE/>
        <w:autoSpaceDN/>
        <w:bidi w:val="0"/>
        <w:adjustRightInd w:val="0"/>
        <w:snapToGrid w:val="0"/>
        <w:spacing w:before="0" w:beforeLines="0" w:after="0" w:afterLines="0" w:line="360" w:lineRule="auto"/>
        <w:ind w:left="0" w:leftChars="0" w:right="0" w:rightChars="0" w:firstLine="0" w:firstLineChars="0"/>
        <w:jc w:val="both"/>
        <w:textAlignment w:val="auto"/>
        <w:outlineLvl w:val="1"/>
        <w:rPr>
          <w:rFonts w:hint="eastAsia" w:ascii="仿宋" w:hAnsi="仿宋" w:eastAsia="仿宋" w:cs="仿宋"/>
          <w:color w:val="auto"/>
          <w:highlight w:val="none"/>
        </w:rPr>
      </w:pPr>
      <w:bookmarkStart w:id="310" w:name="_Toc514837915"/>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val="en-US" w:eastAsia="zh-Hans"/>
        </w:rPr>
        <w:t>.</w:t>
      </w:r>
      <w:r>
        <w:rPr>
          <w:rFonts w:hint="eastAsia" w:ascii="仿宋" w:hAnsi="仿宋" w:eastAsia="仿宋" w:cs="仿宋"/>
          <w:color w:val="auto"/>
          <w:sz w:val="24"/>
          <w:szCs w:val="24"/>
          <w:highlight w:val="none"/>
          <w:lang w:eastAsia="zh-Hans"/>
        </w:rPr>
        <w:t>1</w:t>
      </w:r>
      <w:r>
        <w:rPr>
          <w:rFonts w:hint="eastAsia" w:ascii="仿宋" w:hAnsi="仿宋" w:eastAsia="仿宋" w:cs="仿宋"/>
          <w:color w:val="auto"/>
          <w:sz w:val="24"/>
          <w:szCs w:val="24"/>
          <w:highlight w:val="none"/>
        </w:rPr>
        <w:t>评标办法前附表</w:t>
      </w:r>
      <w:bookmarkEnd w:id="310"/>
    </w:p>
    <w:tbl>
      <w:tblPr>
        <w:tblStyle w:val="21"/>
        <w:tblW w:w="840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29"/>
        <w:gridCol w:w="2338"/>
        <w:gridCol w:w="493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3467" w:type="dxa"/>
            <w:gridSpan w:val="2"/>
            <w:tcBorders>
              <w:top w:val="single" w:color="auto" w:sz="4" w:space="0"/>
              <w:left w:val="single" w:color="auto" w:sz="4" w:space="0"/>
              <w:bottom w:val="single" w:color="auto" w:sz="4" w:space="0"/>
              <w:right w:val="single" w:color="auto" w:sz="4" w:space="0"/>
            </w:tcBorders>
            <w:noWrap w:val="0"/>
            <w:vAlign w:val="center"/>
          </w:tcPr>
          <w:p>
            <w:pPr>
              <w:pageBreakBefore w:val="0"/>
              <w:kinsoku/>
              <w:wordWrap/>
              <w:bidi w:val="0"/>
              <w:adjustRightInd w:val="0"/>
              <w:snapToGrid w:val="0"/>
              <w:spacing w:line="360" w:lineRule="auto"/>
              <w:ind w:left="0" w:leftChars="0" w:right="0" w:rightChars="0"/>
              <w:jc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评审因素</w:t>
            </w:r>
          </w:p>
        </w:tc>
        <w:tc>
          <w:tcPr>
            <w:tcW w:w="493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bidi w:val="0"/>
              <w:adjustRightInd w:val="0"/>
              <w:snapToGrid w:val="0"/>
              <w:spacing w:line="360" w:lineRule="auto"/>
              <w:ind w:left="0" w:leftChars="0" w:right="0" w:rightChars="0"/>
              <w:jc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129" w:type="dxa"/>
            <w:tcBorders>
              <w:top w:val="single" w:color="auto" w:sz="4" w:space="0"/>
              <w:bottom w:val="single" w:color="auto" w:sz="4" w:space="0"/>
              <w:right w:val="single" w:color="auto" w:sz="4" w:space="0"/>
            </w:tcBorders>
            <w:noWrap w:val="0"/>
            <w:vAlign w:val="center"/>
          </w:tcPr>
          <w:p>
            <w:pPr>
              <w:pageBreakBefore w:val="0"/>
              <w:kinsoku/>
              <w:wordWrap/>
              <w:bidi w:val="0"/>
              <w:adjustRightInd w:val="0"/>
              <w:snapToGrid w:val="0"/>
              <w:spacing w:line="360" w:lineRule="auto"/>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评标方法</w:t>
            </w:r>
          </w:p>
        </w:tc>
        <w:tc>
          <w:tcPr>
            <w:tcW w:w="2338"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bidi w:val="0"/>
              <w:adjustRightInd w:val="0"/>
              <w:snapToGrid w:val="0"/>
              <w:spacing w:line="360" w:lineRule="auto"/>
              <w:ind w:left="0" w:leftChars="0" w:right="0" w:rightChars="0"/>
              <w:jc w:val="center"/>
              <w:rPr>
                <w:rFonts w:hint="eastAsia" w:ascii="仿宋" w:hAnsi="仿宋" w:eastAsia="仿宋" w:cs="仿宋"/>
                <w:color w:val="auto"/>
                <w:sz w:val="21"/>
                <w:szCs w:val="21"/>
                <w:highlight w:val="none"/>
                <w:lang w:eastAsia="zh-Hans"/>
              </w:rPr>
            </w:pPr>
            <w:r>
              <w:rPr>
                <w:rFonts w:hint="eastAsia" w:ascii="仿宋" w:hAnsi="仿宋" w:eastAsia="仿宋" w:cs="仿宋"/>
                <w:color w:val="auto"/>
                <w:sz w:val="21"/>
                <w:szCs w:val="21"/>
                <w:highlight w:val="none"/>
                <w:lang w:val="en-US" w:eastAsia="zh-Hans"/>
              </w:rPr>
              <w:t>综合评分法</w:t>
            </w:r>
          </w:p>
        </w:tc>
        <w:tc>
          <w:tcPr>
            <w:tcW w:w="493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bidi w:val="0"/>
              <w:adjustRightInd w:val="0"/>
              <w:snapToGrid w:val="0"/>
              <w:spacing w:line="360" w:lineRule="auto"/>
              <w:ind w:left="0" w:leftChars="0" w:right="0" w:rightChars="0"/>
              <w:rPr>
                <w:rFonts w:hint="eastAsia" w:ascii="仿宋" w:hAnsi="仿宋" w:eastAsia="仿宋" w:cs="仿宋"/>
                <w:color w:val="auto"/>
                <w:sz w:val="21"/>
                <w:szCs w:val="21"/>
                <w:highlight w:val="none"/>
                <w:lang w:eastAsia="zh-Hans"/>
              </w:rPr>
            </w:pPr>
            <w:r>
              <w:rPr>
                <w:rFonts w:hint="eastAsia" w:ascii="仿宋" w:hAnsi="仿宋" w:eastAsia="仿宋" w:cs="仿宋"/>
                <w:color w:val="auto"/>
                <w:spacing w:val="2"/>
                <w:kern w:val="0"/>
                <w:sz w:val="21"/>
                <w:szCs w:val="21"/>
                <w:highlight w:val="none"/>
                <w:lang w:val="en-US" w:eastAsia="zh-Hans"/>
              </w:rPr>
              <w:t>详见本章</w:t>
            </w:r>
            <w:r>
              <w:rPr>
                <w:rFonts w:hint="eastAsia" w:ascii="仿宋" w:hAnsi="仿宋" w:eastAsia="仿宋" w:cs="仿宋"/>
                <w:color w:val="auto"/>
                <w:spacing w:val="2"/>
                <w:kern w:val="0"/>
                <w:sz w:val="21"/>
                <w:szCs w:val="21"/>
                <w:highlight w:val="none"/>
                <w:lang w:eastAsia="zh-Hans"/>
              </w:rPr>
              <w:t>3</w:t>
            </w:r>
            <w:r>
              <w:rPr>
                <w:rFonts w:hint="eastAsia" w:ascii="仿宋" w:hAnsi="仿宋" w:eastAsia="仿宋" w:cs="仿宋"/>
                <w:color w:val="auto"/>
                <w:spacing w:val="2"/>
                <w:kern w:val="0"/>
                <w:sz w:val="21"/>
                <w:szCs w:val="21"/>
                <w:highlight w:val="none"/>
                <w:lang w:val="en-US" w:eastAsia="zh-Hans"/>
              </w:rPr>
              <w:t>.</w:t>
            </w:r>
            <w:r>
              <w:rPr>
                <w:rFonts w:hint="eastAsia" w:ascii="仿宋" w:hAnsi="仿宋" w:eastAsia="仿宋" w:cs="仿宋"/>
                <w:color w:val="auto"/>
                <w:spacing w:val="2"/>
                <w:kern w:val="0"/>
                <w:sz w:val="21"/>
                <w:szCs w:val="21"/>
                <w:highlight w:val="none"/>
                <w:lang w:eastAsia="zh-Hans"/>
              </w:rPr>
              <w:t>4</w:t>
            </w:r>
            <w:r>
              <w:rPr>
                <w:rFonts w:hint="eastAsia" w:ascii="仿宋" w:hAnsi="仿宋" w:eastAsia="仿宋" w:cs="仿宋"/>
                <w:color w:val="auto"/>
                <w:spacing w:val="2"/>
                <w:kern w:val="0"/>
                <w:sz w:val="21"/>
                <w:szCs w:val="21"/>
                <w:highlight w:val="none"/>
                <w:lang w:val="en-US" w:eastAsia="zh-Hans"/>
              </w:rPr>
              <w:t>.</w:t>
            </w:r>
            <w:r>
              <w:rPr>
                <w:rFonts w:hint="eastAsia" w:ascii="仿宋" w:hAnsi="仿宋" w:eastAsia="仿宋" w:cs="仿宋"/>
                <w:color w:val="auto"/>
                <w:spacing w:val="2"/>
                <w:kern w:val="0"/>
                <w:sz w:val="21"/>
                <w:szCs w:val="21"/>
                <w:highlight w:val="none"/>
                <w:lang w:eastAsia="zh-Hans"/>
              </w:rPr>
              <w:t>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1129" w:type="dxa"/>
            <w:tcBorders>
              <w:top w:val="single" w:color="auto" w:sz="4" w:space="0"/>
              <w:bottom w:val="single" w:color="auto" w:sz="4" w:space="0"/>
              <w:right w:val="single" w:color="auto" w:sz="4" w:space="0"/>
            </w:tcBorders>
            <w:noWrap w:val="0"/>
            <w:vAlign w:val="center"/>
          </w:tcPr>
          <w:p>
            <w:pPr>
              <w:pageBreakBefore w:val="0"/>
              <w:kinsoku/>
              <w:wordWrap/>
              <w:bidi w:val="0"/>
              <w:adjustRightInd w:val="0"/>
              <w:snapToGrid w:val="0"/>
              <w:spacing w:line="360" w:lineRule="auto"/>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资格</w:t>
            </w:r>
            <w:r>
              <w:rPr>
                <w:rFonts w:hint="eastAsia" w:ascii="仿宋" w:hAnsi="仿宋" w:eastAsia="仿宋" w:cs="仿宋"/>
                <w:color w:val="auto"/>
                <w:sz w:val="21"/>
                <w:szCs w:val="21"/>
                <w:highlight w:val="none"/>
                <w:lang w:val="en-US" w:eastAsia="zh-Hans"/>
              </w:rPr>
              <w:t>审查</w:t>
            </w:r>
            <w:r>
              <w:rPr>
                <w:rFonts w:hint="eastAsia" w:ascii="仿宋" w:hAnsi="仿宋" w:eastAsia="仿宋" w:cs="仿宋"/>
                <w:color w:val="auto"/>
                <w:sz w:val="21"/>
                <w:szCs w:val="21"/>
                <w:highlight w:val="none"/>
              </w:rPr>
              <w:t>标准</w:t>
            </w:r>
          </w:p>
        </w:tc>
        <w:tc>
          <w:tcPr>
            <w:tcW w:w="2338"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bidi w:val="0"/>
              <w:adjustRightInd w:val="0"/>
              <w:snapToGrid w:val="0"/>
              <w:spacing w:line="360" w:lineRule="auto"/>
              <w:ind w:left="0" w:leftChars="0" w:right="0" w:rightChars="0"/>
              <w:jc w:val="center"/>
              <w:rPr>
                <w:rFonts w:hint="eastAsia" w:ascii="仿宋" w:hAnsi="仿宋" w:eastAsia="仿宋" w:cs="仿宋"/>
                <w:color w:val="auto"/>
                <w:sz w:val="21"/>
                <w:szCs w:val="21"/>
                <w:highlight w:val="none"/>
                <w:lang w:val="en-US" w:eastAsia="zh-Hans"/>
              </w:rPr>
            </w:pPr>
            <w:r>
              <w:rPr>
                <w:rFonts w:hint="eastAsia" w:ascii="仿宋" w:hAnsi="仿宋" w:eastAsia="仿宋" w:cs="仿宋"/>
                <w:color w:val="auto"/>
                <w:sz w:val="21"/>
                <w:szCs w:val="21"/>
                <w:highlight w:val="none"/>
                <w:lang w:val="en-US" w:eastAsia="zh-Hans"/>
              </w:rPr>
              <w:t>资格审查</w:t>
            </w:r>
          </w:p>
        </w:tc>
        <w:tc>
          <w:tcPr>
            <w:tcW w:w="493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bidi w:val="0"/>
              <w:adjustRightInd w:val="0"/>
              <w:snapToGrid w:val="0"/>
              <w:spacing w:line="360" w:lineRule="auto"/>
              <w:ind w:left="0" w:leftChars="0" w:right="0" w:rightChars="0"/>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1）投标人应出具</w:t>
            </w:r>
            <w:r>
              <w:rPr>
                <w:rFonts w:hint="eastAsia" w:ascii="仿宋" w:hAnsi="仿宋" w:eastAsia="仿宋" w:cs="仿宋"/>
                <w:color w:val="auto"/>
                <w:kern w:val="0"/>
                <w:sz w:val="21"/>
                <w:szCs w:val="21"/>
                <w:highlight w:val="none"/>
                <w:lang w:val="en-US" w:eastAsia="zh-Hans"/>
              </w:rPr>
              <w:t>有效的“一证一码”或“三证合一”的营业执照</w:t>
            </w:r>
            <w:r>
              <w:rPr>
                <w:rFonts w:hint="eastAsia" w:ascii="仿宋" w:hAnsi="仿宋" w:eastAsia="仿宋" w:cs="仿宋"/>
                <w:color w:val="auto"/>
                <w:kern w:val="0"/>
                <w:sz w:val="21"/>
                <w:szCs w:val="21"/>
                <w:highlight w:val="none"/>
                <w:lang w:val="en-US" w:eastAsia="zh-CN"/>
              </w:rPr>
              <w:t>副本原件；</w:t>
            </w:r>
          </w:p>
          <w:p>
            <w:pPr>
              <w:pageBreakBefore w:val="0"/>
              <w:kinsoku/>
              <w:wordWrap/>
              <w:bidi w:val="0"/>
              <w:adjustRightInd w:val="0"/>
              <w:snapToGrid w:val="0"/>
              <w:spacing w:line="360" w:lineRule="auto"/>
              <w:ind w:left="0" w:leftChars="0" w:right="0" w:right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2）法定代表人参加投标的，应提供法定代表人居民身份证原件；法定代表人授权人参加投标的，应提供法定代表人授权书及被授权人居民身份证原件；</w:t>
            </w:r>
          </w:p>
          <w:p>
            <w:pPr>
              <w:pageBreakBefore w:val="0"/>
              <w:kinsoku/>
              <w:wordWrap/>
              <w:bidi w:val="0"/>
              <w:adjustRightInd w:val="0"/>
              <w:snapToGrid w:val="0"/>
              <w:spacing w:line="360" w:lineRule="auto"/>
              <w:ind w:left="0" w:leftChars="0" w:right="0" w:rightChars="0"/>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3）投标人须提供通过“信用中国”网站（www.creditchina.gov.cn）和中国政府采购网（www.ccgp.gov.cn）渠道查询的本单位信用记录的网页，并加盖投标单位公章的原件，被列入失信被执行人、重大税收违法案件当事人名单、政府采购严重违法失信行为记录名单的单位及其他不符合《中华人民共和国政府采购法》第二十二条规定条件的投标单位，将被拒绝参与本次政府采购活动；</w:t>
            </w:r>
          </w:p>
          <w:p>
            <w:pPr>
              <w:pageBreakBefore w:val="0"/>
              <w:kinsoku/>
              <w:wordWrap/>
              <w:bidi w:val="0"/>
              <w:adjustRightInd w:val="0"/>
              <w:snapToGrid w:val="0"/>
              <w:spacing w:line="360" w:lineRule="auto"/>
              <w:ind w:left="0" w:leftChars="0" w:right="0" w:rightChars="0"/>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val="en-US" w:eastAsia="zh-CN"/>
              </w:rPr>
              <w:t>4</w:t>
            </w:r>
            <w:r>
              <w:rPr>
                <w:rFonts w:hint="eastAsia" w:ascii="仿宋" w:hAnsi="仿宋" w:eastAsia="仿宋" w:cs="仿宋"/>
                <w:color w:val="auto"/>
                <w:kern w:val="0"/>
                <w:sz w:val="21"/>
                <w:szCs w:val="21"/>
                <w:highlight w:val="none"/>
                <w:lang w:eastAsia="zh-CN"/>
              </w:rPr>
              <w:t>）</w:t>
            </w:r>
            <w:r>
              <w:rPr>
                <w:rFonts w:hint="eastAsia" w:ascii="仿宋" w:hAnsi="仿宋" w:eastAsia="仿宋" w:cs="仿宋"/>
                <w:color w:val="auto"/>
                <w:kern w:val="0"/>
                <w:sz w:val="21"/>
                <w:szCs w:val="21"/>
                <w:highlight w:val="none"/>
                <w:lang w:val="en-US" w:eastAsia="zh-CN"/>
              </w:rPr>
              <w:t>本项目不允许联合体投标。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129" w:type="dxa"/>
            <w:vMerge w:val="restart"/>
            <w:tcBorders>
              <w:top w:val="single" w:color="auto" w:sz="4" w:space="0"/>
              <w:bottom w:val="single" w:color="auto" w:sz="4" w:space="0"/>
              <w:right w:val="single" w:color="auto" w:sz="4" w:space="0"/>
            </w:tcBorders>
            <w:noWrap w:val="0"/>
            <w:vAlign w:val="center"/>
          </w:tcPr>
          <w:p>
            <w:pPr>
              <w:pageBreakBefore w:val="0"/>
              <w:kinsoku/>
              <w:wordWrap/>
              <w:bidi w:val="0"/>
              <w:adjustRightInd w:val="0"/>
              <w:snapToGrid w:val="0"/>
              <w:spacing w:line="360" w:lineRule="auto"/>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Hans"/>
              </w:rPr>
              <w:t>符合</w:t>
            </w:r>
            <w:r>
              <w:rPr>
                <w:rFonts w:hint="eastAsia" w:ascii="仿宋" w:hAnsi="仿宋" w:eastAsia="仿宋" w:cs="仿宋"/>
                <w:color w:val="auto"/>
                <w:sz w:val="21"/>
                <w:szCs w:val="21"/>
                <w:highlight w:val="none"/>
              </w:rPr>
              <w:t>性评审标准</w:t>
            </w:r>
          </w:p>
        </w:tc>
        <w:tc>
          <w:tcPr>
            <w:tcW w:w="2338"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bidi w:val="0"/>
              <w:adjustRightInd w:val="0"/>
              <w:snapToGrid w:val="0"/>
              <w:spacing w:line="360" w:lineRule="auto"/>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投标报价</w:t>
            </w:r>
          </w:p>
        </w:tc>
        <w:tc>
          <w:tcPr>
            <w:tcW w:w="493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bidi w:val="0"/>
              <w:adjustRightInd w:val="0"/>
              <w:snapToGrid w:val="0"/>
              <w:spacing w:line="360" w:lineRule="auto"/>
              <w:ind w:left="0" w:leftChars="0" w:right="0" w:rightChars="0"/>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val="en-US" w:eastAsia="zh-Hans"/>
              </w:rPr>
              <w:t>投标人</w:t>
            </w:r>
            <w:r>
              <w:rPr>
                <w:rFonts w:hint="eastAsia" w:ascii="仿宋" w:hAnsi="仿宋" w:eastAsia="仿宋" w:cs="仿宋"/>
                <w:color w:val="auto"/>
                <w:kern w:val="0"/>
                <w:sz w:val="21"/>
                <w:szCs w:val="21"/>
                <w:highlight w:val="none"/>
              </w:rPr>
              <w:t>的报价未超过采购预算</w:t>
            </w:r>
            <w:r>
              <w:rPr>
                <w:rFonts w:hint="eastAsia" w:ascii="仿宋" w:hAnsi="仿宋" w:eastAsia="仿宋" w:cs="仿宋"/>
                <w:color w:val="auto"/>
                <w:kern w:val="0"/>
                <w:sz w:val="21"/>
                <w:szCs w:val="21"/>
                <w:highlight w:val="none"/>
                <w:lang w:val="en-US" w:eastAsia="zh-Hans"/>
              </w:rPr>
              <w:t>且唯一</w:t>
            </w:r>
            <w:r>
              <w:rPr>
                <w:rFonts w:hint="eastAsia" w:ascii="仿宋" w:hAnsi="仿宋" w:eastAsia="仿宋" w:cs="仿宋"/>
                <w:color w:val="auto"/>
                <w:kern w:val="0"/>
                <w:sz w:val="21"/>
                <w:szCs w:val="21"/>
                <w:highlight w:val="none"/>
                <w:lang w:eastAsia="zh-Hans"/>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129" w:type="dxa"/>
            <w:vMerge w:val="continue"/>
            <w:tcBorders>
              <w:top w:val="single" w:color="auto" w:sz="4" w:space="0"/>
              <w:bottom w:val="single" w:color="auto" w:sz="4" w:space="0"/>
              <w:right w:val="single" w:color="auto" w:sz="4" w:space="0"/>
            </w:tcBorders>
            <w:noWrap w:val="0"/>
            <w:vAlign w:val="center"/>
          </w:tcPr>
          <w:p>
            <w:pPr>
              <w:pageBreakBefore w:val="0"/>
              <w:kinsoku/>
              <w:wordWrap/>
              <w:bidi w:val="0"/>
              <w:adjustRightInd w:val="0"/>
              <w:snapToGrid w:val="0"/>
              <w:spacing w:line="360" w:lineRule="auto"/>
              <w:ind w:left="0" w:leftChars="0" w:right="0" w:rightChars="0"/>
              <w:jc w:val="center"/>
              <w:rPr>
                <w:rFonts w:hint="eastAsia" w:ascii="仿宋" w:hAnsi="仿宋" w:eastAsia="仿宋" w:cs="仿宋"/>
                <w:color w:val="auto"/>
                <w:sz w:val="21"/>
                <w:szCs w:val="21"/>
                <w:highlight w:val="none"/>
              </w:rPr>
            </w:pPr>
          </w:p>
        </w:tc>
        <w:tc>
          <w:tcPr>
            <w:tcW w:w="2338"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bidi w:val="0"/>
              <w:adjustRightInd w:val="0"/>
              <w:snapToGrid w:val="0"/>
              <w:spacing w:line="360" w:lineRule="auto"/>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投标内容</w:t>
            </w:r>
          </w:p>
        </w:tc>
        <w:tc>
          <w:tcPr>
            <w:tcW w:w="493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bidi w:val="0"/>
              <w:adjustRightInd w:val="0"/>
              <w:snapToGrid w:val="0"/>
              <w:spacing w:line="360" w:lineRule="auto"/>
              <w:ind w:left="0" w:leftChars="0" w:right="0" w:rightChars="0"/>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rPr>
              <w:t>投标文件的有效性、完整性响应招标文件要求，对招标文件的实质性要求作出响应。</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129" w:type="dxa"/>
            <w:vMerge w:val="continue"/>
            <w:tcBorders>
              <w:top w:val="single" w:color="auto" w:sz="4" w:space="0"/>
              <w:bottom w:val="single" w:color="auto" w:sz="4" w:space="0"/>
              <w:right w:val="single" w:color="auto" w:sz="4" w:space="0"/>
            </w:tcBorders>
            <w:noWrap w:val="0"/>
            <w:vAlign w:val="center"/>
          </w:tcPr>
          <w:p>
            <w:pPr>
              <w:pageBreakBefore w:val="0"/>
              <w:kinsoku/>
              <w:wordWrap/>
              <w:bidi w:val="0"/>
              <w:adjustRightInd w:val="0"/>
              <w:snapToGrid w:val="0"/>
              <w:spacing w:line="360" w:lineRule="auto"/>
              <w:ind w:left="0" w:leftChars="0" w:right="0" w:rightChars="0"/>
              <w:jc w:val="center"/>
              <w:rPr>
                <w:rFonts w:hint="eastAsia" w:ascii="仿宋" w:hAnsi="仿宋" w:eastAsia="仿宋" w:cs="仿宋"/>
                <w:color w:val="auto"/>
                <w:sz w:val="21"/>
                <w:szCs w:val="21"/>
                <w:highlight w:val="none"/>
              </w:rPr>
            </w:pPr>
          </w:p>
        </w:tc>
        <w:tc>
          <w:tcPr>
            <w:tcW w:w="2338"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bidi w:val="0"/>
              <w:adjustRightInd w:val="0"/>
              <w:snapToGrid w:val="0"/>
              <w:spacing w:line="360" w:lineRule="auto"/>
              <w:ind w:left="0" w:leftChars="0" w:right="0" w:rightChars="0"/>
              <w:jc w:val="center"/>
              <w:rPr>
                <w:rFonts w:hint="eastAsia" w:ascii="仿宋" w:hAnsi="仿宋" w:eastAsia="仿宋" w:cs="仿宋"/>
                <w:color w:val="auto"/>
                <w:sz w:val="21"/>
                <w:szCs w:val="21"/>
                <w:highlight w:val="none"/>
                <w:lang w:val="en-US" w:eastAsia="zh-Hans"/>
              </w:rPr>
            </w:pPr>
            <w:r>
              <w:rPr>
                <w:rFonts w:hint="eastAsia" w:ascii="仿宋" w:hAnsi="仿宋" w:eastAsia="仿宋" w:cs="仿宋"/>
                <w:color w:val="auto"/>
                <w:sz w:val="21"/>
                <w:szCs w:val="21"/>
                <w:highlight w:val="none"/>
                <w:lang w:val="en-US" w:eastAsia="zh-Hans"/>
              </w:rPr>
              <w:t>投标文件</w:t>
            </w:r>
          </w:p>
        </w:tc>
        <w:tc>
          <w:tcPr>
            <w:tcW w:w="493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bidi w:val="0"/>
              <w:adjustRightInd w:val="0"/>
              <w:snapToGrid w:val="0"/>
              <w:spacing w:line="360" w:lineRule="auto"/>
              <w:ind w:left="0" w:leftChars="0" w:right="0" w:rightChars="0"/>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rPr>
              <w:t>投标文件按照招标文件规定要求密封、签署、盖章；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129" w:type="dxa"/>
            <w:vMerge w:val="continue"/>
            <w:tcBorders>
              <w:top w:val="single" w:color="auto" w:sz="4" w:space="0"/>
              <w:bottom w:val="single" w:color="auto" w:sz="4" w:space="0"/>
              <w:right w:val="single" w:color="auto" w:sz="4" w:space="0"/>
            </w:tcBorders>
            <w:noWrap w:val="0"/>
            <w:vAlign w:val="center"/>
          </w:tcPr>
          <w:p>
            <w:pPr>
              <w:pageBreakBefore w:val="0"/>
              <w:kinsoku/>
              <w:wordWrap/>
              <w:bidi w:val="0"/>
              <w:adjustRightInd w:val="0"/>
              <w:snapToGrid w:val="0"/>
              <w:spacing w:line="360" w:lineRule="auto"/>
              <w:ind w:left="0" w:leftChars="0" w:right="0" w:rightChars="0"/>
              <w:jc w:val="center"/>
              <w:rPr>
                <w:rFonts w:hint="eastAsia" w:ascii="仿宋" w:hAnsi="仿宋" w:eastAsia="仿宋" w:cs="仿宋"/>
                <w:color w:val="auto"/>
                <w:sz w:val="21"/>
                <w:szCs w:val="21"/>
                <w:highlight w:val="none"/>
              </w:rPr>
            </w:pPr>
          </w:p>
        </w:tc>
        <w:tc>
          <w:tcPr>
            <w:tcW w:w="2338"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bidi w:val="0"/>
              <w:adjustRightInd w:val="0"/>
              <w:snapToGrid w:val="0"/>
              <w:spacing w:line="360" w:lineRule="auto"/>
              <w:ind w:left="0" w:leftChars="0" w:right="0" w:rightChars="0"/>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投标保证金</w:t>
            </w:r>
          </w:p>
        </w:tc>
        <w:tc>
          <w:tcPr>
            <w:tcW w:w="493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bidi w:val="0"/>
              <w:adjustRightInd w:val="0"/>
              <w:snapToGrid w:val="0"/>
              <w:spacing w:line="360" w:lineRule="auto"/>
              <w:ind w:left="0" w:leftChars="0" w:right="0" w:rightChars="0"/>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0"/>
                <w:sz w:val="21"/>
                <w:szCs w:val="21"/>
                <w:highlight w:val="none"/>
                <w:lang w:val="en-US" w:eastAsia="zh-Hans"/>
              </w:rPr>
              <w:t>投标人缴纳</w:t>
            </w:r>
            <w:r>
              <w:rPr>
                <w:rFonts w:hint="eastAsia" w:ascii="仿宋" w:hAnsi="仿宋" w:eastAsia="仿宋" w:cs="仿宋"/>
                <w:color w:val="auto"/>
                <w:kern w:val="0"/>
                <w:sz w:val="21"/>
                <w:szCs w:val="21"/>
                <w:highlight w:val="none"/>
              </w:rPr>
              <w:t>投标保证金；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129" w:type="dxa"/>
            <w:vMerge w:val="continue"/>
            <w:tcBorders>
              <w:top w:val="single" w:color="auto" w:sz="4" w:space="0"/>
              <w:bottom w:val="single" w:color="auto" w:sz="4" w:space="0"/>
              <w:right w:val="single" w:color="auto" w:sz="4" w:space="0"/>
            </w:tcBorders>
            <w:noWrap w:val="0"/>
            <w:vAlign w:val="center"/>
          </w:tcPr>
          <w:p>
            <w:pPr>
              <w:pageBreakBefore w:val="0"/>
              <w:kinsoku/>
              <w:wordWrap/>
              <w:bidi w:val="0"/>
              <w:adjustRightInd w:val="0"/>
              <w:snapToGrid w:val="0"/>
              <w:spacing w:line="360" w:lineRule="auto"/>
              <w:ind w:left="0" w:leftChars="0" w:right="0" w:rightChars="0"/>
              <w:jc w:val="center"/>
              <w:rPr>
                <w:rFonts w:hint="eastAsia" w:ascii="仿宋" w:hAnsi="仿宋" w:eastAsia="仿宋" w:cs="仿宋"/>
                <w:color w:val="auto"/>
                <w:sz w:val="21"/>
                <w:szCs w:val="21"/>
                <w:highlight w:val="none"/>
              </w:rPr>
            </w:pPr>
          </w:p>
        </w:tc>
        <w:tc>
          <w:tcPr>
            <w:tcW w:w="2338"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bidi w:val="0"/>
              <w:adjustRightInd w:val="0"/>
              <w:snapToGrid w:val="0"/>
              <w:spacing w:line="360" w:lineRule="auto"/>
              <w:ind w:left="0" w:leftChars="0" w:right="0" w:rightChars="0"/>
              <w:jc w:val="center"/>
              <w:rPr>
                <w:rFonts w:hint="eastAsia" w:ascii="仿宋" w:hAnsi="仿宋" w:eastAsia="仿宋" w:cs="仿宋"/>
                <w:color w:val="auto"/>
                <w:sz w:val="21"/>
                <w:szCs w:val="21"/>
                <w:highlight w:val="none"/>
                <w:lang w:val="en-US" w:eastAsia="zh-Hans"/>
              </w:rPr>
            </w:pPr>
            <w:r>
              <w:rPr>
                <w:rFonts w:hint="eastAsia" w:ascii="仿宋" w:hAnsi="仿宋" w:eastAsia="仿宋" w:cs="仿宋"/>
                <w:color w:val="auto"/>
                <w:sz w:val="21"/>
                <w:szCs w:val="21"/>
                <w:highlight w:val="none"/>
                <w:lang w:val="en-US" w:eastAsia="zh-Hans"/>
              </w:rPr>
              <w:t>投标文件编写</w:t>
            </w:r>
          </w:p>
        </w:tc>
        <w:tc>
          <w:tcPr>
            <w:tcW w:w="493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bidi w:val="0"/>
              <w:adjustRightInd w:val="0"/>
              <w:snapToGrid w:val="0"/>
              <w:spacing w:line="360" w:lineRule="auto"/>
              <w:ind w:left="0" w:leftChars="0" w:right="0" w:right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投标文件是否按照招标文件要求编写；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1129" w:type="dxa"/>
            <w:vMerge w:val="continue"/>
            <w:tcBorders>
              <w:top w:val="single" w:color="auto" w:sz="4" w:space="0"/>
              <w:bottom w:val="single" w:color="auto" w:sz="4" w:space="0"/>
              <w:right w:val="single" w:color="auto" w:sz="4" w:space="0"/>
            </w:tcBorders>
            <w:noWrap w:val="0"/>
            <w:vAlign w:val="center"/>
          </w:tcPr>
          <w:p>
            <w:pPr>
              <w:pageBreakBefore w:val="0"/>
              <w:kinsoku/>
              <w:wordWrap/>
              <w:bidi w:val="0"/>
              <w:adjustRightInd w:val="0"/>
              <w:snapToGrid w:val="0"/>
              <w:spacing w:line="360" w:lineRule="auto"/>
              <w:ind w:left="0" w:leftChars="0" w:right="0" w:rightChars="0"/>
              <w:jc w:val="center"/>
              <w:rPr>
                <w:rFonts w:hint="eastAsia" w:ascii="仿宋" w:hAnsi="仿宋" w:eastAsia="仿宋" w:cs="仿宋"/>
                <w:color w:val="auto"/>
                <w:sz w:val="21"/>
                <w:szCs w:val="21"/>
                <w:highlight w:val="none"/>
              </w:rPr>
            </w:pPr>
          </w:p>
        </w:tc>
        <w:tc>
          <w:tcPr>
            <w:tcW w:w="2338"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bidi w:val="0"/>
              <w:adjustRightInd w:val="0"/>
              <w:snapToGrid w:val="0"/>
              <w:spacing w:line="360" w:lineRule="auto"/>
              <w:ind w:left="0" w:leftChars="0" w:right="0" w:rightChars="0"/>
              <w:jc w:val="center"/>
              <w:rPr>
                <w:rFonts w:hint="eastAsia" w:ascii="仿宋" w:hAnsi="仿宋" w:eastAsia="仿宋" w:cs="仿宋"/>
                <w:color w:val="auto"/>
                <w:kern w:val="0"/>
                <w:sz w:val="21"/>
                <w:szCs w:val="21"/>
                <w:highlight w:val="none"/>
                <w:lang w:val="en-US" w:eastAsia="zh-Hans"/>
              </w:rPr>
            </w:pPr>
            <w:r>
              <w:rPr>
                <w:rFonts w:hint="eastAsia" w:ascii="仿宋" w:hAnsi="仿宋" w:eastAsia="仿宋" w:cs="仿宋"/>
                <w:color w:val="auto"/>
                <w:kern w:val="0"/>
                <w:sz w:val="21"/>
                <w:szCs w:val="21"/>
                <w:highlight w:val="none"/>
                <w:lang w:val="en-US" w:eastAsia="zh-Hans"/>
              </w:rPr>
              <w:t>供货要求</w:t>
            </w:r>
          </w:p>
        </w:tc>
        <w:tc>
          <w:tcPr>
            <w:tcW w:w="493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bidi w:val="0"/>
              <w:adjustRightInd w:val="0"/>
              <w:snapToGrid w:val="0"/>
              <w:spacing w:line="360" w:lineRule="auto"/>
              <w:ind w:left="0" w:leftChars="0" w:right="0" w:rightChars="0"/>
              <w:rPr>
                <w:rFonts w:hint="eastAsia" w:ascii="仿宋" w:hAnsi="仿宋" w:eastAsia="仿宋" w:cs="仿宋"/>
                <w:color w:val="auto"/>
                <w:kern w:val="0"/>
                <w:sz w:val="21"/>
                <w:szCs w:val="21"/>
                <w:highlight w:val="none"/>
              </w:rPr>
            </w:pPr>
            <w:r>
              <w:rPr>
                <w:rFonts w:hint="eastAsia" w:ascii="仿宋" w:hAnsi="仿宋" w:eastAsia="仿宋" w:cs="仿宋"/>
                <w:color w:val="auto"/>
                <w:sz w:val="21"/>
                <w:szCs w:val="21"/>
                <w:highlight w:val="none"/>
              </w:rPr>
              <w:t>投标人所报交货期、质保期、</w:t>
            </w:r>
            <w:r>
              <w:rPr>
                <w:rFonts w:hint="eastAsia" w:ascii="仿宋" w:hAnsi="仿宋" w:eastAsia="仿宋" w:cs="仿宋"/>
                <w:color w:val="auto"/>
                <w:sz w:val="21"/>
                <w:szCs w:val="21"/>
                <w:highlight w:val="none"/>
                <w:lang w:val="en-US" w:eastAsia="zh-Hans"/>
              </w:rPr>
              <w:t>售后服务响应时间</w:t>
            </w:r>
            <w:r>
              <w:rPr>
                <w:rFonts w:hint="eastAsia" w:ascii="仿宋" w:hAnsi="仿宋" w:eastAsia="仿宋" w:cs="仿宋"/>
                <w:color w:val="auto"/>
                <w:sz w:val="21"/>
                <w:szCs w:val="21"/>
                <w:highlight w:val="none"/>
              </w:rPr>
              <w:t>是否满足招标文件规定。</w:t>
            </w:r>
          </w:p>
        </w:tc>
      </w:tr>
    </w:tbl>
    <w:p>
      <w:pPr>
        <w:pStyle w:val="10"/>
        <w:pageBreakBefore w:val="0"/>
        <w:kinsoku/>
        <w:wordWrap/>
        <w:bidi w:val="0"/>
        <w:adjustRightInd w:val="0"/>
        <w:snapToGrid w:val="0"/>
        <w:spacing w:line="360" w:lineRule="auto"/>
        <w:ind w:left="0" w:leftChars="0" w:right="0" w:rightChars="0" w:firstLine="0" w:firstLineChars="0"/>
        <w:rPr>
          <w:rFonts w:hint="eastAsia" w:ascii="仿宋" w:hAnsi="仿宋" w:eastAsia="仿宋" w:cs="仿宋"/>
          <w:color w:val="auto"/>
          <w:highlight w:val="none"/>
          <w:lang w:val="en-US" w:eastAsia="zh-Hans"/>
        </w:rPr>
      </w:pPr>
      <w:bookmarkStart w:id="311" w:name="_Toc152045600"/>
      <w:bookmarkStart w:id="312" w:name="_Toc144974567"/>
      <w:bookmarkStart w:id="313" w:name="_Toc179632618"/>
      <w:bookmarkStart w:id="314" w:name="_Toc246996986"/>
      <w:bookmarkStart w:id="315" w:name="_Toc246996243"/>
      <w:bookmarkStart w:id="316" w:name="_Toc152042377"/>
      <w:bookmarkStart w:id="317" w:name="_Toc247085758"/>
      <w:bookmarkStart w:id="318" w:name="_Toc514837916"/>
    </w:p>
    <w:p>
      <w:pPr>
        <w:pageBreakBefore w:val="0"/>
        <w:kinsoku/>
        <w:wordWrap/>
        <w:bidi w:val="0"/>
        <w:adjustRightInd w:val="0"/>
        <w:snapToGrid w:val="0"/>
        <w:spacing w:line="360" w:lineRule="auto"/>
        <w:ind w:left="0" w:leftChars="0" w:right="0" w:rightChars="0"/>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备注：1、</w:t>
      </w:r>
      <w:r>
        <w:rPr>
          <w:rFonts w:hint="eastAsia" w:ascii="仿宋" w:hAnsi="仿宋" w:eastAsia="仿宋" w:cs="仿宋"/>
          <w:b/>
          <w:bCs/>
          <w:color w:val="auto"/>
          <w:sz w:val="24"/>
          <w:szCs w:val="24"/>
          <w:highlight w:val="none"/>
        </w:rPr>
        <w:t>投标人应按</w:t>
      </w:r>
      <w:r>
        <w:rPr>
          <w:rFonts w:hint="eastAsia" w:ascii="仿宋" w:hAnsi="仿宋" w:eastAsia="仿宋" w:cs="仿宋"/>
          <w:b/>
          <w:bCs/>
          <w:color w:val="auto"/>
          <w:sz w:val="24"/>
          <w:szCs w:val="24"/>
          <w:highlight w:val="none"/>
          <w:lang w:val="en-US" w:eastAsia="zh-Hans"/>
        </w:rPr>
        <w:t>资格审查标准</w:t>
      </w:r>
      <w:r>
        <w:rPr>
          <w:rFonts w:hint="eastAsia" w:ascii="仿宋" w:hAnsi="仿宋" w:eastAsia="仿宋" w:cs="仿宋"/>
          <w:b/>
          <w:bCs/>
          <w:color w:val="auto"/>
          <w:sz w:val="24"/>
          <w:szCs w:val="24"/>
          <w:highlight w:val="none"/>
        </w:rPr>
        <w:t>规定提供资格审查资料，</w:t>
      </w:r>
      <w:r>
        <w:rPr>
          <w:rFonts w:hint="eastAsia" w:ascii="仿宋" w:hAnsi="仿宋" w:eastAsia="仿宋" w:cs="仿宋"/>
          <w:b/>
          <w:bCs/>
          <w:color w:val="auto"/>
          <w:sz w:val="24"/>
          <w:highlight w:val="none"/>
          <w:u w:val="none"/>
        </w:rPr>
        <w:t>如缺项将导致废标；</w:t>
      </w:r>
    </w:p>
    <w:p>
      <w:pPr>
        <w:pageBreakBefore w:val="0"/>
        <w:kinsoku/>
        <w:wordWrap/>
        <w:bidi w:val="0"/>
        <w:adjustRightInd w:val="0"/>
        <w:snapToGrid w:val="0"/>
        <w:spacing w:line="360" w:lineRule="auto"/>
        <w:ind w:left="0" w:leftChars="0" w:right="0" w:rightChars="0"/>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2、</w:t>
      </w:r>
      <w:r>
        <w:rPr>
          <w:rFonts w:hint="eastAsia" w:ascii="仿宋" w:hAnsi="仿宋" w:eastAsia="仿宋" w:cs="仿宋"/>
          <w:b/>
          <w:color w:val="auto"/>
          <w:kern w:val="0"/>
          <w:sz w:val="24"/>
          <w:highlight w:val="none"/>
          <w:lang w:val="en-US" w:eastAsia="zh-Hans"/>
        </w:rPr>
        <w:t>资格审查后</w:t>
      </w:r>
      <w:r>
        <w:rPr>
          <w:rFonts w:hint="eastAsia" w:ascii="仿宋" w:hAnsi="仿宋" w:eastAsia="仿宋" w:cs="仿宋"/>
          <w:b/>
          <w:color w:val="auto"/>
          <w:kern w:val="0"/>
          <w:sz w:val="24"/>
          <w:highlight w:val="none"/>
        </w:rPr>
        <w:t>如果投标文件中有一项未通过</w:t>
      </w:r>
      <w:r>
        <w:rPr>
          <w:rFonts w:hint="eastAsia" w:ascii="仿宋" w:hAnsi="仿宋" w:eastAsia="仿宋" w:cs="仿宋"/>
          <w:b/>
          <w:color w:val="auto"/>
          <w:kern w:val="0"/>
          <w:sz w:val="24"/>
          <w:highlight w:val="none"/>
          <w:lang w:val="en-US" w:eastAsia="zh-Hans"/>
        </w:rPr>
        <w:t>符合性</w:t>
      </w:r>
      <w:r>
        <w:rPr>
          <w:rFonts w:hint="eastAsia" w:ascii="仿宋" w:hAnsi="仿宋" w:eastAsia="仿宋" w:cs="仿宋"/>
          <w:b/>
          <w:color w:val="auto"/>
          <w:kern w:val="0"/>
          <w:sz w:val="24"/>
          <w:highlight w:val="none"/>
        </w:rPr>
        <w:t>审查标准，评标委员会将认定整个投标文件未响应招标文件而予以</w:t>
      </w:r>
      <w:r>
        <w:rPr>
          <w:rFonts w:hint="eastAsia" w:ascii="仿宋" w:hAnsi="仿宋" w:eastAsia="仿宋" w:cs="仿宋"/>
          <w:b/>
          <w:color w:val="auto"/>
          <w:kern w:val="0"/>
          <w:sz w:val="24"/>
          <w:highlight w:val="none"/>
          <w:lang w:val="en-US" w:eastAsia="zh-Hans"/>
        </w:rPr>
        <w:t>无效标</w:t>
      </w:r>
      <w:r>
        <w:rPr>
          <w:rFonts w:hint="eastAsia" w:ascii="仿宋" w:hAnsi="仿宋" w:eastAsia="仿宋" w:cs="仿宋"/>
          <w:b/>
          <w:color w:val="auto"/>
          <w:kern w:val="0"/>
          <w:sz w:val="24"/>
          <w:highlight w:val="none"/>
        </w:rPr>
        <w:t>处理。</w:t>
      </w:r>
    </w:p>
    <w:p>
      <w:pPr>
        <w:pStyle w:val="4"/>
        <w:pageBreakBefore w:val="0"/>
        <w:widowControl w:val="0"/>
        <w:kinsoku/>
        <w:wordWrap/>
        <w:overflowPunct/>
        <w:topLinePunct w:val="0"/>
        <w:autoSpaceDE/>
        <w:autoSpaceDN/>
        <w:bidi w:val="0"/>
        <w:adjustRightInd w:val="0"/>
        <w:snapToGrid w:val="0"/>
        <w:spacing w:before="0" w:beforeLines="0" w:after="0" w:afterLines="0" w:line="360" w:lineRule="auto"/>
        <w:ind w:left="0" w:leftChars="0" w:right="0" w:rightChars="0"/>
        <w:textAlignment w:val="auto"/>
        <w:rPr>
          <w:rFonts w:hint="eastAsia" w:ascii="仿宋" w:hAnsi="仿宋" w:eastAsia="仿宋" w:cs="仿宋"/>
          <w:color w:val="auto"/>
          <w:highlight w:val="none"/>
        </w:rPr>
        <w:sectPr>
          <w:pgSz w:w="11906" w:h="16838"/>
          <w:pgMar w:top="1440" w:right="1800" w:bottom="1440" w:left="1600" w:header="851" w:footer="992" w:gutter="0"/>
          <w:cols w:space="720" w:num="1"/>
          <w:docGrid w:type="lines" w:linePitch="312" w:charSpace="0"/>
        </w:sectPr>
      </w:pPr>
    </w:p>
    <w:p>
      <w:pPr>
        <w:pStyle w:val="4"/>
        <w:keepNext/>
        <w:keepLines/>
        <w:pageBreakBefore w:val="0"/>
        <w:widowControl w:val="0"/>
        <w:kinsoku/>
        <w:wordWrap/>
        <w:overflowPunct/>
        <w:topLinePunct w:val="0"/>
        <w:autoSpaceDE/>
        <w:autoSpaceDN/>
        <w:bidi w:val="0"/>
        <w:adjustRightInd w:val="0"/>
        <w:snapToGrid w:val="0"/>
        <w:spacing w:before="0" w:beforeLines="0" w:after="0" w:afterLines="0" w:line="360" w:lineRule="auto"/>
        <w:ind w:left="0" w:leftChars="0" w:right="0" w:rightChars="0" w:firstLine="0" w:firstLineChars="0"/>
        <w:jc w:val="both"/>
        <w:textAlignment w:val="auto"/>
        <w:outlineLvl w:val="1"/>
        <w:rPr>
          <w:rFonts w:hint="eastAsia" w:ascii="仿宋" w:hAnsi="仿宋" w:eastAsia="仿宋" w:cs="仿宋"/>
          <w:color w:val="auto"/>
          <w:sz w:val="24"/>
          <w:szCs w:val="24"/>
          <w:highlight w:val="none"/>
          <w:lang w:val="en-US" w:eastAsia="zh-Hans"/>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val="en-US" w:eastAsia="zh-Hans"/>
        </w:rPr>
        <w:t>.</w:t>
      </w:r>
      <w:r>
        <w:rPr>
          <w:rFonts w:hint="eastAsia" w:ascii="仿宋" w:hAnsi="仿宋" w:eastAsia="仿宋" w:cs="仿宋"/>
          <w:color w:val="auto"/>
          <w:sz w:val="24"/>
          <w:szCs w:val="24"/>
          <w:highlight w:val="none"/>
          <w:lang w:eastAsia="zh-Hans"/>
        </w:rPr>
        <w:t>2</w:t>
      </w:r>
      <w:r>
        <w:rPr>
          <w:rFonts w:hint="eastAsia" w:ascii="仿宋" w:hAnsi="仿宋" w:eastAsia="仿宋" w:cs="仿宋"/>
          <w:color w:val="auto"/>
          <w:sz w:val="24"/>
          <w:szCs w:val="24"/>
          <w:highlight w:val="none"/>
          <w:lang w:val="en-US" w:eastAsia="zh-Hans"/>
        </w:rPr>
        <w:t>商务部分</w:t>
      </w:r>
    </w:p>
    <w:tbl>
      <w:tblPr>
        <w:tblStyle w:val="21"/>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195"/>
        <w:gridCol w:w="1280"/>
        <w:gridCol w:w="60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78" w:hRule="atLeast"/>
        </w:trPr>
        <w:tc>
          <w:tcPr>
            <w:tcW w:w="70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bidi w:val="0"/>
              <w:adjustRightInd w:val="0"/>
              <w:snapToGrid w:val="0"/>
              <w:spacing w:line="360" w:lineRule="auto"/>
              <w:ind w:left="0" w:leftChars="0" w:right="0" w:rightChars="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商务评分标准（20分）</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bidi w:val="0"/>
              <w:adjustRightInd w:val="0"/>
              <w:snapToGrid w:val="0"/>
              <w:spacing w:line="360" w:lineRule="auto"/>
              <w:ind w:left="0" w:leftChars="0" w:right="0" w:rightChars="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投标人业绩（5分）</w:t>
            </w:r>
          </w:p>
        </w:tc>
        <w:tc>
          <w:tcPr>
            <w:tcW w:w="3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bidi w:val="0"/>
              <w:adjustRightInd w:val="0"/>
              <w:snapToGrid w:val="0"/>
              <w:spacing w:line="360" w:lineRule="auto"/>
              <w:ind w:left="0" w:leftChars="0" w:right="0" w:rightChars="0"/>
              <w:jc w:val="both"/>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投标人近三年（2019年</w:t>
            </w:r>
            <w:r>
              <w:rPr>
                <w:rFonts w:hint="eastAsia" w:ascii="仿宋" w:hAnsi="仿宋" w:eastAsia="仿宋" w:cs="仿宋"/>
                <w:i w:val="0"/>
                <w:color w:val="auto"/>
                <w:kern w:val="0"/>
                <w:sz w:val="21"/>
                <w:szCs w:val="21"/>
                <w:highlight w:val="none"/>
                <w:u w:val="none"/>
                <w:lang w:eastAsia="zh-CN" w:bidi="ar"/>
              </w:rPr>
              <w:t>1</w:t>
            </w:r>
            <w:r>
              <w:rPr>
                <w:rFonts w:hint="eastAsia" w:ascii="仿宋" w:hAnsi="仿宋" w:eastAsia="仿宋" w:cs="仿宋"/>
                <w:i w:val="0"/>
                <w:color w:val="auto"/>
                <w:kern w:val="0"/>
                <w:sz w:val="21"/>
                <w:szCs w:val="21"/>
                <w:highlight w:val="none"/>
                <w:u w:val="none"/>
                <w:lang w:val="en-US" w:eastAsia="zh-CN" w:bidi="ar"/>
              </w:rPr>
              <w:t>月1日至今，以合同签订日期为准），全国性的类似项目成功案例，提供三个得3分，每多提供一份得1分，满分5分。业绩证明材料应附投标人与设备采购单位签订的合同协议书的复印件</w:t>
            </w:r>
            <w:r>
              <w:rPr>
                <w:rFonts w:hint="eastAsia" w:ascii="仿宋" w:hAnsi="仿宋" w:eastAsia="仿宋" w:cs="仿宋"/>
                <w:i w:val="0"/>
                <w:color w:val="auto"/>
                <w:kern w:val="0"/>
                <w:sz w:val="21"/>
                <w:szCs w:val="21"/>
                <w:highlight w:val="none"/>
                <w:u w:val="none"/>
                <w:lang w:eastAsia="zh-CN" w:bidi="ar"/>
              </w:rPr>
              <w:t>，</w:t>
            </w:r>
            <w:r>
              <w:rPr>
                <w:rFonts w:hint="eastAsia" w:ascii="仿宋" w:hAnsi="仿宋" w:eastAsia="仿宋" w:cs="仿宋"/>
                <w:i w:val="0"/>
                <w:color w:val="auto"/>
                <w:kern w:val="0"/>
                <w:sz w:val="21"/>
                <w:szCs w:val="21"/>
                <w:highlight w:val="none"/>
                <w:u w:val="none"/>
                <w:lang w:val="en-US" w:eastAsia="zh-CN" w:bidi="ar"/>
              </w:rPr>
              <w:t>合同协议书应能体现出投标人业绩要求中的内容，上述证明材料如果不能体现设备名称、数量、合同签订时间等与投标人业绩要求有关的数据信息的，还应提供由设备采购单位出具的能够体现上述事项的有效的销售业绩证明的复印件。上述业绩证明材料提供不全者或者无法证明满足投标人业绩要求的，不予以认可。代理商参加投标的业绩应为代理商业绩，制造商参加投标的业绩应为制造商业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005" w:hRule="atLeast"/>
        </w:trPr>
        <w:tc>
          <w:tcPr>
            <w:tcW w:w="7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bidi w:val="0"/>
              <w:adjustRightInd w:val="0"/>
              <w:snapToGrid w:val="0"/>
              <w:spacing w:line="360" w:lineRule="auto"/>
              <w:ind w:left="0" w:leftChars="0" w:right="0" w:rightChars="0"/>
              <w:jc w:val="center"/>
              <w:rPr>
                <w:rFonts w:hint="eastAsia" w:ascii="仿宋" w:hAnsi="仿宋" w:eastAsia="仿宋" w:cs="仿宋"/>
                <w:i w:val="0"/>
                <w:color w:val="auto"/>
                <w:sz w:val="21"/>
                <w:szCs w:val="21"/>
                <w:highlight w:val="none"/>
                <w:u w:val="none"/>
              </w:rPr>
            </w:pP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0"/>
              </w:numPr>
              <w:suppressLineNumbers w:val="0"/>
              <w:kinsoku/>
              <w:wordWrap/>
              <w:bidi w:val="0"/>
              <w:adjustRightInd w:val="0"/>
              <w:snapToGrid w:val="0"/>
              <w:spacing w:line="360" w:lineRule="auto"/>
              <w:ind w:right="0" w:rightChars="0"/>
              <w:jc w:val="both"/>
              <w:textAlignment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人员配备（6分）</w:t>
            </w:r>
          </w:p>
        </w:tc>
        <w:tc>
          <w:tcPr>
            <w:tcW w:w="3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bidi w:val="0"/>
              <w:adjustRightInd w:val="0"/>
              <w:snapToGrid w:val="0"/>
              <w:spacing w:line="360" w:lineRule="auto"/>
              <w:ind w:left="0" w:leftChars="0" w:right="0" w:rightChars="0"/>
              <w:jc w:val="both"/>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项目负责人：须提供近三年（2019年1月1日至今，以合同签订日期为准）类似项目业绩，一项1分，此项总计2分；（需附中标通知书或合同关键页复印件并加盖投标人鲜章，复印件内容须体现合同名称、签订双方名称、签订时间、主要服务内容、双方盖章页）；</w:t>
            </w:r>
          </w:p>
          <w:p>
            <w:pPr>
              <w:keepNext w:val="0"/>
              <w:keepLines w:val="0"/>
              <w:pageBreakBefore w:val="0"/>
              <w:widowControl/>
              <w:suppressLineNumbers w:val="0"/>
              <w:kinsoku/>
              <w:wordWrap/>
              <w:bidi w:val="0"/>
              <w:adjustRightInd w:val="0"/>
              <w:snapToGrid w:val="0"/>
              <w:spacing w:line="360" w:lineRule="auto"/>
              <w:ind w:left="0" w:leftChars="0" w:right="0" w:rightChars="0"/>
              <w:jc w:val="both"/>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2、组建符合项目实际需求的团队，团队人员不少于20人，人员信息完整、组织架构清晰、岗位职责明确得2分，有1项不满足或有缺陷不得分。</w:t>
            </w:r>
          </w:p>
          <w:p>
            <w:pPr>
              <w:keepNext w:val="0"/>
              <w:keepLines w:val="0"/>
              <w:pageBreakBefore w:val="0"/>
              <w:widowControl/>
              <w:suppressLineNumbers w:val="0"/>
              <w:kinsoku/>
              <w:wordWrap/>
              <w:bidi w:val="0"/>
              <w:adjustRightInd w:val="0"/>
              <w:snapToGrid w:val="0"/>
              <w:spacing w:line="360" w:lineRule="auto"/>
              <w:ind w:left="0" w:leftChars="0" w:right="0" w:rightChars="0"/>
              <w:jc w:val="both"/>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3.团队中有中级职称的一个得0.5分，满分1分（提供证件复印件加盖公章）；有专业培训合格证的一个得0.5分，满分1分（提供证件复印件加盖公章）</w:t>
            </w:r>
          </w:p>
          <w:p>
            <w:pPr>
              <w:keepNext w:val="0"/>
              <w:keepLines w:val="0"/>
              <w:pageBreakBefore w:val="0"/>
              <w:widowControl/>
              <w:suppressLineNumbers w:val="0"/>
              <w:kinsoku/>
              <w:wordWrap/>
              <w:bidi w:val="0"/>
              <w:adjustRightInd w:val="0"/>
              <w:snapToGrid w:val="0"/>
              <w:spacing w:line="360" w:lineRule="auto"/>
              <w:ind w:left="0" w:leftChars="0" w:right="0" w:rightChars="0"/>
              <w:jc w:val="both"/>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注：①需提供本单位缴纳的近三个月的社保证明；</w:t>
            </w:r>
          </w:p>
          <w:p>
            <w:pPr>
              <w:keepNext w:val="0"/>
              <w:keepLines w:val="0"/>
              <w:pageBreakBefore w:val="0"/>
              <w:widowControl/>
              <w:suppressLineNumbers w:val="0"/>
              <w:kinsoku/>
              <w:wordWrap/>
              <w:bidi w:val="0"/>
              <w:adjustRightInd w:val="0"/>
              <w:snapToGrid w:val="0"/>
              <w:spacing w:line="360" w:lineRule="auto"/>
              <w:ind w:left="0" w:leftChars="0" w:right="0" w:rightChars="0"/>
              <w:jc w:val="both"/>
              <w:textAlignment w:val="center"/>
              <w:rPr>
                <w:rFonts w:hint="eastAsia"/>
                <w:highlight w:val="none"/>
                <w:lang w:val="en-US" w:eastAsia="zh-CN"/>
              </w:rPr>
            </w:pPr>
            <w:r>
              <w:rPr>
                <w:rFonts w:hint="eastAsia" w:ascii="仿宋" w:hAnsi="仿宋" w:eastAsia="仿宋" w:cs="仿宋"/>
                <w:i w:val="0"/>
                <w:color w:val="auto"/>
                <w:kern w:val="0"/>
                <w:sz w:val="21"/>
                <w:szCs w:val="21"/>
                <w:highlight w:val="none"/>
                <w:u w:val="none"/>
                <w:lang w:val="en-US" w:eastAsia="zh-CN" w:bidi="ar"/>
              </w:rPr>
              <w:t>②业绩须反映出项目负责人。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005" w:hRule="atLeast"/>
        </w:trPr>
        <w:tc>
          <w:tcPr>
            <w:tcW w:w="7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bidi w:val="0"/>
              <w:adjustRightInd w:val="0"/>
              <w:snapToGrid w:val="0"/>
              <w:spacing w:line="360" w:lineRule="auto"/>
              <w:ind w:left="0" w:leftChars="0" w:right="0" w:rightChars="0"/>
              <w:jc w:val="center"/>
              <w:rPr>
                <w:rFonts w:hint="eastAsia" w:ascii="仿宋" w:hAnsi="仿宋" w:eastAsia="仿宋" w:cs="仿宋"/>
                <w:i w:val="0"/>
                <w:color w:val="auto"/>
                <w:sz w:val="21"/>
                <w:szCs w:val="21"/>
                <w:highlight w:val="none"/>
                <w:u w:val="none"/>
              </w:rPr>
            </w:pP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bidi w:val="0"/>
              <w:adjustRightInd w:val="0"/>
              <w:snapToGrid w:val="0"/>
              <w:spacing w:line="360" w:lineRule="auto"/>
              <w:ind w:left="0" w:leftChars="0" w:right="0" w:rightChars="0"/>
              <w:jc w:val="center"/>
              <w:textAlignment w:val="center"/>
              <w:rPr>
                <w:rFonts w:hint="eastAsia" w:ascii="仿宋" w:hAnsi="仿宋" w:eastAsia="仿宋" w:cs="仿宋"/>
                <w:i w:val="0"/>
                <w:color w:val="auto"/>
                <w:kern w:val="0"/>
                <w:sz w:val="21"/>
                <w:szCs w:val="21"/>
                <w:highlight w:val="none"/>
                <w:u w:val="none"/>
                <w:lang w:val="en-US" w:eastAsia="zh-Hans" w:bidi="ar"/>
              </w:rPr>
            </w:pPr>
            <w:r>
              <w:rPr>
                <w:rFonts w:hint="eastAsia" w:ascii="仿宋" w:hAnsi="仿宋" w:eastAsia="仿宋" w:cs="仿宋"/>
                <w:i w:val="0"/>
                <w:color w:val="auto"/>
                <w:kern w:val="0"/>
                <w:sz w:val="21"/>
                <w:szCs w:val="21"/>
                <w:highlight w:val="none"/>
                <w:u w:val="none"/>
                <w:lang w:val="en-US" w:eastAsia="zh-Hans" w:bidi="ar"/>
              </w:rPr>
              <w:t>技术培训</w:t>
            </w:r>
          </w:p>
          <w:p>
            <w:pPr>
              <w:keepNext w:val="0"/>
              <w:keepLines w:val="0"/>
              <w:pageBreakBefore w:val="0"/>
              <w:widowControl/>
              <w:suppressLineNumbers w:val="0"/>
              <w:kinsoku/>
              <w:wordWrap/>
              <w:bidi w:val="0"/>
              <w:adjustRightInd w:val="0"/>
              <w:snapToGrid w:val="0"/>
              <w:spacing w:line="360" w:lineRule="auto"/>
              <w:ind w:left="0" w:leftChars="0" w:right="0" w:rightChars="0"/>
              <w:jc w:val="center"/>
              <w:textAlignment w:val="center"/>
              <w:rPr>
                <w:rFonts w:hint="eastAsia" w:ascii="仿宋" w:hAnsi="仿宋" w:eastAsia="仿宋" w:cs="仿宋"/>
                <w:i w:val="0"/>
                <w:color w:val="auto"/>
                <w:kern w:val="0"/>
                <w:sz w:val="21"/>
                <w:szCs w:val="21"/>
                <w:highlight w:val="none"/>
                <w:u w:val="none"/>
                <w:lang w:val="en-US" w:eastAsia="zh-Hans" w:bidi="ar"/>
              </w:rPr>
            </w:pPr>
            <w:r>
              <w:rPr>
                <w:rFonts w:hint="eastAsia" w:ascii="仿宋" w:hAnsi="仿宋" w:eastAsia="仿宋" w:cs="仿宋"/>
                <w:i w:val="0"/>
                <w:color w:val="auto"/>
                <w:kern w:val="0"/>
                <w:sz w:val="21"/>
                <w:szCs w:val="21"/>
                <w:highlight w:val="none"/>
                <w:u w:val="none"/>
                <w:lang w:eastAsia="zh-Hans" w:bidi="ar"/>
              </w:rPr>
              <w:t>（5</w:t>
            </w:r>
            <w:r>
              <w:rPr>
                <w:rFonts w:hint="eastAsia" w:ascii="仿宋" w:hAnsi="仿宋" w:eastAsia="仿宋" w:cs="仿宋"/>
                <w:i w:val="0"/>
                <w:color w:val="auto"/>
                <w:kern w:val="0"/>
                <w:sz w:val="21"/>
                <w:szCs w:val="21"/>
                <w:highlight w:val="none"/>
                <w:u w:val="none"/>
                <w:lang w:val="en-US" w:eastAsia="zh-Hans" w:bidi="ar"/>
              </w:rPr>
              <w:t>分</w:t>
            </w:r>
            <w:r>
              <w:rPr>
                <w:rFonts w:hint="eastAsia" w:ascii="仿宋" w:hAnsi="仿宋" w:eastAsia="仿宋" w:cs="仿宋"/>
                <w:i w:val="0"/>
                <w:color w:val="auto"/>
                <w:kern w:val="0"/>
                <w:sz w:val="21"/>
                <w:szCs w:val="21"/>
                <w:highlight w:val="none"/>
                <w:u w:val="none"/>
                <w:lang w:eastAsia="zh-Hans" w:bidi="ar"/>
              </w:rPr>
              <w:t>）</w:t>
            </w:r>
          </w:p>
        </w:tc>
        <w:tc>
          <w:tcPr>
            <w:tcW w:w="3549"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投标人应针对本项目涉及到的所有产品的安装、使用和维护提供免费技术培训，并在投标书中列出详细的安装服务、培训内容和实施计划，按安装服务、培训内容和实施计划的实用性进行打分，未提供或内容不符合技术要求的不得分。分以下三档打分：优(4-5（</w:t>
            </w:r>
            <w:r>
              <w:rPr>
                <w:rFonts w:hint="eastAsia" w:ascii="仿宋" w:hAnsi="仿宋" w:eastAsia="仿宋" w:cs="仿宋"/>
                <w:i w:val="0"/>
                <w:color w:val="auto"/>
                <w:kern w:val="0"/>
                <w:sz w:val="21"/>
                <w:szCs w:val="21"/>
                <w:highlight w:val="none"/>
                <w:u w:val="none"/>
                <w:lang w:val="en-US" w:eastAsia="zh-Hans" w:bidi="ar"/>
              </w:rPr>
              <w:t>含））</w:t>
            </w:r>
            <w:r>
              <w:rPr>
                <w:rFonts w:hint="eastAsia" w:ascii="仿宋" w:hAnsi="仿宋" w:eastAsia="仿宋" w:cs="仿宋"/>
                <w:i w:val="0"/>
                <w:color w:val="auto"/>
                <w:kern w:val="0"/>
                <w:sz w:val="21"/>
                <w:szCs w:val="21"/>
                <w:highlight w:val="none"/>
                <w:u w:val="none"/>
                <w:lang w:val="en-US" w:eastAsia="zh-CN" w:bidi="ar"/>
              </w:rPr>
              <w:t>；良(2</w:t>
            </w:r>
            <w:r>
              <w:rPr>
                <w:rFonts w:hint="eastAsia" w:ascii="仿宋" w:hAnsi="仿宋" w:eastAsia="仿宋" w:cs="仿宋"/>
                <w:i w:val="0"/>
                <w:color w:val="auto"/>
                <w:kern w:val="0"/>
                <w:sz w:val="21"/>
                <w:szCs w:val="21"/>
                <w:highlight w:val="none"/>
                <w:u w:val="none"/>
                <w:lang w:val="en-US" w:eastAsia="zh-Hans" w:bidi="ar"/>
              </w:rPr>
              <w:t>-3（含））</w:t>
            </w:r>
            <w:r>
              <w:rPr>
                <w:rFonts w:hint="eastAsia" w:ascii="仿宋" w:hAnsi="仿宋" w:eastAsia="仿宋" w:cs="仿宋"/>
                <w:i w:val="0"/>
                <w:color w:val="auto"/>
                <w:kern w:val="0"/>
                <w:sz w:val="21"/>
                <w:szCs w:val="21"/>
                <w:highlight w:val="none"/>
                <w:u w:val="none"/>
                <w:lang w:val="en-US" w:eastAsia="zh-CN" w:bidi="ar"/>
              </w:rPr>
              <w:t>；差（0-1</w:t>
            </w:r>
            <w:r>
              <w:rPr>
                <w:rFonts w:hint="eastAsia" w:ascii="仿宋" w:hAnsi="仿宋" w:eastAsia="仿宋" w:cs="仿宋"/>
                <w:i w:val="0"/>
                <w:color w:val="auto"/>
                <w:kern w:val="0"/>
                <w:sz w:val="21"/>
                <w:szCs w:val="21"/>
                <w:highlight w:val="none"/>
                <w:u w:val="none"/>
                <w:lang w:val="en-US" w:eastAsia="zh-Hans" w:bidi="ar"/>
              </w:rPr>
              <w:t>（含））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6" w:hRule="atLeast"/>
        </w:trPr>
        <w:tc>
          <w:tcPr>
            <w:tcW w:w="7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bidi w:val="0"/>
              <w:adjustRightInd w:val="0"/>
              <w:snapToGrid w:val="0"/>
              <w:spacing w:line="360" w:lineRule="auto"/>
              <w:ind w:left="0" w:leftChars="0" w:right="0" w:rightChars="0"/>
              <w:jc w:val="center"/>
              <w:rPr>
                <w:rFonts w:hint="eastAsia" w:ascii="仿宋" w:hAnsi="仿宋" w:eastAsia="仿宋" w:cs="仿宋"/>
                <w:i w:val="0"/>
                <w:color w:val="auto"/>
                <w:sz w:val="21"/>
                <w:szCs w:val="21"/>
                <w:highlight w:val="none"/>
                <w:u w:val="none"/>
              </w:rPr>
            </w:pP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bidi w:val="0"/>
              <w:adjustRightInd w:val="0"/>
              <w:snapToGrid w:val="0"/>
              <w:spacing w:line="360" w:lineRule="auto"/>
              <w:ind w:left="0" w:leftChars="0" w:right="0" w:rightChars="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售后服务及质量保证（4分）</w:t>
            </w:r>
          </w:p>
        </w:tc>
        <w:tc>
          <w:tcPr>
            <w:tcW w:w="3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7"/>
              </w:numPr>
              <w:suppressLineNumbers w:val="0"/>
              <w:kinsoku/>
              <w:wordWrap/>
              <w:bidi w:val="0"/>
              <w:adjustRightInd w:val="0"/>
              <w:snapToGrid w:val="0"/>
              <w:spacing w:line="360" w:lineRule="auto"/>
              <w:ind w:right="0" w:rightChars="0"/>
              <w:jc w:val="left"/>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乌鲁木齐市必须具有直属办事处等服务机构（提供注册工商信息、房屋购买或租赁合同、现场办公照片）（1分）；</w:t>
            </w:r>
          </w:p>
          <w:p>
            <w:pPr>
              <w:keepNext w:val="0"/>
              <w:keepLines w:val="0"/>
              <w:pageBreakBefore w:val="0"/>
              <w:widowControl/>
              <w:numPr>
                <w:ilvl w:val="0"/>
                <w:numId w:val="0"/>
              </w:numPr>
              <w:suppressLineNumbers w:val="0"/>
              <w:kinsoku/>
              <w:wordWrap/>
              <w:bidi w:val="0"/>
              <w:adjustRightInd w:val="0"/>
              <w:snapToGrid w:val="0"/>
              <w:spacing w:line="360" w:lineRule="auto"/>
              <w:ind w:right="0" w:rightChars="0"/>
              <w:jc w:val="left"/>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2、拥有完善的售后服务保障体系（1分）；</w:t>
            </w:r>
          </w:p>
          <w:p>
            <w:pPr>
              <w:keepNext w:val="0"/>
              <w:keepLines w:val="0"/>
              <w:pageBreakBefore w:val="0"/>
              <w:widowControl/>
              <w:numPr>
                <w:ilvl w:val="0"/>
                <w:numId w:val="7"/>
              </w:numPr>
              <w:suppressLineNumbers w:val="0"/>
              <w:kinsoku/>
              <w:wordWrap/>
              <w:bidi w:val="0"/>
              <w:adjustRightInd w:val="0"/>
              <w:snapToGrid w:val="0"/>
              <w:spacing w:line="360" w:lineRule="auto"/>
              <w:ind w:left="0" w:leftChars="0" w:right="0" w:rightChars="0" w:firstLine="0" w:firstLineChars="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具</w:t>
            </w:r>
            <w:r>
              <w:rPr>
                <w:rFonts w:hint="eastAsia" w:ascii="仿宋" w:hAnsi="仿宋" w:eastAsia="仿宋" w:cs="仿宋"/>
                <w:color w:val="auto"/>
                <w:kern w:val="0"/>
                <w:szCs w:val="21"/>
                <w:highlight w:val="none"/>
              </w:rPr>
              <w:t>有专职维修工程师，保证设备的日常维护及故障排除</w:t>
            </w:r>
            <w:r>
              <w:rPr>
                <w:rFonts w:hint="eastAsia" w:ascii="仿宋" w:hAnsi="仿宋" w:eastAsia="仿宋" w:cs="仿宋"/>
                <w:i w:val="0"/>
                <w:color w:val="auto"/>
                <w:kern w:val="0"/>
                <w:sz w:val="21"/>
                <w:szCs w:val="21"/>
                <w:highlight w:val="none"/>
                <w:u w:val="none"/>
                <w:lang w:val="en-US" w:eastAsia="zh-CN" w:bidi="ar"/>
              </w:rPr>
              <w:t>（1分）；                                                    3、售后服务承诺</w:t>
            </w:r>
            <w:r>
              <w:rPr>
                <w:rFonts w:hint="eastAsia" w:ascii="仿宋" w:hAnsi="仿宋" w:eastAsia="仿宋" w:cs="仿宋"/>
                <w:i w:val="0"/>
                <w:color w:val="auto"/>
                <w:kern w:val="0"/>
                <w:sz w:val="21"/>
                <w:szCs w:val="21"/>
                <w:highlight w:val="none"/>
                <w:u w:val="none"/>
                <w:lang w:eastAsia="zh-CN" w:bidi="ar"/>
              </w:rPr>
              <w:t>（</w:t>
            </w:r>
            <w:r>
              <w:rPr>
                <w:rFonts w:hint="eastAsia" w:ascii="仿宋" w:hAnsi="仿宋" w:eastAsia="仿宋" w:cs="仿宋"/>
                <w:i w:val="0"/>
                <w:color w:val="auto"/>
                <w:kern w:val="0"/>
                <w:sz w:val="21"/>
                <w:szCs w:val="21"/>
                <w:highlight w:val="none"/>
                <w:u w:val="none"/>
                <w:lang w:val="en-US" w:eastAsia="zh-CN" w:bidi="ar"/>
              </w:rPr>
              <w:t>质保五年</w:t>
            </w:r>
            <w:r>
              <w:rPr>
                <w:rFonts w:hint="eastAsia" w:ascii="仿宋" w:hAnsi="仿宋" w:eastAsia="仿宋" w:cs="仿宋"/>
                <w:i w:val="0"/>
                <w:color w:val="auto"/>
                <w:kern w:val="0"/>
                <w:sz w:val="21"/>
                <w:szCs w:val="21"/>
                <w:highlight w:val="none"/>
                <w:u w:val="none"/>
                <w:lang w:val="en-US" w:eastAsia="zh-Hans" w:bidi="ar"/>
              </w:rPr>
              <w:t>、</w:t>
            </w:r>
            <w:r>
              <w:rPr>
                <w:rFonts w:hint="eastAsia" w:ascii="仿宋" w:hAnsi="仿宋" w:eastAsia="仿宋" w:cs="仿宋"/>
                <w:i w:val="0"/>
                <w:color w:val="auto"/>
                <w:kern w:val="0"/>
                <w:sz w:val="21"/>
                <w:szCs w:val="21"/>
                <w:highlight w:val="none"/>
                <w:u w:val="none"/>
                <w:lang w:val="en-US" w:eastAsia="zh-CN" w:bidi="ar"/>
              </w:rPr>
              <w:t>提供7×24小时电话支持，本地化应急服务解决措施（7×24的响应时间），6小时内之内到达现场进行排除</w:t>
            </w:r>
            <w:r>
              <w:rPr>
                <w:rFonts w:hint="eastAsia" w:ascii="仿宋" w:hAnsi="仿宋" w:eastAsia="仿宋" w:cs="仿宋"/>
                <w:i w:val="0"/>
                <w:color w:val="auto"/>
                <w:kern w:val="0"/>
                <w:sz w:val="21"/>
                <w:szCs w:val="21"/>
                <w:highlight w:val="none"/>
                <w:u w:val="none"/>
                <w:lang w:val="en-US" w:eastAsia="zh-Hans" w:bidi="ar"/>
              </w:rPr>
              <w:t>）</w:t>
            </w:r>
            <w:r>
              <w:rPr>
                <w:rFonts w:hint="eastAsia" w:ascii="仿宋" w:hAnsi="仿宋" w:eastAsia="仿宋" w:cs="仿宋"/>
                <w:i w:val="0"/>
                <w:color w:val="auto"/>
                <w:kern w:val="0"/>
                <w:sz w:val="21"/>
                <w:szCs w:val="21"/>
                <w:highlight w:val="none"/>
                <w:u w:val="none"/>
                <w:lang w:val="en-US" w:eastAsia="zh-CN" w:bidi="ar"/>
              </w:rPr>
              <w:t>（1分）</w:t>
            </w:r>
          </w:p>
          <w:p>
            <w:pPr>
              <w:keepNext w:val="0"/>
              <w:keepLines w:val="0"/>
              <w:pageBreakBefore w:val="0"/>
              <w:widowControl/>
              <w:numPr>
                <w:ilvl w:val="0"/>
                <w:numId w:val="7"/>
              </w:numPr>
              <w:suppressLineNumbers w:val="0"/>
              <w:kinsoku/>
              <w:wordWrap/>
              <w:bidi w:val="0"/>
              <w:adjustRightInd w:val="0"/>
              <w:snapToGrid w:val="0"/>
              <w:spacing w:line="360" w:lineRule="auto"/>
              <w:ind w:left="0" w:leftChars="0" w:right="0" w:rightChars="0" w:firstLine="0" w:firstLineChars="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附相应证明材料，否则不得分。</w:t>
            </w:r>
          </w:p>
        </w:tc>
      </w:tr>
    </w:tbl>
    <w:p>
      <w:pPr>
        <w:pStyle w:val="4"/>
        <w:keepNext/>
        <w:keepLines/>
        <w:pageBreakBefore w:val="0"/>
        <w:widowControl w:val="0"/>
        <w:kinsoku/>
        <w:wordWrap/>
        <w:overflowPunct/>
        <w:topLinePunct w:val="0"/>
        <w:autoSpaceDE/>
        <w:autoSpaceDN/>
        <w:bidi w:val="0"/>
        <w:adjustRightInd w:val="0"/>
        <w:snapToGrid w:val="0"/>
        <w:spacing w:before="0" w:beforeLines="0" w:after="0" w:afterLines="0" w:line="360" w:lineRule="auto"/>
        <w:ind w:left="0" w:leftChars="0" w:right="0" w:rightChars="0" w:firstLine="0" w:firstLineChars="0"/>
        <w:jc w:val="both"/>
        <w:textAlignment w:val="auto"/>
        <w:outlineLvl w:val="1"/>
        <w:rPr>
          <w:rFonts w:hint="eastAsia" w:ascii="仿宋" w:hAnsi="仿宋" w:eastAsia="仿宋" w:cs="仿宋"/>
          <w:color w:val="auto"/>
          <w:sz w:val="24"/>
          <w:szCs w:val="24"/>
          <w:highlight w:val="none"/>
          <w:lang w:eastAsia="zh-Hans"/>
        </w:rPr>
      </w:pPr>
    </w:p>
    <w:p>
      <w:pPr>
        <w:pStyle w:val="4"/>
        <w:keepNext/>
        <w:keepLines/>
        <w:pageBreakBefore w:val="0"/>
        <w:widowControl w:val="0"/>
        <w:kinsoku/>
        <w:wordWrap/>
        <w:overflowPunct/>
        <w:topLinePunct w:val="0"/>
        <w:autoSpaceDE/>
        <w:autoSpaceDN/>
        <w:bidi w:val="0"/>
        <w:adjustRightInd w:val="0"/>
        <w:snapToGrid w:val="0"/>
        <w:spacing w:before="0" w:beforeLines="0" w:after="0" w:afterLines="0" w:line="360" w:lineRule="auto"/>
        <w:ind w:left="0" w:leftChars="0" w:right="0" w:rightChars="0" w:firstLine="0" w:firstLineChars="0"/>
        <w:jc w:val="both"/>
        <w:textAlignment w:val="auto"/>
        <w:outlineLvl w:val="1"/>
        <w:rPr>
          <w:rFonts w:hint="eastAsia" w:ascii="仿宋" w:hAnsi="仿宋" w:eastAsia="仿宋" w:cs="仿宋"/>
          <w:color w:val="auto"/>
          <w:sz w:val="24"/>
          <w:szCs w:val="24"/>
          <w:highlight w:val="none"/>
          <w:lang w:val="en-US" w:eastAsia="zh-Hans"/>
        </w:rPr>
      </w:pPr>
      <w:r>
        <w:rPr>
          <w:rFonts w:hint="eastAsia" w:ascii="仿宋" w:hAnsi="仿宋" w:eastAsia="仿宋" w:cs="仿宋"/>
          <w:color w:val="auto"/>
          <w:sz w:val="24"/>
          <w:szCs w:val="24"/>
          <w:highlight w:val="none"/>
          <w:lang w:val="en-US" w:eastAsia="zh-Hans"/>
        </w:rPr>
        <w:t>技术部分</w:t>
      </w:r>
    </w:p>
    <w:tbl>
      <w:tblPr>
        <w:tblStyle w:val="21"/>
        <w:tblW w:w="4998"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176"/>
        <w:gridCol w:w="1410"/>
        <w:gridCol w:w="594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415" w:hRule="atLeast"/>
          <w:jc w:val="center"/>
        </w:trPr>
        <w:tc>
          <w:tcPr>
            <w:tcW w:w="68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auto"/>
              <w:ind w:left="0" w:leftChars="0" w:right="0" w:rightChars="0" w:firstLine="0" w:firstLineChars="0"/>
              <w:jc w:val="center"/>
              <w:textAlignment w:val="center"/>
              <w:outlineLvl w:val="9"/>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技术标评分标准（50分）</w:t>
            </w:r>
          </w:p>
        </w:tc>
        <w:tc>
          <w:tcPr>
            <w:tcW w:w="8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auto"/>
              <w:ind w:left="0" w:leftChars="0" w:right="0" w:rightChars="0" w:firstLine="0" w:firstLineChars="0"/>
              <w:jc w:val="left"/>
              <w:textAlignment w:val="center"/>
              <w:outlineLvl w:val="9"/>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Hans" w:bidi="ar"/>
              </w:rPr>
              <w:t>技术参数响应程度</w:t>
            </w:r>
            <w:r>
              <w:rPr>
                <w:rFonts w:hint="eastAsia" w:ascii="仿宋" w:hAnsi="仿宋" w:eastAsia="仿宋" w:cs="仿宋"/>
                <w:i w:val="0"/>
                <w:color w:val="auto"/>
                <w:kern w:val="0"/>
                <w:sz w:val="21"/>
                <w:szCs w:val="21"/>
                <w:highlight w:val="none"/>
                <w:u w:val="none"/>
                <w:lang w:val="en-US" w:eastAsia="zh-CN" w:bidi="ar"/>
              </w:rPr>
              <w:t>（20）</w:t>
            </w:r>
          </w:p>
        </w:tc>
        <w:tc>
          <w:tcPr>
            <w:tcW w:w="34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auto"/>
              <w:ind w:left="0" w:leftChars="0" w:right="0" w:rightChars="0" w:firstLine="0" w:firstLineChars="0"/>
              <w:jc w:val="left"/>
              <w:textAlignment w:val="center"/>
              <w:outlineLvl w:val="9"/>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根据所投产品的配置与性能指标的响应程度打分，</w:t>
            </w:r>
            <w:r>
              <w:rPr>
                <w:rFonts w:hint="eastAsia" w:ascii="仿宋" w:hAnsi="仿宋" w:eastAsia="仿宋" w:cs="仿宋"/>
                <w:i w:val="0"/>
                <w:color w:val="auto"/>
                <w:kern w:val="0"/>
                <w:sz w:val="21"/>
                <w:szCs w:val="21"/>
                <w:highlight w:val="none"/>
                <w:u w:val="none"/>
                <w:lang w:val="en-US" w:eastAsia="zh-Hans" w:bidi="ar"/>
              </w:rPr>
              <w:t>没有偏离</w:t>
            </w:r>
            <w:r>
              <w:rPr>
                <w:rFonts w:hint="eastAsia" w:ascii="仿宋" w:hAnsi="仿宋" w:eastAsia="仿宋" w:cs="仿宋"/>
                <w:i w:val="0"/>
                <w:color w:val="auto"/>
                <w:kern w:val="0"/>
                <w:sz w:val="21"/>
                <w:szCs w:val="21"/>
                <w:highlight w:val="none"/>
                <w:u w:val="none"/>
                <w:lang w:val="en-US" w:eastAsia="zh-CN" w:bidi="ar"/>
              </w:rPr>
              <w:t>得10分，</w:t>
            </w:r>
            <w:r>
              <w:rPr>
                <w:rFonts w:hint="eastAsia" w:ascii="仿宋" w:hAnsi="仿宋" w:eastAsia="仿宋" w:cs="仿宋"/>
                <w:i w:val="0"/>
                <w:color w:val="auto"/>
                <w:kern w:val="0"/>
                <w:sz w:val="21"/>
                <w:szCs w:val="21"/>
                <w:highlight w:val="none"/>
                <w:u w:val="none"/>
                <w:lang w:val="en-US" w:eastAsia="zh-Hans" w:bidi="ar"/>
              </w:rPr>
              <w:t>技术参数存在负偏离</w:t>
            </w:r>
            <w:r>
              <w:rPr>
                <w:rFonts w:hint="eastAsia" w:ascii="仿宋" w:hAnsi="仿宋" w:eastAsia="仿宋" w:cs="仿宋"/>
                <w:i w:val="0"/>
                <w:color w:val="auto"/>
                <w:kern w:val="0"/>
                <w:sz w:val="21"/>
                <w:szCs w:val="21"/>
                <w:highlight w:val="none"/>
                <w:u w:val="none"/>
                <w:lang w:eastAsia="zh-Hans" w:bidi="ar"/>
              </w:rPr>
              <w:t>，</w:t>
            </w:r>
            <w:r>
              <w:rPr>
                <w:rFonts w:hint="eastAsia" w:ascii="仿宋" w:hAnsi="仿宋" w:eastAsia="仿宋" w:cs="仿宋"/>
                <w:i w:val="0"/>
                <w:color w:val="auto"/>
                <w:kern w:val="0"/>
                <w:sz w:val="21"/>
                <w:szCs w:val="21"/>
                <w:highlight w:val="none"/>
                <w:u w:val="none"/>
                <w:lang w:val="en-US" w:eastAsia="zh-Hans" w:bidi="ar"/>
              </w:rPr>
              <w:t>每项扣</w:t>
            </w:r>
            <w:r>
              <w:rPr>
                <w:rFonts w:hint="eastAsia" w:ascii="仿宋" w:hAnsi="仿宋" w:eastAsia="仿宋" w:cs="仿宋"/>
                <w:i w:val="0"/>
                <w:color w:val="auto"/>
                <w:kern w:val="0"/>
                <w:sz w:val="21"/>
                <w:szCs w:val="21"/>
                <w:highlight w:val="none"/>
                <w:u w:val="none"/>
                <w:lang w:eastAsia="zh-Hans" w:bidi="ar"/>
              </w:rPr>
              <w:t>5</w:t>
            </w:r>
            <w:r>
              <w:rPr>
                <w:rFonts w:hint="eastAsia" w:ascii="仿宋" w:hAnsi="仿宋" w:eastAsia="仿宋" w:cs="仿宋"/>
                <w:i w:val="0"/>
                <w:color w:val="auto"/>
                <w:kern w:val="0"/>
                <w:sz w:val="21"/>
                <w:szCs w:val="21"/>
                <w:highlight w:val="none"/>
                <w:u w:val="none"/>
                <w:lang w:val="en-US" w:eastAsia="zh-Hans" w:bidi="ar"/>
              </w:rPr>
              <w:t>分</w:t>
            </w:r>
            <w:r>
              <w:rPr>
                <w:rFonts w:hint="eastAsia" w:ascii="仿宋" w:hAnsi="仿宋" w:eastAsia="仿宋" w:cs="仿宋"/>
                <w:i w:val="0"/>
                <w:color w:val="auto"/>
                <w:kern w:val="0"/>
                <w:sz w:val="21"/>
                <w:szCs w:val="21"/>
                <w:highlight w:val="none"/>
                <w:u w:val="none"/>
                <w:lang w:eastAsia="zh-Hans" w:bidi="ar"/>
              </w:rPr>
              <w:t>，</w:t>
            </w:r>
            <w:r>
              <w:rPr>
                <w:rFonts w:hint="eastAsia" w:ascii="仿宋" w:hAnsi="仿宋" w:eastAsia="仿宋" w:cs="仿宋"/>
                <w:i w:val="0"/>
                <w:color w:val="auto"/>
                <w:kern w:val="0"/>
                <w:sz w:val="21"/>
                <w:szCs w:val="21"/>
                <w:highlight w:val="none"/>
                <w:u w:val="none"/>
                <w:lang w:val="en-US" w:eastAsia="zh-Hans" w:bidi="ar"/>
              </w:rPr>
              <w:t>扣完为止</w:t>
            </w:r>
            <w:r>
              <w:rPr>
                <w:rFonts w:hint="eastAsia" w:ascii="仿宋" w:hAnsi="仿宋" w:eastAsia="仿宋" w:cs="仿宋"/>
                <w:i w:val="0"/>
                <w:color w:val="auto"/>
                <w:kern w:val="0"/>
                <w:sz w:val="21"/>
                <w:szCs w:val="21"/>
                <w:highlight w:val="none"/>
                <w:u w:val="none"/>
                <w:lang w:eastAsia="zh-Hans" w:bidi="ar"/>
              </w:rPr>
              <w:t>，（</w:t>
            </w:r>
            <w:r>
              <w:rPr>
                <w:rFonts w:hint="eastAsia" w:ascii="仿宋" w:hAnsi="仿宋" w:eastAsia="仿宋" w:cs="仿宋"/>
                <w:i w:val="0"/>
                <w:color w:val="auto"/>
                <w:kern w:val="0"/>
                <w:sz w:val="21"/>
                <w:szCs w:val="21"/>
                <w:highlight w:val="none"/>
                <w:u w:val="none"/>
                <w:lang w:val="en-US" w:eastAsia="zh-Hans" w:bidi="ar"/>
              </w:rPr>
              <w:t>具体参数对比</w:t>
            </w:r>
            <w:r>
              <w:rPr>
                <w:rFonts w:hint="eastAsia" w:ascii="仿宋" w:hAnsi="仿宋" w:eastAsia="仿宋" w:cs="仿宋"/>
                <w:i w:val="0"/>
                <w:color w:val="auto"/>
                <w:kern w:val="0"/>
                <w:sz w:val="21"/>
                <w:szCs w:val="21"/>
                <w:highlight w:val="none"/>
                <w:u w:val="none"/>
                <w:lang w:eastAsia="zh-Hans" w:bidi="ar"/>
              </w:rPr>
              <w:t>，</w:t>
            </w:r>
            <w:r>
              <w:rPr>
                <w:rFonts w:hint="eastAsia" w:ascii="仿宋" w:hAnsi="仿宋" w:eastAsia="仿宋" w:cs="仿宋"/>
                <w:i w:val="0"/>
                <w:color w:val="auto"/>
                <w:kern w:val="0"/>
                <w:sz w:val="21"/>
                <w:szCs w:val="21"/>
                <w:highlight w:val="none"/>
                <w:u w:val="none"/>
                <w:lang w:val="en-US" w:eastAsia="zh-Hans" w:bidi="ar"/>
              </w:rPr>
              <w:t>由投标人提供</w:t>
            </w:r>
            <w:r>
              <w:rPr>
                <w:rFonts w:hint="eastAsia" w:ascii="仿宋" w:hAnsi="仿宋" w:eastAsia="仿宋" w:cs="仿宋"/>
                <w:i w:val="0"/>
                <w:color w:val="auto"/>
                <w:kern w:val="0"/>
                <w:sz w:val="21"/>
                <w:szCs w:val="21"/>
                <w:highlight w:val="none"/>
                <w:u w:val="none"/>
                <w:lang w:val="en-US" w:eastAsia="zh-CN" w:bidi="ar"/>
              </w:rPr>
              <w:t>的</w:t>
            </w:r>
            <w:r>
              <w:rPr>
                <w:rFonts w:hint="eastAsia" w:ascii="仿宋" w:hAnsi="仿宋" w:eastAsia="仿宋" w:cs="仿宋"/>
                <w:i w:val="0"/>
                <w:color w:val="auto"/>
                <w:kern w:val="0"/>
                <w:sz w:val="21"/>
                <w:szCs w:val="21"/>
                <w:highlight w:val="none"/>
                <w:u w:val="none"/>
                <w:lang w:val="en-US" w:eastAsia="zh-Hans" w:bidi="ar"/>
              </w:rPr>
              <w:t>制造商公开发布的正式印刷的产品样本、资料（非电脑打印版和复印件），或由有关政府部门或检测机构合法出具的文件或报告，未提供</w:t>
            </w:r>
            <w:r>
              <w:rPr>
                <w:rFonts w:hint="eastAsia" w:ascii="仿宋" w:hAnsi="仿宋" w:eastAsia="仿宋" w:cs="仿宋"/>
                <w:i w:val="0"/>
                <w:color w:val="auto"/>
                <w:kern w:val="0"/>
                <w:sz w:val="21"/>
                <w:szCs w:val="21"/>
                <w:highlight w:val="none"/>
                <w:u w:val="none"/>
                <w:lang w:val="en-US" w:eastAsia="zh-CN" w:bidi="ar"/>
              </w:rPr>
              <w:t>上述资料</w:t>
            </w:r>
            <w:r>
              <w:rPr>
                <w:rFonts w:hint="eastAsia" w:ascii="仿宋" w:hAnsi="仿宋" w:eastAsia="仿宋" w:cs="仿宋"/>
                <w:i w:val="0"/>
                <w:color w:val="auto"/>
                <w:kern w:val="0"/>
                <w:sz w:val="21"/>
                <w:szCs w:val="21"/>
                <w:highlight w:val="none"/>
                <w:u w:val="none"/>
                <w:lang w:val="en-US" w:eastAsia="zh-Hans" w:bidi="ar"/>
              </w:rPr>
              <w:t>的不得分</w:t>
            </w:r>
            <w:r>
              <w:rPr>
                <w:rFonts w:hint="eastAsia" w:ascii="仿宋" w:hAnsi="仿宋" w:eastAsia="仿宋" w:cs="仿宋"/>
                <w:i w:val="0"/>
                <w:color w:val="auto"/>
                <w:kern w:val="0"/>
                <w:sz w:val="21"/>
                <w:szCs w:val="21"/>
                <w:highlight w:val="none"/>
                <w:u w:val="none"/>
                <w:lang w:eastAsia="zh-Hans"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45" w:hRule="atLeast"/>
          <w:jc w:val="center"/>
        </w:trPr>
        <w:tc>
          <w:tcPr>
            <w:tcW w:w="6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0" w:firstLineChars="0"/>
              <w:jc w:val="center"/>
              <w:outlineLvl w:val="9"/>
              <w:rPr>
                <w:rFonts w:hint="eastAsia" w:ascii="仿宋" w:hAnsi="仿宋" w:eastAsia="仿宋" w:cs="仿宋"/>
                <w:i w:val="0"/>
                <w:color w:val="auto"/>
                <w:sz w:val="21"/>
                <w:szCs w:val="21"/>
                <w:highlight w:val="none"/>
                <w:u w:val="none"/>
              </w:rPr>
            </w:pPr>
          </w:p>
        </w:tc>
        <w:tc>
          <w:tcPr>
            <w:tcW w:w="8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auto"/>
              <w:ind w:left="0" w:leftChars="0" w:right="0" w:rightChars="0" w:firstLine="0" w:firstLineChars="0"/>
              <w:jc w:val="left"/>
              <w:textAlignment w:val="center"/>
              <w:outlineLvl w:val="9"/>
              <w:rPr>
                <w:rFonts w:hint="eastAsia" w:ascii="仿宋" w:hAnsi="仿宋" w:eastAsia="仿宋" w:cs="仿宋"/>
                <w:i w:val="0"/>
                <w:color w:val="auto"/>
                <w:sz w:val="21"/>
                <w:szCs w:val="21"/>
                <w:highlight w:val="none"/>
                <w:u w:val="none"/>
                <w:lang w:val="en-US" w:eastAsia="zh-Hans"/>
              </w:rPr>
            </w:pPr>
            <w:r>
              <w:rPr>
                <w:rFonts w:hint="eastAsia" w:ascii="仿宋" w:hAnsi="仿宋" w:eastAsia="仿宋" w:cs="仿宋"/>
                <w:i w:val="0"/>
                <w:color w:val="auto"/>
                <w:sz w:val="21"/>
                <w:szCs w:val="21"/>
                <w:highlight w:val="none"/>
                <w:u w:val="none"/>
                <w:lang w:val="en-US" w:eastAsia="zh-Hans"/>
              </w:rPr>
              <w:t>整体方案评价</w:t>
            </w:r>
            <w:r>
              <w:rPr>
                <w:rFonts w:hint="eastAsia" w:ascii="仿宋" w:hAnsi="仿宋" w:eastAsia="仿宋" w:cs="仿宋"/>
                <w:i w:val="0"/>
                <w:color w:val="auto"/>
                <w:sz w:val="21"/>
                <w:szCs w:val="21"/>
                <w:highlight w:val="none"/>
                <w:u w:val="none"/>
                <w:lang w:eastAsia="zh-Hans"/>
              </w:rPr>
              <w:t>（</w:t>
            </w:r>
            <w:r>
              <w:rPr>
                <w:rFonts w:hint="eastAsia" w:ascii="仿宋" w:hAnsi="仿宋" w:eastAsia="仿宋" w:cs="仿宋"/>
                <w:i w:val="0"/>
                <w:color w:val="auto"/>
                <w:sz w:val="21"/>
                <w:szCs w:val="21"/>
                <w:highlight w:val="none"/>
                <w:u w:val="none"/>
                <w:lang w:val="en-US" w:eastAsia="zh-CN"/>
              </w:rPr>
              <w:t>20</w:t>
            </w:r>
            <w:r>
              <w:rPr>
                <w:rFonts w:hint="eastAsia" w:ascii="仿宋" w:hAnsi="仿宋" w:eastAsia="仿宋" w:cs="仿宋"/>
                <w:i w:val="0"/>
                <w:color w:val="auto"/>
                <w:sz w:val="21"/>
                <w:szCs w:val="21"/>
                <w:highlight w:val="none"/>
                <w:u w:val="none"/>
                <w:lang w:val="en-US" w:eastAsia="zh-Hans"/>
              </w:rPr>
              <w:t>分</w:t>
            </w:r>
            <w:r>
              <w:rPr>
                <w:rFonts w:hint="eastAsia" w:ascii="仿宋" w:hAnsi="仿宋" w:eastAsia="仿宋" w:cs="仿宋"/>
                <w:i w:val="0"/>
                <w:color w:val="auto"/>
                <w:sz w:val="21"/>
                <w:szCs w:val="21"/>
                <w:highlight w:val="none"/>
                <w:u w:val="none"/>
                <w:lang w:eastAsia="zh-Hans"/>
              </w:rPr>
              <w:t>）</w:t>
            </w:r>
          </w:p>
        </w:tc>
        <w:tc>
          <w:tcPr>
            <w:tcW w:w="34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auto"/>
              <w:ind w:left="0" w:leftChars="0" w:right="0" w:rightChars="0" w:firstLine="0" w:firstLineChars="0"/>
              <w:jc w:val="left"/>
              <w:textAlignment w:val="center"/>
              <w:outlineLvl w:val="9"/>
              <w:rPr>
                <w:rFonts w:hint="eastAsia" w:ascii="仿宋" w:hAnsi="仿宋" w:eastAsia="仿宋" w:cs="仿宋"/>
                <w:color w:val="auto"/>
                <w:highlight w:val="none"/>
              </w:rPr>
            </w:pPr>
            <w:r>
              <w:rPr>
                <w:rFonts w:hint="eastAsia" w:ascii="仿宋" w:hAnsi="仿宋" w:eastAsia="仿宋" w:cs="仿宋"/>
                <w:color w:val="auto"/>
                <w:highlight w:val="none"/>
              </w:rPr>
              <w:t>投标人需针对项目实际情况，提供现场安全管理体系与措施、文</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left="0" w:leftChars="0" w:right="0" w:rightChars="0" w:firstLine="0" w:firstLineChars="0"/>
              <w:jc w:val="left"/>
              <w:textAlignment w:val="center"/>
              <w:outlineLvl w:val="9"/>
              <w:rPr>
                <w:rFonts w:hint="eastAsia" w:ascii="仿宋" w:hAnsi="仿宋" w:eastAsia="仿宋" w:cs="仿宋"/>
                <w:color w:val="auto"/>
                <w:highlight w:val="none"/>
              </w:rPr>
            </w:pPr>
            <w:r>
              <w:rPr>
                <w:rFonts w:hint="eastAsia" w:ascii="仿宋" w:hAnsi="仿宋" w:eastAsia="仿宋" w:cs="仿宋"/>
                <w:color w:val="auto"/>
                <w:highlight w:val="none"/>
              </w:rPr>
              <w:t>明安装规范及措施、环境保护管理体系与措施等具体方案。</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left="0" w:leftChars="0" w:right="0" w:rightChars="0" w:firstLine="0" w:firstLineChars="0"/>
              <w:jc w:val="left"/>
              <w:textAlignment w:val="center"/>
              <w:outlineLvl w:val="9"/>
              <w:rPr>
                <w:rFonts w:hint="eastAsia" w:ascii="仿宋" w:hAnsi="仿宋" w:eastAsia="仿宋" w:cs="仿宋"/>
                <w:color w:val="auto"/>
                <w:highlight w:val="none"/>
              </w:rPr>
            </w:pPr>
            <w:r>
              <w:rPr>
                <w:rFonts w:hint="eastAsia" w:ascii="仿宋" w:hAnsi="仿宋" w:eastAsia="仿宋" w:cs="仿宋"/>
                <w:color w:val="auto"/>
                <w:highlight w:val="none"/>
              </w:rPr>
              <w:t>管理体系先进，现场措施内容完整、清晰、切实可行，设计合</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left="0" w:leftChars="0" w:right="0" w:rightChars="0" w:firstLine="0" w:firstLineChars="0"/>
              <w:jc w:val="left"/>
              <w:textAlignment w:val="center"/>
              <w:outlineLvl w:val="9"/>
              <w:rPr>
                <w:rFonts w:hint="eastAsia" w:ascii="仿宋" w:hAnsi="仿宋" w:eastAsia="仿宋" w:cs="仿宋"/>
                <w:color w:val="auto"/>
                <w:highlight w:val="none"/>
              </w:rPr>
            </w:pPr>
            <w:r>
              <w:rPr>
                <w:rFonts w:hint="eastAsia" w:ascii="仿宋" w:hAnsi="仿宋" w:eastAsia="仿宋" w:cs="仿宋"/>
                <w:color w:val="auto"/>
                <w:highlight w:val="none"/>
              </w:rPr>
              <w:t>理，文明安装措施、环境保护措施专业性、针对性、系统性强，</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left="0" w:leftChars="0" w:right="0" w:rightChars="0" w:firstLine="0" w:firstLineChars="0"/>
              <w:jc w:val="left"/>
              <w:textAlignment w:val="center"/>
              <w:outlineLvl w:val="9"/>
              <w:rPr>
                <w:rFonts w:hint="eastAsia" w:ascii="仿宋" w:hAnsi="仿宋" w:eastAsia="仿宋" w:cs="仿宋"/>
                <w:color w:val="auto"/>
                <w:highlight w:val="none"/>
              </w:rPr>
            </w:pPr>
            <w:r>
              <w:rPr>
                <w:rFonts w:hint="eastAsia" w:ascii="仿宋" w:hAnsi="仿宋" w:eastAsia="仿宋" w:cs="仿宋"/>
                <w:color w:val="auto"/>
                <w:highlight w:val="none"/>
              </w:rPr>
              <w:t>操作可行，项目特点、难点分析非常准确，能够切实满足项目需</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left="0" w:leftChars="0" w:right="0" w:rightChars="0" w:firstLine="0" w:firstLineChars="0"/>
              <w:jc w:val="left"/>
              <w:textAlignment w:val="center"/>
              <w:outlineLvl w:val="9"/>
              <w:rPr>
                <w:rFonts w:hint="eastAsia" w:ascii="仿宋" w:hAnsi="仿宋" w:eastAsia="仿宋" w:cs="仿宋"/>
                <w:i w:val="0"/>
                <w:color w:val="auto"/>
                <w:sz w:val="21"/>
                <w:szCs w:val="21"/>
                <w:highlight w:val="none"/>
                <w:u w:val="none"/>
                <w:lang w:val="en-US" w:eastAsia="zh-CN"/>
              </w:rPr>
            </w:pPr>
            <w:r>
              <w:rPr>
                <w:rFonts w:hint="eastAsia" w:ascii="仿宋" w:hAnsi="仿宋" w:eastAsia="仿宋" w:cs="仿宋"/>
                <w:color w:val="auto"/>
                <w:highlight w:val="none"/>
              </w:rPr>
              <w:t>求书的要求：</w:t>
            </w:r>
            <w:r>
              <w:rPr>
                <w:rFonts w:hint="eastAsia" w:ascii="仿宋" w:hAnsi="仿宋" w:eastAsia="仿宋" w:cs="仿宋"/>
                <w:color w:val="auto"/>
                <w:highlight w:val="none"/>
                <w:lang w:val="en-US" w:eastAsia="zh-CN"/>
              </w:rPr>
              <w:t>15-20</w:t>
            </w:r>
            <w:r>
              <w:rPr>
                <w:rFonts w:hint="eastAsia" w:ascii="仿宋" w:hAnsi="仿宋" w:eastAsia="仿宋" w:cs="仿宋"/>
                <w:color w:val="auto"/>
                <w:highlight w:val="none"/>
              </w:rPr>
              <w:t>（</w:t>
            </w:r>
            <w:r>
              <w:rPr>
                <w:rFonts w:hint="eastAsia" w:ascii="仿宋" w:hAnsi="仿宋" w:eastAsia="仿宋" w:cs="仿宋"/>
                <w:color w:val="auto"/>
                <w:highlight w:val="none"/>
                <w:lang w:val="en-US" w:eastAsia="zh-Hans"/>
              </w:rPr>
              <w:t>含</w:t>
            </w:r>
            <w:r>
              <w:rPr>
                <w:rFonts w:hint="eastAsia" w:ascii="仿宋" w:hAnsi="仿宋" w:eastAsia="仿宋" w:cs="仿宋"/>
                <w:color w:val="auto"/>
                <w:highlight w:val="none"/>
                <w:lang w:eastAsia="zh-Hans"/>
              </w:rPr>
              <w:t>）</w:t>
            </w:r>
            <w:r>
              <w:rPr>
                <w:rFonts w:hint="eastAsia" w:ascii="仿宋" w:hAnsi="仿宋" w:eastAsia="仿宋" w:cs="仿宋"/>
                <w:color w:val="auto"/>
                <w:highlight w:val="none"/>
              </w:rPr>
              <w:t>分；管理体系较先进，现场措施内容较完整、清晰，设计较合理，文明安装措施、环境保护措施专业性、针对性、系统性较强，操作可行性较强，项目特点、难点分析较为准确，基本满足项目需求书的要求：</w:t>
            </w:r>
            <w:r>
              <w:rPr>
                <w:rFonts w:hint="eastAsia" w:ascii="仿宋" w:hAnsi="仿宋" w:eastAsia="仿宋" w:cs="仿宋"/>
                <w:color w:val="auto"/>
                <w:highlight w:val="none"/>
                <w:lang w:val="en-US" w:eastAsia="zh-CN"/>
              </w:rPr>
              <w:t>9-14</w:t>
            </w:r>
            <w:r>
              <w:rPr>
                <w:rFonts w:hint="eastAsia" w:ascii="仿宋" w:hAnsi="仿宋" w:eastAsia="仿宋" w:cs="仿宋"/>
                <w:color w:val="auto"/>
                <w:highlight w:val="none"/>
              </w:rPr>
              <w:t>（</w:t>
            </w:r>
            <w:r>
              <w:rPr>
                <w:rFonts w:hint="eastAsia" w:ascii="仿宋" w:hAnsi="仿宋" w:eastAsia="仿宋" w:cs="仿宋"/>
                <w:color w:val="auto"/>
                <w:highlight w:val="none"/>
                <w:lang w:val="en-US" w:eastAsia="zh-Hans"/>
              </w:rPr>
              <w:t>含</w:t>
            </w:r>
            <w:r>
              <w:rPr>
                <w:rFonts w:hint="eastAsia" w:ascii="仿宋" w:hAnsi="仿宋" w:eastAsia="仿宋" w:cs="仿宋"/>
                <w:color w:val="auto"/>
                <w:highlight w:val="none"/>
                <w:lang w:eastAsia="zh-Hans"/>
              </w:rPr>
              <w:t>）</w:t>
            </w:r>
            <w:r>
              <w:rPr>
                <w:rFonts w:hint="eastAsia" w:ascii="仿宋" w:hAnsi="仿宋" w:eastAsia="仿宋" w:cs="仿宋"/>
                <w:color w:val="auto"/>
                <w:highlight w:val="none"/>
              </w:rPr>
              <w:t>分；管理体系不完整，现场措施内容不完整、清晰，设计不太合理，文明安装措施、环境保护措施有一定的专业性、操作可行性，项目特点、难点分析准确性一般，不能满足项目需求书的要求：</w:t>
            </w:r>
            <w:r>
              <w:rPr>
                <w:rFonts w:hint="eastAsia" w:ascii="仿宋" w:hAnsi="仿宋" w:eastAsia="仿宋" w:cs="仿宋"/>
                <w:color w:val="auto"/>
                <w:highlight w:val="none"/>
                <w:lang w:val="en-US" w:eastAsia="zh-CN"/>
              </w:rPr>
              <w:t>0-8</w:t>
            </w:r>
            <w:r>
              <w:rPr>
                <w:rFonts w:hint="eastAsia" w:ascii="仿宋" w:hAnsi="仿宋" w:eastAsia="仿宋" w:cs="仿宋"/>
                <w:color w:val="auto"/>
                <w:highlight w:val="none"/>
              </w:rPr>
              <w:t>（</w:t>
            </w:r>
            <w:r>
              <w:rPr>
                <w:rFonts w:hint="eastAsia" w:ascii="仿宋" w:hAnsi="仿宋" w:eastAsia="仿宋" w:cs="仿宋"/>
                <w:color w:val="auto"/>
                <w:highlight w:val="none"/>
                <w:lang w:val="en-US" w:eastAsia="zh-Hans"/>
              </w:rPr>
              <w:t>含</w:t>
            </w:r>
            <w:r>
              <w:rPr>
                <w:rFonts w:hint="eastAsia" w:ascii="仿宋" w:hAnsi="仿宋" w:eastAsia="仿宋" w:cs="仿宋"/>
                <w:color w:val="auto"/>
                <w:highlight w:val="none"/>
                <w:lang w:eastAsia="zh-Hans"/>
              </w:rPr>
              <w:t>）</w:t>
            </w:r>
            <w:r>
              <w:rPr>
                <w:rFonts w:hint="eastAsia" w:ascii="仿宋" w:hAnsi="仿宋" w:eastAsia="仿宋" w:cs="仿宋"/>
                <w:color w:val="auto"/>
                <w:highlight w:val="none"/>
              </w:rPr>
              <w:t>分，未提供方案：</w:t>
            </w:r>
            <w:r>
              <w:rPr>
                <w:rFonts w:hint="eastAsia" w:ascii="仿宋" w:hAnsi="仿宋" w:eastAsia="仿宋" w:cs="仿宋"/>
                <w:color w:val="auto"/>
                <w:highlight w:val="none"/>
                <w:lang w:val="en-US" w:eastAsia="zh-CN"/>
              </w:rPr>
              <w:t>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05" w:hRule="atLeast"/>
          <w:jc w:val="center"/>
        </w:trPr>
        <w:tc>
          <w:tcPr>
            <w:tcW w:w="6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0" w:firstLineChars="0"/>
              <w:jc w:val="center"/>
              <w:outlineLvl w:val="9"/>
              <w:rPr>
                <w:rFonts w:hint="eastAsia" w:ascii="仿宋" w:hAnsi="仿宋" w:eastAsia="仿宋" w:cs="仿宋"/>
                <w:i w:val="0"/>
                <w:color w:val="auto"/>
                <w:sz w:val="21"/>
                <w:szCs w:val="21"/>
                <w:highlight w:val="none"/>
                <w:u w:val="none"/>
              </w:rPr>
            </w:pPr>
          </w:p>
        </w:tc>
        <w:tc>
          <w:tcPr>
            <w:tcW w:w="8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auto"/>
              <w:ind w:left="0" w:leftChars="0" w:right="0" w:rightChars="0" w:firstLine="0" w:firstLineChars="0"/>
              <w:jc w:val="left"/>
              <w:textAlignment w:val="center"/>
              <w:outlineLvl w:val="9"/>
              <w:rPr>
                <w:rFonts w:hint="eastAsia" w:ascii="仿宋" w:hAnsi="仿宋" w:eastAsia="仿宋" w:cs="仿宋"/>
                <w:i w:val="0"/>
                <w:color w:val="auto"/>
                <w:kern w:val="0"/>
                <w:sz w:val="21"/>
                <w:szCs w:val="21"/>
                <w:highlight w:val="none"/>
                <w:u w:val="none"/>
                <w:lang w:val="en-US" w:eastAsia="zh-Hans" w:bidi="ar"/>
              </w:rPr>
            </w:pPr>
            <w:r>
              <w:rPr>
                <w:rFonts w:hint="eastAsia" w:ascii="仿宋" w:hAnsi="仿宋" w:eastAsia="仿宋" w:cs="仿宋"/>
                <w:i w:val="0"/>
                <w:color w:val="auto"/>
                <w:kern w:val="0"/>
                <w:sz w:val="21"/>
                <w:szCs w:val="21"/>
                <w:highlight w:val="none"/>
                <w:u w:val="none"/>
                <w:lang w:val="en-US" w:eastAsia="zh-Hans" w:bidi="ar"/>
              </w:rPr>
              <w:t>运输方案</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left="0" w:leftChars="0" w:right="0" w:rightChars="0" w:firstLine="0" w:firstLineChars="0"/>
              <w:jc w:val="left"/>
              <w:textAlignment w:val="center"/>
              <w:outlineLvl w:val="9"/>
              <w:rPr>
                <w:rFonts w:hint="eastAsia" w:ascii="仿宋" w:hAnsi="仿宋" w:eastAsia="仿宋" w:cs="仿宋"/>
                <w:i w:val="0"/>
                <w:color w:val="auto"/>
                <w:kern w:val="0"/>
                <w:sz w:val="21"/>
                <w:szCs w:val="21"/>
                <w:highlight w:val="none"/>
                <w:u w:val="none"/>
                <w:lang w:val="en-US" w:eastAsia="zh-Hans" w:bidi="ar"/>
              </w:rPr>
            </w:pPr>
            <w:r>
              <w:rPr>
                <w:rFonts w:hint="eastAsia" w:ascii="仿宋" w:hAnsi="仿宋" w:eastAsia="仿宋" w:cs="仿宋"/>
                <w:i w:val="0"/>
                <w:color w:val="auto"/>
                <w:kern w:val="0"/>
                <w:sz w:val="21"/>
                <w:szCs w:val="21"/>
                <w:highlight w:val="none"/>
                <w:u w:val="none"/>
                <w:lang w:eastAsia="zh-Hans" w:bidi="ar"/>
              </w:rPr>
              <w:t>（5</w:t>
            </w:r>
            <w:r>
              <w:rPr>
                <w:rFonts w:hint="eastAsia" w:ascii="仿宋" w:hAnsi="仿宋" w:eastAsia="仿宋" w:cs="仿宋"/>
                <w:i w:val="0"/>
                <w:color w:val="auto"/>
                <w:kern w:val="0"/>
                <w:sz w:val="21"/>
                <w:szCs w:val="21"/>
                <w:highlight w:val="none"/>
                <w:u w:val="none"/>
                <w:lang w:val="en-US" w:eastAsia="zh-Hans" w:bidi="ar"/>
              </w:rPr>
              <w:t>分</w:t>
            </w:r>
            <w:r>
              <w:rPr>
                <w:rFonts w:hint="eastAsia" w:ascii="仿宋" w:hAnsi="仿宋" w:eastAsia="仿宋" w:cs="仿宋"/>
                <w:i w:val="0"/>
                <w:color w:val="auto"/>
                <w:kern w:val="0"/>
                <w:sz w:val="21"/>
                <w:szCs w:val="21"/>
                <w:highlight w:val="none"/>
                <w:u w:val="none"/>
                <w:lang w:eastAsia="zh-Hans" w:bidi="ar"/>
              </w:rPr>
              <w:t>）</w:t>
            </w:r>
          </w:p>
        </w:tc>
        <w:tc>
          <w:tcPr>
            <w:tcW w:w="34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auto"/>
              <w:ind w:left="0" w:leftChars="0" w:right="0" w:rightChars="0" w:firstLine="0" w:firstLineChars="0"/>
              <w:jc w:val="both"/>
              <w:textAlignment w:val="center"/>
              <w:outlineLvl w:val="9"/>
              <w:rPr>
                <w:rFonts w:hint="eastAsia" w:ascii="仿宋" w:hAnsi="仿宋" w:eastAsia="仿宋" w:cs="仿宋"/>
                <w:i w:val="0"/>
                <w:color w:val="auto"/>
                <w:kern w:val="0"/>
                <w:sz w:val="21"/>
                <w:szCs w:val="21"/>
                <w:highlight w:val="none"/>
                <w:u w:val="none"/>
                <w:lang w:val="en-US" w:eastAsia="zh-Hans" w:bidi="ar"/>
              </w:rPr>
            </w:pPr>
            <w:r>
              <w:rPr>
                <w:rFonts w:hint="eastAsia" w:ascii="仿宋" w:hAnsi="仿宋" w:eastAsia="仿宋" w:cs="仿宋"/>
                <w:i w:val="0"/>
                <w:color w:val="auto"/>
                <w:kern w:val="0"/>
                <w:sz w:val="21"/>
                <w:szCs w:val="21"/>
                <w:highlight w:val="none"/>
                <w:u w:val="none"/>
                <w:lang w:val="en-US" w:eastAsia="zh-Hans" w:bidi="ar"/>
              </w:rPr>
              <w:t>投标方案中具有合理</w:t>
            </w:r>
            <w:r>
              <w:rPr>
                <w:rFonts w:hint="eastAsia" w:ascii="仿宋" w:hAnsi="仿宋" w:eastAsia="仿宋" w:cs="仿宋"/>
                <w:i w:val="0"/>
                <w:color w:val="auto"/>
                <w:kern w:val="0"/>
                <w:sz w:val="21"/>
                <w:szCs w:val="21"/>
                <w:highlight w:val="none"/>
                <w:u w:val="none"/>
                <w:lang w:eastAsia="zh-Hans" w:bidi="ar"/>
              </w:rPr>
              <w:t>、</w:t>
            </w:r>
            <w:r>
              <w:rPr>
                <w:rFonts w:hint="eastAsia" w:ascii="仿宋" w:hAnsi="仿宋" w:eastAsia="仿宋" w:cs="仿宋"/>
                <w:i w:val="0"/>
                <w:color w:val="auto"/>
                <w:kern w:val="0"/>
                <w:sz w:val="21"/>
                <w:szCs w:val="21"/>
                <w:highlight w:val="none"/>
                <w:u w:val="none"/>
                <w:lang w:val="en-US" w:eastAsia="zh-Hans" w:bidi="ar"/>
              </w:rPr>
              <w:t>可行</w:t>
            </w:r>
            <w:r>
              <w:rPr>
                <w:rFonts w:hint="eastAsia" w:ascii="仿宋" w:hAnsi="仿宋" w:eastAsia="仿宋" w:cs="仿宋"/>
                <w:i w:val="0"/>
                <w:color w:val="auto"/>
                <w:kern w:val="0"/>
                <w:sz w:val="21"/>
                <w:szCs w:val="21"/>
                <w:highlight w:val="none"/>
                <w:u w:val="none"/>
                <w:lang w:eastAsia="zh-Hans" w:bidi="ar"/>
              </w:rPr>
              <w:t>、</w:t>
            </w:r>
            <w:r>
              <w:rPr>
                <w:rFonts w:hint="eastAsia" w:ascii="仿宋" w:hAnsi="仿宋" w:eastAsia="仿宋" w:cs="仿宋"/>
                <w:i w:val="0"/>
                <w:color w:val="auto"/>
                <w:kern w:val="0"/>
                <w:sz w:val="21"/>
                <w:szCs w:val="21"/>
                <w:highlight w:val="none"/>
                <w:u w:val="none"/>
                <w:lang w:val="en-US" w:eastAsia="zh-Hans" w:bidi="ar"/>
              </w:rPr>
              <w:t>安全可靠的运输</w:t>
            </w:r>
            <w:r>
              <w:rPr>
                <w:rFonts w:hint="eastAsia" w:ascii="仿宋" w:hAnsi="仿宋" w:eastAsia="仿宋" w:cs="仿宋"/>
                <w:i w:val="0"/>
                <w:color w:val="auto"/>
                <w:kern w:val="0"/>
                <w:sz w:val="21"/>
                <w:szCs w:val="21"/>
                <w:highlight w:val="none"/>
                <w:u w:val="none"/>
                <w:lang w:eastAsia="zh-Hans" w:bidi="ar"/>
              </w:rPr>
              <w:t>、</w:t>
            </w:r>
            <w:r>
              <w:rPr>
                <w:rFonts w:hint="eastAsia" w:ascii="仿宋" w:hAnsi="仿宋" w:eastAsia="仿宋" w:cs="仿宋"/>
                <w:i w:val="0"/>
                <w:color w:val="auto"/>
                <w:kern w:val="0"/>
                <w:sz w:val="21"/>
                <w:szCs w:val="21"/>
                <w:highlight w:val="none"/>
                <w:u w:val="none"/>
                <w:lang w:val="en-US" w:eastAsia="zh-Hans" w:bidi="ar"/>
              </w:rPr>
              <w:t>配送方案</w:t>
            </w:r>
            <w:r>
              <w:rPr>
                <w:rFonts w:hint="eastAsia" w:ascii="仿宋" w:hAnsi="仿宋" w:eastAsia="仿宋" w:cs="仿宋"/>
                <w:i w:val="0"/>
                <w:color w:val="auto"/>
                <w:kern w:val="0"/>
                <w:sz w:val="21"/>
                <w:szCs w:val="21"/>
                <w:highlight w:val="none"/>
                <w:u w:val="none"/>
                <w:lang w:eastAsia="zh-Hans" w:bidi="ar"/>
              </w:rPr>
              <w:t>，</w:t>
            </w:r>
            <w:r>
              <w:rPr>
                <w:rFonts w:hint="eastAsia" w:ascii="仿宋" w:hAnsi="仿宋" w:eastAsia="仿宋" w:cs="仿宋"/>
                <w:i w:val="0"/>
                <w:color w:val="auto"/>
                <w:kern w:val="0"/>
                <w:sz w:val="21"/>
                <w:szCs w:val="21"/>
                <w:highlight w:val="none"/>
                <w:u w:val="none"/>
                <w:lang w:val="en-US" w:eastAsia="zh-Hans" w:bidi="ar"/>
              </w:rPr>
              <w:t>运输</w:t>
            </w:r>
            <w:r>
              <w:rPr>
                <w:rFonts w:hint="eastAsia" w:ascii="仿宋" w:hAnsi="仿宋" w:eastAsia="仿宋" w:cs="仿宋"/>
                <w:i w:val="0"/>
                <w:color w:val="auto"/>
                <w:kern w:val="0"/>
                <w:sz w:val="21"/>
                <w:szCs w:val="21"/>
                <w:highlight w:val="none"/>
                <w:u w:val="none"/>
                <w:lang w:eastAsia="zh-Hans" w:bidi="ar"/>
              </w:rPr>
              <w:t>、</w:t>
            </w:r>
            <w:r>
              <w:rPr>
                <w:rFonts w:hint="eastAsia" w:ascii="仿宋" w:hAnsi="仿宋" w:eastAsia="仿宋" w:cs="仿宋"/>
                <w:i w:val="0"/>
                <w:color w:val="auto"/>
                <w:kern w:val="0"/>
                <w:sz w:val="21"/>
                <w:szCs w:val="21"/>
                <w:highlight w:val="none"/>
                <w:u w:val="none"/>
                <w:lang w:val="en-US" w:eastAsia="zh-Hans" w:bidi="ar"/>
              </w:rPr>
              <w:t>配送方案内容健全</w:t>
            </w:r>
            <w:r>
              <w:rPr>
                <w:rFonts w:hint="eastAsia" w:ascii="仿宋" w:hAnsi="仿宋" w:eastAsia="仿宋" w:cs="仿宋"/>
                <w:i w:val="0"/>
                <w:color w:val="auto"/>
                <w:kern w:val="0"/>
                <w:sz w:val="21"/>
                <w:szCs w:val="21"/>
                <w:highlight w:val="none"/>
                <w:u w:val="none"/>
                <w:lang w:eastAsia="zh-Hans" w:bidi="ar"/>
              </w:rPr>
              <w:t>、</w:t>
            </w:r>
            <w:r>
              <w:rPr>
                <w:rFonts w:hint="eastAsia" w:ascii="仿宋" w:hAnsi="仿宋" w:eastAsia="仿宋" w:cs="仿宋"/>
                <w:i w:val="0"/>
                <w:color w:val="auto"/>
                <w:kern w:val="0"/>
                <w:sz w:val="21"/>
                <w:szCs w:val="21"/>
                <w:highlight w:val="none"/>
                <w:u w:val="none"/>
                <w:lang w:val="en-US" w:eastAsia="zh-Hans" w:bidi="ar"/>
              </w:rPr>
              <w:t>科学合理</w:t>
            </w:r>
            <w:r>
              <w:rPr>
                <w:rFonts w:hint="eastAsia" w:ascii="仿宋" w:hAnsi="仿宋" w:eastAsia="仿宋" w:cs="仿宋"/>
                <w:i w:val="0"/>
                <w:color w:val="auto"/>
                <w:kern w:val="0"/>
                <w:sz w:val="21"/>
                <w:szCs w:val="21"/>
                <w:highlight w:val="none"/>
                <w:u w:val="none"/>
                <w:lang w:eastAsia="zh-Hans" w:bidi="ar"/>
              </w:rPr>
              <w:t>、</w:t>
            </w:r>
            <w:r>
              <w:rPr>
                <w:rFonts w:hint="eastAsia" w:ascii="仿宋" w:hAnsi="仿宋" w:eastAsia="仿宋" w:cs="仿宋"/>
                <w:i w:val="0"/>
                <w:color w:val="auto"/>
                <w:kern w:val="0"/>
                <w:sz w:val="21"/>
                <w:szCs w:val="21"/>
                <w:highlight w:val="none"/>
                <w:u w:val="none"/>
                <w:lang w:val="en-US" w:eastAsia="zh-Hans" w:bidi="ar"/>
              </w:rPr>
              <w:t>可行性强</w:t>
            </w:r>
            <w:r>
              <w:rPr>
                <w:rFonts w:hint="eastAsia" w:ascii="仿宋" w:hAnsi="仿宋" w:eastAsia="仿宋" w:cs="仿宋"/>
                <w:i w:val="0"/>
                <w:color w:val="auto"/>
                <w:kern w:val="0"/>
                <w:sz w:val="21"/>
                <w:szCs w:val="21"/>
                <w:highlight w:val="none"/>
                <w:u w:val="none"/>
                <w:lang w:eastAsia="zh-Hans" w:bidi="ar"/>
              </w:rPr>
              <w:t>、</w:t>
            </w:r>
            <w:r>
              <w:rPr>
                <w:rFonts w:hint="eastAsia" w:ascii="仿宋" w:hAnsi="仿宋" w:eastAsia="仿宋" w:cs="仿宋"/>
                <w:i w:val="0"/>
                <w:color w:val="auto"/>
                <w:kern w:val="0"/>
                <w:sz w:val="21"/>
                <w:szCs w:val="21"/>
                <w:highlight w:val="none"/>
                <w:u w:val="none"/>
                <w:lang w:val="en-US" w:eastAsia="zh-Hans" w:bidi="ar"/>
              </w:rPr>
              <w:t>安全可靠性切合实际得</w:t>
            </w:r>
            <w:r>
              <w:rPr>
                <w:rFonts w:hint="eastAsia" w:ascii="仿宋" w:hAnsi="仿宋" w:eastAsia="仿宋" w:cs="仿宋"/>
                <w:i w:val="0"/>
                <w:color w:val="auto"/>
                <w:kern w:val="0"/>
                <w:sz w:val="21"/>
                <w:szCs w:val="21"/>
                <w:highlight w:val="none"/>
                <w:u w:val="none"/>
                <w:lang w:eastAsia="zh-Hans" w:bidi="ar"/>
              </w:rPr>
              <w:t>3-5（</w:t>
            </w:r>
            <w:r>
              <w:rPr>
                <w:rFonts w:hint="eastAsia" w:ascii="仿宋" w:hAnsi="仿宋" w:eastAsia="仿宋" w:cs="仿宋"/>
                <w:i w:val="0"/>
                <w:color w:val="auto"/>
                <w:kern w:val="0"/>
                <w:sz w:val="21"/>
                <w:szCs w:val="21"/>
                <w:highlight w:val="none"/>
                <w:u w:val="none"/>
                <w:lang w:val="en-US" w:eastAsia="zh-Hans" w:bidi="ar"/>
              </w:rPr>
              <w:t>含</w:t>
            </w:r>
            <w:r>
              <w:rPr>
                <w:rFonts w:hint="eastAsia" w:ascii="仿宋" w:hAnsi="仿宋" w:eastAsia="仿宋" w:cs="仿宋"/>
                <w:i w:val="0"/>
                <w:color w:val="auto"/>
                <w:kern w:val="0"/>
                <w:sz w:val="21"/>
                <w:szCs w:val="21"/>
                <w:highlight w:val="none"/>
                <w:u w:val="none"/>
                <w:lang w:eastAsia="zh-Hans" w:bidi="ar"/>
              </w:rPr>
              <w:t>）</w:t>
            </w:r>
            <w:r>
              <w:rPr>
                <w:rFonts w:hint="eastAsia" w:ascii="仿宋" w:hAnsi="仿宋" w:eastAsia="仿宋" w:cs="仿宋"/>
                <w:i w:val="0"/>
                <w:color w:val="auto"/>
                <w:kern w:val="0"/>
                <w:sz w:val="21"/>
                <w:szCs w:val="21"/>
                <w:highlight w:val="none"/>
                <w:u w:val="none"/>
                <w:lang w:val="en-US" w:eastAsia="zh-Hans" w:bidi="ar"/>
              </w:rPr>
              <w:t>分</w:t>
            </w:r>
            <w:r>
              <w:rPr>
                <w:rFonts w:hint="eastAsia" w:ascii="仿宋" w:hAnsi="仿宋" w:eastAsia="仿宋" w:cs="仿宋"/>
                <w:i w:val="0"/>
                <w:color w:val="auto"/>
                <w:kern w:val="0"/>
                <w:sz w:val="21"/>
                <w:szCs w:val="21"/>
                <w:highlight w:val="none"/>
                <w:u w:val="none"/>
                <w:lang w:eastAsia="zh-Hans" w:bidi="ar"/>
              </w:rPr>
              <w:t>，</w:t>
            </w:r>
            <w:r>
              <w:rPr>
                <w:rFonts w:hint="eastAsia" w:ascii="仿宋" w:hAnsi="仿宋" w:eastAsia="仿宋" w:cs="仿宋"/>
                <w:i w:val="0"/>
                <w:color w:val="auto"/>
                <w:kern w:val="0"/>
                <w:sz w:val="21"/>
                <w:szCs w:val="21"/>
                <w:highlight w:val="none"/>
                <w:u w:val="none"/>
                <w:lang w:val="en-US" w:eastAsia="zh-Hans" w:bidi="ar"/>
              </w:rPr>
              <w:t>运输</w:t>
            </w:r>
            <w:r>
              <w:rPr>
                <w:rFonts w:hint="eastAsia" w:ascii="仿宋" w:hAnsi="仿宋" w:eastAsia="仿宋" w:cs="仿宋"/>
                <w:i w:val="0"/>
                <w:color w:val="auto"/>
                <w:kern w:val="0"/>
                <w:sz w:val="21"/>
                <w:szCs w:val="21"/>
                <w:highlight w:val="none"/>
                <w:u w:val="none"/>
                <w:lang w:eastAsia="zh-Hans" w:bidi="ar"/>
              </w:rPr>
              <w:t>、</w:t>
            </w:r>
            <w:r>
              <w:rPr>
                <w:rFonts w:hint="eastAsia" w:ascii="仿宋" w:hAnsi="仿宋" w:eastAsia="仿宋" w:cs="仿宋"/>
                <w:i w:val="0"/>
                <w:color w:val="auto"/>
                <w:kern w:val="0"/>
                <w:sz w:val="21"/>
                <w:szCs w:val="21"/>
                <w:highlight w:val="none"/>
                <w:u w:val="none"/>
                <w:lang w:val="en-US" w:eastAsia="zh-Hans" w:bidi="ar"/>
              </w:rPr>
              <w:t>配送方案内容较为全面</w:t>
            </w:r>
            <w:r>
              <w:rPr>
                <w:rFonts w:hint="eastAsia" w:ascii="仿宋" w:hAnsi="仿宋" w:eastAsia="仿宋" w:cs="仿宋"/>
                <w:i w:val="0"/>
                <w:color w:val="auto"/>
                <w:kern w:val="0"/>
                <w:sz w:val="21"/>
                <w:szCs w:val="21"/>
                <w:highlight w:val="none"/>
                <w:u w:val="none"/>
                <w:lang w:eastAsia="zh-Hans" w:bidi="ar"/>
              </w:rPr>
              <w:t>、</w:t>
            </w:r>
            <w:r>
              <w:rPr>
                <w:rFonts w:hint="eastAsia" w:ascii="仿宋" w:hAnsi="仿宋" w:eastAsia="仿宋" w:cs="仿宋"/>
                <w:i w:val="0"/>
                <w:color w:val="auto"/>
                <w:kern w:val="0"/>
                <w:sz w:val="21"/>
                <w:szCs w:val="21"/>
                <w:highlight w:val="none"/>
                <w:u w:val="none"/>
                <w:lang w:val="en-US" w:eastAsia="zh-Hans" w:bidi="ar"/>
              </w:rPr>
              <w:t>较为科学合理</w:t>
            </w:r>
            <w:r>
              <w:rPr>
                <w:rFonts w:hint="eastAsia" w:ascii="仿宋" w:hAnsi="仿宋" w:eastAsia="仿宋" w:cs="仿宋"/>
                <w:i w:val="0"/>
                <w:color w:val="auto"/>
                <w:kern w:val="0"/>
                <w:sz w:val="21"/>
                <w:szCs w:val="21"/>
                <w:highlight w:val="none"/>
                <w:u w:val="none"/>
                <w:lang w:eastAsia="zh-Hans" w:bidi="ar"/>
              </w:rPr>
              <w:t>，</w:t>
            </w:r>
            <w:r>
              <w:rPr>
                <w:rFonts w:hint="eastAsia" w:ascii="仿宋" w:hAnsi="仿宋" w:eastAsia="仿宋" w:cs="仿宋"/>
                <w:i w:val="0"/>
                <w:color w:val="auto"/>
                <w:kern w:val="0"/>
                <w:sz w:val="21"/>
                <w:szCs w:val="21"/>
                <w:highlight w:val="none"/>
                <w:u w:val="none"/>
                <w:lang w:val="en-US" w:eastAsia="zh-Hans" w:bidi="ar"/>
              </w:rPr>
              <w:t>可行性一般的</w:t>
            </w:r>
            <w:r>
              <w:rPr>
                <w:rFonts w:hint="eastAsia" w:ascii="仿宋" w:hAnsi="仿宋" w:eastAsia="仿宋" w:cs="仿宋"/>
                <w:i w:val="0"/>
                <w:color w:val="auto"/>
                <w:kern w:val="0"/>
                <w:sz w:val="21"/>
                <w:szCs w:val="21"/>
                <w:highlight w:val="none"/>
                <w:u w:val="none"/>
                <w:lang w:eastAsia="zh-Hans" w:bidi="ar"/>
              </w:rPr>
              <w:t>2-3（</w:t>
            </w:r>
            <w:r>
              <w:rPr>
                <w:rFonts w:hint="eastAsia" w:ascii="仿宋" w:hAnsi="仿宋" w:eastAsia="仿宋" w:cs="仿宋"/>
                <w:i w:val="0"/>
                <w:color w:val="auto"/>
                <w:kern w:val="0"/>
                <w:sz w:val="21"/>
                <w:szCs w:val="21"/>
                <w:highlight w:val="none"/>
                <w:u w:val="none"/>
                <w:lang w:val="en-US" w:eastAsia="zh-Hans" w:bidi="ar"/>
              </w:rPr>
              <w:t>含</w:t>
            </w:r>
            <w:r>
              <w:rPr>
                <w:rFonts w:hint="eastAsia" w:ascii="仿宋" w:hAnsi="仿宋" w:eastAsia="仿宋" w:cs="仿宋"/>
                <w:i w:val="0"/>
                <w:color w:val="auto"/>
                <w:kern w:val="0"/>
                <w:sz w:val="21"/>
                <w:szCs w:val="21"/>
                <w:highlight w:val="none"/>
                <w:u w:val="none"/>
                <w:lang w:eastAsia="zh-Hans" w:bidi="ar"/>
              </w:rPr>
              <w:t>）</w:t>
            </w:r>
            <w:r>
              <w:rPr>
                <w:rFonts w:hint="eastAsia" w:ascii="仿宋" w:hAnsi="仿宋" w:eastAsia="仿宋" w:cs="仿宋"/>
                <w:i w:val="0"/>
                <w:color w:val="auto"/>
                <w:kern w:val="0"/>
                <w:sz w:val="21"/>
                <w:szCs w:val="21"/>
                <w:highlight w:val="none"/>
                <w:u w:val="none"/>
                <w:lang w:val="en-US" w:eastAsia="zh-Hans" w:bidi="ar"/>
              </w:rPr>
              <w:t>分</w:t>
            </w:r>
            <w:r>
              <w:rPr>
                <w:rFonts w:hint="eastAsia" w:ascii="仿宋" w:hAnsi="仿宋" w:eastAsia="仿宋" w:cs="仿宋"/>
                <w:i w:val="0"/>
                <w:color w:val="auto"/>
                <w:kern w:val="0"/>
                <w:sz w:val="21"/>
                <w:szCs w:val="21"/>
                <w:highlight w:val="none"/>
                <w:u w:val="none"/>
                <w:lang w:eastAsia="zh-Hans" w:bidi="ar"/>
              </w:rPr>
              <w:t>，</w:t>
            </w:r>
            <w:r>
              <w:rPr>
                <w:rFonts w:hint="eastAsia" w:ascii="仿宋" w:hAnsi="仿宋" w:eastAsia="仿宋" w:cs="仿宋"/>
                <w:i w:val="0"/>
                <w:color w:val="auto"/>
                <w:kern w:val="0"/>
                <w:sz w:val="21"/>
                <w:szCs w:val="21"/>
                <w:highlight w:val="none"/>
                <w:u w:val="none"/>
                <w:lang w:val="en-US" w:eastAsia="zh-Hans" w:bidi="ar"/>
              </w:rPr>
              <w:t>其他得</w:t>
            </w:r>
            <w:r>
              <w:rPr>
                <w:rFonts w:hint="eastAsia" w:ascii="仿宋" w:hAnsi="仿宋" w:eastAsia="仿宋" w:cs="仿宋"/>
                <w:i w:val="0"/>
                <w:color w:val="auto"/>
                <w:kern w:val="0"/>
                <w:sz w:val="21"/>
                <w:szCs w:val="21"/>
                <w:highlight w:val="none"/>
                <w:u w:val="none"/>
                <w:lang w:eastAsia="zh-Hans" w:bidi="ar"/>
              </w:rPr>
              <w:t>0-2（</w:t>
            </w:r>
            <w:r>
              <w:rPr>
                <w:rFonts w:hint="eastAsia" w:ascii="仿宋" w:hAnsi="仿宋" w:eastAsia="仿宋" w:cs="仿宋"/>
                <w:i w:val="0"/>
                <w:color w:val="auto"/>
                <w:kern w:val="0"/>
                <w:sz w:val="21"/>
                <w:szCs w:val="21"/>
                <w:highlight w:val="none"/>
                <w:u w:val="none"/>
                <w:lang w:val="en-US" w:eastAsia="zh-Hans" w:bidi="ar"/>
              </w:rPr>
              <w:t>含</w:t>
            </w:r>
            <w:r>
              <w:rPr>
                <w:rFonts w:hint="eastAsia" w:ascii="仿宋" w:hAnsi="仿宋" w:eastAsia="仿宋" w:cs="仿宋"/>
                <w:i w:val="0"/>
                <w:color w:val="auto"/>
                <w:kern w:val="0"/>
                <w:sz w:val="21"/>
                <w:szCs w:val="21"/>
                <w:highlight w:val="none"/>
                <w:u w:val="none"/>
                <w:lang w:eastAsia="zh-Hans" w:bidi="ar"/>
              </w:rPr>
              <w:t>）</w:t>
            </w:r>
            <w:r>
              <w:rPr>
                <w:rFonts w:hint="eastAsia" w:ascii="仿宋" w:hAnsi="仿宋" w:eastAsia="仿宋" w:cs="仿宋"/>
                <w:i w:val="0"/>
                <w:color w:val="auto"/>
                <w:kern w:val="0"/>
                <w:sz w:val="21"/>
                <w:szCs w:val="21"/>
                <w:highlight w:val="none"/>
                <w:u w:val="none"/>
                <w:lang w:val="en-US" w:eastAsia="zh-Hans" w:bidi="ar"/>
              </w:rPr>
              <w:t>分</w:t>
            </w:r>
            <w:r>
              <w:rPr>
                <w:rFonts w:hint="eastAsia" w:ascii="仿宋" w:hAnsi="仿宋" w:eastAsia="仿宋" w:cs="仿宋"/>
                <w:i w:val="0"/>
                <w:color w:val="auto"/>
                <w:kern w:val="0"/>
                <w:sz w:val="21"/>
                <w:szCs w:val="21"/>
                <w:highlight w:val="none"/>
                <w:u w:val="none"/>
                <w:lang w:eastAsia="zh-Hans"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73" w:hRule="atLeast"/>
          <w:jc w:val="center"/>
        </w:trPr>
        <w:tc>
          <w:tcPr>
            <w:tcW w:w="6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0" w:firstLineChars="0"/>
              <w:jc w:val="center"/>
              <w:outlineLvl w:val="9"/>
              <w:rPr>
                <w:rFonts w:hint="eastAsia" w:ascii="仿宋" w:hAnsi="仿宋" w:eastAsia="仿宋" w:cs="仿宋"/>
                <w:i w:val="0"/>
                <w:color w:val="auto"/>
                <w:sz w:val="21"/>
                <w:szCs w:val="21"/>
                <w:highlight w:val="none"/>
                <w:u w:val="none"/>
              </w:rPr>
            </w:pPr>
          </w:p>
        </w:tc>
        <w:tc>
          <w:tcPr>
            <w:tcW w:w="8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auto"/>
              <w:ind w:left="0" w:leftChars="0" w:right="0" w:rightChars="0" w:firstLine="0" w:firstLineChars="0"/>
              <w:jc w:val="left"/>
              <w:textAlignment w:val="center"/>
              <w:outlineLvl w:val="9"/>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可操作性、可维护性（5分）</w:t>
            </w:r>
          </w:p>
        </w:tc>
        <w:tc>
          <w:tcPr>
            <w:tcW w:w="34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auto"/>
              <w:ind w:left="0" w:leftChars="0" w:right="0" w:rightChars="0" w:firstLine="0" w:firstLineChars="0"/>
              <w:jc w:val="both"/>
              <w:textAlignment w:val="center"/>
              <w:outlineLvl w:val="9"/>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所投产品操作便捷，操作上较为人性化，有利于工作人员提高工作效率，便于维护等方面，酌情打分，最高不超过5分。否则不得分。</w:t>
            </w:r>
          </w:p>
        </w:tc>
      </w:tr>
    </w:tbl>
    <w:p>
      <w:pPr>
        <w:pStyle w:val="4"/>
        <w:keepNext/>
        <w:keepLines/>
        <w:pageBreakBefore w:val="0"/>
        <w:widowControl w:val="0"/>
        <w:kinsoku/>
        <w:wordWrap/>
        <w:overflowPunct/>
        <w:topLinePunct w:val="0"/>
        <w:autoSpaceDE/>
        <w:autoSpaceDN/>
        <w:bidi w:val="0"/>
        <w:adjustRightInd w:val="0"/>
        <w:snapToGrid w:val="0"/>
        <w:spacing w:before="0" w:beforeLines="0" w:after="0" w:afterLines="0" w:line="360" w:lineRule="auto"/>
        <w:ind w:left="0" w:leftChars="0" w:right="0" w:rightChars="0" w:firstLine="0" w:firstLineChars="0"/>
        <w:jc w:val="both"/>
        <w:textAlignment w:val="auto"/>
        <w:outlineLvl w:val="1"/>
        <w:rPr>
          <w:rFonts w:hint="eastAsia" w:ascii="仿宋" w:hAnsi="仿宋" w:eastAsia="仿宋" w:cs="仿宋"/>
          <w:color w:val="auto"/>
          <w:sz w:val="24"/>
          <w:szCs w:val="24"/>
          <w:highlight w:val="none"/>
        </w:rPr>
      </w:pPr>
      <w:r>
        <w:rPr>
          <w:rFonts w:hint="eastAsia" w:ascii="仿宋" w:hAnsi="仿宋" w:eastAsia="仿宋" w:cs="仿宋"/>
          <w:color w:val="auto"/>
          <w:highlight w:val="none"/>
        </w:rPr>
        <w:br w:type="page"/>
      </w: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val="en-US" w:eastAsia="zh-Hans"/>
        </w:rPr>
        <w:t>.</w:t>
      </w:r>
      <w:r>
        <w:rPr>
          <w:rFonts w:hint="eastAsia" w:ascii="仿宋" w:hAnsi="仿宋" w:eastAsia="仿宋" w:cs="仿宋"/>
          <w:color w:val="auto"/>
          <w:sz w:val="24"/>
          <w:szCs w:val="24"/>
          <w:highlight w:val="none"/>
          <w:lang w:eastAsia="zh-Hans"/>
        </w:rPr>
        <w:t>3</w:t>
      </w:r>
      <w:r>
        <w:rPr>
          <w:rFonts w:hint="eastAsia" w:ascii="仿宋" w:hAnsi="仿宋" w:eastAsia="仿宋" w:cs="仿宋"/>
          <w:color w:val="auto"/>
          <w:sz w:val="24"/>
          <w:szCs w:val="24"/>
          <w:highlight w:val="none"/>
        </w:rPr>
        <w:t>评标方法</w:t>
      </w:r>
      <w:bookmarkEnd w:id="311"/>
      <w:bookmarkEnd w:id="312"/>
      <w:bookmarkEnd w:id="313"/>
      <w:bookmarkEnd w:id="314"/>
      <w:bookmarkEnd w:id="315"/>
      <w:bookmarkEnd w:id="316"/>
      <w:bookmarkEnd w:id="317"/>
      <w:bookmarkEnd w:id="318"/>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Hans"/>
        </w:rPr>
        <w:t>综合评分法</w:t>
      </w:r>
    </w:p>
    <w:p>
      <w:pPr>
        <w:pStyle w:val="4"/>
        <w:pageBreakBefore w:val="0"/>
        <w:widowControl w:val="0"/>
        <w:kinsoku/>
        <w:wordWrap/>
        <w:overflowPunct/>
        <w:topLinePunct w:val="0"/>
        <w:autoSpaceDE/>
        <w:autoSpaceDN/>
        <w:bidi w:val="0"/>
        <w:adjustRightInd w:val="0"/>
        <w:snapToGrid w:val="0"/>
        <w:spacing w:before="0" w:beforeLines="0" w:after="0" w:afterLines="0" w:line="360" w:lineRule="auto"/>
        <w:ind w:left="0" w:leftChars="0" w:right="0" w:rightChars="0"/>
        <w:textAlignment w:val="auto"/>
        <w:rPr>
          <w:rFonts w:hint="eastAsia" w:ascii="仿宋" w:hAnsi="仿宋" w:eastAsia="仿宋" w:cs="仿宋"/>
          <w:color w:val="auto"/>
          <w:sz w:val="24"/>
          <w:szCs w:val="24"/>
          <w:highlight w:val="none"/>
        </w:rPr>
      </w:pPr>
      <w:bookmarkStart w:id="319" w:name="_Toc246996987"/>
      <w:bookmarkStart w:id="320" w:name="_Toc152042378"/>
      <w:bookmarkStart w:id="321" w:name="_Toc514837917"/>
      <w:bookmarkStart w:id="322" w:name="_Toc144974568"/>
      <w:bookmarkStart w:id="323" w:name="_Toc246996244"/>
      <w:bookmarkStart w:id="324" w:name="_Toc247085759"/>
      <w:bookmarkStart w:id="325" w:name="_Toc152045601"/>
      <w:bookmarkStart w:id="326" w:name="_Toc179632619"/>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val="en-US" w:eastAsia="zh-Hans"/>
        </w:rPr>
        <w:t>.</w:t>
      </w:r>
      <w:r>
        <w:rPr>
          <w:rFonts w:hint="eastAsia" w:ascii="仿宋" w:hAnsi="仿宋" w:eastAsia="仿宋" w:cs="仿宋"/>
          <w:color w:val="auto"/>
          <w:sz w:val="24"/>
          <w:szCs w:val="24"/>
          <w:highlight w:val="none"/>
          <w:lang w:eastAsia="zh-Hans"/>
        </w:rPr>
        <w:t>4</w:t>
      </w:r>
      <w:r>
        <w:rPr>
          <w:rFonts w:hint="eastAsia" w:ascii="仿宋" w:hAnsi="仿宋" w:eastAsia="仿宋" w:cs="仿宋"/>
          <w:color w:val="auto"/>
          <w:sz w:val="24"/>
          <w:szCs w:val="24"/>
          <w:highlight w:val="none"/>
        </w:rPr>
        <w:t>评审标准</w:t>
      </w:r>
      <w:bookmarkEnd w:id="319"/>
      <w:bookmarkEnd w:id="320"/>
      <w:bookmarkEnd w:id="321"/>
      <w:bookmarkEnd w:id="322"/>
      <w:bookmarkEnd w:id="323"/>
      <w:bookmarkEnd w:id="324"/>
      <w:bookmarkEnd w:id="325"/>
      <w:bookmarkEnd w:id="326"/>
    </w:p>
    <w:p>
      <w:pPr>
        <w:pStyle w:val="5"/>
        <w:pageBreakBefore w:val="0"/>
        <w:widowControl w:val="0"/>
        <w:kinsoku/>
        <w:wordWrap/>
        <w:overflowPunct/>
        <w:topLinePunct w:val="0"/>
        <w:autoSpaceDE/>
        <w:autoSpaceDN/>
        <w:bidi w:val="0"/>
        <w:adjustRightInd w:val="0"/>
        <w:snapToGrid w:val="0"/>
        <w:spacing w:before="0" w:beforeLines="0" w:after="0" w:afterLines="0" w:line="360" w:lineRule="auto"/>
        <w:ind w:left="0" w:leftChars="0" w:right="0" w:rightChars="0"/>
        <w:textAlignment w:val="auto"/>
        <w:rPr>
          <w:rFonts w:hint="eastAsia" w:ascii="仿宋" w:hAnsi="仿宋" w:eastAsia="仿宋" w:cs="仿宋"/>
          <w:color w:val="auto"/>
          <w:sz w:val="24"/>
          <w:szCs w:val="24"/>
          <w:highlight w:val="none"/>
        </w:rPr>
      </w:pPr>
      <w:bookmarkStart w:id="327" w:name="_Toc144974569"/>
      <w:bookmarkStart w:id="328" w:name="_Toc246996245"/>
      <w:bookmarkStart w:id="329" w:name="_Toc152042379"/>
      <w:bookmarkStart w:id="330" w:name="_Toc514837918"/>
      <w:bookmarkStart w:id="331" w:name="_Toc179632620"/>
      <w:bookmarkStart w:id="332" w:name="_Toc247085760"/>
      <w:bookmarkStart w:id="333" w:name="_Toc152045602"/>
      <w:bookmarkStart w:id="334" w:name="_Toc246996988"/>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val="en-US" w:eastAsia="zh-Hans"/>
        </w:rPr>
        <w:t>.</w:t>
      </w:r>
      <w:r>
        <w:rPr>
          <w:rFonts w:hint="eastAsia" w:ascii="仿宋" w:hAnsi="仿宋" w:eastAsia="仿宋" w:cs="仿宋"/>
          <w:color w:val="auto"/>
          <w:sz w:val="24"/>
          <w:szCs w:val="24"/>
          <w:highlight w:val="none"/>
          <w:lang w:eastAsia="zh-Hans"/>
        </w:rPr>
        <w:t>4</w:t>
      </w:r>
      <w:r>
        <w:rPr>
          <w:rFonts w:hint="eastAsia" w:ascii="仿宋" w:hAnsi="仿宋" w:eastAsia="仿宋" w:cs="仿宋"/>
          <w:color w:val="auto"/>
          <w:sz w:val="24"/>
          <w:szCs w:val="24"/>
          <w:highlight w:val="none"/>
          <w:lang w:val="en-US" w:eastAsia="zh-Hans"/>
        </w:rPr>
        <w:t>.</w:t>
      </w:r>
      <w:r>
        <w:rPr>
          <w:rFonts w:hint="eastAsia" w:ascii="仿宋" w:hAnsi="仿宋" w:eastAsia="仿宋" w:cs="仿宋"/>
          <w:color w:val="auto"/>
          <w:sz w:val="24"/>
          <w:szCs w:val="24"/>
          <w:highlight w:val="none"/>
          <w:lang w:eastAsia="zh-Hans"/>
        </w:rPr>
        <w:t>1</w:t>
      </w:r>
      <w:r>
        <w:rPr>
          <w:rFonts w:hint="eastAsia" w:ascii="仿宋" w:hAnsi="仿宋" w:eastAsia="仿宋" w:cs="仿宋"/>
          <w:color w:val="auto"/>
          <w:sz w:val="24"/>
          <w:szCs w:val="24"/>
          <w:highlight w:val="none"/>
        </w:rPr>
        <w:t>初步评审标准</w:t>
      </w:r>
      <w:bookmarkEnd w:id="327"/>
      <w:bookmarkEnd w:id="328"/>
      <w:bookmarkEnd w:id="329"/>
      <w:bookmarkEnd w:id="330"/>
      <w:bookmarkEnd w:id="331"/>
      <w:bookmarkEnd w:id="332"/>
      <w:bookmarkEnd w:id="333"/>
      <w:bookmarkEnd w:id="334"/>
    </w:p>
    <w:p>
      <w:pPr>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（2）资格</w:t>
      </w:r>
      <w:r>
        <w:rPr>
          <w:rFonts w:hint="eastAsia" w:ascii="仿宋" w:hAnsi="仿宋" w:eastAsia="仿宋" w:cs="仿宋"/>
          <w:color w:val="auto"/>
          <w:sz w:val="24"/>
          <w:szCs w:val="24"/>
          <w:highlight w:val="none"/>
          <w:lang w:val="en-US" w:eastAsia="zh-Hans"/>
        </w:rPr>
        <w:t>审查</w:t>
      </w:r>
      <w:r>
        <w:rPr>
          <w:rFonts w:hint="eastAsia" w:ascii="仿宋" w:hAnsi="仿宋" w:eastAsia="仿宋" w:cs="仿宋"/>
          <w:color w:val="auto"/>
          <w:sz w:val="24"/>
          <w:szCs w:val="24"/>
          <w:highlight w:val="none"/>
        </w:rPr>
        <w:t>标准：见评标办法前附表。</w:t>
      </w:r>
    </w:p>
    <w:p>
      <w:pPr>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val="en-US" w:eastAsia="zh-Hans"/>
        </w:rPr>
        <w:t>符合</w:t>
      </w:r>
      <w:r>
        <w:rPr>
          <w:rFonts w:hint="eastAsia" w:ascii="仿宋" w:hAnsi="仿宋" w:eastAsia="仿宋" w:cs="仿宋"/>
          <w:color w:val="auto"/>
          <w:sz w:val="24"/>
          <w:szCs w:val="24"/>
          <w:highlight w:val="none"/>
        </w:rPr>
        <w:t>性评审标准：见评标办法前附表。</w:t>
      </w:r>
    </w:p>
    <w:p>
      <w:pPr>
        <w:pStyle w:val="5"/>
        <w:pageBreakBefore w:val="0"/>
        <w:widowControl w:val="0"/>
        <w:kinsoku/>
        <w:wordWrap/>
        <w:overflowPunct/>
        <w:topLinePunct w:val="0"/>
        <w:autoSpaceDE/>
        <w:autoSpaceDN/>
        <w:bidi w:val="0"/>
        <w:adjustRightInd w:val="0"/>
        <w:snapToGrid w:val="0"/>
        <w:spacing w:before="0" w:beforeLines="0" w:after="0" w:afterLines="0" w:line="360" w:lineRule="auto"/>
        <w:ind w:left="0" w:leftChars="0" w:right="0" w:right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val="en-US" w:eastAsia="zh-Hans"/>
        </w:rPr>
        <w:t>.</w:t>
      </w:r>
      <w:r>
        <w:rPr>
          <w:rFonts w:hint="eastAsia" w:ascii="仿宋" w:hAnsi="仿宋" w:eastAsia="仿宋" w:cs="仿宋"/>
          <w:color w:val="auto"/>
          <w:sz w:val="24"/>
          <w:szCs w:val="24"/>
          <w:highlight w:val="none"/>
          <w:lang w:eastAsia="zh-Hans"/>
        </w:rPr>
        <w:t>4</w:t>
      </w:r>
      <w:r>
        <w:rPr>
          <w:rFonts w:hint="eastAsia" w:ascii="仿宋" w:hAnsi="仿宋" w:eastAsia="仿宋" w:cs="仿宋"/>
          <w:color w:val="auto"/>
          <w:sz w:val="24"/>
          <w:szCs w:val="24"/>
          <w:highlight w:val="none"/>
          <w:lang w:val="en-US" w:eastAsia="zh-Hans"/>
        </w:rPr>
        <w:t>.</w:t>
      </w:r>
      <w:r>
        <w:rPr>
          <w:rFonts w:hint="eastAsia" w:ascii="仿宋" w:hAnsi="仿宋" w:eastAsia="仿宋" w:cs="仿宋"/>
          <w:color w:val="auto"/>
          <w:sz w:val="24"/>
          <w:szCs w:val="24"/>
          <w:highlight w:val="none"/>
          <w:lang w:eastAsia="zh-Hans"/>
        </w:rPr>
        <w:t>2</w:t>
      </w:r>
      <w:r>
        <w:rPr>
          <w:rFonts w:hint="eastAsia" w:ascii="仿宋" w:hAnsi="仿宋" w:eastAsia="仿宋" w:cs="仿宋"/>
          <w:color w:val="auto"/>
          <w:sz w:val="24"/>
          <w:szCs w:val="24"/>
          <w:highlight w:val="none"/>
          <w:lang w:val="en-US" w:eastAsia="zh-Hans"/>
        </w:rPr>
        <w:t>详细评审标准</w:t>
      </w:r>
      <w:r>
        <w:rPr>
          <w:rFonts w:hint="eastAsia" w:ascii="仿宋" w:hAnsi="仿宋" w:eastAsia="仿宋" w:cs="仿宋"/>
          <w:color w:val="auto"/>
          <w:sz w:val="24"/>
          <w:szCs w:val="24"/>
          <w:highlight w:val="none"/>
          <w:lang w:eastAsia="zh-Hans"/>
        </w:rPr>
        <w:t>：</w:t>
      </w:r>
      <w:r>
        <w:rPr>
          <w:rFonts w:hint="eastAsia" w:ascii="仿宋" w:hAnsi="仿宋" w:eastAsia="仿宋" w:cs="仿宋"/>
          <w:color w:val="auto"/>
          <w:sz w:val="24"/>
          <w:szCs w:val="24"/>
          <w:highlight w:val="none"/>
          <w:lang w:val="en-US" w:eastAsia="zh-Hans"/>
        </w:rPr>
        <w:t>详见见本章</w:t>
      </w:r>
      <w:r>
        <w:rPr>
          <w:rFonts w:hint="eastAsia" w:ascii="仿宋" w:hAnsi="仿宋" w:eastAsia="仿宋" w:cs="仿宋"/>
          <w:color w:val="auto"/>
          <w:sz w:val="24"/>
          <w:szCs w:val="24"/>
          <w:highlight w:val="none"/>
          <w:lang w:eastAsia="zh-Hans"/>
        </w:rPr>
        <w:t>3</w:t>
      </w:r>
      <w:r>
        <w:rPr>
          <w:rFonts w:hint="eastAsia" w:ascii="仿宋" w:hAnsi="仿宋" w:eastAsia="仿宋" w:cs="仿宋"/>
          <w:color w:val="auto"/>
          <w:sz w:val="24"/>
          <w:szCs w:val="24"/>
          <w:highlight w:val="none"/>
          <w:lang w:val="en-US" w:eastAsia="zh-Hans"/>
        </w:rPr>
        <w:t>.</w:t>
      </w:r>
      <w:r>
        <w:rPr>
          <w:rFonts w:hint="eastAsia" w:ascii="仿宋" w:hAnsi="仿宋" w:eastAsia="仿宋" w:cs="仿宋"/>
          <w:color w:val="auto"/>
          <w:sz w:val="24"/>
          <w:szCs w:val="24"/>
          <w:highlight w:val="none"/>
          <w:lang w:eastAsia="zh-Hans"/>
        </w:rPr>
        <w:t>2</w:t>
      </w:r>
    </w:p>
    <w:p>
      <w:pPr>
        <w:pStyle w:val="5"/>
        <w:pageBreakBefore w:val="0"/>
        <w:widowControl w:val="0"/>
        <w:kinsoku/>
        <w:wordWrap/>
        <w:overflowPunct/>
        <w:topLinePunct w:val="0"/>
        <w:autoSpaceDE/>
        <w:autoSpaceDN/>
        <w:bidi w:val="0"/>
        <w:adjustRightInd w:val="0"/>
        <w:snapToGrid w:val="0"/>
        <w:spacing w:before="0" w:beforeLines="0" w:after="0" w:afterLines="0" w:line="360" w:lineRule="auto"/>
        <w:ind w:left="0" w:leftChars="0" w:right="0" w:rightChars="0"/>
        <w:textAlignment w:val="auto"/>
        <w:rPr>
          <w:rFonts w:hint="eastAsia" w:ascii="仿宋" w:hAnsi="仿宋" w:eastAsia="仿宋" w:cs="仿宋"/>
          <w:color w:val="auto"/>
          <w:sz w:val="24"/>
          <w:szCs w:val="24"/>
          <w:highlight w:val="none"/>
        </w:rPr>
      </w:pPr>
      <w:bookmarkStart w:id="335" w:name="_Toc246996246"/>
      <w:bookmarkStart w:id="336" w:name="_Toc144974570"/>
      <w:bookmarkStart w:id="337" w:name="_Toc152042380"/>
      <w:bookmarkStart w:id="338" w:name="_Toc247085761"/>
      <w:bookmarkStart w:id="339" w:name="_Toc514837919"/>
      <w:bookmarkStart w:id="340" w:name="_Toc246996989"/>
      <w:bookmarkStart w:id="341" w:name="_Toc152045603"/>
      <w:bookmarkStart w:id="342" w:name="_Toc179632621"/>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val="en-US" w:eastAsia="zh-Hans"/>
        </w:rPr>
        <w:t>.</w:t>
      </w:r>
      <w:r>
        <w:rPr>
          <w:rFonts w:hint="eastAsia" w:ascii="仿宋" w:hAnsi="仿宋" w:eastAsia="仿宋" w:cs="仿宋"/>
          <w:color w:val="auto"/>
          <w:sz w:val="24"/>
          <w:szCs w:val="24"/>
          <w:highlight w:val="none"/>
          <w:lang w:eastAsia="zh-Hans"/>
        </w:rPr>
        <w:t>4</w:t>
      </w:r>
      <w:r>
        <w:rPr>
          <w:rFonts w:hint="eastAsia" w:ascii="仿宋" w:hAnsi="仿宋" w:eastAsia="仿宋" w:cs="仿宋"/>
          <w:color w:val="auto"/>
          <w:sz w:val="24"/>
          <w:szCs w:val="24"/>
          <w:highlight w:val="none"/>
          <w:lang w:val="en-US" w:eastAsia="zh-Hans"/>
        </w:rPr>
        <w:t>.</w:t>
      </w:r>
      <w:r>
        <w:rPr>
          <w:rFonts w:hint="eastAsia" w:ascii="仿宋" w:hAnsi="仿宋" w:eastAsia="仿宋" w:cs="仿宋"/>
          <w:color w:val="auto"/>
          <w:sz w:val="24"/>
          <w:szCs w:val="24"/>
          <w:highlight w:val="none"/>
          <w:lang w:eastAsia="zh-Hans"/>
        </w:rPr>
        <w:t>3</w:t>
      </w:r>
      <w:r>
        <w:rPr>
          <w:rFonts w:hint="eastAsia" w:ascii="仿宋" w:hAnsi="仿宋" w:eastAsia="仿宋" w:cs="仿宋"/>
          <w:color w:val="auto"/>
          <w:sz w:val="24"/>
          <w:szCs w:val="24"/>
          <w:highlight w:val="none"/>
        </w:rPr>
        <w:t>分值构成</w:t>
      </w:r>
      <w:r>
        <w:rPr>
          <w:rFonts w:hint="eastAsia" w:ascii="仿宋" w:hAnsi="仿宋" w:eastAsia="仿宋" w:cs="仿宋"/>
          <w:color w:val="auto"/>
          <w:sz w:val="24"/>
          <w:szCs w:val="24"/>
          <w:highlight w:val="none"/>
          <w:lang w:val="en-US" w:eastAsia="zh-Hans"/>
        </w:rPr>
        <w:t>及</w:t>
      </w:r>
      <w:r>
        <w:rPr>
          <w:rFonts w:hint="eastAsia" w:ascii="仿宋" w:hAnsi="仿宋" w:eastAsia="仿宋" w:cs="仿宋"/>
          <w:color w:val="auto"/>
          <w:sz w:val="24"/>
          <w:szCs w:val="24"/>
          <w:highlight w:val="none"/>
        </w:rPr>
        <w:t>评分标准</w:t>
      </w:r>
      <w:bookmarkEnd w:id="335"/>
      <w:bookmarkEnd w:id="336"/>
      <w:bookmarkEnd w:id="337"/>
      <w:bookmarkEnd w:id="338"/>
      <w:bookmarkEnd w:id="339"/>
      <w:bookmarkEnd w:id="340"/>
      <w:bookmarkEnd w:id="341"/>
      <w:bookmarkEnd w:id="342"/>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Hans"/>
        </w:rPr>
        <w:t>一</w:t>
      </w:r>
      <w:r>
        <w:rPr>
          <w:rFonts w:hint="eastAsia" w:ascii="仿宋" w:hAnsi="仿宋" w:eastAsia="仿宋" w:cs="仿宋"/>
          <w:color w:val="auto"/>
          <w:sz w:val="24"/>
          <w:szCs w:val="24"/>
          <w:highlight w:val="none"/>
          <w:lang w:eastAsia="zh-Hans"/>
        </w:rPr>
        <w:t>）</w:t>
      </w:r>
      <w:r>
        <w:rPr>
          <w:rFonts w:hint="eastAsia" w:ascii="仿宋" w:hAnsi="仿宋" w:eastAsia="仿宋" w:cs="仿宋"/>
          <w:color w:val="auto"/>
          <w:sz w:val="24"/>
          <w:szCs w:val="24"/>
          <w:highlight w:val="none"/>
        </w:rPr>
        <w:t>分值构成：</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Hans"/>
        </w:rPr>
        <w:t>投标报价部分</w:t>
      </w:r>
      <w:r>
        <w:rPr>
          <w:rFonts w:hint="eastAsia" w:ascii="仿宋" w:hAnsi="仿宋" w:eastAsia="仿宋" w:cs="仿宋"/>
          <w:color w:val="auto"/>
          <w:sz w:val="24"/>
          <w:szCs w:val="24"/>
          <w:highlight w:val="none"/>
        </w:rPr>
        <w:t>：30</w:t>
      </w:r>
      <w:r>
        <w:rPr>
          <w:rFonts w:hint="eastAsia" w:ascii="仿宋" w:hAnsi="仿宋" w:eastAsia="仿宋" w:cs="仿宋"/>
          <w:color w:val="auto"/>
          <w:sz w:val="24"/>
          <w:szCs w:val="24"/>
          <w:highlight w:val="none"/>
          <w:lang w:val="en-US" w:eastAsia="zh-Hans"/>
        </w:rPr>
        <w:t>分</w:t>
      </w:r>
      <w:r>
        <w:rPr>
          <w:rFonts w:hint="eastAsia" w:ascii="仿宋" w:hAnsi="仿宋" w:eastAsia="仿宋" w:cs="仿宋"/>
          <w:color w:val="auto"/>
          <w:sz w:val="24"/>
          <w:szCs w:val="24"/>
          <w:highlight w:val="none"/>
          <w:lang w:eastAsia="zh-Hans"/>
        </w:rPr>
        <w:t>；</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ascii="仿宋" w:hAnsi="仿宋" w:eastAsia="仿宋" w:cs="仿宋"/>
          <w:color w:val="auto"/>
          <w:sz w:val="24"/>
          <w:szCs w:val="24"/>
          <w:highlight w:val="none"/>
          <w:lang w:eastAsia="zh-Hans"/>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Hans"/>
        </w:rPr>
        <w:t>商务</w:t>
      </w:r>
      <w:r>
        <w:rPr>
          <w:rFonts w:hint="eastAsia" w:ascii="仿宋" w:hAnsi="仿宋" w:eastAsia="仿宋" w:cs="仿宋"/>
          <w:color w:val="auto"/>
          <w:sz w:val="24"/>
          <w:szCs w:val="24"/>
          <w:highlight w:val="none"/>
        </w:rPr>
        <w:t>技术部分：70</w:t>
      </w:r>
      <w:r>
        <w:rPr>
          <w:rFonts w:hint="eastAsia" w:ascii="仿宋" w:hAnsi="仿宋" w:eastAsia="仿宋" w:cs="仿宋"/>
          <w:color w:val="auto"/>
          <w:sz w:val="24"/>
          <w:szCs w:val="24"/>
          <w:highlight w:val="none"/>
          <w:lang w:val="en-US" w:eastAsia="zh-Hans"/>
        </w:rPr>
        <w:t>分</w:t>
      </w:r>
      <w:r>
        <w:rPr>
          <w:rFonts w:hint="eastAsia" w:ascii="仿宋" w:hAnsi="仿宋" w:eastAsia="仿宋" w:cs="仿宋"/>
          <w:color w:val="auto"/>
          <w:sz w:val="24"/>
          <w:szCs w:val="24"/>
          <w:highlight w:val="none"/>
          <w:lang w:eastAsia="zh-Hans"/>
        </w:rPr>
        <w:t>；</w:t>
      </w:r>
    </w:p>
    <w:p>
      <w:pPr>
        <w:pStyle w:val="10"/>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both"/>
        <w:textAlignment w:val="auto"/>
        <w:outlineLvl w:val="9"/>
        <w:rPr>
          <w:rFonts w:hint="eastAsia" w:ascii="仿宋" w:hAnsi="仿宋" w:eastAsia="仿宋" w:cs="仿宋"/>
          <w:color w:val="auto"/>
          <w:sz w:val="24"/>
          <w:szCs w:val="24"/>
          <w:highlight w:val="none"/>
          <w:lang w:val="en-US" w:eastAsia="zh-Hans"/>
        </w:rPr>
      </w:pPr>
      <w:r>
        <w:rPr>
          <w:rFonts w:hint="eastAsia" w:ascii="仿宋" w:hAnsi="仿宋" w:eastAsia="仿宋" w:cs="仿宋"/>
          <w:color w:val="auto"/>
          <w:sz w:val="24"/>
          <w:szCs w:val="24"/>
          <w:highlight w:val="none"/>
          <w:lang w:eastAsia="zh-Hans"/>
        </w:rPr>
        <w:t>（</w:t>
      </w:r>
      <w:r>
        <w:rPr>
          <w:rFonts w:hint="eastAsia" w:ascii="仿宋" w:hAnsi="仿宋" w:eastAsia="仿宋" w:cs="仿宋"/>
          <w:color w:val="auto"/>
          <w:sz w:val="24"/>
          <w:szCs w:val="24"/>
          <w:highlight w:val="none"/>
          <w:lang w:val="en-US" w:eastAsia="zh-Hans"/>
        </w:rPr>
        <w:t>二</w:t>
      </w:r>
      <w:r>
        <w:rPr>
          <w:rFonts w:hint="eastAsia" w:ascii="仿宋" w:hAnsi="仿宋" w:eastAsia="仿宋" w:cs="仿宋"/>
          <w:color w:val="auto"/>
          <w:sz w:val="24"/>
          <w:szCs w:val="24"/>
          <w:highlight w:val="none"/>
          <w:lang w:eastAsia="zh-Hans"/>
        </w:rPr>
        <w:t>）</w:t>
      </w:r>
      <w:r>
        <w:rPr>
          <w:rFonts w:hint="eastAsia" w:ascii="仿宋" w:hAnsi="仿宋" w:eastAsia="仿宋" w:cs="仿宋"/>
          <w:color w:val="auto"/>
          <w:sz w:val="24"/>
          <w:szCs w:val="24"/>
          <w:highlight w:val="none"/>
          <w:lang w:val="en-US" w:eastAsia="zh-Hans"/>
        </w:rPr>
        <w:t>报价评分方法</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Hans"/>
        </w:rPr>
        <w:t>（1）</w:t>
      </w:r>
      <w:r>
        <w:rPr>
          <w:rFonts w:hint="eastAsia" w:ascii="仿宋" w:hAnsi="仿宋" w:eastAsia="仿宋" w:cs="仿宋"/>
          <w:color w:val="auto"/>
          <w:sz w:val="24"/>
          <w:szCs w:val="24"/>
          <w:highlight w:val="none"/>
          <w:lang w:val="en-US" w:eastAsia="zh-Hans"/>
        </w:rPr>
        <w:t>投标报价得分</w:t>
      </w:r>
      <w:r>
        <w:rPr>
          <w:rFonts w:hint="eastAsia" w:ascii="仿宋" w:hAnsi="仿宋" w:eastAsia="仿宋" w:cs="仿宋"/>
          <w:color w:val="auto"/>
          <w:sz w:val="24"/>
          <w:szCs w:val="24"/>
          <w:highlight w:val="none"/>
          <w:lang w:eastAsia="zh-Hans"/>
        </w:rPr>
        <w:t>：</w:t>
      </w:r>
      <w:r>
        <w:rPr>
          <w:rFonts w:hint="eastAsia" w:ascii="仿宋" w:hAnsi="仿宋" w:eastAsia="仿宋" w:cs="仿宋"/>
          <w:color w:val="auto"/>
          <w:sz w:val="24"/>
          <w:szCs w:val="24"/>
          <w:highlight w:val="none"/>
        </w:rPr>
        <w:t>采用低价优先法计算，即满足招标文件要求且投标价格最低的投标报价为评标基准价，其价格得分为满分。其他投标人的价格得分统一按照下列公式计算：价格得分=（评标基准价/投标报价）×30%×100，如此类推，算出所有投标供应商的价格得分。</w:t>
      </w:r>
    </w:p>
    <w:p>
      <w:pPr>
        <w:keepNext w:val="0"/>
        <w:keepLines w:val="0"/>
        <w:pageBreakBefore w:val="0"/>
        <w:widowControl w:val="0"/>
        <w:kinsoku/>
        <w:wordWrap/>
        <w:overflowPunct/>
        <w:topLinePunct w:val="0"/>
        <w:autoSpaceDE/>
        <w:autoSpaceDN/>
        <w:bidi w:val="0"/>
        <w:adjustRightInd w:val="0"/>
        <w:snapToGrid w:val="0"/>
        <w:spacing w:line="360" w:lineRule="auto"/>
        <w:ind w:left="480" w:leftChars="0" w:right="0" w:rightChars="0" w:hanging="480" w:hangingChars="200"/>
        <w:jc w:val="both"/>
        <w:textAlignment w:val="auto"/>
        <w:outlineLvl w:val="9"/>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评审优惠内容及价格扣除：</w:t>
      </w:r>
    </w:p>
    <w:p>
      <w:pPr>
        <w:keepNext w:val="0"/>
        <w:keepLines w:val="0"/>
        <w:pageBreakBefore w:val="0"/>
        <w:widowControl w:val="0"/>
        <w:kinsoku/>
        <w:wordWrap/>
        <w:overflowPunct/>
        <w:topLinePunct w:val="0"/>
        <w:autoSpaceDE/>
        <w:autoSpaceDN/>
        <w:bidi w:val="0"/>
        <w:adjustRightInd w:val="0"/>
        <w:snapToGrid w:val="0"/>
        <w:spacing w:line="360" w:lineRule="auto"/>
        <w:ind w:left="480" w:leftChars="0" w:right="0" w:rightChars="0" w:hanging="480" w:hangingChars="200"/>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本项目将对小型和微型企业（含监狱企业、残疾人福利性单位）产品的价格给予</w:t>
      </w:r>
      <w:r>
        <w:rPr>
          <w:rFonts w:hint="eastAsia" w:ascii="仿宋" w:hAnsi="仿宋" w:eastAsia="仿宋" w:cs="仿宋"/>
          <w:color w:val="auto"/>
          <w:sz w:val="24"/>
          <w:szCs w:val="24"/>
          <w:highlight w:val="none"/>
          <w:lang w:val="en-US" w:eastAsia="zh-CN"/>
        </w:rPr>
        <w:t>10%-20%</w:t>
      </w:r>
      <w:r>
        <w:rPr>
          <w:rFonts w:hint="eastAsia" w:ascii="仿宋" w:hAnsi="仿宋" w:eastAsia="仿宋" w:cs="仿宋"/>
          <w:color w:val="auto"/>
          <w:sz w:val="24"/>
          <w:szCs w:val="24"/>
          <w:highlight w:val="none"/>
        </w:rPr>
        <w:t>的扣除，用扣除后的价格参与评审打分。</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若投标商和小微企业产品/服务制造商均符合小微企业条件，并且提供了《中小企业声明函》及加盖单位公章的声明函附件（须说明投标商和产品制造商的从业人员、营业收入、资产总额等相关情况）的，则其评标价格=投标商报价中属于小型和微型企业产品的价格部分×（100%-</w:t>
      </w:r>
      <w:r>
        <w:rPr>
          <w:rFonts w:hint="eastAsia" w:ascii="仿宋" w:hAnsi="仿宋" w:eastAsia="仿宋" w:cs="仿宋"/>
          <w:color w:val="auto"/>
          <w:sz w:val="24"/>
          <w:szCs w:val="24"/>
          <w:highlight w:val="none"/>
          <w:lang w:val="en-US" w:eastAsia="zh-CN"/>
        </w:rPr>
        <w:t>10%~20</w:t>
      </w:r>
      <w:r>
        <w:rPr>
          <w:rFonts w:hint="eastAsia" w:ascii="仿宋" w:hAnsi="仿宋" w:eastAsia="仿宋" w:cs="仿宋"/>
          <w:color w:val="auto"/>
          <w:sz w:val="24"/>
          <w:szCs w:val="24"/>
          <w:highlight w:val="none"/>
        </w:rPr>
        <w:t>%）+投标商报价中不属于小型和微型企业产品的价格部分；否则，其评标价=投标报价。</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提供相同品牌产品且通过资格审查、符合性审查的不同投标人参加同一合同项下投标的，按一家投标人计算，评审后得分最高的同品牌投标人获得中标人推荐资格；</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在《环境标志产品政府采购清单》内的产品价格给予5%的扣除，则其评标价格=《环境标志产品政府采购清单》内的产品的价格部分×（100%-5%）+供应商报价中不属于《环境标志产品政府采购清单》内的产品的价格部分；否则，其评标价=投标报价。</w:t>
      </w:r>
    </w:p>
    <w:p>
      <w:pPr>
        <w:pStyle w:val="10"/>
        <w:pageBreakBefore w:val="0"/>
        <w:widowControl w:val="0"/>
        <w:numPr>
          <w:ilvl w:val="0"/>
          <w:numId w:val="8"/>
        </w:numPr>
        <w:kinsoku/>
        <w:wordWrap/>
        <w:overflowPunct/>
        <w:topLinePunct w:val="0"/>
        <w:autoSpaceDE/>
        <w:autoSpaceDN/>
        <w:bidi w:val="0"/>
        <w:adjustRightInd w:val="0"/>
        <w:snapToGrid w:val="0"/>
        <w:spacing w:line="360" w:lineRule="auto"/>
        <w:ind w:left="0" w:leftChars="0" w:right="0" w:rightChars="0"/>
        <w:jc w:val="both"/>
        <w:textAlignment w:val="auto"/>
        <w:rPr>
          <w:rFonts w:hint="eastAsia" w:ascii="仿宋" w:hAnsi="仿宋" w:eastAsia="仿宋" w:cs="仿宋"/>
          <w:color w:val="auto"/>
          <w:sz w:val="24"/>
          <w:szCs w:val="24"/>
          <w:highlight w:val="none"/>
          <w:lang w:val="en-US" w:eastAsia="zh-Hans"/>
        </w:rPr>
      </w:pPr>
      <w:r>
        <w:rPr>
          <w:rFonts w:hint="eastAsia" w:ascii="仿宋" w:hAnsi="仿宋" w:eastAsia="仿宋" w:cs="仿宋"/>
          <w:color w:val="auto"/>
          <w:sz w:val="24"/>
          <w:szCs w:val="24"/>
          <w:highlight w:val="none"/>
          <w:lang w:val="en-US" w:eastAsia="zh-Hans"/>
        </w:rPr>
        <w:t>商务技术得分</w:t>
      </w:r>
      <w:r>
        <w:rPr>
          <w:rFonts w:hint="eastAsia" w:ascii="仿宋" w:hAnsi="仿宋" w:eastAsia="仿宋" w:cs="仿宋"/>
          <w:color w:val="auto"/>
          <w:sz w:val="24"/>
          <w:szCs w:val="24"/>
          <w:highlight w:val="none"/>
          <w:lang w:eastAsia="zh-Hans"/>
        </w:rPr>
        <w:t>：</w:t>
      </w:r>
      <w:r>
        <w:rPr>
          <w:rFonts w:hint="eastAsia" w:ascii="仿宋" w:hAnsi="仿宋" w:eastAsia="仿宋" w:cs="仿宋"/>
          <w:color w:val="auto"/>
          <w:sz w:val="24"/>
          <w:szCs w:val="24"/>
          <w:highlight w:val="none"/>
          <w:lang w:val="en-US" w:eastAsia="zh-Hans"/>
        </w:rPr>
        <w:t>按商务技术评分标准打分</w:t>
      </w:r>
      <w:r>
        <w:rPr>
          <w:rFonts w:hint="eastAsia" w:ascii="仿宋" w:hAnsi="仿宋" w:eastAsia="仿宋" w:cs="仿宋"/>
          <w:color w:val="auto"/>
          <w:sz w:val="24"/>
          <w:szCs w:val="24"/>
          <w:highlight w:val="none"/>
          <w:lang w:eastAsia="zh-Hans"/>
        </w:rPr>
        <w:t>。</w:t>
      </w:r>
    </w:p>
    <w:p>
      <w:pPr>
        <w:pageBreakBefore w:val="0"/>
        <w:widowControl w:val="0"/>
        <w:kinsoku/>
        <w:wordWrap/>
        <w:overflowPunct/>
        <w:topLinePunct w:val="0"/>
        <w:autoSpaceDE/>
        <w:autoSpaceDN/>
        <w:bidi w:val="0"/>
        <w:adjustRightInd w:val="0"/>
        <w:snapToGrid w:val="0"/>
        <w:spacing w:line="360" w:lineRule="auto"/>
        <w:ind w:left="0" w:leftChars="0" w:right="0" w:rightChars="0" w:firstLine="482" w:firstLineChars="200"/>
        <w:jc w:val="both"/>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说明：评委对各投标人商务、技术内容量化打分时，合计最高得分与最低得分相差20%以上时，应当做出合理的解释说明，否则不予计分。</w:t>
      </w:r>
    </w:p>
    <w:p>
      <w:pPr>
        <w:pStyle w:val="4"/>
        <w:pageBreakBefore w:val="0"/>
        <w:widowControl w:val="0"/>
        <w:kinsoku/>
        <w:wordWrap/>
        <w:overflowPunct/>
        <w:topLinePunct w:val="0"/>
        <w:autoSpaceDE/>
        <w:autoSpaceDN/>
        <w:bidi w:val="0"/>
        <w:adjustRightInd w:val="0"/>
        <w:snapToGrid w:val="0"/>
        <w:spacing w:before="0" w:beforeLines="0" w:after="0" w:afterLines="0" w:line="360" w:lineRule="auto"/>
        <w:ind w:left="0" w:leftChars="0" w:right="0" w:rightChars="0"/>
        <w:jc w:val="both"/>
        <w:textAlignment w:val="auto"/>
        <w:rPr>
          <w:rFonts w:hint="eastAsia" w:ascii="仿宋" w:hAnsi="仿宋" w:eastAsia="仿宋" w:cs="仿宋"/>
          <w:color w:val="auto"/>
          <w:sz w:val="24"/>
          <w:szCs w:val="24"/>
          <w:highlight w:val="none"/>
        </w:rPr>
      </w:pPr>
      <w:bookmarkStart w:id="343" w:name="_Toc514837920"/>
      <w:bookmarkStart w:id="344" w:name="_Toc246996247"/>
      <w:bookmarkStart w:id="345" w:name="_Toc247085762"/>
      <w:bookmarkStart w:id="346" w:name="_Toc152045604"/>
      <w:bookmarkStart w:id="347" w:name="_Toc179632622"/>
      <w:bookmarkStart w:id="348" w:name="_Toc246996990"/>
      <w:bookmarkStart w:id="349" w:name="_Toc152042381"/>
      <w:bookmarkStart w:id="350" w:name="_Toc144974571"/>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val="en-US" w:eastAsia="zh-Hans"/>
        </w:rPr>
        <w:t>.</w:t>
      </w:r>
      <w:r>
        <w:rPr>
          <w:rFonts w:hint="eastAsia" w:ascii="仿宋" w:hAnsi="仿宋" w:eastAsia="仿宋" w:cs="仿宋"/>
          <w:color w:val="auto"/>
          <w:sz w:val="24"/>
          <w:szCs w:val="24"/>
          <w:highlight w:val="none"/>
          <w:lang w:eastAsia="zh-Hans"/>
        </w:rPr>
        <w:t>5</w:t>
      </w:r>
      <w:r>
        <w:rPr>
          <w:rFonts w:hint="eastAsia" w:ascii="仿宋" w:hAnsi="仿宋" w:eastAsia="仿宋" w:cs="仿宋"/>
          <w:color w:val="auto"/>
          <w:sz w:val="24"/>
          <w:szCs w:val="24"/>
          <w:highlight w:val="none"/>
        </w:rPr>
        <w:t>评标程序</w:t>
      </w:r>
      <w:bookmarkEnd w:id="343"/>
      <w:bookmarkEnd w:id="344"/>
      <w:bookmarkEnd w:id="345"/>
      <w:bookmarkEnd w:id="346"/>
      <w:bookmarkEnd w:id="347"/>
      <w:bookmarkEnd w:id="348"/>
      <w:bookmarkEnd w:id="349"/>
      <w:bookmarkEnd w:id="350"/>
    </w:p>
    <w:p>
      <w:pPr>
        <w:pStyle w:val="5"/>
        <w:pageBreakBefore w:val="0"/>
        <w:widowControl w:val="0"/>
        <w:kinsoku/>
        <w:wordWrap/>
        <w:overflowPunct/>
        <w:topLinePunct w:val="0"/>
        <w:autoSpaceDE/>
        <w:autoSpaceDN/>
        <w:bidi w:val="0"/>
        <w:adjustRightInd w:val="0"/>
        <w:snapToGrid w:val="0"/>
        <w:spacing w:before="0" w:beforeLines="0" w:after="0" w:afterLines="0" w:line="360" w:lineRule="auto"/>
        <w:ind w:left="0" w:leftChars="0" w:right="0" w:rightChars="0"/>
        <w:jc w:val="both"/>
        <w:textAlignment w:val="auto"/>
        <w:rPr>
          <w:rFonts w:hint="eastAsia" w:ascii="仿宋" w:hAnsi="仿宋" w:eastAsia="仿宋" w:cs="仿宋"/>
          <w:color w:val="auto"/>
          <w:sz w:val="24"/>
          <w:szCs w:val="24"/>
          <w:highlight w:val="none"/>
        </w:rPr>
      </w:pPr>
      <w:bookmarkStart w:id="351" w:name="_Toc152042382"/>
      <w:bookmarkStart w:id="352" w:name="_Toc152045605"/>
      <w:bookmarkStart w:id="353" w:name="_Toc144974572"/>
      <w:bookmarkStart w:id="354" w:name="_Toc246996991"/>
      <w:bookmarkStart w:id="355" w:name="_Toc514837921"/>
      <w:bookmarkStart w:id="356" w:name="_Toc247085763"/>
      <w:bookmarkStart w:id="357" w:name="_Toc179632623"/>
      <w:bookmarkStart w:id="358" w:name="_Toc246996248"/>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val="en-US" w:eastAsia="zh-Hans"/>
        </w:rPr>
        <w:t>.</w:t>
      </w:r>
      <w:r>
        <w:rPr>
          <w:rFonts w:hint="eastAsia" w:ascii="仿宋" w:hAnsi="仿宋" w:eastAsia="仿宋" w:cs="仿宋"/>
          <w:color w:val="auto"/>
          <w:sz w:val="24"/>
          <w:szCs w:val="24"/>
          <w:highlight w:val="none"/>
          <w:lang w:eastAsia="zh-Hans"/>
        </w:rPr>
        <w:t>5</w:t>
      </w:r>
      <w:r>
        <w:rPr>
          <w:rFonts w:hint="eastAsia" w:ascii="仿宋" w:hAnsi="仿宋" w:eastAsia="仿宋" w:cs="仿宋"/>
          <w:color w:val="auto"/>
          <w:sz w:val="24"/>
          <w:szCs w:val="24"/>
          <w:highlight w:val="none"/>
          <w:lang w:val="en-US" w:eastAsia="zh-Hans"/>
        </w:rPr>
        <w:t>.</w:t>
      </w:r>
      <w:r>
        <w:rPr>
          <w:rFonts w:hint="eastAsia" w:ascii="仿宋" w:hAnsi="仿宋" w:eastAsia="仿宋" w:cs="仿宋"/>
          <w:color w:val="auto"/>
          <w:sz w:val="24"/>
          <w:szCs w:val="24"/>
          <w:highlight w:val="none"/>
          <w:lang w:eastAsia="zh-Hans"/>
        </w:rPr>
        <w:t>1</w:t>
      </w:r>
      <w:r>
        <w:rPr>
          <w:rFonts w:hint="eastAsia" w:ascii="仿宋" w:hAnsi="仿宋" w:eastAsia="仿宋" w:cs="仿宋"/>
          <w:color w:val="auto"/>
          <w:sz w:val="24"/>
          <w:szCs w:val="24"/>
          <w:highlight w:val="none"/>
        </w:rPr>
        <w:t xml:space="preserve"> 初步评审</w:t>
      </w:r>
      <w:bookmarkEnd w:id="351"/>
      <w:bookmarkEnd w:id="352"/>
      <w:bookmarkEnd w:id="353"/>
      <w:bookmarkEnd w:id="354"/>
      <w:bookmarkEnd w:id="355"/>
      <w:bookmarkEnd w:id="356"/>
      <w:bookmarkEnd w:id="357"/>
      <w:bookmarkEnd w:id="358"/>
    </w:p>
    <w:p>
      <w:pPr>
        <w:pageBreakBefore w:val="0"/>
        <w:kinsoku/>
        <w:wordWrap/>
        <w:bidi w:val="0"/>
        <w:adjustRightInd w:val="0"/>
        <w:snapToGrid w:val="0"/>
        <w:spacing w:line="360" w:lineRule="auto"/>
        <w:ind w:left="0" w:leftChars="0" w:right="0" w:rightChars="0"/>
        <w:rPr>
          <w:rFonts w:hint="eastAsia" w:ascii="仿宋" w:hAnsi="仿宋" w:eastAsia="仿宋" w:cs="仿宋"/>
          <w:color w:val="auto"/>
          <w:sz w:val="24"/>
          <w:highlight w:val="none"/>
        </w:rPr>
      </w:pPr>
      <w:bookmarkStart w:id="359" w:name="_Toc144974573"/>
      <w:bookmarkStart w:id="360" w:name="_Toc152045606"/>
      <w:bookmarkStart w:id="361" w:name="_Toc246996249"/>
      <w:bookmarkStart w:id="362" w:name="_Toc247085764"/>
      <w:bookmarkStart w:id="363" w:name="_Toc514837922"/>
      <w:bookmarkStart w:id="364" w:name="_Toc152042384"/>
      <w:bookmarkStart w:id="365" w:name="_Toc179632624"/>
      <w:bookmarkStart w:id="366" w:name="_Toc246996992"/>
      <w:r>
        <w:rPr>
          <w:rFonts w:hint="eastAsia" w:ascii="仿宋" w:hAnsi="仿宋" w:eastAsia="仿宋" w:cs="仿宋"/>
          <w:b/>
          <w:bCs/>
          <w:color w:val="auto"/>
          <w:sz w:val="24"/>
          <w:highlight w:val="none"/>
          <w:lang w:val="en-US" w:eastAsia="zh-Hans"/>
        </w:rPr>
        <w:t>评标委员会在</w:t>
      </w:r>
      <w:r>
        <w:rPr>
          <w:rFonts w:hint="eastAsia" w:ascii="仿宋" w:hAnsi="仿宋" w:eastAsia="仿宋" w:cs="仿宋"/>
          <w:b/>
          <w:bCs/>
          <w:color w:val="auto"/>
          <w:sz w:val="24"/>
          <w:highlight w:val="none"/>
        </w:rPr>
        <w:t>有关行政监督部门的工作人员将对投标人进行资格审查，</w:t>
      </w:r>
      <w:r>
        <w:rPr>
          <w:rFonts w:hint="eastAsia" w:ascii="仿宋" w:hAnsi="仿宋" w:eastAsia="仿宋" w:cs="仿宋"/>
          <w:b/>
          <w:bCs/>
          <w:color w:val="auto"/>
          <w:sz w:val="24"/>
          <w:highlight w:val="none"/>
          <w:lang w:eastAsia="zh-CN"/>
        </w:rPr>
        <w:t>投标人须单独提供以下证件原件，</w:t>
      </w:r>
      <w:r>
        <w:rPr>
          <w:rFonts w:hint="eastAsia" w:ascii="仿宋" w:hAnsi="仿宋" w:eastAsia="仿宋" w:cs="仿宋"/>
          <w:b/>
          <w:bCs/>
          <w:color w:val="auto"/>
          <w:sz w:val="24"/>
          <w:highlight w:val="none"/>
          <w:u w:val="single"/>
        </w:rPr>
        <w:t>如缺项将导致</w:t>
      </w:r>
      <w:r>
        <w:rPr>
          <w:rFonts w:hint="eastAsia" w:ascii="仿宋" w:hAnsi="仿宋" w:eastAsia="仿宋" w:cs="仿宋"/>
          <w:b/>
          <w:bCs/>
          <w:color w:val="auto"/>
          <w:sz w:val="24"/>
          <w:highlight w:val="none"/>
          <w:u w:val="single"/>
          <w:lang w:val="en-US" w:eastAsia="zh-Hans"/>
        </w:rPr>
        <w:t>投标无效</w:t>
      </w:r>
      <w:r>
        <w:rPr>
          <w:rFonts w:hint="eastAsia" w:ascii="仿宋" w:hAnsi="仿宋" w:eastAsia="仿宋" w:cs="仿宋"/>
          <w:b/>
          <w:bCs/>
          <w:color w:val="auto"/>
          <w:sz w:val="24"/>
          <w:highlight w:val="none"/>
        </w:rPr>
        <w:t>。</w:t>
      </w:r>
    </w:p>
    <w:p>
      <w:pPr>
        <w:pageBreakBefore w:val="0"/>
        <w:kinsoku/>
        <w:wordWrap/>
        <w:bidi w:val="0"/>
        <w:adjustRightInd w:val="0"/>
        <w:snapToGrid w:val="0"/>
        <w:spacing w:line="360" w:lineRule="auto"/>
        <w:ind w:left="0" w:leftChars="0" w:right="0" w:rightChars="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资格审查含：</w:t>
      </w:r>
    </w:p>
    <w:p>
      <w:pPr>
        <w:keepNext w:val="0"/>
        <w:keepLines w:val="0"/>
        <w:pageBreakBefore w:val="0"/>
        <w:widowControl/>
        <w:numPr>
          <w:ilvl w:val="0"/>
          <w:numId w:val="6"/>
        </w:numPr>
        <w:suppressLineNumbers w:val="0"/>
        <w:pBdr>
          <w:top w:val="none" w:color="auto" w:sz="0" w:space="0"/>
          <w:left w:val="none" w:color="auto" w:sz="0" w:space="0"/>
          <w:bottom w:val="none" w:color="auto" w:sz="0" w:space="0"/>
          <w:right w:val="none" w:color="auto" w:sz="0" w:space="0"/>
        </w:pBdr>
        <w:kinsoku/>
        <w:wordWrap/>
        <w:topLinePunct w:val="0"/>
        <w:bidi w:val="0"/>
        <w:adjustRightInd w:val="0"/>
        <w:snapToGrid w:val="0"/>
        <w:spacing w:beforeAutospacing="0" w:afterAutospacing="0" w:line="360" w:lineRule="auto"/>
        <w:ind w:left="0" w:leftChars="0" w:right="0" w:rightChars="0" w:firstLine="480" w:firstLineChars="200"/>
        <w:jc w:val="left"/>
        <w:outlineLvl w:val="9"/>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投标人应</w:t>
      </w:r>
      <w:r>
        <w:rPr>
          <w:rFonts w:hint="eastAsia" w:ascii="仿宋" w:hAnsi="仿宋" w:eastAsia="仿宋" w:cs="仿宋"/>
          <w:b w:val="0"/>
          <w:bCs w:val="0"/>
          <w:color w:val="auto"/>
          <w:kern w:val="0"/>
          <w:sz w:val="24"/>
          <w:szCs w:val="24"/>
          <w:highlight w:val="none"/>
          <w:lang w:val="en-US" w:eastAsia="zh-CN" w:bidi="ar"/>
        </w:rPr>
        <w:t>出具</w:t>
      </w:r>
      <w:r>
        <w:rPr>
          <w:rFonts w:hint="eastAsia" w:ascii="仿宋" w:hAnsi="仿宋" w:eastAsia="仿宋" w:cs="仿宋"/>
          <w:b w:val="0"/>
          <w:bCs w:val="0"/>
          <w:color w:val="auto"/>
          <w:sz w:val="24"/>
          <w:highlight w:val="none"/>
          <w:lang w:val="en-US" w:eastAsia="zh-Hans" w:bidi="ar"/>
        </w:rPr>
        <w:t>有效的“一证一码”或“三证合一”的营业执照</w:t>
      </w:r>
      <w:r>
        <w:rPr>
          <w:rFonts w:hint="eastAsia" w:ascii="仿宋" w:hAnsi="仿宋" w:eastAsia="仿宋" w:cs="仿宋"/>
          <w:b w:val="0"/>
          <w:bCs w:val="0"/>
          <w:color w:val="auto"/>
          <w:kern w:val="0"/>
          <w:sz w:val="24"/>
          <w:szCs w:val="24"/>
          <w:highlight w:val="none"/>
          <w:lang w:val="en-US" w:eastAsia="zh-CN" w:bidi="ar"/>
        </w:rPr>
        <w:t>副本</w:t>
      </w:r>
      <w:r>
        <w:rPr>
          <w:rFonts w:hint="eastAsia" w:ascii="仿宋" w:hAnsi="仿宋" w:eastAsia="仿宋" w:cs="仿宋"/>
          <w:color w:val="auto"/>
          <w:kern w:val="0"/>
          <w:sz w:val="24"/>
          <w:szCs w:val="24"/>
          <w:highlight w:val="none"/>
          <w:lang w:val="en-US" w:eastAsia="zh-CN" w:bidi="ar"/>
        </w:rPr>
        <w:t>原件；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topLinePunct w:val="0"/>
        <w:bidi w:val="0"/>
        <w:adjustRightInd w:val="0"/>
        <w:snapToGrid w:val="0"/>
        <w:spacing w:beforeAutospacing="0" w:afterAutospacing="0" w:line="360" w:lineRule="auto"/>
        <w:ind w:left="0" w:leftChars="0" w:right="0" w:rightChars="0" w:firstLine="480" w:firstLineChars="200"/>
        <w:jc w:val="left"/>
        <w:outlineLvl w:val="9"/>
        <w:rPr>
          <w:rFonts w:hint="eastAsia" w:ascii="仿宋" w:hAnsi="仿宋" w:eastAsia="仿宋" w:cs="仿宋"/>
          <w:color w:val="auto"/>
          <w:highlight w:val="none"/>
        </w:rPr>
      </w:pPr>
      <w:r>
        <w:rPr>
          <w:rFonts w:hint="eastAsia" w:ascii="仿宋" w:hAnsi="仿宋" w:eastAsia="仿宋" w:cs="仿宋"/>
          <w:color w:val="auto"/>
          <w:kern w:val="0"/>
          <w:sz w:val="24"/>
          <w:szCs w:val="24"/>
          <w:highlight w:val="none"/>
          <w:lang w:val="en-US" w:eastAsia="zh-CN" w:bidi="ar"/>
        </w:rPr>
        <w:t>2）法定代表人参加投标的，应提供法定代表人居民身份证原件；法定代表人授权人参加投标的，应提供法定代表人授权书及被授权人居民身份证原件；</w:t>
      </w:r>
    </w:p>
    <w:p>
      <w:pPr>
        <w:spacing w:line="360" w:lineRule="auto"/>
        <w:ind w:firstLine="480" w:firstLineChars="200"/>
        <w:rPr>
          <w:rFonts w:hint="eastAsia" w:ascii="仿宋" w:hAnsi="仿宋" w:eastAsia="仿宋" w:cs="仿宋"/>
          <w:color w:val="auto"/>
          <w:sz w:val="24"/>
          <w:szCs w:val="32"/>
          <w:highlight w:val="none"/>
          <w:lang w:val="en-US" w:eastAsia="zh-CN"/>
        </w:rPr>
      </w:pPr>
      <w:r>
        <w:rPr>
          <w:rFonts w:hint="eastAsia" w:ascii="仿宋" w:hAnsi="仿宋" w:eastAsia="仿宋" w:cs="仿宋"/>
          <w:b w:val="0"/>
          <w:bCs w:val="0"/>
          <w:color w:val="auto"/>
          <w:kern w:val="0"/>
          <w:sz w:val="24"/>
          <w:szCs w:val="24"/>
          <w:highlight w:val="none"/>
          <w:lang w:val="en-US" w:eastAsia="zh-CN" w:bidi="ar"/>
        </w:rPr>
        <w:t>4）投标人须提供通过“信用中国”网站（www.creditchina.gov.cn）和中国政府采购网（www.ccgp.gov.cn）渠道查询的本单位信用记录的网页，并加盖投标单位公章的原件，被列入失信被执行人、重大</w:t>
      </w:r>
      <w:r>
        <w:rPr>
          <w:rFonts w:hint="eastAsia" w:ascii="仿宋" w:hAnsi="仿宋" w:eastAsia="仿宋" w:cs="仿宋"/>
          <w:color w:val="auto"/>
          <w:kern w:val="2"/>
          <w:sz w:val="24"/>
          <w:szCs w:val="24"/>
          <w:highlight w:val="none"/>
          <w:lang w:val="en-US" w:eastAsia="zh-CN" w:bidi="ar"/>
        </w:rPr>
        <w:t>税收违法案件当事人名单、政府采购严重违法失信行为记录名单的单位及其他不符合《中华人民共和国政府采购法》第二十二条规定条件的投标单位，将被拒绝参与本次政府采购活动；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bidi w:val="0"/>
        <w:adjustRightInd w:val="0"/>
        <w:snapToGrid w:val="0"/>
        <w:spacing w:beforeAutospacing="0" w:afterAutospacing="0" w:line="360" w:lineRule="auto"/>
        <w:ind w:left="0" w:leftChars="0" w:right="0" w:rightChars="0" w:firstLine="480" w:firstLineChars="200"/>
        <w:jc w:val="left"/>
        <w:rPr>
          <w:rFonts w:hint="eastAsia" w:ascii="仿宋" w:hAnsi="仿宋" w:eastAsia="仿宋" w:cs="仿宋"/>
          <w:color w:val="auto"/>
          <w:highlight w:val="none"/>
        </w:rPr>
      </w:pPr>
      <w:r>
        <w:rPr>
          <w:rFonts w:hint="eastAsia" w:ascii="仿宋" w:hAnsi="仿宋" w:eastAsia="仿宋" w:cs="仿宋"/>
          <w:color w:val="auto"/>
          <w:kern w:val="2"/>
          <w:sz w:val="24"/>
          <w:szCs w:val="24"/>
          <w:highlight w:val="none"/>
          <w:lang w:val="en-US" w:eastAsia="zh-CN" w:bidi="ar"/>
        </w:rPr>
        <w:t>5</w:t>
      </w:r>
      <w:r>
        <w:rPr>
          <w:rFonts w:hint="eastAsia" w:ascii="仿宋" w:hAnsi="仿宋" w:eastAsia="仿宋" w:cs="仿宋"/>
          <w:color w:val="auto"/>
          <w:kern w:val="2"/>
          <w:sz w:val="24"/>
          <w:szCs w:val="24"/>
          <w:highlight w:val="none"/>
          <w:lang w:eastAsia="zh-CN" w:bidi="ar"/>
        </w:rPr>
        <w:t>）</w:t>
      </w:r>
      <w:r>
        <w:rPr>
          <w:rFonts w:hint="eastAsia" w:ascii="仿宋" w:hAnsi="仿宋" w:eastAsia="仿宋" w:cs="仿宋"/>
          <w:color w:val="auto"/>
          <w:kern w:val="2"/>
          <w:sz w:val="24"/>
          <w:szCs w:val="24"/>
          <w:highlight w:val="none"/>
          <w:lang w:val="en-US" w:eastAsia="zh-CN" w:bidi="ar"/>
        </w:rPr>
        <w:t>本项目不允许联合体投标。</w:t>
      </w:r>
    </w:p>
    <w:p>
      <w:pPr>
        <w:keepNext w:val="0"/>
        <w:keepLines w:val="0"/>
        <w:pageBreakBefore w:val="0"/>
        <w:kinsoku/>
        <w:wordWrap/>
        <w:overflowPunct/>
        <w:topLinePunct w:val="0"/>
        <w:autoSpaceDE/>
        <w:autoSpaceDN/>
        <w:bidi w:val="0"/>
        <w:adjustRightInd w:val="0"/>
        <w:snapToGrid w:val="0"/>
        <w:spacing w:line="360" w:lineRule="auto"/>
        <w:ind w:left="600" w:leftChars="0" w:right="0" w:rightChars="0" w:hanging="600" w:hangingChars="25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r>
        <w:rPr>
          <w:rFonts w:hint="eastAsia" w:ascii="仿宋" w:hAnsi="仿宋" w:eastAsia="仿宋" w:cs="仿宋"/>
          <w:color w:val="auto"/>
          <w:sz w:val="24"/>
          <w:highlight w:val="none"/>
          <w:lang w:val="en-US" w:eastAsia="zh-Hans"/>
        </w:rPr>
        <w:t>.</w:t>
      </w:r>
      <w:r>
        <w:rPr>
          <w:rFonts w:hint="eastAsia" w:ascii="仿宋" w:hAnsi="仿宋" w:eastAsia="仿宋" w:cs="仿宋"/>
          <w:color w:val="auto"/>
          <w:sz w:val="24"/>
          <w:highlight w:val="none"/>
          <w:lang w:eastAsia="zh-Hans"/>
        </w:rPr>
        <w:t>5</w:t>
      </w:r>
      <w:r>
        <w:rPr>
          <w:rFonts w:hint="eastAsia" w:ascii="仿宋" w:hAnsi="仿宋" w:eastAsia="仿宋" w:cs="仿宋"/>
          <w:color w:val="auto"/>
          <w:sz w:val="24"/>
          <w:highlight w:val="none"/>
          <w:lang w:val="en-US" w:eastAsia="zh-Hans"/>
        </w:rPr>
        <w:t>.</w:t>
      </w:r>
      <w:r>
        <w:rPr>
          <w:rFonts w:hint="eastAsia" w:ascii="仿宋" w:hAnsi="仿宋" w:eastAsia="仿宋" w:cs="仿宋"/>
          <w:color w:val="auto"/>
          <w:sz w:val="24"/>
          <w:highlight w:val="none"/>
          <w:lang w:eastAsia="zh-Hans"/>
        </w:rPr>
        <w:t>2</w:t>
      </w:r>
      <w:r>
        <w:rPr>
          <w:rFonts w:hint="eastAsia" w:ascii="仿宋" w:hAnsi="仿宋" w:eastAsia="仿宋" w:cs="仿宋"/>
          <w:color w:val="auto"/>
          <w:sz w:val="24"/>
          <w:highlight w:val="none"/>
        </w:rPr>
        <w:t>本次招标按招标文件中投标规定的时间地点进行开标，将投标商的法定代表人或其授权委托人准时参加开标会。</w:t>
      </w:r>
    </w:p>
    <w:p>
      <w:pPr>
        <w:pageBreakBefore w:val="0"/>
        <w:kinsoku/>
        <w:wordWrap/>
        <w:bidi w:val="0"/>
        <w:adjustRightInd w:val="0"/>
        <w:snapToGrid w:val="0"/>
        <w:spacing w:line="360" w:lineRule="auto"/>
        <w:ind w:left="600" w:leftChars="0" w:right="0" w:rightChars="0" w:hanging="600" w:hangingChars="250"/>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r>
        <w:rPr>
          <w:rFonts w:hint="eastAsia" w:ascii="仿宋" w:hAnsi="仿宋" w:eastAsia="仿宋" w:cs="仿宋"/>
          <w:color w:val="auto"/>
          <w:sz w:val="24"/>
          <w:highlight w:val="none"/>
          <w:lang w:val="en-US" w:eastAsia="zh-Hans"/>
        </w:rPr>
        <w:t>.</w:t>
      </w:r>
      <w:r>
        <w:rPr>
          <w:rFonts w:hint="eastAsia" w:ascii="仿宋" w:hAnsi="仿宋" w:eastAsia="仿宋" w:cs="仿宋"/>
          <w:color w:val="auto"/>
          <w:sz w:val="24"/>
          <w:highlight w:val="none"/>
          <w:lang w:eastAsia="zh-Hans"/>
        </w:rPr>
        <w:t>5</w:t>
      </w:r>
      <w:r>
        <w:rPr>
          <w:rFonts w:hint="eastAsia" w:ascii="仿宋" w:hAnsi="仿宋" w:eastAsia="仿宋" w:cs="仿宋"/>
          <w:color w:val="auto"/>
          <w:sz w:val="24"/>
          <w:highlight w:val="none"/>
          <w:lang w:val="en-US" w:eastAsia="zh-Hans"/>
        </w:rPr>
        <w:t>.</w:t>
      </w:r>
      <w:r>
        <w:rPr>
          <w:rFonts w:hint="eastAsia" w:ascii="仿宋" w:hAnsi="仿宋" w:eastAsia="仿宋" w:cs="仿宋"/>
          <w:color w:val="auto"/>
          <w:sz w:val="24"/>
          <w:highlight w:val="none"/>
          <w:lang w:eastAsia="zh-Hans"/>
        </w:rPr>
        <w:t>3</w:t>
      </w:r>
      <w:r>
        <w:rPr>
          <w:rFonts w:hint="eastAsia" w:ascii="仿宋" w:hAnsi="仿宋" w:eastAsia="仿宋" w:cs="仿宋"/>
          <w:color w:val="auto"/>
          <w:sz w:val="24"/>
          <w:szCs w:val="24"/>
          <w:highlight w:val="none"/>
        </w:rPr>
        <w:t>宣开标和唱标的顺序，按照递交投标文件的先后顺序依次进行。</w:t>
      </w:r>
    </w:p>
    <w:p>
      <w:pPr>
        <w:pageBreakBefore w:val="0"/>
        <w:kinsoku/>
        <w:wordWrap/>
        <w:bidi w:val="0"/>
        <w:adjustRightInd w:val="0"/>
        <w:snapToGrid w:val="0"/>
        <w:spacing w:line="360" w:lineRule="auto"/>
        <w:ind w:left="600" w:leftChars="0" w:right="0" w:rightChars="0" w:hanging="600" w:hangingChars="250"/>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r>
        <w:rPr>
          <w:rFonts w:hint="eastAsia" w:ascii="仿宋" w:hAnsi="仿宋" w:eastAsia="仿宋" w:cs="仿宋"/>
          <w:color w:val="auto"/>
          <w:sz w:val="24"/>
          <w:highlight w:val="none"/>
          <w:lang w:val="en-US" w:eastAsia="zh-Hans"/>
        </w:rPr>
        <w:t>.</w:t>
      </w:r>
      <w:r>
        <w:rPr>
          <w:rFonts w:hint="eastAsia" w:ascii="仿宋" w:hAnsi="仿宋" w:eastAsia="仿宋" w:cs="仿宋"/>
          <w:color w:val="auto"/>
          <w:sz w:val="24"/>
          <w:highlight w:val="none"/>
          <w:lang w:eastAsia="zh-Hans"/>
        </w:rPr>
        <w:t>5</w:t>
      </w:r>
      <w:r>
        <w:rPr>
          <w:rFonts w:hint="eastAsia" w:ascii="仿宋" w:hAnsi="仿宋" w:eastAsia="仿宋" w:cs="仿宋"/>
          <w:color w:val="auto"/>
          <w:sz w:val="24"/>
          <w:highlight w:val="none"/>
          <w:lang w:val="en-US" w:eastAsia="zh-Hans"/>
        </w:rPr>
        <w:t>.</w:t>
      </w:r>
      <w:r>
        <w:rPr>
          <w:rFonts w:hint="eastAsia" w:ascii="仿宋" w:hAnsi="仿宋" w:eastAsia="仿宋" w:cs="仿宋"/>
          <w:color w:val="auto"/>
          <w:sz w:val="24"/>
          <w:highlight w:val="none"/>
          <w:lang w:eastAsia="zh-Hans"/>
        </w:rPr>
        <w:t>4</w:t>
      </w:r>
      <w:r>
        <w:rPr>
          <w:rFonts w:hint="eastAsia" w:ascii="仿宋" w:hAnsi="仿宋" w:eastAsia="仿宋" w:cs="仿宋"/>
          <w:color w:val="auto"/>
          <w:sz w:val="24"/>
          <w:highlight w:val="none"/>
        </w:rPr>
        <w:t>检查投标文件的密封情况，确认无误后拆封，按开标顺序当众唱标，唱标以投标人提交的“开标一览表”的内容为准，并对唱标内容作以记录。</w:t>
      </w:r>
    </w:p>
    <w:p>
      <w:pPr>
        <w:pageBreakBefore w:val="0"/>
        <w:kinsoku/>
        <w:wordWrap/>
        <w:bidi w:val="0"/>
        <w:adjustRightInd w:val="0"/>
        <w:snapToGrid w:val="0"/>
        <w:spacing w:line="360" w:lineRule="auto"/>
        <w:ind w:left="0" w:leftChars="0" w:right="0" w:rightChars="0"/>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r>
        <w:rPr>
          <w:rFonts w:hint="eastAsia" w:ascii="仿宋" w:hAnsi="仿宋" w:eastAsia="仿宋" w:cs="仿宋"/>
          <w:color w:val="auto"/>
          <w:sz w:val="24"/>
          <w:highlight w:val="none"/>
          <w:lang w:val="en-US" w:eastAsia="zh-Hans"/>
        </w:rPr>
        <w:t>.</w:t>
      </w:r>
      <w:r>
        <w:rPr>
          <w:rFonts w:hint="eastAsia" w:ascii="仿宋" w:hAnsi="仿宋" w:eastAsia="仿宋" w:cs="仿宋"/>
          <w:color w:val="auto"/>
          <w:sz w:val="24"/>
          <w:highlight w:val="none"/>
          <w:lang w:eastAsia="zh-Hans"/>
        </w:rPr>
        <w:t>5</w:t>
      </w:r>
      <w:r>
        <w:rPr>
          <w:rFonts w:hint="eastAsia" w:ascii="仿宋" w:hAnsi="仿宋" w:eastAsia="仿宋" w:cs="仿宋"/>
          <w:color w:val="auto"/>
          <w:sz w:val="24"/>
          <w:highlight w:val="none"/>
          <w:lang w:val="en-US" w:eastAsia="zh-Hans"/>
        </w:rPr>
        <w:t>.</w:t>
      </w:r>
      <w:r>
        <w:rPr>
          <w:rFonts w:hint="eastAsia" w:ascii="仿宋" w:hAnsi="仿宋" w:eastAsia="仿宋" w:cs="仿宋"/>
          <w:color w:val="auto"/>
          <w:sz w:val="24"/>
          <w:highlight w:val="none"/>
          <w:lang w:eastAsia="zh-Hans"/>
        </w:rPr>
        <w:t>5</w:t>
      </w:r>
      <w:r>
        <w:rPr>
          <w:rFonts w:hint="eastAsia" w:ascii="仿宋" w:hAnsi="仿宋" w:eastAsia="仿宋" w:cs="仿宋"/>
          <w:color w:val="auto"/>
          <w:sz w:val="24"/>
          <w:highlight w:val="none"/>
        </w:rPr>
        <w:t>评标原则在开标会议上宣布。</w:t>
      </w:r>
    </w:p>
    <w:p>
      <w:pPr>
        <w:pageBreakBefore w:val="0"/>
        <w:kinsoku/>
        <w:wordWrap/>
        <w:bidi w:val="0"/>
        <w:adjustRightInd w:val="0"/>
        <w:snapToGrid w:val="0"/>
        <w:spacing w:line="360" w:lineRule="auto"/>
        <w:ind w:left="0" w:leftChars="0" w:right="0" w:rightChars="0"/>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r>
        <w:rPr>
          <w:rFonts w:hint="eastAsia" w:ascii="仿宋" w:hAnsi="仿宋" w:eastAsia="仿宋" w:cs="仿宋"/>
          <w:color w:val="auto"/>
          <w:sz w:val="24"/>
          <w:highlight w:val="none"/>
          <w:lang w:val="en-US" w:eastAsia="zh-Hans"/>
        </w:rPr>
        <w:t>.</w:t>
      </w:r>
      <w:r>
        <w:rPr>
          <w:rFonts w:hint="eastAsia" w:ascii="仿宋" w:hAnsi="仿宋" w:eastAsia="仿宋" w:cs="仿宋"/>
          <w:color w:val="auto"/>
          <w:sz w:val="24"/>
          <w:highlight w:val="none"/>
          <w:lang w:eastAsia="zh-Hans"/>
        </w:rPr>
        <w:t>5</w:t>
      </w:r>
      <w:r>
        <w:rPr>
          <w:rFonts w:hint="eastAsia" w:ascii="仿宋" w:hAnsi="仿宋" w:eastAsia="仿宋" w:cs="仿宋"/>
          <w:color w:val="auto"/>
          <w:sz w:val="24"/>
          <w:highlight w:val="none"/>
          <w:lang w:val="en-US" w:eastAsia="zh-Hans"/>
        </w:rPr>
        <w:t>.</w:t>
      </w:r>
      <w:r>
        <w:rPr>
          <w:rFonts w:hint="eastAsia" w:ascii="仿宋" w:hAnsi="仿宋" w:eastAsia="仿宋" w:cs="仿宋"/>
          <w:color w:val="auto"/>
          <w:sz w:val="24"/>
          <w:highlight w:val="none"/>
          <w:lang w:eastAsia="zh-Hans"/>
        </w:rPr>
        <w:t>6</w:t>
      </w:r>
      <w:r>
        <w:rPr>
          <w:rFonts w:hint="eastAsia" w:ascii="仿宋" w:hAnsi="仿宋" w:eastAsia="仿宋" w:cs="仿宋"/>
          <w:color w:val="auto"/>
          <w:sz w:val="24"/>
          <w:highlight w:val="none"/>
        </w:rPr>
        <w:t xml:space="preserve"> 对招标人的纪律要求</w:t>
      </w:r>
    </w:p>
    <w:p>
      <w:pPr>
        <w:pageBreakBefore w:val="0"/>
        <w:kinsoku/>
        <w:wordWrap/>
        <w:bidi w:val="0"/>
        <w:adjustRightInd w:val="0"/>
        <w:snapToGrid w:val="0"/>
        <w:spacing w:line="360" w:lineRule="auto"/>
        <w:ind w:left="959" w:leftChars="228" w:right="0" w:rightChars="0" w:hanging="480" w:hanging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招标人不得泄露招标投标活动中应当保密的情况和资料，不得与投标人串通</w:t>
      </w:r>
    </w:p>
    <w:p>
      <w:pPr>
        <w:pageBreakBefore w:val="0"/>
        <w:kinsoku/>
        <w:wordWrap/>
        <w:bidi w:val="0"/>
        <w:adjustRightInd w:val="0"/>
        <w:snapToGrid w:val="0"/>
        <w:spacing w:line="360" w:lineRule="auto"/>
        <w:ind w:right="0" w:rightChars="0"/>
        <w:rPr>
          <w:rFonts w:hint="eastAsia" w:ascii="仿宋" w:hAnsi="仿宋" w:eastAsia="仿宋" w:cs="仿宋"/>
          <w:color w:val="auto"/>
          <w:sz w:val="24"/>
          <w:highlight w:val="none"/>
        </w:rPr>
      </w:pPr>
      <w:r>
        <w:rPr>
          <w:rFonts w:hint="eastAsia" w:ascii="仿宋" w:hAnsi="仿宋" w:eastAsia="仿宋" w:cs="仿宋"/>
          <w:color w:val="auto"/>
          <w:sz w:val="24"/>
          <w:highlight w:val="none"/>
        </w:rPr>
        <w:t>损害国家利益、社会公共利益或者他人合法权益。</w:t>
      </w:r>
    </w:p>
    <w:p>
      <w:pPr>
        <w:pageBreakBefore w:val="0"/>
        <w:kinsoku/>
        <w:wordWrap/>
        <w:bidi w:val="0"/>
        <w:adjustRightInd w:val="0"/>
        <w:snapToGrid w:val="0"/>
        <w:spacing w:line="360" w:lineRule="auto"/>
        <w:ind w:left="0" w:leftChars="0" w:right="0" w:rightChars="0"/>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r>
        <w:rPr>
          <w:rFonts w:hint="eastAsia" w:ascii="仿宋" w:hAnsi="仿宋" w:eastAsia="仿宋" w:cs="仿宋"/>
          <w:color w:val="auto"/>
          <w:sz w:val="24"/>
          <w:highlight w:val="none"/>
          <w:lang w:val="en-US" w:eastAsia="zh-Hans"/>
        </w:rPr>
        <w:t>.</w:t>
      </w:r>
      <w:r>
        <w:rPr>
          <w:rFonts w:hint="eastAsia" w:ascii="仿宋" w:hAnsi="仿宋" w:eastAsia="仿宋" w:cs="仿宋"/>
          <w:color w:val="auto"/>
          <w:sz w:val="24"/>
          <w:highlight w:val="none"/>
          <w:lang w:eastAsia="zh-Hans"/>
        </w:rPr>
        <w:t>5</w:t>
      </w:r>
      <w:r>
        <w:rPr>
          <w:rFonts w:hint="eastAsia" w:ascii="仿宋" w:hAnsi="仿宋" w:eastAsia="仿宋" w:cs="仿宋"/>
          <w:color w:val="auto"/>
          <w:sz w:val="24"/>
          <w:highlight w:val="none"/>
          <w:lang w:val="en-US" w:eastAsia="zh-Hans"/>
        </w:rPr>
        <w:t>.</w:t>
      </w:r>
      <w:r>
        <w:rPr>
          <w:rFonts w:hint="eastAsia" w:ascii="仿宋" w:hAnsi="仿宋" w:eastAsia="仿宋" w:cs="仿宋"/>
          <w:color w:val="auto"/>
          <w:sz w:val="24"/>
          <w:highlight w:val="none"/>
          <w:lang w:eastAsia="zh-Hans"/>
        </w:rPr>
        <w:t>7</w:t>
      </w:r>
      <w:r>
        <w:rPr>
          <w:rFonts w:hint="eastAsia" w:ascii="仿宋" w:hAnsi="仿宋" w:eastAsia="仿宋" w:cs="仿宋"/>
          <w:color w:val="auto"/>
          <w:sz w:val="24"/>
          <w:highlight w:val="none"/>
        </w:rPr>
        <w:t>对投标人的纪律要求</w:t>
      </w:r>
    </w:p>
    <w:p>
      <w:pPr>
        <w:pageBreakBefore w:val="0"/>
        <w:kinsoku/>
        <w:wordWrap/>
        <w:bidi w:val="0"/>
        <w:adjustRightInd w:val="0"/>
        <w:snapToGrid w:val="0"/>
        <w:spacing w:line="360" w:lineRule="auto"/>
        <w:ind w:left="0" w:leftChars="0" w:right="0" w:rightChars="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投标人不得互相串通投标或者与招标人串通投标，不得向招标人或者评标委</w:t>
      </w:r>
    </w:p>
    <w:p>
      <w:pPr>
        <w:pageBreakBefore w:val="0"/>
        <w:kinsoku/>
        <w:wordWrap/>
        <w:bidi w:val="0"/>
        <w:adjustRightInd w:val="0"/>
        <w:snapToGrid w:val="0"/>
        <w:spacing w:line="360" w:lineRule="auto"/>
        <w:ind w:left="0" w:leftChars="0" w:right="0" w:rightChars="0"/>
        <w:rPr>
          <w:rFonts w:hint="eastAsia" w:ascii="仿宋" w:hAnsi="仿宋" w:eastAsia="仿宋" w:cs="仿宋"/>
          <w:color w:val="auto"/>
          <w:sz w:val="24"/>
          <w:highlight w:val="none"/>
        </w:rPr>
      </w:pPr>
      <w:r>
        <w:rPr>
          <w:rFonts w:hint="eastAsia" w:ascii="仿宋" w:hAnsi="仿宋" w:eastAsia="仿宋" w:cs="仿宋"/>
          <w:color w:val="auto"/>
          <w:sz w:val="24"/>
          <w:highlight w:val="none"/>
        </w:rPr>
        <w:t>员会成员行贿谋取中标，不得以他人名义投标或者以其他方式弄虚作假骗取中标；投标人不得以任何方式干扰、影响评标工作。</w:t>
      </w:r>
    </w:p>
    <w:p>
      <w:pPr>
        <w:pageBreakBefore w:val="0"/>
        <w:kinsoku/>
        <w:wordWrap/>
        <w:bidi w:val="0"/>
        <w:adjustRightInd w:val="0"/>
        <w:snapToGrid w:val="0"/>
        <w:spacing w:line="360" w:lineRule="auto"/>
        <w:ind w:left="720" w:leftChars="0" w:right="0" w:rightChars="0" w:hanging="720" w:hangingChars="300"/>
        <w:rPr>
          <w:rFonts w:hint="eastAsia" w:ascii="仿宋" w:hAnsi="仿宋" w:eastAsia="仿宋" w:cs="仿宋"/>
          <w:color w:val="auto"/>
          <w:sz w:val="24"/>
          <w:highlight w:val="none"/>
        </w:rPr>
      </w:pPr>
      <w:r>
        <w:rPr>
          <w:rFonts w:hint="eastAsia" w:ascii="仿宋" w:hAnsi="仿宋" w:eastAsia="仿宋" w:cs="仿宋"/>
          <w:color w:val="auto"/>
          <w:sz w:val="24"/>
          <w:highlight w:val="none"/>
        </w:rPr>
        <w:t>在评标过程中，评标委员会发现有下列情形之一的，视为投标人串通投标，其投</w:t>
      </w:r>
    </w:p>
    <w:p>
      <w:pPr>
        <w:pageBreakBefore w:val="0"/>
        <w:kinsoku/>
        <w:wordWrap/>
        <w:bidi w:val="0"/>
        <w:adjustRightInd w:val="0"/>
        <w:snapToGrid w:val="0"/>
        <w:spacing w:line="360" w:lineRule="auto"/>
        <w:ind w:left="720" w:leftChars="0" w:right="0" w:rightChars="0" w:hanging="720" w:hangingChars="300"/>
        <w:rPr>
          <w:rFonts w:hint="eastAsia" w:ascii="仿宋" w:hAnsi="仿宋" w:eastAsia="仿宋" w:cs="仿宋"/>
          <w:color w:val="auto"/>
          <w:sz w:val="24"/>
          <w:highlight w:val="none"/>
        </w:rPr>
      </w:pPr>
      <w:r>
        <w:rPr>
          <w:rFonts w:hint="eastAsia" w:ascii="仿宋" w:hAnsi="仿宋" w:eastAsia="仿宋" w:cs="仿宋"/>
          <w:color w:val="auto"/>
          <w:sz w:val="24"/>
          <w:highlight w:val="none"/>
        </w:rPr>
        <w:t>标无效：</w:t>
      </w:r>
    </w:p>
    <w:p>
      <w:pPr>
        <w:pageBreakBefore w:val="0"/>
        <w:kinsoku/>
        <w:wordWrap/>
        <w:bidi w:val="0"/>
        <w:adjustRightInd w:val="0"/>
        <w:snapToGrid w:val="0"/>
        <w:spacing w:line="360" w:lineRule="auto"/>
        <w:ind w:left="720" w:leftChars="0" w:right="0" w:rightChars="0" w:hanging="720" w:hangingChars="300"/>
        <w:rPr>
          <w:rFonts w:hint="eastAsia" w:ascii="仿宋" w:hAnsi="仿宋" w:eastAsia="仿宋" w:cs="仿宋"/>
          <w:color w:val="auto"/>
          <w:sz w:val="24"/>
          <w:highlight w:val="none"/>
        </w:rPr>
      </w:pPr>
      <w:r>
        <w:rPr>
          <w:rFonts w:hint="eastAsia" w:ascii="仿宋" w:hAnsi="仿宋" w:eastAsia="仿宋" w:cs="仿宋"/>
          <w:color w:val="auto"/>
          <w:sz w:val="24"/>
          <w:highlight w:val="none"/>
        </w:rPr>
        <w:t>（1）不同投标人的投标文件由同一单位或者个人编制；</w:t>
      </w:r>
    </w:p>
    <w:p>
      <w:pPr>
        <w:pageBreakBefore w:val="0"/>
        <w:kinsoku/>
        <w:wordWrap/>
        <w:bidi w:val="0"/>
        <w:adjustRightInd w:val="0"/>
        <w:snapToGrid w:val="0"/>
        <w:spacing w:line="360" w:lineRule="auto"/>
        <w:ind w:left="720" w:leftChars="0" w:right="0" w:rightChars="0" w:hanging="720" w:hangingChars="300"/>
        <w:rPr>
          <w:rFonts w:hint="eastAsia" w:ascii="仿宋" w:hAnsi="仿宋" w:eastAsia="仿宋" w:cs="仿宋"/>
          <w:color w:val="auto"/>
          <w:sz w:val="24"/>
          <w:highlight w:val="none"/>
        </w:rPr>
      </w:pPr>
      <w:r>
        <w:rPr>
          <w:rFonts w:hint="eastAsia" w:ascii="仿宋" w:hAnsi="仿宋" w:eastAsia="仿宋" w:cs="仿宋"/>
          <w:color w:val="auto"/>
          <w:sz w:val="24"/>
          <w:highlight w:val="none"/>
        </w:rPr>
        <w:t>（2）不同投标人委托同一单位或者个人办理投标事宜；</w:t>
      </w:r>
    </w:p>
    <w:p>
      <w:pPr>
        <w:pageBreakBefore w:val="0"/>
        <w:kinsoku/>
        <w:wordWrap/>
        <w:bidi w:val="0"/>
        <w:adjustRightInd w:val="0"/>
        <w:snapToGrid w:val="0"/>
        <w:spacing w:line="360" w:lineRule="auto"/>
        <w:ind w:left="720" w:leftChars="0" w:right="0" w:rightChars="0" w:hanging="720" w:hangingChars="300"/>
        <w:rPr>
          <w:rFonts w:hint="eastAsia" w:ascii="仿宋" w:hAnsi="仿宋" w:eastAsia="仿宋" w:cs="仿宋"/>
          <w:color w:val="auto"/>
          <w:sz w:val="24"/>
          <w:highlight w:val="none"/>
        </w:rPr>
      </w:pPr>
      <w:r>
        <w:rPr>
          <w:rFonts w:hint="eastAsia" w:ascii="仿宋" w:hAnsi="仿宋" w:eastAsia="仿宋" w:cs="仿宋"/>
          <w:color w:val="auto"/>
          <w:sz w:val="24"/>
          <w:highlight w:val="none"/>
        </w:rPr>
        <w:t>（3）不同投标人的投标文件载明的项目管理成员或者联系人员为同一人；</w:t>
      </w:r>
    </w:p>
    <w:p>
      <w:pPr>
        <w:pageBreakBefore w:val="0"/>
        <w:kinsoku/>
        <w:wordWrap/>
        <w:bidi w:val="0"/>
        <w:adjustRightInd w:val="0"/>
        <w:snapToGrid w:val="0"/>
        <w:spacing w:line="360" w:lineRule="auto"/>
        <w:ind w:left="720" w:leftChars="0" w:right="0" w:rightChars="0" w:hanging="720" w:hangingChars="300"/>
        <w:rPr>
          <w:rFonts w:hint="eastAsia" w:ascii="仿宋" w:hAnsi="仿宋" w:eastAsia="仿宋" w:cs="仿宋"/>
          <w:color w:val="auto"/>
          <w:sz w:val="24"/>
          <w:highlight w:val="none"/>
        </w:rPr>
      </w:pPr>
      <w:r>
        <w:rPr>
          <w:rFonts w:hint="eastAsia" w:ascii="仿宋" w:hAnsi="仿宋" w:eastAsia="仿宋" w:cs="仿宋"/>
          <w:color w:val="auto"/>
          <w:sz w:val="24"/>
          <w:highlight w:val="none"/>
        </w:rPr>
        <w:t>（4）不同投标人的投标文件异常一致或者投标报价呈规律性差异；</w:t>
      </w:r>
    </w:p>
    <w:p>
      <w:pPr>
        <w:pageBreakBefore w:val="0"/>
        <w:kinsoku/>
        <w:wordWrap/>
        <w:bidi w:val="0"/>
        <w:adjustRightInd w:val="0"/>
        <w:snapToGrid w:val="0"/>
        <w:spacing w:line="360" w:lineRule="auto"/>
        <w:ind w:left="720" w:leftChars="0" w:right="0" w:rightChars="0" w:hanging="720" w:hangingChars="300"/>
        <w:rPr>
          <w:rFonts w:hint="eastAsia" w:ascii="仿宋" w:hAnsi="仿宋" w:eastAsia="仿宋" w:cs="仿宋"/>
          <w:color w:val="auto"/>
          <w:sz w:val="24"/>
          <w:highlight w:val="none"/>
        </w:rPr>
      </w:pPr>
      <w:r>
        <w:rPr>
          <w:rFonts w:hint="eastAsia" w:ascii="仿宋" w:hAnsi="仿宋" w:eastAsia="仿宋" w:cs="仿宋"/>
          <w:color w:val="auto"/>
          <w:sz w:val="24"/>
          <w:highlight w:val="none"/>
        </w:rPr>
        <w:t>（5）不同投标人的投标文件相互混装；</w:t>
      </w:r>
    </w:p>
    <w:p>
      <w:pPr>
        <w:pageBreakBefore w:val="0"/>
        <w:kinsoku/>
        <w:wordWrap/>
        <w:bidi w:val="0"/>
        <w:adjustRightInd w:val="0"/>
        <w:snapToGrid w:val="0"/>
        <w:spacing w:line="360" w:lineRule="auto"/>
        <w:ind w:left="0" w:leftChars="0" w:right="0" w:rightChars="0"/>
        <w:rPr>
          <w:rFonts w:hint="eastAsia" w:ascii="仿宋" w:hAnsi="仿宋" w:eastAsia="仿宋" w:cs="仿宋"/>
          <w:color w:val="auto"/>
          <w:sz w:val="24"/>
          <w:highlight w:val="none"/>
        </w:rPr>
      </w:pPr>
      <w:r>
        <w:rPr>
          <w:rFonts w:hint="eastAsia" w:ascii="仿宋" w:hAnsi="仿宋" w:eastAsia="仿宋" w:cs="仿宋"/>
          <w:color w:val="auto"/>
          <w:sz w:val="24"/>
          <w:highlight w:val="none"/>
        </w:rPr>
        <w:t>（6）不同投标人的投标保证金从同一单位或者个人的账户转出。</w:t>
      </w:r>
    </w:p>
    <w:p>
      <w:pPr>
        <w:pageBreakBefore w:val="0"/>
        <w:kinsoku/>
        <w:wordWrap/>
        <w:bidi w:val="0"/>
        <w:adjustRightInd w:val="0"/>
        <w:snapToGrid w:val="0"/>
        <w:spacing w:line="360" w:lineRule="auto"/>
        <w:ind w:left="0" w:leftChars="0" w:right="0" w:rightChars="0"/>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r>
        <w:rPr>
          <w:rFonts w:hint="eastAsia" w:ascii="仿宋" w:hAnsi="仿宋" w:eastAsia="仿宋" w:cs="仿宋"/>
          <w:color w:val="auto"/>
          <w:sz w:val="24"/>
          <w:highlight w:val="none"/>
          <w:lang w:val="en-US" w:eastAsia="zh-Hans"/>
        </w:rPr>
        <w:t>.</w:t>
      </w:r>
      <w:r>
        <w:rPr>
          <w:rFonts w:hint="eastAsia" w:ascii="仿宋" w:hAnsi="仿宋" w:eastAsia="仿宋" w:cs="仿宋"/>
          <w:color w:val="auto"/>
          <w:sz w:val="24"/>
          <w:highlight w:val="none"/>
          <w:lang w:eastAsia="zh-Hans"/>
        </w:rPr>
        <w:t>5</w:t>
      </w:r>
      <w:r>
        <w:rPr>
          <w:rFonts w:hint="eastAsia" w:ascii="仿宋" w:hAnsi="仿宋" w:eastAsia="仿宋" w:cs="仿宋"/>
          <w:color w:val="auto"/>
          <w:sz w:val="24"/>
          <w:highlight w:val="none"/>
          <w:lang w:val="en-US" w:eastAsia="zh-Hans"/>
        </w:rPr>
        <w:t>.</w:t>
      </w:r>
      <w:r>
        <w:rPr>
          <w:rFonts w:hint="eastAsia" w:ascii="仿宋" w:hAnsi="仿宋" w:eastAsia="仿宋" w:cs="仿宋"/>
          <w:color w:val="auto"/>
          <w:sz w:val="24"/>
          <w:highlight w:val="none"/>
          <w:lang w:eastAsia="zh-Hans"/>
        </w:rPr>
        <w:t>8</w:t>
      </w:r>
      <w:r>
        <w:rPr>
          <w:rFonts w:hint="eastAsia" w:ascii="仿宋" w:hAnsi="仿宋" w:eastAsia="仿宋" w:cs="仿宋"/>
          <w:color w:val="auto"/>
          <w:sz w:val="24"/>
          <w:highlight w:val="none"/>
        </w:rPr>
        <w:t xml:space="preserve"> 对与评标活动有关的工作人员的纪律要求</w:t>
      </w:r>
    </w:p>
    <w:p>
      <w:pPr>
        <w:pageBreakBefore w:val="0"/>
        <w:kinsoku/>
        <w:wordWrap/>
        <w:bidi w:val="0"/>
        <w:adjustRightInd w:val="0"/>
        <w:snapToGrid w:val="0"/>
        <w:spacing w:line="360" w:lineRule="auto"/>
        <w:ind w:left="0" w:leftChars="0" w:right="0" w:rightChars="0"/>
        <w:rPr>
          <w:rFonts w:hint="eastAsia" w:ascii="仿宋" w:hAnsi="仿宋" w:eastAsia="仿宋" w:cs="仿宋"/>
          <w:color w:val="auto"/>
          <w:sz w:val="24"/>
          <w:highlight w:val="none"/>
        </w:rPr>
      </w:pPr>
      <w:r>
        <w:rPr>
          <w:rFonts w:hint="eastAsia" w:ascii="仿宋" w:hAnsi="仿宋" w:eastAsia="仿宋" w:cs="仿宋"/>
          <w:color w:val="auto"/>
          <w:sz w:val="24"/>
          <w:highlight w:val="none"/>
        </w:rPr>
        <w:t>与评标活动有关的工作人员不得收受他人的财物或者好处，不得向其他人透露对投标文件的评审和比较、中标候选人的推荐情况及评标有关其他情况。在评标活动中，与评标活动有关的工作人员不得擅离职守，影响评标程序正常进行。</w:t>
      </w:r>
    </w:p>
    <w:p>
      <w:pPr>
        <w:pageBreakBefore w:val="0"/>
        <w:kinsoku/>
        <w:wordWrap/>
        <w:bidi w:val="0"/>
        <w:adjustRightInd w:val="0"/>
        <w:snapToGrid w:val="0"/>
        <w:spacing w:line="360" w:lineRule="auto"/>
        <w:ind w:left="0" w:leftChars="0" w:right="0" w:rightChars="0"/>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r>
        <w:rPr>
          <w:rFonts w:hint="eastAsia" w:ascii="仿宋" w:hAnsi="仿宋" w:eastAsia="仿宋" w:cs="仿宋"/>
          <w:color w:val="auto"/>
          <w:sz w:val="24"/>
          <w:highlight w:val="none"/>
          <w:lang w:val="en-US" w:eastAsia="zh-Hans"/>
        </w:rPr>
        <w:t>.</w:t>
      </w:r>
      <w:r>
        <w:rPr>
          <w:rFonts w:hint="eastAsia" w:ascii="仿宋" w:hAnsi="仿宋" w:eastAsia="仿宋" w:cs="仿宋"/>
          <w:color w:val="auto"/>
          <w:sz w:val="24"/>
          <w:highlight w:val="none"/>
          <w:lang w:eastAsia="zh-Hans"/>
        </w:rPr>
        <w:t>5</w:t>
      </w:r>
      <w:r>
        <w:rPr>
          <w:rFonts w:hint="eastAsia" w:ascii="仿宋" w:hAnsi="仿宋" w:eastAsia="仿宋" w:cs="仿宋"/>
          <w:color w:val="auto"/>
          <w:sz w:val="24"/>
          <w:highlight w:val="none"/>
          <w:lang w:val="en-US" w:eastAsia="zh-Hans"/>
        </w:rPr>
        <w:t>.</w:t>
      </w:r>
      <w:r>
        <w:rPr>
          <w:rFonts w:hint="eastAsia" w:ascii="仿宋" w:hAnsi="仿宋" w:eastAsia="仿宋" w:cs="仿宋"/>
          <w:color w:val="auto"/>
          <w:sz w:val="24"/>
          <w:highlight w:val="none"/>
          <w:lang w:eastAsia="zh-Hans"/>
        </w:rPr>
        <w:t>9</w:t>
      </w:r>
      <w:r>
        <w:rPr>
          <w:rFonts w:hint="eastAsia" w:ascii="仿宋" w:hAnsi="仿宋" w:eastAsia="仿宋" w:cs="仿宋"/>
          <w:color w:val="auto"/>
          <w:sz w:val="24"/>
          <w:highlight w:val="none"/>
        </w:rPr>
        <w:t>对评标委员会成员要求评标纪律</w:t>
      </w:r>
    </w:p>
    <w:p>
      <w:pPr>
        <w:pageBreakBefore w:val="0"/>
        <w:kinsoku/>
        <w:wordWrap/>
        <w:bidi w:val="0"/>
        <w:adjustRightInd w:val="0"/>
        <w:snapToGrid w:val="0"/>
        <w:spacing w:line="360" w:lineRule="auto"/>
        <w:ind w:left="0" w:leftChars="0" w:right="0" w:rightChars="0"/>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r>
        <w:rPr>
          <w:rFonts w:hint="eastAsia" w:ascii="仿宋" w:hAnsi="仿宋" w:eastAsia="仿宋" w:cs="仿宋"/>
          <w:color w:val="auto"/>
          <w:sz w:val="24"/>
          <w:highlight w:val="none"/>
          <w:lang w:val="en-US" w:eastAsia="zh-Hans"/>
        </w:rPr>
        <w:t>.</w:t>
      </w:r>
      <w:r>
        <w:rPr>
          <w:rFonts w:hint="eastAsia" w:ascii="仿宋" w:hAnsi="仿宋" w:eastAsia="仿宋" w:cs="仿宋"/>
          <w:color w:val="auto"/>
          <w:sz w:val="24"/>
          <w:highlight w:val="none"/>
          <w:lang w:eastAsia="zh-Hans"/>
        </w:rPr>
        <w:t>5</w:t>
      </w:r>
      <w:r>
        <w:rPr>
          <w:rFonts w:hint="eastAsia" w:ascii="仿宋" w:hAnsi="仿宋" w:eastAsia="仿宋" w:cs="仿宋"/>
          <w:color w:val="auto"/>
          <w:sz w:val="24"/>
          <w:highlight w:val="none"/>
          <w:lang w:val="en-US" w:eastAsia="zh-Hans"/>
        </w:rPr>
        <w:t>.</w:t>
      </w:r>
      <w:r>
        <w:rPr>
          <w:rFonts w:hint="eastAsia" w:ascii="仿宋" w:hAnsi="仿宋" w:eastAsia="仿宋" w:cs="仿宋"/>
          <w:color w:val="auto"/>
          <w:sz w:val="24"/>
          <w:highlight w:val="none"/>
          <w:lang w:eastAsia="zh-Hans"/>
        </w:rPr>
        <w:t>10</w:t>
      </w:r>
      <w:r>
        <w:rPr>
          <w:rFonts w:hint="eastAsia" w:ascii="仿宋" w:hAnsi="仿宋" w:eastAsia="仿宋" w:cs="仿宋"/>
          <w:color w:val="auto"/>
          <w:sz w:val="24"/>
          <w:highlight w:val="none"/>
        </w:rPr>
        <w:t>评委会应当依照有关法律法规的规定，按照招标文件确定的评标标准和办法客观、公正的对投标文件提出评审意见。招标文件设有规定的评标标准和方法不得作为评标依据。</w:t>
      </w:r>
    </w:p>
    <w:p>
      <w:pPr>
        <w:pageBreakBefore w:val="0"/>
        <w:kinsoku/>
        <w:wordWrap/>
        <w:bidi w:val="0"/>
        <w:adjustRightInd w:val="0"/>
        <w:snapToGrid w:val="0"/>
        <w:spacing w:line="360" w:lineRule="auto"/>
        <w:ind w:left="0" w:leftChars="0" w:right="0" w:rightChars="0"/>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r>
        <w:rPr>
          <w:rFonts w:hint="eastAsia" w:ascii="仿宋" w:hAnsi="仿宋" w:eastAsia="仿宋" w:cs="仿宋"/>
          <w:color w:val="auto"/>
          <w:sz w:val="24"/>
          <w:highlight w:val="none"/>
          <w:lang w:val="en-US" w:eastAsia="zh-Hans"/>
        </w:rPr>
        <w:t>.</w:t>
      </w:r>
      <w:r>
        <w:rPr>
          <w:rFonts w:hint="eastAsia" w:ascii="仿宋" w:hAnsi="仿宋" w:eastAsia="仿宋" w:cs="仿宋"/>
          <w:color w:val="auto"/>
          <w:sz w:val="24"/>
          <w:highlight w:val="none"/>
          <w:lang w:eastAsia="zh-Hans"/>
        </w:rPr>
        <w:t>5</w:t>
      </w:r>
      <w:r>
        <w:rPr>
          <w:rFonts w:hint="eastAsia" w:ascii="仿宋" w:hAnsi="仿宋" w:eastAsia="仿宋" w:cs="仿宋"/>
          <w:color w:val="auto"/>
          <w:sz w:val="24"/>
          <w:highlight w:val="none"/>
          <w:lang w:val="en-US" w:eastAsia="zh-Hans"/>
        </w:rPr>
        <w:t>.</w:t>
      </w:r>
      <w:r>
        <w:rPr>
          <w:rFonts w:hint="eastAsia" w:ascii="仿宋" w:hAnsi="仿宋" w:eastAsia="仿宋" w:cs="仿宋"/>
          <w:color w:val="auto"/>
          <w:sz w:val="24"/>
          <w:highlight w:val="none"/>
          <w:lang w:eastAsia="zh-Hans"/>
        </w:rPr>
        <w:t>11</w:t>
      </w:r>
      <w:r>
        <w:rPr>
          <w:rFonts w:hint="eastAsia" w:ascii="仿宋" w:hAnsi="仿宋" w:eastAsia="仿宋" w:cs="仿宋"/>
          <w:color w:val="auto"/>
          <w:sz w:val="24"/>
          <w:highlight w:val="none"/>
        </w:rPr>
        <w:t>评标委员会成员不得私下接触投标人，不得收受投标人给予的财务或者其他好处，不得向招标人征询确定中标人意向。</w:t>
      </w:r>
    </w:p>
    <w:p>
      <w:pPr>
        <w:pageBreakBefore w:val="0"/>
        <w:kinsoku/>
        <w:wordWrap/>
        <w:bidi w:val="0"/>
        <w:adjustRightInd w:val="0"/>
        <w:snapToGrid w:val="0"/>
        <w:spacing w:line="360" w:lineRule="auto"/>
        <w:ind w:left="0" w:leftChars="0" w:right="0" w:rightChars="0"/>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r>
        <w:rPr>
          <w:rFonts w:hint="eastAsia" w:ascii="仿宋" w:hAnsi="仿宋" w:eastAsia="仿宋" w:cs="仿宋"/>
          <w:color w:val="auto"/>
          <w:sz w:val="24"/>
          <w:highlight w:val="none"/>
          <w:lang w:val="en-US" w:eastAsia="zh-Hans"/>
        </w:rPr>
        <w:t>.</w:t>
      </w:r>
      <w:r>
        <w:rPr>
          <w:rFonts w:hint="eastAsia" w:ascii="仿宋" w:hAnsi="仿宋" w:eastAsia="仿宋" w:cs="仿宋"/>
          <w:color w:val="auto"/>
          <w:sz w:val="24"/>
          <w:highlight w:val="none"/>
          <w:lang w:eastAsia="zh-Hans"/>
        </w:rPr>
        <w:t>5</w:t>
      </w:r>
      <w:r>
        <w:rPr>
          <w:rFonts w:hint="eastAsia" w:ascii="仿宋" w:hAnsi="仿宋" w:eastAsia="仿宋" w:cs="仿宋"/>
          <w:color w:val="auto"/>
          <w:sz w:val="24"/>
          <w:highlight w:val="none"/>
          <w:lang w:val="en-US" w:eastAsia="zh-Hans"/>
        </w:rPr>
        <w:t>.</w:t>
      </w:r>
      <w:r>
        <w:rPr>
          <w:rFonts w:hint="eastAsia" w:ascii="仿宋" w:hAnsi="仿宋" w:eastAsia="仿宋" w:cs="仿宋"/>
          <w:color w:val="auto"/>
          <w:sz w:val="24"/>
          <w:highlight w:val="none"/>
          <w:lang w:eastAsia="zh-Hans"/>
        </w:rPr>
        <w:t>12</w:t>
      </w:r>
      <w:r>
        <w:rPr>
          <w:rFonts w:hint="eastAsia" w:ascii="仿宋" w:hAnsi="仿宋" w:eastAsia="仿宋" w:cs="仿宋"/>
          <w:color w:val="auto"/>
          <w:sz w:val="24"/>
          <w:highlight w:val="none"/>
        </w:rPr>
        <w:t>不得接受任何单位或个人明示或暗示提出的倾向或排斥特定投标人的要求。</w:t>
      </w:r>
    </w:p>
    <w:p>
      <w:pPr>
        <w:pageBreakBefore w:val="0"/>
        <w:kinsoku/>
        <w:wordWrap/>
        <w:bidi w:val="0"/>
        <w:adjustRightInd w:val="0"/>
        <w:snapToGrid w:val="0"/>
        <w:spacing w:line="360" w:lineRule="auto"/>
        <w:ind w:left="0" w:leftChars="0" w:right="0" w:rightChars="0"/>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r>
        <w:rPr>
          <w:rFonts w:hint="eastAsia" w:ascii="仿宋" w:hAnsi="仿宋" w:eastAsia="仿宋" w:cs="仿宋"/>
          <w:color w:val="auto"/>
          <w:sz w:val="24"/>
          <w:highlight w:val="none"/>
          <w:lang w:val="en-US" w:eastAsia="zh-Hans"/>
        </w:rPr>
        <w:t>.</w:t>
      </w:r>
      <w:r>
        <w:rPr>
          <w:rFonts w:hint="eastAsia" w:ascii="仿宋" w:hAnsi="仿宋" w:eastAsia="仿宋" w:cs="仿宋"/>
          <w:color w:val="auto"/>
          <w:sz w:val="24"/>
          <w:highlight w:val="none"/>
          <w:lang w:eastAsia="zh-Hans"/>
        </w:rPr>
        <w:t>5</w:t>
      </w:r>
      <w:r>
        <w:rPr>
          <w:rFonts w:hint="eastAsia" w:ascii="仿宋" w:hAnsi="仿宋" w:eastAsia="仿宋" w:cs="仿宋"/>
          <w:color w:val="auto"/>
          <w:sz w:val="24"/>
          <w:highlight w:val="none"/>
          <w:lang w:val="en-US" w:eastAsia="zh-Hans"/>
        </w:rPr>
        <w:t>.</w:t>
      </w:r>
      <w:r>
        <w:rPr>
          <w:rFonts w:hint="eastAsia" w:ascii="仿宋" w:hAnsi="仿宋" w:eastAsia="仿宋" w:cs="仿宋"/>
          <w:color w:val="auto"/>
          <w:sz w:val="24"/>
          <w:highlight w:val="none"/>
          <w:lang w:eastAsia="zh-Hans"/>
        </w:rPr>
        <w:t>13</w:t>
      </w:r>
      <w:r>
        <w:rPr>
          <w:rFonts w:hint="eastAsia" w:ascii="仿宋" w:hAnsi="仿宋" w:eastAsia="仿宋" w:cs="仿宋"/>
          <w:color w:val="auto"/>
          <w:sz w:val="24"/>
          <w:highlight w:val="none"/>
        </w:rPr>
        <w:t>不得有其他不客观，不公正履行职务的行为。</w:t>
      </w:r>
    </w:p>
    <w:p>
      <w:pPr>
        <w:pageBreakBefore w:val="0"/>
        <w:kinsoku/>
        <w:wordWrap/>
        <w:bidi w:val="0"/>
        <w:adjustRightInd w:val="0"/>
        <w:snapToGrid w:val="0"/>
        <w:spacing w:line="360" w:lineRule="auto"/>
        <w:ind w:left="0" w:leftChars="0" w:right="0" w:rightChars="0"/>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r>
        <w:rPr>
          <w:rFonts w:hint="eastAsia" w:ascii="仿宋" w:hAnsi="仿宋" w:eastAsia="仿宋" w:cs="仿宋"/>
          <w:color w:val="auto"/>
          <w:sz w:val="24"/>
          <w:highlight w:val="none"/>
          <w:lang w:val="en-US" w:eastAsia="zh-Hans"/>
        </w:rPr>
        <w:t>.</w:t>
      </w:r>
      <w:r>
        <w:rPr>
          <w:rFonts w:hint="eastAsia" w:ascii="仿宋" w:hAnsi="仿宋" w:eastAsia="仿宋" w:cs="仿宋"/>
          <w:color w:val="auto"/>
          <w:sz w:val="24"/>
          <w:highlight w:val="none"/>
          <w:lang w:eastAsia="zh-Hans"/>
        </w:rPr>
        <w:t>6</w:t>
      </w:r>
      <w:r>
        <w:rPr>
          <w:rFonts w:hint="eastAsia" w:ascii="仿宋" w:hAnsi="仿宋" w:eastAsia="仿宋" w:cs="仿宋"/>
          <w:color w:val="auto"/>
          <w:sz w:val="24"/>
          <w:highlight w:val="none"/>
        </w:rPr>
        <w:t>评标过程</w:t>
      </w:r>
    </w:p>
    <w:p>
      <w:pPr>
        <w:pageBreakBefore w:val="0"/>
        <w:kinsoku/>
        <w:wordWrap/>
        <w:bidi w:val="0"/>
        <w:adjustRightInd w:val="0"/>
        <w:snapToGrid w:val="0"/>
        <w:spacing w:line="360" w:lineRule="auto"/>
        <w:ind w:left="0" w:leftChars="0" w:right="0" w:rightChars="0"/>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r>
        <w:rPr>
          <w:rFonts w:hint="eastAsia" w:ascii="仿宋" w:hAnsi="仿宋" w:eastAsia="仿宋" w:cs="仿宋"/>
          <w:color w:val="auto"/>
          <w:sz w:val="24"/>
          <w:highlight w:val="none"/>
          <w:lang w:val="en-US" w:eastAsia="zh-Hans"/>
        </w:rPr>
        <w:t>.</w:t>
      </w:r>
      <w:r>
        <w:rPr>
          <w:rFonts w:hint="eastAsia" w:ascii="仿宋" w:hAnsi="仿宋" w:eastAsia="仿宋" w:cs="仿宋"/>
          <w:color w:val="auto"/>
          <w:sz w:val="24"/>
          <w:highlight w:val="none"/>
          <w:lang w:eastAsia="zh-Hans"/>
        </w:rPr>
        <w:t>6</w:t>
      </w:r>
      <w:r>
        <w:rPr>
          <w:rFonts w:hint="eastAsia" w:ascii="仿宋" w:hAnsi="仿宋" w:eastAsia="仿宋" w:cs="仿宋"/>
          <w:color w:val="auto"/>
          <w:sz w:val="24"/>
          <w:highlight w:val="none"/>
          <w:lang w:val="en-US" w:eastAsia="zh-Hans"/>
        </w:rPr>
        <w:t>.</w:t>
      </w:r>
      <w:r>
        <w:rPr>
          <w:rFonts w:hint="eastAsia" w:ascii="仿宋" w:hAnsi="仿宋" w:eastAsia="仿宋" w:cs="仿宋"/>
          <w:color w:val="auto"/>
          <w:sz w:val="24"/>
          <w:highlight w:val="none"/>
          <w:lang w:eastAsia="zh-Hans"/>
        </w:rPr>
        <w:t>1</w:t>
      </w:r>
      <w:r>
        <w:rPr>
          <w:rFonts w:hint="eastAsia" w:ascii="仿宋" w:hAnsi="仿宋" w:eastAsia="仿宋" w:cs="仿宋"/>
          <w:color w:val="auto"/>
          <w:sz w:val="24"/>
          <w:highlight w:val="none"/>
        </w:rPr>
        <w:t>评标的依据为招标文件和投标文件。</w:t>
      </w:r>
    </w:p>
    <w:p>
      <w:pPr>
        <w:pageBreakBefore w:val="0"/>
        <w:tabs>
          <w:tab w:val="left" w:pos="1434"/>
        </w:tabs>
        <w:kinsoku/>
        <w:wordWrap/>
        <w:bidi w:val="0"/>
        <w:adjustRightInd w:val="0"/>
        <w:snapToGrid w:val="0"/>
        <w:spacing w:line="360" w:lineRule="auto"/>
        <w:ind w:left="0" w:leftChars="0" w:right="0" w:rightChars="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r>
        <w:rPr>
          <w:rFonts w:hint="eastAsia" w:ascii="仿宋" w:hAnsi="仿宋" w:eastAsia="仿宋" w:cs="仿宋"/>
          <w:color w:val="auto"/>
          <w:sz w:val="24"/>
          <w:highlight w:val="none"/>
          <w:lang w:val="en-US" w:eastAsia="zh-Hans"/>
        </w:rPr>
        <w:t>.</w:t>
      </w:r>
      <w:r>
        <w:rPr>
          <w:rFonts w:hint="eastAsia" w:ascii="仿宋" w:hAnsi="仿宋" w:eastAsia="仿宋" w:cs="仿宋"/>
          <w:color w:val="auto"/>
          <w:sz w:val="24"/>
          <w:highlight w:val="none"/>
          <w:lang w:eastAsia="zh-Hans"/>
        </w:rPr>
        <w:t>6</w:t>
      </w:r>
      <w:r>
        <w:rPr>
          <w:rFonts w:hint="eastAsia" w:ascii="仿宋" w:hAnsi="仿宋" w:eastAsia="仿宋" w:cs="仿宋"/>
          <w:color w:val="auto"/>
          <w:sz w:val="24"/>
          <w:highlight w:val="none"/>
          <w:lang w:val="en-US" w:eastAsia="zh-Hans"/>
        </w:rPr>
        <w:t>.</w:t>
      </w:r>
      <w:r>
        <w:rPr>
          <w:rFonts w:hint="eastAsia" w:ascii="仿宋" w:hAnsi="仿宋" w:eastAsia="仿宋" w:cs="仿宋"/>
          <w:color w:val="auto"/>
          <w:sz w:val="24"/>
          <w:highlight w:val="none"/>
          <w:lang w:eastAsia="zh-Hans"/>
        </w:rPr>
        <w:t>2</w:t>
      </w:r>
      <w:r>
        <w:rPr>
          <w:rFonts w:hint="eastAsia" w:ascii="仿宋" w:hAnsi="仿宋" w:eastAsia="仿宋" w:cs="仿宋"/>
          <w:color w:val="auto"/>
          <w:sz w:val="24"/>
          <w:highlight w:val="none"/>
        </w:rPr>
        <w:t>开标后评委会将组织审查投标文件是否完整，是否有计算错误，要求的保证金是否提供，文件是否恰当地签署。</w:t>
      </w:r>
    </w:p>
    <w:p>
      <w:pPr>
        <w:pageBreakBefore w:val="0"/>
        <w:kinsoku/>
        <w:wordWrap/>
        <w:bidi w:val="0"/>
        <w:adjustRightInd w:val="0"/>
        <w:snapToGrid w:val="0"/>
        <w:spacing w:line="360" w:lineRule="auto"/>
        <w:ind w:left="600" w:leftChars="0" w:right="0" w:rightChars="0" w:hanging="600" w:hangingChars="250"/>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r>
        <w:rPr>
          <w:rFonts w:hint="eastAsia" w:ascii="仿宋" w:hAnsi="仿宋" w:eastAsia="仿宋" w:cs="仿宋"/>
          <w:color w:val="auto"/>
          <w:sz w:val="24"/>
          <w:highlight w:val="none"/>
          <w:lang w:val="en-US" w:eastAsia="zh-Hans"/>
        </w:rPr>
        <w:t>.</w:t>
      </w:r>
      <w:r>
        <w:rPr>
          <w:rFonts w:hint="eastAsia" w:ascii="仿宋" w:hAnsi="仿宋" w:eastAsia="仿宋" w:cs="仿宋"/>
          <w:color w:val="auto"/>
          <w:sz w:val="24"/>
          <w:highlight w:val="none"/>
          <w:lang w:eastAsia="zh-Hans"/>
        </w:rPr>
        <w:t>6</w:t>
      </w:r>
      <w:r>
        <w:rPr>
          <w:rFonts w:hint="eastAsia" w:ascii="仿宋" w:hAnsi="仿宋" w:eastAsia="仿宋" w:cs="仿宋"/>
          <w:color w:val="auto"/>
          <w:sz w:val="24"/>
          <w:highlight w:val="none"/>
          <w:lang w:val="en-US" w:eastAsia="zh-Hans"/>
        </w:rPr>
        <w:t>.</w:t>
      </w:r>
      <w:r>
        <w:rPr>
          <w:rFonts w:hint="eastAsia" w:ascii="仿宋" w:hAnsi="仿宋" w:eastAsia="仿宋" w:cs="仿宋"/>
          <w:color w:val="auto"/>
          <w:sz w:val="24"/>
          <w:highlight w:val="none"/>
          <w:lang w:eastAsia="zh-Hans"/>
        </w:rPr>
        <w:t>3</w:t>
      </w:r>
      <w:r>
        <w:rPr>
          <w:rFonts w:hint="eastAsia" w:ascii="仿宋" w:hAnsi="仿宋" w:eastAsia="仿宋" w:cs="仿宋"/>
          <w:color w:val="auto"/>
          <w:sz w:val="24"/>
          <w:highlight w:val="none"/>
        </w:rPr>
        <w:t xml:space="preserve"> 在对投标文件进行详细评估之前，评委会将对投标商提供的投标文件的符合</w:t>
      </w:r>
    </w:p>
    <w:p>
      <w:pPr>
        <w:pageBreakBefore w:val="0"/>
        <w:kinsoku/>
        <w:wordWrap/>
        <w:bidi w:val="0"/>
        <w:adjustRightInd w:val="0"/>
        <w:snapToGrid w:val="0"/>
        <w:spacing w:line="360" w:lineRule="auto"/>
        <w:ind w:left="600" w:leftChars="0" w:right="0" w:rightChars="0" w:hanging="600" w:hangingChars="250"/>
        <w:rPr>
          <w:rFonts w:hint="eastAsia" w:ascii="仿宋" w:hAnsi="仿宋" w:eastAsia="仿宋" w:cs="仿宋"/>
          <w:color w:val="auto"/>
          <w:sz w:val="24"/>
          <w:highlight w:val="none"/>
        </w:rPr>
      </w:pPr>
      <w:r>
        <w:rPr>
          <w:rFonts w:hint="eastAsia" w:ascii="仿宋" w:hAnsi="仿宋" w:eastAsia="仿宋" w:cs="仿宋"/>
          <w:color w:val="auto"/>
          <w:sz w:val="24"/>
          <w:highlight w:val="none"/>
        </w:rPr>
        <w:t>性进行审查。如果投标商符合性审查未通过，其投标将被拒绝。符合性审查内容</w:t>
      </w:r>
    </w:p>
    <w:p>
      <w:pPr>
        <w:pageBreakBefore w:val="0"/>
        <w:kinsoku/>
        <w:wordWrap/>
        <w:bidi w:val="0"/>
        <w:adjustRightInd w:val="0"/>
        <w:snapToGrid w:val="0"/>
        <w:spacing w:line="360" w:lineRule="auto"/>
        <w:ind w:left="600" w:leftChars="0" w:right="0" w:rightChars="0" w:hanging="600" w:hangingChars="25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Hans"/>
        </w:rPr>
        <w:t>详见</w:t>
      </w:r>
      <w:r>
        <w:rPr>
          <w:rFonts w:hint="eastAsia" w:ascii="仿宋" w:hAnsi="仿宋" w:eastAsia="仿宋" w:cs="仿宋"/>
          <w:color w:val="auto"/>
          <w:sz w:val="24"/>
          <w:szCs w:val="24"/>
          <w:highlight w:val="none"/>
        </w:rPr>
        <w:t>评标办法前附表。</w:t>
      </w:r>
    </w:p>
    <w:p>
      <w:pPr>
        <w:pStyle w:val="5"/>
        <w:pageBreakBefore w:val="0"/>
        <w:widowControl w:val="0"/>
        <w:kinsoku/>
        <w:wordWrap/>
        <w:overflowPunct/>
        <w:topLinePunct w:val="0"/>
        <w:autoSpaceDE/>
        <w:autoSpaceDN/>
        <w:bidi w:val="0"/>
        <w:adjustRightInd w:val="0"/>
        <w:snapToGrid w:val="0"/>
        <w:spacing w:before="0" w:beforeLines="0" w:after="0" w:afterLines="0" w:line="360" w:lineRule="auto"/>
        <w:ind w:left="0" w:leftChars="0" w:right="0" w:right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3.7</w:t>
      </w:r>
      <w:r>
        <w:rPr>
          <w:rFonts w:hint="eastAsia" w:ascii="仿宋" w:hAnsi="仿宋" w:eastAsia="仿宋" w:cs="仿宋"/>
          <w:color w:val="auto"/>
          <w:sz w:val="24"/>
          <w:szCs w:val="24"/>
          <w:highlight w:val="none"/>
          <w:lang w:val="en-US" w:eastAsia="zh-Hans"/>
        </w:rPr>
        <w:t>.</w:t>
      </w:r>
      <w:r>
        <w:rPr>
          <w:rFonts w:hint="eastAsia" w:ascii="仿宋" w:hAnsi="仿宋" w:eastAsia="仿宋" w:cs="仿宋"/>
          <w:color w:val="auto"/>
          <w:sz w:val="24"/>
          <w:szCs w:val="24"/>
          <w:highlight w:val="none"/>
          <w:lang w:eastAsia="zh-Hans"/>
        </w:rPr>
        <w:t>2</w:t>
      </w:r>
      <w:r>
        <w:rPr>
          <w:rFonts w:hint="eastAsia" w:ascii="仿宋" w:hAnsi="仿宋" w:eastAsia="仿宋" w:cs="仿宋"/>
          <w:color w:val="auto"/>
          <w:sz w:val="24"/>
          <w:szCs w:val="24"/>
          <w:highlight w:val="none"/>
        </w:rPr>
        <w:t>详细评审</w:t>
      </w:r>
      <w:bookmarkEnd w:id="359"/>
      <w:bookmarkEnd w:id="360"/>
      <w:bookmarkEnd w:id="361"/>
      <w:bookmarkEnd w:id="362"/>
      <w:bookmarkEnd w:id="363"/>
      <w:bookmarkEnd w:id="364"/>
      <w:bookmarkEnd w:id="365"/>
      <w:bookmarkEnd w:id="366"/>
    </w:p>
    <w:p>
      <w:pPr>
        <w:pageBreakBefore w:val="0"/>
        <w:numPr>
          <w:ilvl w:val="0"/>
          <w:numId w:val="9"/>
        </w:numPr>
        <w:kinsoku/>
        <w:wordWrap/>
        <w:bidi w:val="0"/>
        <w:adjustRightInd w:val="0"/>
        <w:snapToGrid w:val="0"/>
        <w:spacing w:line="360" w:lineRule="auto"/>
        <w:ind w:left="0" w:leftChars="0" w:right="0" w:rightChars="0"/>
        <w:rPr>
          <w:rFonts w:hint="eastAsia" w:ascii="仿宋" w:hAnsi="仿宋" w:eastAsia="仿宋" w:cs="仿宋"/>
          <w:color w:val="auto"/>
          <w:sz w:val="24"/>
          <w:highlight w:val="none"/>
        </w:rPr>
      </w:pPr>
      <w:r>
        <w:rPr>
          <w:rFonts w:hint="eastAsia" w:ascii="仿宋" w:hAnsi="仿宋" w:eastAsia="仿宋" w:cs="仿宋"/>
          <w:color w:val="auto"/>
          <w:sz w:val="24"/>
          <w:highlight w:val="none"/>
        </w:rPr>
        <w:t>评标委员会确定每一个通过符合性审查的投标</w:t>
      </w:r>
      <w:r>
        <w:rPr>
          <w:rFonts w:hint="eastAsia" w:ascii="仿宋" w:hAnsi="仿宋" w:eastAsia="仿宋" w:cs="仿宋"/>
          <w:color w:val="auto"/>
          <w:sz w:val="24"/>
          <w:highlight w:val="none"/>
          <w:lang w:val="en-US" w:eastAsia="zh-Hans"/>
        </w:rPr>
        <w:t>人</w:t>
      </w:r>
      <w:r>
        <w:rPr>
          <w:rFonts w:hint="eastAsia" w:ascii="仿宋" w:hAnsi="仿宋" w:eastAsia="仿宋" w:cs="仿宋"/>
          <w:color w:val="auto"/>
          <w:sz w:val="24"/>
          <w:highlight w:val="none"/>
        </w:rPr>
        <w:t>进行详细评审；</w:t>
      </w:r>
    </w:p>
    <w:p>
      <w:pPr>
        <w:pageBreakBefore w:val="0"/>
        <w:numPr>
          <w:ilvl w:val="0"/>
          <w:numId w:val="0"/>
        </w:numPr>
        <w:kinsoku/>
        <w:wordWrap/>
        <w:bidi w:val="0"/>
        <w:adjustRightInd w:val="0"/>
        <w:snapToGrid w:val="0"/>
        <w:spacing w:line="360" w:lineRule="auto"/>
        <w:ind w:left="0" w:leftChars="0" w:right="0" w:rightChars="0"/>
        <w:rPr>
          <w:rFonts w:hint="eastAsia" w:ascii="仿宋" w:hAnsi="仿宋" w:eastAsia="仿宋" w:cs="仿宋"/>
          <w:color w:val="auto"/>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Hans"/>
        </w:rPr>
        <w:t>详细评审要求详见</w:t>
      </w:r>
      <w:r>
        <w:rPr>
          <w:rFonts w:hint="eastAsia" w:ascii="仿宋" w:hAnsi="仿宋" w:eastAsia="仿宋" w:cs="仿宋"/>
          <w:color w:val="auto"/>
          <w:sz w:val="24"/>
          <w:highlight w:val="none"/>
        </w:rPr>
        <w:t>评标办法前附表</w:t>
      </w:r>
      <w:r>
        <w:rPr>
          <w:rFonts w:hint="eastAsia" w:ascii="仿宋" w:hAnsi="仿宋" w:eastAsia="仿宋" w:cs="仿宋"/>
          <w:color w:val="auto"/>
          <w:sz w:val="24"/>
          <w:szCs w:val="24"/>
          <w:highlight w:val="none"/>
        </w:rPr>
        <w:t>。</w:t>
      </w:r>
    </w:p>
    <w:p>
      <w:pPr>
        <w:pStyle w:val="5"/>
        <w:pageBreakBefore w:val="0"/>
        <w:widowControl w:val="0"/>
        <w:kinsoku/>
        <w:wordWrap/>
        <w:overflowPunct/>
        <w:topLinePunct w:val="0"/>
        <w:autoSpaceDE/>
        <w:autoSpaceDN/>
        <w:bidi w:val="0"/>
        <w:adjustRightInd w:val="0"/>
        <w:snapToGrid w:val="0"/>
        <w:spacing w:before="0" w:beforeLines="0" w:after="0" w:afterLines="0" w:line="360" w:lineRule="auto"/>
        <w:ind w:left="0" w:leftChars="0" w:right="0" w:rightChars="0"/>
        <w:textAlignment w:val="auto"/>
        <w:rPr>
          <w:rFonts w:hint="eastAsia" w:ascii="仿宋" w:hAnsi="仿宋" w:eastAsia="仿宋" w:cs="仿宋"/>
          <w:color w:val="auto"/>
          <w:sz w:val="24"/>
          <w:szCs w:val="24"/>
          <w:highlight w:val="none"/>
        </w:rPr>
      </w:pPr>
      <w:bookmarkStart w:id="367" w:name="_Toc246996250"/>
      <w:bookmarkStart w:id="368" w:name="_Toc247085765"/>
      <w:bookmarkStart w:id="369" w:name="_Toc514837923"/>
      <w:bookmarkStart w:id="370" w:name="_Toc152045607"/>
      <w:bookmarkStart w:id="371" w:name="_Toc179632625"/>
      <w:bookmarkStart w:id="372" w:name="_Toc246996993"/>
      <w:bookmarkStart w:id="373" w:name="_Toc144974575"/>
      <w:bookmarkStart w:id="374" w:name="_Toc152042385"/>
      <w:r>
        <w:rPr>
          <w:rFonts w:hint="eastAsia" w:ascii="仿宋" w:hAnsi="仿宋" w:eastAsia="仿宋" w:cs="仿宋"/>
          <w:color w:val="auto"/>
          <w:sz w:val="24"/>
          <w:szCs w:val="24"/>
          <w:highlight w:val="none"/>
        </w:rPr>
        <w:t>3.7</w:t>
      </w:r>
      <w:r>
        <w:rPr>
          <w:rFonts w:hint="eastAsia" w:ascii="仿宋" w:hAnsi="仿宋" w:eastAsia="仿宋" w:cs="仿宋"/>
          <w:color w:val="auto"/>
          <w:sz w:val="24"/>
          <w:szCs w:val="24"/>
          <w:highlight w:val="none"/>
          <w:lang w:val="en-US" w:eastAsia="zh-Hans"/>
        </w:rPr>
        <w:t>.</w:t>
      </w:r>
      <w:r>
        <w:rPr>
          <w:rFonts w:hint="eastAsia" w:ascii="仿宋" w:hAnsi="仿宋" w:eastAsia="仿宋" w:cs="仿宋"/>
          <w:color w:val="auto"/>
          <w:sz w:val="24"/>
          <w:szCs w:val="24"/>
          <w:highlight w:val="none"/>
          <w:lang w:eastAsia="zh-Hans"/>
        </w:rPr>
        <w:t>3</w:t>
      </w:r>
      <w:r>
        <w:rPr>
          <w:rFonts w:hint="eastAsia" w:ascii="仿宋" w:hAnsi="仿宋" w:eastAsia="仿宋" w:cs="仿宋"/>
          <w:color w:val="auto"/>
          <w:sz w:val="24"/>
          <w:szCs w:val="24"/>
          <w:highlight w:val="none"/>
        </w:rPr>
        <w:t xml:space="preserve"> 投标文件的澄清</w:t>
      </w:r>
      <w:bookmarkEnd w:id="367"/>
      <w:bookmarkEnd w:id="368"/>
      <w:bookmarkEnd w:id="369"/>
      <w:bookmarkEnd w:id="370"/>
      <w:bookmarkEnd w:id="371"/>
      <w:bookmarkEnd w:id="372"/>
      <w:bookmarkEnd w:id="373"/>
      <w:bookmarkEnd w:id="374"/>
    </w:p>
    <w:p>
      <w:pPr>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 在评标过程中，评标委员会可以书面形式要求投标人对投标文件中含义不明确、对同类问题表述不一致或者有明显文字和计算错误的内容作必要的澄清、说明或补正。澄清、说明或补正应以书面方式进行。评标委员会不接受投标人主动提出的澄清、说明或补正。</w:t>
      </w:r>
    </w:p>
    <w:p>
      <w:pPr>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 澄清、说明或补正不得超出投标文件的范围且不得改变投标文件的实质性内容，并构成投标文件的组成部分。</w:t>
      </w:r>
    </w:p>
    <w:p>
      <w:pPr>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（3）评标委员会对投标人提交的澄清、说明或补正有疑问的，可以要求投标人进一步澄清、说明或补正，直至满足评标委员会的要求。</w:t>
      </w:r>
    </w:p>
    <w:p>
      <w:pPr>
        <w:pStyle w:val="5"/>
        <w:pageBreakBefore w:val="0"/>
        <w:widowControl w:val="0"/>
        <w:kinsoku/>
        <w:wordWrap/>
        <w:overflowPunct/>
        <w:topLinePunct w:val="0"/>
        <w:autoSpaceDE/>
        <w:autoSpaceDN/>
        <w:bidi w:val="0"/>
        <w:adjustRightInd w:val="0"/>
        <w:snapToGrid w:val="0"/>
        <w:spacing w:before="0" w:beforeLines="0" w:after="0" w:afterLines="0" w:line="360" w:lineRule="auto"/>
        <w:ind w:left="0" w:leftChars="0" w:right="0" w:rightChars="0"/>
        <w:textAlignment w:val="auto"/>
        <w:rPr>
          <w:rFonts w:hint="eastAsia" w:ascii="仿宋" w:hAnsi="仿宋" w:eastAsia="仿宋" w:cs="仿宋"/>
          <w:color w:val="auto"/>
          <w:sz w:val="24"/>
          <w:szCs w:val="24"/>
          <w:highlight w:val="none"/>
        </w:rPr>
      </w:pPr>
      <w:bookmarkStart w:id="375" w:name="_Toc246996251"/>
      <w:bookmarkStart w:id="376" w:name="_Toc247085766"/>
      <w:bookmarkStart w:id="377" w:name="_Toc152045608"/>
      <w:bookmarkStart w:id="378" w:name="_Toc152042386"/>
      <w:bookmarkStart w:id="379" w:name="_Toc246996994"/>
      <w:bookmarkStart w:id="380" w:name="_Toc179632626"/>
      <w:bookmarkStart w:id="381" w:name="_Toc514837924"/>
      <w:bookmarkStart w:id="382" w:name="_Toc144974576"/>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val="en-US" w:eastAsia="zh-Hans"/>
        </w:rPr>
        <w:t>.</w:t>
      </w:r>
      <w:r>
        <w:rPr>
          <w:rFonts w:hint="eastAsia" w:ascii="仿宋" w:hAnsi="仿宋" w:eastAsia="仿宋" w:cs="仿宋"/>
          <w:color w:val="auto"/>
          <w:sz w:val="24"/>
          <w:szCs w:val="24"/>
          <w:highlight w:val="none"/>
          <w:lang w:eastAsia="zh-Hans"/>
        </w:rPr>
        <w:t>7</w:t>
      </w:r>
      <w:r>
        <w:rPr>
          <w:rFonts w:hint="eastAsia" w:ascii="仿宋" w:hAnsi="仿宋" w:eastAsia="仿宋" w:cs="仿宋"/>
          <w:color w:val="auto"/>
          <w:sz w:val="24"/>
          <w:szCs w:val="24"/>
          <w:highlight w:val="none"/>
          <w:lang w:val="en-US" w:eastAsia="zh-Hans"/>
        </w:rPr>
        <w:t>.</w:t>
      </w:r>
      <w:r>
        <w:rPr>
          <w:rFonts w:hint="eastAsia" w:ascii="仿宋" w:hAnsi="仿宋" w:eastAsia="仿宋" w:cs="仿宋"/>
          <w:color w:val="auto"/>
          <w:sz w:val="24"/>
          <w:szCs w:val="24"/>
          <w:highlight w:val="none"/>
          <w:lang w:eastAsia="zh-Hans"/>
        </w:rPr>
        <w:t>4</w:t>
      </w:r>
      <w:r>
        <w:rPr>
          <w:rFonts w:hint="eastAsia" w:ascii="仿宋" w:hAnsi="仿宋" w:eastAsia="仿宋" w:cs="仿宋"/>
          <w:color w:val="auto"/>
          <w:sz w:val="24"/>
          <w:szCs w:val="24"/>
          <w:highlight w:val="none"/>
        </w:rPr>
        <w:t xml:space="preserve"> 评标结果</w:t>
      </w:r>
      <w:bookmarkEnd w:id="375"/>
      <w:bookmarkEnd w:id="376"/>
      <w:bookmarkEnd w:id="377"/>
      <w:bookmarkEnd w:id="378"/>
      <w:bookmarkEnd w:id="379"/>
      <w:bookmarkEnd w:id="380"/>
      <w:bookmarkEnd w:id="381"/>
      <w:bookmarkEnd w:id="382"/>
    </w:p>
    <w:p>
      <w:pPr>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 除第二章“投标人须知”前附表授权直接确定中标人外，评标委员会按照得分由高到低的顺序推荐中标候选人，并标明排序。</w:t>
      </w:r>
    </w:p>
    <w:p>
      <w:pPr>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jc w:val="left"/>
        <w:textAlignment w:val="auto"/>
        <w:rPr>
          <w:rFonts w:hint="eastAsia" w:ascii="仿宋" w:hAnsi="仿宋" w:eastAsia="仿宋" w:cs="仿宋"/>
          <w:b/>
          <w:bCs/>
          <w:color w:val="auto"/>
          <w:sz w:val="24"/>
          <w:szCs w:val="24"/>
          <w:highlight w:val="none"/>
          <w:lang w:val="en-US" w:eastAsia="zh-Hans"/>
        </w:rPr>
        <w:sectPr>
          <w:pgSz w:w="11906" w:h="16838"/>
          <w:pgMar w:top="1440" w:right="1800" w:bottom="1440" w:left="1600" w:header="851" w:footer="992" w:gutter="0"/>
          <w:cols w:space="720" w:num="1"/>
          <w:docGrid w:type="lines" w:linePitch="312" w:charSpace="0"/>
        </w:sectPr>
      </w:pPr>
      <w:r>
        <w:rPr>
          <w:rFonts w:hint="eastAsia" w:ascii="仿宋" w:hAnsi="仿宋" w:eastAsia="仿宋" w:cs="仿宋"/>
          <w:color w:val="auto"/>
          <w:sz w:val="24"/>
          <w:szCs w:val="24"/>
          <w:highlight w:val="none"/>
        </w:rPr>
        <w:t xml:space="preserve">   （2）评标委员会完成评标后，应当向招标人提交书面评标报告和中标候选人名单。</w:t>
      </w:r>
    </w:p>
    <w:p>
      <w:pPr>
        <w:pageBreakBefore w:val="0"/>
        <w:kinsoku/>
        <w:wordWrap/>
        <w:bidi w:val="0"/>
        <w:adjustRightInd w:val="0"/>
        <w:snapToGrid w:val="0"/>
        <w:spacing w:line="360" w:lineRule="auto"/>
        <w:ind w:left="0" w:leftChars="0" w:right="0" w:rightChars="0"/>
        <w:jc w:val="center"/>
        <w:rPr>
          <w:rFonts w:hint="eastAsia" w:ascii="仿宋" w:hAnsi="仿宋" w:eastAsia="仿宋" w:cs="仿宋"/>
          <w:color w:val="auto"/>
          <w:kern w:val="0"/>
          <w:szCs w:val="21"/>
          <w:highlight w:val="none"/>
        </w:rPr>
      </w:pPr>
    </w:p>
    <w:p>
      <w:pPr>
        <w:pStyle w:val="3"/>
        <w:numPr>
          <w:ilvl w:val="0"/>
          <w:numId w:val="10"/>
        </w:numPr>
        <w:bidi w:val="0"/>
        <w:rPr>
          <w:rFonts w:hint="eastAsia" w:ascii="仿宋" w:hAnsi="仿宋" w:eastAsia="仿宋" w:cs="仿宋"/>
          <w:color w:val="auto"/>
          <w:highlight w:val="none"/>
        </w:rPr>
      </w:pPr>
      <w:bookmarkStart w:id="383" w:name="_Toc1777921229_WPSOffice_Level1"/>
      <w:r>
        <w:rPr>
          <w:rFonts w:hint="eastAsia" w:ascii="仿宋" w:hAnsi="仿宋" w:eastAsia="仿宋" w:cs="仿宋"/>
          <w:color w:val="auto"/>
          <w:highlight w:val="none"/>
        </w:rPr>
        <w:t>合同主要条款</w:t>
      </w:r>
      <w:bookmarkEnd w:id="290"/>
      <w:bookmarkEnd w:id="291"/>
      <w:bookmarkEnd w:id="292"/>
      <w:bookmarkEnd w:id="383"/>
    </w:p>
    <w:p>
      <w:pPr>
        <w:overflowPunct w:val="0"/>
        <w:spacing w:line="440" w:lineRule="exact"/>
        <w:jc w:val="center"/>
        <w:rPr>
          <w:rFonts w:ascii="宋体"/>
          <w:b/>
          <w:szCs w:val="21"/>
          <w:highlight w:val="none"/>
        </w:rPr>
      </w:pPr>
      <w:r>
        <w:rPr>
          <w:rFonts w:hint="eastAsia" w:ascii="宋体" w:hAnsi="宋体"/>
          <w:b/>
          <w:szCs w:val="21"/>
          <w:highlight w:val="none"/>
        </w:rPr>
        <w:t>政府采购货物合同书</w:t>
      </w:r>
    </w:p>
    <w:p>
      <w:pPr>
        <w:overflowPunct w:val="0"/>
        <w:spacing w:line="440" w:lineRule="exact"/>
        <w:jc w:val="right"/>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合同号：</w:t>
      </w:r>
    </w:p>
    <w:p>
      <w:pPr>
        <w:overflowPunct w:val="0"/>
        <w:spacing w:line="44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甲方（采购方）： </w:t>
      </w:r>
    </w:p>
    <w:p>
      <w:pPr>
        <w:overflowPunct w:val="0"/>
        <w:spacing w:line="44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乙方（供应商）：</w:t>
      </w:r>
    </w:p>
    <w:p>
      <w:pPr>
        <w:overflowPunct w:val="0"/>
        <w:spacing w:line="44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招标代理机构：</w:t>
      </w:r>
    </w:p>
    <w:p>
      <w:pPr>
        <w:overflowPunct w:val="0"/>
        <w:spacing w:line="44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甲乙双方根据政府采购的有关规定，和中标通知书的要求，经双方友好协商，一致同意达成如下内容，特订立本合同，以便共同遵守。</w:t>
      </w:r>
    </w:p>
    <w:p>
      <w:pPr>
        <w:overflowPunct w:val="0"/>
        <w:spacing w:line="440" w:lineRule="exact"/>
        <w:rPr>
          <w:rFonts w:hint="eastAsia" w:ascii="仿宋" w:hAnsi="仿宋" w:eastAsia="仿宋" w:cs="仿宋"/>
          <w:b/>
          <w:sz w:val="24"/>
          <w:szCs w:val="24"/>
          <w:highlight w:val="none"/>
        </w:rPr>
      </w:pPr>
      <w:r>
        <w:rPr>
          <w:rFonts w:hint="eastAsia" w:ascii="仿宋" w:hAnsi="仿宋" w:eastAsia="仿宋" w:cs="仿宋"/>
          <w:b/>
          <w:sz w:val="24"/>
          <w:szCs w:val="24"/>
          <w:highlight w:val="none"/>
        </w:rPr>
        <w:t>第一条：合同标的</w:t>
      </w:r>
    </w:p>
    <w:p>
      <w:pPr>
        <w:overflowPunct w:val="0"/>
        <w:spacing w:line="44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乙方根据甲方需求提供下列服务：</w:t>
      </w:r>
    </w:p>
    <w:p>
      <w:pPr>
        <w:overflowPunct w:val="0"/>
        <w:spacing w:line="440" w:lineRule="exact"/>
        <w:rPr>
          <w:rFonts w:hint="eastAsia" w:ascii="仿宋" w:hAnsi="仿宋" w:eastAsia="仿宋" w:cs="仿宋"/>
          <w:b/>
          <w:sz w:val="24"/>
          <w:szCs w:val="24"/>
          <w:highlight w:val="none"/>
        </w:rPr>
      </w:pPr>
      <w:r>
        <w:rPr>
          <w:rFonts w:hint="eastAsia" w:ascii="仿宋" w:hAnsi="仿宋" w:eastAsia="仿宋" w:cs="仿宋"/>
          <w:b/>
          <w:sz w:val="24"/>
          <w:szCs w:val="24"/>
          <w:highlight w:val="none"/>
        </w:rPr>
        <w:t>第二条：合同价格</w:t>
      </w:r>
    </w:p>
    <w:p>
      <w:pPr>
        <w:overflowPunct w:val="0"/>
        <w:spacing w:line="44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1、服务总价为人民币（大写）：元整。</w:t>
      </w:r>
    </w:p>
    <w:p>
      <w:pPr>
        <w:overflowPunct w:val="0"/>
        <w:spacing w:line="44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2、总价中包括服务金额等及税金。本合同价格一般不得做任何变更与调整。</w:t>
      </w:r>
    </w:p>
    <w:p>
      <w:pPr>
        <w:overflowPunct w:val="0"/>
        <w:spacing w:line="440" w:lineRule="exact"/>
        <w:rPr>
          <w:rFonts w:hint="eastAsia" w:ascii="仿宋" w:hAnsi="仿宋" w:eastAsia="仿宋" w:cs="仿宋"/>
          <w:b/>
          <w:sz w:val="24"/>
          <w:szCs w:val="24"/>
          <w:highlight w:val="none"/>
        </w:rPr>
      </w:pPr>
      <w:r>
        <w:rPr>
          <w:rFonts w:hint="eastAsia" w:ascii="仿宋" w:hAnsi="仿宋" w:eastAsia="仿宋" w:cs="仿宋"/>
          <w:b/>
          <w:sz w:val="24"/>
          <w:szCs w:val="24"/>
          <w:highlight w:val="none"/>
        </w:rPr>
        <w:t>第三条：付款方式</w:t>
      </w:r>
    </w:p>
    <w:p>
      <w:pPr>
        <w:overflowPunct w:val="0"/>
        <w:spacing w:line="44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1、甲乙双方确认的货款结算依据：投标文件、中标通知书，采购合同书，乙方开具的发票，甲方出具的验收结算书等。</w:t>
      </w:r>
    </w:p>
    <w:p>
      <w:pPr>
        <w:overflowPunct w:val="0"/>
        <w:spacing w:line="44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2、服务验收合格，甲方出具验收结算书后，甲方向乙方支付合同金额%，共计元，余款 个月无质量问题全部付清。</w:t>
      </w:r>
    </w:p>
    <w:p>
      <w:pPr>
        <w:overflowPunct w:val="0"/>
        <w:spacing w:line="440" w:lineRule="exact"/>
        <w:rPr>
          <w:rFonts w:hint="eastAsia" w:ascii="仿宋" w:hAnsi="仿宋" w:eastAsia="仿宋" w:cs="仿宋"/>
          <w:b/>
          <w:sz w:val="24"/>
          <w:szCs w:val="24"/>
          <w:highlight w:val="none"/>
        </w:rPr>
      </w:pPr>
      <w:r>
        <w:rPr>
          <w:rFonts w:hint="eastAsia" w:ascii="仿宋" w:hAnsi="仿宋" w:eastAsia="仿宋" w:cs="仿宋"/>
          <w:b/>
          <w:sz w:val="24"/>
          <w:szCs w:val="24"/>
          <w:highlight w:val="none"/>
        </w:rPr>
        <w:t>第四条：服务与验收</w:t>
      </w:r>
    </w:p>
    <w:p>
      <w:pPr>
        <w:overflowPunct w:val="0"/>
        <w:spacing w:line="44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1、服务地点： </w:t>
      </w:r>
    </w:p>
    <w:p>
      <w:pPr>
        <w:overflowPunct w:val="0"/>
        <w:spacing w:line="44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2、服务时间：年 月 日前</w:t>
      </w:r>
    </w:p>
    <w:p>
      <w:pPr>
        <w:overflowPunct w:val="0"/>
        <w:spacing w:line="440" w:lineRule="exact"/>
        <w:rPr>
          <w:rFonts w:hint="eastAsia" w:ascii="仿宋" w:hAnsi="仿宋" w:eastAsia="仿宋" w:cs="仿宋"/>
          <w:b/>
          <w:sz w:val="24"/>
          <w:szCs w:val="24"/>
          <w:highlight w:val="none"/>
        </w:rPr>
      </w:pPr>
      <w:r>
        <w:rPr>
          <w:rFonts w:hint="eastAsia" w:ascii="仿宋" w:hAnsi="仿宋" w:eastAsia="仿宋" w:cs="仿宋"/>
          <w:b/>
          <w:sz w:val="24"/>
          <w:szCs w:val="24"/>
          <w:highlight w:val="none"/>
        </w:rPr>
        <w:t>第五条：本合同的有效组成文件：</w:t>
      </w:r>
    </w:p>
    <w:p>
      <w:pPr>
        <w:overflowPunct w:val="0"/>
        <w:spacing w:line="44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1、投标文件。</w:t>
      </w:r>
    </w:p>
    <w:p>
      <w:pPr>
        <w:overflowPunct w:val="0"/>
        <w:spacing w:line="44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2、中标通知书。</w:t>
      </w:r>
    </w:p>
    <w:p>
      <w:pPr>
        <w:overflowPunct w:val="0"/>
        <w:spacing w:line="44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3、甲方出具的验货结算书。</w:t>
      </w:r>
    </w:p>
    <w:p>
      <w:pPr>
        <w:overflowPunct w:val="0"/>
        <w:spacing w:line="44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4、乙方所提供的其他承诺。</w:t>
      </w:r>
    </w:p>
    <w:p>
      <w:pPr>
        <w:overflowPunct w:val="0"/>
        <w:spacing w:line="440" w:lineRule="exact"/>
        <w:rPr>
          <w:rFonts w:hint="eastAsia" w:ascii="仿宋" w:hAnsi="仿宋" w:eastAsia="仿宋" w:cs="仿宋"/>
          <w:b/>
          <w:sz w:val="24"/>
          <w:szCs w:val="24"/>
          <w:highlight w:val="none"/>
        </w:rPr>
      </w:pPr>
      <w:r>
        <w:rPr>
          <w:rFonts w:hint="eastAsia" w:ascii="仿宋" w:hAnsi="仿宋" w:eastAsia="仿宋" w:cs="仿宋"/>
          <w:b/>
          <w:sz w:val="24"/>
          <w:szCs w:val="24"/>
          <w:highlight w:val="none"/>
        </w:rPr>
        <w:t>第六条：质量保证和售后服务：</w:t>
      </w:r>
    </w:p>
    <w:p>
      <w:pPr>
        <w:overflowPunct w:val="0"/>
        <w:spacing w:line="44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乙方应保证所提供的服务是全新、未使用过的原装合格正品，并完全符合国家标准和行业的相关标准。</w:t>
      </w:r>
    </w:p>
    <w:p>
      <w:pPr>
        <w:overflowPunct w:val="0"/>
        <w:spacing w:line="440" w:lineRule="exact"/>
        <w:rPr>
          <w:rFonts w:hint="eastAsia" w:ascii="仿宋" w:hAnsi="仿宋" w:eastAsia="仿宋" w:cs="仿宋"/>
          <w:b/>
          <w:sz w:val="24"/>
          <w:szCs w:val="24"/>
          <w:highlight w:val="none"/>
        </w:rPr>
      </w:pPr>
      <w:r>
        <w:rPr>
          <w:rFonts w:hint="eastAsia" w:ascii="仿宋" w:hAnsi="仿宋" w:eastAsia="仿宋" w:cs="仿宋"/>
          <w:b/>
          <w:sz w:val="24"/>
          <w:szCs w:val="24"/>
          <w:highlight w:val="none"/>
        </w:rPr>
        <w:t>第七条：违约责任：</w:t>
      </w:r>
    </w:p>
    <w:p>
      <w:pPr>
        <w:overflowPunct w:val="0"/>
        <w:spacing w:line="44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1、乙方不能按期按约交货或部分交货的，甲方有权不予支付乙方货款，</w:t>
      </w:r>
    </w:p>
    <w:p>
      <w:pPr>
        <w:overflowPunct w:val="0"/>
        <w:spacing w:line="44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并有权解除合同，乙方并应向甲方偿付相当于不能交货部分货款5%的违约金。</w:t>
      </w:r>
    </w:p>
    <w:p>
      <w:pPr>
        <w:overflowPunct w:val="0"/>
        <w:spacing w:line="44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2、乙方所提供货物品种、数量、质量不符合国家法律法规和本合同规定的，甲方有权拒收，由乙方负责包换或退货，并承担由此而支付的实际费用。</w:t>
      </w:r>
    </w:p>
    <w:p>
      <w:pPr>
        <w:overflowPunct w:val="0"/>
        <w:spacing w:line="44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3、乙方逾期交货的，按逾期缴货部分货款计算，向甲方偿付每日千分之五的违约金，并承担甲方因此所受的损失费用。</w:t>
      </w:r>
    </w:p>
    <w:p>
      <w:pPr>
        <w:overflowPunct w:val="0"/>
        <w:spacing w:line="44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4、乙方违反本合同相关约定的，除应当承担违约责任外，因乙方违约导致甲方产生其他相关损失的，乙方应当赔偿甲方因此产生的经济损失。</w:t>
      </w:r>
    </w:p>
    <w:p>
      <w:pPr>
        <w:overflowPunct w:val="0"/>
        <w:spacing w:line="44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5、甲方未按合同约定逾期付款的，应按照每日千分之五的比例向乙方偿付逾期货款的违约金。</w:t>
      </w:r>
    </w:p>
    <w:p>
      <w:pPr>
        <w:overflowPunct w:val="0"/>
        <w:spacing w:line="44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6、甲方违反本合同规定拒绝接货的，应当承担由此对乙方造成的损失。</w:t>
      </w:r>
    </w:p>
    <w:p>
      <w:pPr>
        <w:overflowPunct w:val="0"/>
        <w:spacing w:line="44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7、双方必须严格执行《中华人民共和国合同法》的有关违约责任规定。</w:t>
      </w:r>
    </w:p>
    <w:p>
      <w:pPr>
        <w:overflowPunct w:val="0"/>
        <w:spacing w:line="440" w:lineRule="exact"/>
        <w:rPr>
          <w:rFonts w:hint="eastAsia" w:ascii="仿宋" w:hAnsi="仿宋" w:eastAsia="仿宋" w:cs="仿宋"/>
          <w:b/>
          <w:sz w:val="24"/>
          <w:szCs w:val="24"/>
          <w:highlight w:val="none"/>
        </w:rPr>
      </w:pPr>
      <w:r>
        <w:rPr>
          <w:rFonts w:hint="eastAsia" w:ascii="仿宋" w:hAnsi="仿宋" w:eastAsia="仿宋" w:cs="仿宋"/>
          <w:b/>
          <w:sz w:val="24"/>
          <w:szCs w:val="24"/>
          <w:highlight w:val="none"/>
        </w:rPr>
        <w:t>第八条：不可抗力</w:t>
      </w:r>
    </w:p>
    <w:p>
      <w:pPr>
        <w:overflowPunct w:val="0"/>
        <w:spacing w:line="44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本合同生效后发生不可抗力的，发生不可抗力的一方应立即通知对方和乌鲁木齐水磨沟区财政局采购办，并在不可抗力发生之日起五天内提供不可抗力的详情及有关证明文件送交对方和乌鲁木齐水磨沟区财政局采购办。</w:t>
      </w:r>
    </w:p>
    <w:p>
      <w:pPr>
        <w:overflowPunct w:val="0"/>
        <w:spacing w:line="44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2、发生不可抗力事件时，双方应协商以寻找一个合理的解决方法，并尽一切努力减轻不可抗力产生的后果。如不可抗力影响双方合同正常执行的，双方应友好协商解决本合同是否继续履行或终止。</w:t>
      </w:r>
    </w:p>
    <w:p>
      <w:pPr>
        <w:overflowPunct w:val="0"/>
        <w:spacing w:line="44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3、一方因不可抗力不能按本合同约定履行的，可以减轻或免除一方的违约责任，一方不能证明不能按本合同约定履行是因不可抗力的，应当承担本合同约定的违约和赔偿责任。</w:t>
      </w:r>
    </w:p>
    <w:p>
      <w:pPr>
        <w:overflowPunct w:val="0"/>
        <w:spacing w:line="440" w:lineRule="exact"/>
        <w:rPr>
          <w:rFonts w:hint="eastAsia" w:ascii="仿宋" w:hAnsi="仿宋" w:eastAsia="仿宋" w:cs="仿宋"/>
          <w:b/>
          <w:sz w:val="24"/>
          <w:szCs w:val="24"/>
          <w:highlight w:val="none"/>
        </w:rPr>
      </w:pPr>
      <w:r>
        <w:rPr>
          <w:rFonts w:hint="eastAsia" w:ascii="仿宋" w:hAnsi="仿宋" w:eastAsia="仿宋" w:cs="仿宋"/>
          <w:b/>
          <w:sz w:val="24"/>
          <w:szCs w:val="24"/>
          <w:highlight w:val="none"/>
        </w:rPr>
        <w:t>第九条：合同的解除和变更</w:t>
      </w:r>
    </w:p>
    <w:p>
      <w:pPr>
        <w:overflowPunct w:val="0"/>
        <w:spacing w:line="44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当合同一方要求变更或解除合同时，在新协议未达成前，原合同仍然有效。要求变更的一方应及时书面通知对方乌鲁木齐水磨沟区财政局采购办，对方在接到通知15日内书面给予答复，逾期未答复则视为已同意。双方达成协议的，按新协议执行，并报政府采购办备案。</w:t>
      </w:r>
    </w:p>
    <w:p>
      <w:pPr>
        <w:overflowPunct w:val="0"/>
        <w:spacing w:line="440" w:lineRule="exact"/>
        <w:rPr>
          <w:rFonts w:hint="eastAsia" w:ascii="仿宋" w:hAnsi="仿宋" w:eastAsia="仿宋" w:cs="仿宋"/>
          <w:b/>
          <w:sz w:val="24"/>
          <w:szCs w:val="24"/>
          <w:highlight w:val="none"/>
        </w:rPr>
      </w:pPr>
      <w:r>
        <w:rPr>
          <w:rFonts w:hint="eastAsia" w:ascii="仿宋" w:hAnsi="仿宋" w:eastAsia="仿宋" w:cs="仿宋"/>
          <w:b/>
          <w:sz w:val="24"/>
          <w:szCs w:val="24"/>
          <w:highlight w:val="none"/>
        </w:rPr>
        <w:t>第十条：争议解决方式</w:t>
      </w:r>
    </w:p>
    <w:p>
      <w:pPr>
        <w:overflowPunct w:val="0"/>
        <w:spacing w:line="44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甲乙双方在合同执行中发生争议，由甲乙双方协商解决，协商解决不了的，甲乙双方均有权向乌鲁木齐水磨沟区财政局采购办投诉或向合同签署所在地人民法院提起诉讼。</w:t>
      </w:r>
    </w:p>
    <w:p>
      <w:pPr>
        <w:overflowPunct w:val="0"/>
        <w:spacing w:line="440" w:lineRule="exact"/>
        <w:rPr>
          <w:rFonts w:hint="eastAsia" w:ascii="仿宋" w:hAnsi="仿宋" w:eastAsia="仿宋" w:cs="仿宋"/>
          <w:b/>
          <w:sz w:val="24"/>
          <w:szCs w:val="24"/>
          <w:highlight w:val="none"/>
        </w:rPr>
      </w:pPr>
      <w:r>
        <w:rPr>
          <w:rFonts w:hint="eastAsia" w:ascii="仿宋" w:hAnsi="仿宋" w:eastAsia="仿宋" w:cs="仿宋"/>
          <w:b/>
          <w:sz w:val="24"/>
          <w:szCs w:val="24"/>
          <w:highlight w:val="none"/>
        </w:rPr>
        <w:t>第十一条：合同生效及其他</w:t>
      </w:r>
    </w:p>
    <w:p>
      <w:pPr>
        <w:overflowPunct w:val="0"/>
        <w:spacing w:line="44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1、本合同经甲乙双方盖章和代表签字日期，即为本合同生效日期。如双方盖章签字日期不一致时，以最后盖章签字方的盖章签字日期为合同的生效日期。</w:t>
      </w:r>
    </w:p>
    <w:p>
      <w:pPr>
        <w:overflowPunct w:val="0"/>
        <w:spacing w:line="44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2、本合同一式肆份，甲乙双方各执一份，政府采购办、招标代理公司各一套</w:t>
      </w:r>
    </w:p>
    <w:p>
      <w:pPr>
        <w:overflowPunct w:val="0"/>
        <w:spacing w:line="44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3、本合同的未尽事项，必要时由甲乙双方另订补充协议，经甲乙双方盖章和双方授权代表签字后与本合同具有同等法律效力，补充协议必须交乌鲁木齐水磨沟区财政局采购办备案。</w:t>
      </w:r>
    </w:p>
    <w:p>
      <w:pPr>
        <w:pStyle w:val="9"/>
        <w:rPr>
          <w:rFonts w:hint="eastAsia" w:ascii="仿宋" w:hAnsi="仿宋" w:eastAsia="仿宋" w:cs="仿宋"/>
          <w:sz w:val="24"/>
          <w:szCs w:val="24"/>
          <w:highlight w:val="none"/>
        </w:rPr>
      </w:pPr>
    </w:p>
    <w:p>
      <w:pPr>
        <w:rPr>
          <w:rFonts w:hint="eastAsia" w:ascii="仿宋" w:hAnsi="仿宋" w:eastAsia="仿宋" w:cs="仿宋"/>
          <w:sz w:val="24"/>
          <w:szCs w:val="24"/>
          <w:highlight w:val="none"/>
        </w:rPr>
      </w:pPr>
    </w:p>
    <w:p>
      <w:pPr>
        <w:pStyle w:val="9"/>
        <w:rPr>
          <w:rFonts w:hint="eastAsia" w:ascii="仿宋" w:hAnsi="仿宋" w:eastAsia="仿宋" w:cs="仿宋"/>
          <w:sz w:val="24"/>
          <w:szCs w:val="24"/>
          <w:highlight w:val="none"/>
        </w:rPr>
      </w:pPr>
    </w:p>
    <w:p>
      <w:pPr>
        <w:rPr>
          <w:rFonts w:hint="eastAsia"/>
          <w:highlight w:val="none"/>
        </w:rPr>
      </w:pPr>
    </w:p>
    <w:p>
      <w:pPr>
        <w:overflowPunct w:val="0"/>
        <w:spacing w:line="44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甲方：                                   乙方：</w:t>
      </w:r>
    </w:p>
    <w:p>
      <w:pPr>
        <w:overflowPunct w:val="0"/>
        <w:spacing w:line="44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w:t>
      </w:r>
    </w:p>
    <w:p>
      <w:pPr>
        <w:overflowPunct w:val="0"/>
        <w:spacing w:line="44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地址：                                        地址：            </w:t>
      </w:r>
    </w:p>
    <w:p>
      <w:pPr>
        <w:overflowPunct w:val="0"/>
        <w:spacing w:line="44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经办人：                                      经办人：         </w:t>
      </w:r>
    </w:p>
    <w:p>
      <w:pPr>
        <w:overflowPunct w:val="0"/>
        <w:spacing w:line="44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电话：                                        电话：                           </w:t>
      </w:r>
    </w:p>
    <w:p>
      <w:pPr>
        <w:overflowPunct w:val="0"/>
        <w:spacing w:line="44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20年</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月</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日                                 20年</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月</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 xml:space="preserve">日   </w:t>
      </w:r>
    </w:p>
    <w:p>
      <w:pPr>
        <w:spacing w:line="440" w:lineRule="exact"/>
        <w:rPr>
          <w:rFonts w:hint="eastAsia" w:ascii="仿宋" w:hAnsi="仿宋" w:eastAsia="仿宋" w:cs="仿宋"/>
          <w:b/>
          <w:sz w:val="24"/>
          <w:szCs w:val="24"/>
          <w:highlight w:val="none"/>
        </w:rPr>
      </w:pPr>
      <w:r>
        <w:rPr>
          <w:rFonts w:hint="eastAsia" w:ascii="仿宋" w:hAnsi="仿宋" w:eastAsia="仿宋" w:cs="仿宋"/>
          <w:b/>
          <w:sz w:val="24"/>
          <w:szCs w:val="24"/>
          <w:highlight w:val="none"/>
        </w:rPr>
        <w:t>注：最终合同以和甲方签订为准。</w:t>
      </w:r>
    </w:p>
    <w:p>
      <w:pPr>
        <w:numPr>
          <w:ilvl w:val="0"/>
          <w:numId w:val="10"/>
        </w:numPr>
        <w:rPr>
          <w:rFonts w:hint="eastAsia"/>
          <w:highlight w:val="none"/>
        </w:rPr>
        <w:sectPr>
          <w:headerReference r:id="rId4" w:type="default"/>
          <w:footerReference r:id="rId5" w:type="default"/>
          <w:pgSz w:w="11906" w:h="16838"/>
          <w:pgMar w:top="1418" w:right="1588" w:bottom="1418" w:left="1588" w:header="851" w:footer="992" w:gutter="0"/>
          <w:cols w:space="720" w:num="1"/>
          <w:docGrid w:type="lines" w:linePitch="312" w:charSpace="0"/>
        </w:sectPr>
      </w:pPr>
    </w:p>
    <w:p>
      <w:pPr>
        <w:rPr>
          <w:rFonts w:hint="eastAsia"/>
          <w:color w:val="auto"/>
          <w:highlight w:val="none"/>
        </w:rPr>
      </w:pPr>
    </w:p>
    <w:p>
      <w:pPr>
        <w:pStyle w:val="3"/>
        <w:numPr>
          <w:ilvl w:val="0"/>
          <w:numId w:val="11"/>
        </w:numPr>
        <w:bidi w:val="0"/>
        <w:rPr>
          <w:rFonts w:hint="eastAsia" w:ascii="仿宋" w:hAnsi="仿宋" w:eastAsia="仿宋" w:cs="仿宋"/>
          <w:color w:val="auto"/>
          <w:highlight w:val="none"/>
          <w:lang w:val="en-US" w:eastAsia="zh-CN"/>
        </w:rPr>
      </w:pPr>
      <w:bookmarkStart w:id="384" w:name="_Toc1434631445_WPSOffice_Level1"/>
      <w:r>
        <w:rPr>
          <w:rFonts w:hint="eastAsia" w:ascii="仿宋" w:hAnsi="仿宋" w:eastAsia="仿宋" w:cs="仿宋"/>
          <w:color w:val="auto"/>
          <w:highlight w:val="none"/>
          <w:lang w:val="en-US" w:eastAsia="zh-CN"/>
        </w:rPr>
        <w:t>项目概况</w:t>
      </w:r>
    </w:p>
    <w:p>
      <w:pPr>
        <w:pStyle w:val="5"/>
        <w:spacing w:before="0" w:after="0" w:line="360" w:lineRule="auto"/>
        <w:rPr>
          <w:rFonts w:ascii="仿宋" w:hAnsi="仿宋" w:eastAsia="仿宋" w:cs="仿宋"/>
          <w:sz w:val="24"/>
          <w:szCs w:val="24"/>
        </w:rPr>
      </w:pPr>
      <w:bookmarkStart w:id="385" w:name="_Toc462145316"/>
      <w:r>
        <w:rPr>
          <w:rFonts w:hint="eastAsia" w:ascii="仿宋" w:hAnsi="仿宋" w:eastAsia="仿宋" w:cs="仿宋"/>
          <w:sz w:val="24"/>
          <w:szCs w:val="24"/>
        </w:rPr>
        <w:t>一、</w:t>
      </w:r>
      <w:bookmarkEnd w:id="385"/>
      <w:r>
        <w:rPr>
          <w:rFonts w:hint="eastAsia" w:ascii="仿宋" w:hAnsi="仿宋" w:eastAsia="仿宋" w:cs="仿宋"/>
          <w:sz w:val="24"/>
          <w:szCs w:val="24"/>
        </w:rPr>
        <w:t>项目背景</w:t>
      </w:r>
    </w:p>
    <w:p>
      <w:pPr>
        <w:pStyle w:val="54"/>
        <w:ind w:firstLine="480"/>
        <w:rPr>
          <w:rFonts w:ascii="仿宋" w:hAnsi="仿宋" w:eastAsia="仿宋" w:cs="仿宋"/>
          <w:kern w:val="2"/>
          <w:szCs w:val="21"/>
        </w:rPr>
      </w:pPr>
      <w:r>
        <w:rPr>
          <w:rFonts w:hint="eastAsia" w:ascii="仿宋" w:hAnsi="仿宋" w:eastAsia="仿宋" w:cs="仿宋"/>
          <w:kern w:val="2"/>
          <w:szCs w:val="21"/>
        </w:rPr>
        <w:t>随着城镇现代化建设的加速发展，城市治安管理的日常防控和应对疫情防控等突发公共事件的安全防范压力愈来愈大。数字技防设施在公安部门中发挥着越来越重要的作用。采用高科技手段预防和制止犯罪或应对疫情防控采取流调已成为公安领域里的共识。</w:t>
      </w:r>
    </w:p>
    <w:p>
      <w:pPr>
        <w:pStyle w:val="55"/>
        <w:rPr>
          <w:rFonts w:ascii="仿宋" w:hAnsi="仿宋" w:eastAsia="仿宋" w:cs="仿宋"/>
        </w:rPr>
      </w:pPr>
      <w:r>
        <w:rPr>
          <w:rFonts w:hint="eastAsia" w:ascii="仿宋" w:hAnsi="仿宋" w:eastAsia="仿宋" w:cs="仿宋"/>
        </w:rPr>
        <w:t>根据自治区政府和水磨沟区政府相关文件要求，水区政法委按照“整体规划、分步实施，高标准、系统化、网络化”的原则，在水磨沟</w:t>
      </w:r>
      <w:r>
        <w:rPr>
          <w:rFonts w:ascii="仿宋" w:hAnsi="仿宋" w:eastAsia="仿宋" w:cs="仿宋"/>
        </w:rPr>
        <w:t>区选取重点区域</w:t>
      </w:r>
      <w:r>
        <w:rPr>
          <w:rFonts w:hint="eastAsia" w:ascii="仿宋" w:hAnsi="仿宋" w:eastAsia="仿宋" w:cs="仿宋"/>
        </w:rPr>
        <w:t>进行视频监控建设，安装高清摄像机，</w:t>
      </w:r>
      <w:r>
        <w:rPr>
          <w:rFonts w:ascii="仿宋" w:hAnsi="仿宋" w:eastAsia="仿宋" w:cs="仿宋"/>
        </w:rPr>
        <w:t>以建立、统计和分析该区域内进出人员和车辆信息，为后期大数据分析应用做基础。并能</w:t>
      </w:r>
      <w:r>
        <w:rPr>
          <w:rFonts w:hint="eastAsia" w:ascii="仿宋" w:hAnsi="仿宋" w:eastAsia="仿宋" w:cs="仿宋"/>
        </w:rPr>
        <w:t>保证能在发生重大事件时，迅速做出正确的判断，增强出警快速反应能力，为快速处置紧急事件、重大事故提供可靠依据。</w:t>
      </w:r>
    </w:p>
    <w:p>
      <w:pPr>
        <w:pStyle w:val="56"/>
        <w:ind w:firstLineChars="200"/>
        <w:rPr>
          <w:rFonts w:ascii="仿宋" w:hAnsi="仿宋" w:eastAsia="仿宋" w:cs="仿宋"/>
          <w:szCs w:val="21"/>
        </w:rPr>
      </w:pPr>
      <w:r>
        <w:rPr>
          <w:rFonts w:hint="eastAsia" w:ascii="仿宋" w:hAnsi="仿宋" w:eastAsia="仿宋" w:cs="仿宋"/>
          <w:szCs w:val="21"/>
        </w:rPr>
        <w:t>为深入开展水磨沟区2022年公共安全相关设备补点建设工作，完善水磨沟区新型社会治安防控体系和推进社会管理创新，扩大技防覆盖面，达到“全面控制、重点防范、快速反应、精确打击”的管理目标。水磨沟区将依据“全域覆盖、全网共享、全时可用、全程可控”的建设要求，按照“科学布局、分类设计、分步实施”的设计原则，统筹水磨沟区2022年公共安全相关设备补点建设工作，坚持面向基层、面向实战、面向应用，以规范技术应用为重点，以增强技术设施的实际应用效能为核心，通过技术集成，完善水磨沟区视频监控体系，强化信息资源联网整合，逐步拓宽应用领域，打造覆盖面广、资源共享、综合应用的“平安水区”新型社会智能化监控体系。</w:t>
      </w:r>
    </w:p>
    <w:p>
      <w:pPr>
        <w:pStyle w:val="49"/>
        <w:spacing w:before="0" w:beforeAutospacing="0" w:after="0" w:afterAutospacing="0" w:line="360" w:lineRule="auto"/>
        <w:ind w:firstLine="480" w:firstLineChars="200"/>
        <w:jc w:val="both"/>
        <w:rPr>
          <w:rFonts w:hint="eastAsia" w:ascii="仿宋" w:hAnsi="仿宋" w:eastAsia="仿宋" w:cs="仿宋"/>
          <w:kern w:val="2"/>
          <w:szCs w:val="21"/>
        </w:rPr>
      </w:pPr>
      <w:r>
        <w:rPr>
          <w:rFonts w:ascii="仿宋" w:hAnsi="仿宋" w:eastAsia="仿宋" w:cs="仿宋"/>
          <w:kern w:val="2"/>
          <w:szCs w:val="21"/>
        </w:rPr>
        <w:t>基于以上背景，</w:t>
      </w:r>
      <w:r>
        <w:rPr>
          <w:rFonts w:hint="eastAsia" w:ascii="仿宋" w:hAnsi="仿宋" w:eastAsia="仿宋" w:cs="仿宋"/>
          <w:kern w:val="2"/>
          <w:szCs w:val="21"/>
        </w:rPr>
        <w:t>水磨沟区将启动2022年公共安全相关设备补点建设项目。</w:t>
      </w:r>
    </w:p>
    <w:p>
      <w:pPr>
        <w:rPr>
          <w:rFonts w:hint="eastAsia"/>
        </w:rPr>
      </w:pPr>
    </w:p>
    <w:p>
      <w:pPr>
        <w:pStyle w:val="5"/>
        <w:spacing w:before="0" w:after="0" w:line="360" w:lineRule="auto"/>
        <w:rPr>
          <w:rFonts w:ascii="仿宋" w:hAnsi="仿宋" w:eastAsia="仿宋" w:cs="仿宋"/>
          <w:sz w:val="24"/>
          <w:szCs w:val="24"/>
        </w:rPr>
      </w:pPr>
      <w:bookmarkStart w:id="386" w:name="_Toc462145317"/>
      <w:bookmarkStart w:id="387" w:name="_Toc311818972"/>
      <w:r>
        <w:rPr>
          <w:rFonts w:hint="eastAsia" w:ascii="仿宋" w:hAnsi="仿宋" w:eastAsia="仿宋" w:cs="仿宋"/>
          <w:sz w:val="24"/>
          <w:szCs w:val="24"/>
        </w:rPr>
        <w:t>二、设计说明</w:t>
      </w:r>
      <w:bookmarkEnd w:id="386"/>
    </w:p>
    <w:p>
      <w:pPr>
        <w:spacing w:line="360" w:lineRule="auto"/>
        <w:ind w:firstLine="480" w:firstLineChars="200"/>
        <w:rPr>
          <w:rFonts w:hint="eastAsia" w:ascii="仿宋" w:hAnsi="仿宋" w:eastAsia="仿宋" w:cs="仿宋"/>
          <w:sz w:val="24"/>
          <w:szCs w:val="21"/>
        </w:rPr>
      </w:pPr>
      <w:r>
        <w:rPr>
          <w:rFonts w:hint="eastAsia" w:ascii="仿宋" w:hAnsi="仿宋" w:eastAsia="仿宋" w:cs="仿宋"/>
          <w:sz w:val="24"/>
          <w:szCs w:val="21"/>
        </w:rPr>
        <w:t>水磨沟区2022年公共安全相关设备补点建设项目</w:t>
      </w:r>
      <w:r>
        <w:rPr>
          <w:rFonts w:ascii="仿宋" w:hAnsi="仿宋" w:eastAsia="仿宋" w:cs="仿宋"/>
          <w:sz w:val="24"/>
          <w:szCs w:val="21"/>
        </w:rPr>
        <w:t>的</w:t>
      </w:r>
      <w:r>
        <w:rPr>
          <w:rFonts w:hint="eastAsia" w:ascii="仿宋" w:hAnsi="仿宋" w:eastAsia="仿宋" w:cs="仿宋"/>
          <w:sz w:val="24"/>
          <w:szCs w:val="21"/>
        </w:rPr>
        <w:t>设计要求</w:t>
      </w:r>
      <w:r>
        <w:rPr>
          <w:rFonts w:ascii="仿宋" w:hAnsi="仿宋" w:eastAsia="仿宋" w:cs="仿宋"/>
          <w:sz w:val="24"/>
          <w:szCs w:val="21"/>
        </w:rPr>
        <w:t>以“统一规划、统一标准、技术先进、突出应用、稳定可靠、资源共享、信息安全”为原则，确保</w:t>
      </w:r>
      <w:r>
        <w:rPr>
          <w:rFonts w:hint="eastAsia" w:ascii="仿宋" w:hAnsi="仿宋" w:eastAsia="仿宋" w:cs="仿宋"/>
          <w:sz w:val="24"/>
          <w:szCs w:val="21"/>
        </w:rPr>
        <w:t>建设项目</w:t>
      </w:r>
      <w:r>
        <w:rPr>
          <w:rFonts w:ascii="仿宋" w:hAnsi="仿宋" w:eastAsia="仿宋" w:cs="仿宋"/>
          <w:sz w:val="24"/>
          <w:szCs w:val="21"/>
        </w:rPr>
        <w:t>的设计</w:t>
      </w:r>
      <w:r>
        <w:rPr>
          <w:rFonts w:hint="eastAsia" w:ascii="仿宋" w:hAnsi="仿宋" w:eastAsia="仿宋" w:cs="仿宋"/>
          <w:sz w:val="24"/>
          <w:szCs w:val="21"/>
        </w:rPr>
        <w:t>满足疫情防控、社会治安和社区管理</w:t>
      </w:r>
      <w:r>
        <w:rPr>
          <w:rFonts w:ascii="仿宋" w:hAnsi="仿宋" w:eastAsia="仿宋" w:cs="仿宋"/>
          <w:sz w:val="24"/>
          <w:szCs w:val="21"/>
        </w:rPr>
        <w:t>的全局需求</w:t>
      </w:r>
      <w:r>
        <w:rPr>
          <w:rFonts w:hint="eastAsia" w:ascii="仿宋" w:hAnsi="仿宋" w:eastAsia="仿宋" w:cs="仿宋"/>
          <w:sz w:val="24"/>
          <w:szCs w:val="21"/>
        </w:rPr>
        <w:t>。</w:t>
      </w:r>
    </w:p>
    <w:p>
      <w:pPr>
        <w:spacing w:line="360" w:lineRule="auto"/>
        <w:ind w:firstLine="480" w:firstLineChars="200"/>
        <w:rPr>
          <w:rFonts w:hint="eastAsia" w:ascii="仿宋" w:hAnsi="仿宋" w:eastAsia="仿宋" w:cs="仿宋"/>
          <w:sz w:val="24"/>
          <w:szCs w:val="21"/>
        </w:rPr>
      </w:pPr>
      <w:r>
        <w:rPr>
          <w:rFonts w:hint="eastAsia" w:ascii="仿宋" w:hAnsi="仿宋" w:eastAsia="仿宋" w:cs="仿宋"/>
          <w:sz w:val="24"/>
          <w:szCs w:val="21"/>
        </w:rPr>
        <w:t>水磨沟区2022年公共安全相关设备补点建设项目的设计</w:t>
      </w:r>
      <w:r>
        <w:rPr>
          <w:rFonts w:ascii="仿宋" w:hAnsi="仿宋" w:eastAsia="仿宋" w:cs="仿宋"/>
          <w:sz w:val="24"/>
          <w:szCs w:val="21"/>
        </w:rPr>
        <w:t>，在</w:t>
      </w:r>
      <w:r>
        <w:rPr>
          <w:rFonts w:hint="eastAsia" w:ascii="仿宋" w:hAnsi="仿宋" w:eastAsia="仿宋" w:cs="仿宋"/>
          <w:sz w:val="24"/>
          <w:szCs w:val="21"/>
        </w:rPr>
        <w:t>满足GB/T28181-2016</w:t>
      </w:r>
      <w:r>
        <w:rPr>
          <w:rFonts w:ascii="仿宋" w:hAnsi="仿宋" w:eastAsia="仿宋" w:cs="仿宋"/>
          <w:sz w:val="24"/>
          <w:szCs w:val="21"/>
        </w:rPr>
        <w:t>《安全防范视频监控联网系统信息传输、交换、控制技术要求》</w:t>
      </w:r>
      <w:r>
        <w:rPr>
          <w:rFonts w:hint="eastAsia" w:ascii="仿宋" w:hAnsi="仿宋" w:eastAsia="仿宋" w:cs="仿宋"/>
          <w:sz w:val="24"/>
          <w:szCs w:val="21"/>
        </w:rPr>
        <w:t>新标准的基础上</w:t>
      </w:r>
      <w:r>
        <w:rPr>
          <w:rFonts w:ascii="仿宋" w:hAnsi="仿宋" w:eastAsia="仿宋" w:cs="仿宋"/>
          <w:sz w:val="24"/>
          <w:szCs w:val="21"/>
        </w:rPr>
        <w:t>，采用先进的技术手段和系统架构，在同一的标准框架下实现统一部署、资源共享，提高相关单位的</w:t>
      </w:r>
      <w:r>
        <w:rPr>
          <w:rFonts w:hint="eastAsia" w:ascii="仿宋" w:hAnsi="仿宋" w:eastAsia="仿宋" w:cs="仿宋"/>
          <w:sz w:val="24"/>
          <w:szCs w:val="21"/>
        </w:rPr>
        <w:t>应急</w:t>
      </w:r>
      <w:r>
        <w:rPr>
          <w:rFonts w:ascii="仿宋" w:hAnsi="仿宋" w:eastAsia="仿宋" w:cs="仿宋"/>
          <w:sz w:val="24"/>
          <w:szCs w:val="21"/>
        </w:rPr>
        <w:t>管理水平和运行效率，增强应对突发事件的应急能力</w:t>
      </w:r>
      <w:r>
        <w:rPr>
          <w:rFonts w:hint="eastAsia" w:ascii="仿宋" w:hAnsi="仿宋" w:eastAsia="仿宋" w:cs="仿宋"/>
          <w:sz w:val="24"/>
          <w:szCs w:val="21"/>
        </w:rPr>
        <w:t>。</w:t>
      </w:r>
    </w:p>
    <w:p>
      <w:pPr>
        <w:rPr>
          <w:rFonts w:hint="eastAsia"/>
        </w:rPr>
      </w:pPr>
    </w:p>
    <w:bookmarkEnd w:id="387"/>
    <w:p>
      <w:pPr>
        <w:pStyle w:val="5"/>
        <w:spacing w:before="0" w:after="0" w:line="360" w:lineRule="auto"/>
        <w:rPr>
          <w:rFonts w:ascii="仿宋" w:hAnsi="仿宋" w:eastAsia="仿宋" w:cs="仿宋"/>
          <w:sz w:val="24"/>
          <w:szCs w:val="24"/>
        </w:rPr>
      </w:pPr>
      <w:bookmarkStart w:id="388" w:name="_Toc462145318"/>
      <w:bookmarkStart w:id="389" w:name="_Toc311818973"/>
      <w:r>
        <w:rPr>
          <w:rFonts w:hint="eastAsia" w:ascii="仿宋" w:hAnsi="仿宋" w:eastAsia="仿宋" w:cs="仿宋"/>
          <w:sz w:val="24"/>
          <w:szCs w:val="24"/>
        </w:rPr>
        <w:t>三、建设依据</w:t>
      </w:r>
      <w:bookmarkEnd w:id="388"/>
    </w:p>
    <w:bookmarkEnd w:id="389"/>
    <w:p>
      <w:pPr>
        <w:pStyle w:val="9"/>
        <w:spacing w:line="360" w:lineRule="auto"/>
        <w:ind w:firstLine="480" w:firstLineChars="200"/>
        <w:rPr>
          <w:rFonts w:ascii="仿宋" w:hAnsi="仿宋" w:eastAsia="仿宋" w:cs="仿宋"/>
          <w:sz w:val="24"/>
        </w:rPr>
      </w:pPr>
      <w:r>
        <w:rPr>
          <w:rFonts w:hint="eastAsia" w:ascii="仿宋" w:hAnsi="仿宋" w:eastAsia="仿宋" w:cs="仿宋"/>
          <w:sz w:val="24"/>
        </w:rPr>
        <w:t>设计依据国家、公安部颁布的相关规范和要求，主要参考标准如下：</w:t>
      </w:r>
    </w:p>
    <w:p>
      <w:pPr>
        <w:numPr>
          <w:ilvl w:val="0"/>
          <w:numId w:val="12"/>
        </w:numPr>
        <w:spacing w:line="360" w:lineRule="auto"/>
        <w:ind w:left="720" w:hanging="720" w:hangingChars="300"/>
        <w:rPr>
          <w:rFonts w:ascii="仿宋" w:hAnsi="仿宋" w:eastAsia="仿宋" w:cs="仿宋"/>
          <w:sz w:val="24"/>
        </w:rPr>
      </w:pPr>
      <w:r>
        <w:rPr>
          <w:rFonts w:hint="eastAsia" w:ascii="仿宋" w:hAnsi="仿宋" w:eastAsia="仿宋" w:cs="仿宋"/>
          <w:sz w:val="24"/>
        </w:rPr>
        <w:t xml:space="preserve">GB/T28181-2016  安全防范视频监控联网系统信息传输、交换、控制技术要求 </w:t>
      </w:r>
    </w:p>
    <w:p>
      <w:pPr>
        <w:numPr>
          <w:ilvl w:val="0"/>
          <w:numId w:val="12"/>
        </w:numPr>
        <w:spacing w:line="360" w:lineRule="auto"/>
        <w:ind w:left="720" w:hanging="720" w:hangingChars="300"/>
        <w:rPr>
          <w:rFonts w:ascii="仿宋" w:hAnsi="仿宋" w:eastAsia="仿宋" w:cs="仿宋"/>
          <w:sz w:val="24"/>
        </w:rPr>
      </w:pPr>
      <w:r>
        <w:rPr>
          <w:rFonts w:hint="eastAsia" w:ascii="仿宋" w:hAnsi="仿宋" w:eastAsia="仿宋" w:cs="仿宋"/>
          <w:sz w:val="24"/>
        </w:rPr>
        <w:t>GB 50348-2014   安全防范工程技术规范</w:t>
      </w:r>
    </w:p>
    <w:p>
      <w:pPr>
        <w:numPr>
          <w:ilvl w:val="0"/>
          <w:numId w:val="12"/>
        </w:numPr>
        <w:spacing w:line="360" w:lineRule="auto"/>
        <w:ind w:left="720" w:hanging="720" w:hangingChars="300"/>
        <w:rPr>
          <w:rFonts w:ascii="仿宋" w:hAnsi="仿宋" w:eastAsia="仿宋" w:cs="仿宋"/>
          <w:sz w:val="24"/>
        </w:rPr>
      </w:pPr>
      <w:r>
        <w:rPr>
          <w:rFonts w:hint="eastAsia" w:ascii="仿宋" w:hAnsi="仿宋" w:eastAsia="仿宋" w:cs="仿宋"/>
          <w:sz w:val="24"/>
        </w:rPr>
        <w:t>GB 50395-2015   视频安防监控系统工程设计规范</w:t>
      </w:r>
    </w:p>
    <w:p>
      <w:pPr>
        <w:numPr>
          <w:ilvl w:val="0"/>
          <w:numId w:val="12"/>
        </w:numPr>
        <w:spacing w:line="360" w:lineRule="auto"/>
        <w:ind w:left="720" w:hanging="720" w:hangingChars="300"/>
        <w:rPr>
          <w:rFonts w:ascii="仿宋" w:hAnsi="仿宋" w:eastAsia="仿宋" w:cs="仿宋"/>
          <w:sz w:val="24"/>
        </w:rPr>
      </w:pPr>
      <w:r>
        <w:rPr>
          <w:rFonts w:hint="eastAsia" w:ascii="仿宋" w:hAnsi="仿宋" w:eastAsia="仿宋" w:cs="仿宋"/>
          <w:sz w:val="24"/>
        </w:rPr>
        <w:t>GB/T 31488-2015 安全防范视频监控人脸识别系统技术要求</w:t>
      </w:r>
    </w:p>
    <w:p>
      <w:pPr>
        <w:numPr>
          <w:ilvl w:val="0"/>
          <w:numId w:val="12"/>
        </w:numPr>
        <w:spacing w:line="360" w:lineRule="auto"/>
        <w:ind w:left="720" w:hanging="720" w:hangingChars="300"/>
        <w:rPr>
          <w:rFonts w:ascii="仿宋" w:hAnsi="仿宋" w:eastAsia="仿宋" w:cs="仿宋"/>
          <w:sz w:val="24"/>
        </w:rPr>
      </w:pPr>
      <w:r>
        <w:rPr>
          <w:rFonts w:hint="eastAsia" w:ascii="仿宋" w:hAnsi="仿宋" w:eastAsia="仿宋" w:cs="仿宋"/>
          <w:sz w:val="24"/>
        </w:rPr>
        <w:t>GB 50198-2011   民用闭路监视电视系统工程技术规范</w:t>
      </w:r>
    </w:p>
    <w:p>
      <w:pPr>
        <w:numPr>
          <w:ilvl w:val="0"/>
          <w:numId w:val="12"/>
        </w:numPr>
        <w:spacing w:line="360" w:lineRule="auto"/>
        <w:ind w:left="720" w:hanging="720" w:hangingChars="300"/>
        <w:rPr>
          <w:rFonts w:ascii="仿宋" w:hAnsi="仿宋" w:eastAsia="仿宋" w:cs="仿宋"/>
          <w:sz w:val="24"/>
        </w:rPr>
      </w:pPr>
      <w:r>
        <w:rPr>
          <w:rFonts w:hint="eastAsia" w:ascii="仿宋" w:hAnsi="仿宋" w:eastAsia="仿宋" w:cs="仿宋"/>
          <w:sz w:val="24"/>
        </w:rPr>
        <w:t>GB/T2887-2011</w:t>
      </w:r>
      <w:r>
        <w:rPr>
          <w:rFonts w:hint="eastAsia" w:ascii="仿宋" w:hAnsi="仿宋" w:eastAsia="仿宋" w:cs="仿宋"/>
          <w:sz w:val="24"/>
        </w:rPr>
        <w:tab/>
      </w:r>
      <w:r>
        <w:rPr>
          <w:rFonts w:hint="eastAsia" w:ascii="仿宋" w:hAnsi="仿宋" w:eastAsia="仿宋" w:cs="仿宋"/>
          <w:sz w:val="24"/>
        </w:rPr>
        <w:t xml:space="preserve">  电子计算机场地通用规范</w:t>
      </w:r>
    </w:p>
    <w:p>
      <w:pPr>
        <w:numPr>
          <w:ilvl w:val="0"/>
          <w:numId w:val="12"/>
        </w:numPr>
        <w:spacing w:line="360" w:lineRule="auto"/>
        <w:ind w:left="720" w:hanging="720" w:hangingChars="300"/>
        <w:rPr>
          <w:rFonts w:ascii="仿宋" w:hAnsi="仿宋" w:eastAsia="仿宋" w:cs="仿宋"/>
        </w:rPr>
      </w:pPr>
      <w:r>
        <w:rPr>
          <w:rFonts w:hint="eastAsia" w:ascii="仿宋" w:hAnsi="仿宋" w:eastAsia="仿宋" w:cs="仿宋"/>
          <w:sz w:val="24"/>
        </w:rPr>
        <w:t>GB 50174-2017   数据中心设计规范</w:t>
      </w:r>
    </w:p>
    <w:p>
      <w:pPr>
        <w:numPr>
          <w:ilvl w:val="0"/>
          <w:numId w:val="12"/>
        </w:numPr>
        <w:spacing w:line="360" w:lineRule="auto"/>
        <w:ind w:left="720" w:hanging="720" w:hangingChars="300"/>
        <w:rPr>
          <w:rFonts w:ascii="仿宋" w:hAnsi="仿宋" w:eastAsia="仿宋" w:cs="仿宋"/>
          <w:sz w:val="24"/>
        </w:rPr>
      </w:pPr>
      <w:r>
        <w:rPr>
          <w:rFonts w:hint="eastAsia" w:ascii="仿宋" w:hAnsi="仿宋" w:eastAsia="仿宋" w:cs="仿宋"/>
          <w:sz w:val="24"/>
        </w:rPr>
        <w:t>GA/T 367-2001</w:t>
      </w:r>
      <w:r>
        <w:rPr>
          <w:rFonts w:hint="eastAsia" w:ascii="仿宋" w:hAnsi="仿宋" w:eastAsia="仿宋" w:cs="仿宋"/>
          <w:sz w:val="24"/>
        </w:rPr>
        <w:tab/>
      </w:r>
      <w:r>
        <w:rPr>
          <w:rFonts w:hint="eastAsia" w:ascii="仿宋" w:hAnsi="仿宋" w:eastAsia="仿宋" w:cs="仿宋"/>
          <w:sz w:val="24"/>
        </w:rPr>
        <w:t xml:space="preserve">  视频安防监控系统技术要求</w:t>
      </w:r>
    </w:p>
    <w:p>
      <w:pPr>
        <w:numPr>
          <w:ilvl w:val="0"/>
          <w:numId w:val="12"/>
        </w:numPr>
        <w:spacing w:line="360" w:lineRule="auto"/>
        <w:ind w:left="720" w:hanging="720" w:hangingChars="300"/>
        <w:rPr>
          <w:rFonts w:ascii="仿宋" w:hAnsi="仿宋" w:eastAsia="仿宋" w:cs="仿宋"/>
          <w:sz w:val="24"/>
        </w:rPr>
      </w:pPr>
      <w:r>
        <w:rPr>
          <w:rFonts w:hint="eastAsia" w:ascii="仿宋" w:hAnsi="仿宋" w:eastAsia="仿宋" w:cs="仿宋"/>
          <w:sz w:val="24"/>
        </w:rPr>
        <w:t>GA/T70-2004</w:t>
      </w:r>
      <w:r>
        <w:rPr>
          <w:rFonts w:hint="eastAsia" w:ascii="仿宋" w:hAnsi="仿宋" w:eastAsia="仿宋" w:cs="仿宋"/>
          <w:sz w:val="24"/>
        </w:rPr>
        <w:tab/>
      </w:r>
      <w:r>
        <w:rPr>
          <w:rFonts w:hint="eastAsia" w:ascii="仿宋" w:hAnsi="仿宋" w:eastAsia="仿宋" w:cs="仿宋"/>
          <w:sz w:val="24"/>
        </w:rPr>
        <w:t xml:space="preserve">  安全防范工程费用预算编制办法</w:t>
      </w:r>
    </w:p>
    <w:p>
      <w:pPr>
        <w:numPr>
          <w:ilvl w:val="0"/>
          <w:numId w:val="12"/>
        </w:numPr>
        <w:spacing w:line="360" w:lineRule="auto"/>
        <w:ind w:left="720" w:hanging="720" w:hangingChars="300"/>
        <w:rPr>
          <w:rFonts w:ascii="仿宋" w:hAnsi="仿宋" w:eastAsia="仿宋" w:cs="仿宋"/>
          <w:sz w:val="24"/>
        </w:rPr>
      </w:pPr>
      <w:r>
        <w:rPr>
          <w:rFonts w:hint="eastAsia" w:ascii="仿宋" w:hAnsi="仿宋" w:eastAsia="仿宋" w:cs="仿宋"/>
          <w:sz w:val="24"/>
        </w:rPr>
        <w:t>GA/T75-1994</w:t>
      </w:r>
      <w:r>
        <w:rPr>
          <w:rFonts w:hint="eastAsia" w:ascii="仿宋" w:hAnsi="仿宋" w:eastAsia="仿宋" w:cs="仿宋"/>
          <w:sz w:val="24"/>
        </w:rPr>
        <w:tab/>
      </w:r>
      <w:r>
        <w:rPr>
          <w:rFonts w:hint="eastAsia" w:ascii="仿宋" w:hAnsi="仿宋" w:eastAsia="仿宋" w:cs="仿宋"/>
          <w:sz w:val="24"/>
        </w:rPr>
        <w:t xml:space="preserve">  安全防范工程程序与要求</w:t>
      </w:r>
      <w:r>
        <w:rPr>
          <w:rFonts w:hint="eastAsia" w:ascii="仿宋" w:hAnsi="仿宋" w:eastAsia="仿宋" w:cs="仿宋"/>
          <w:sz w:val="24"/>
        </w:rPr>
        <w:tab/>
      </w:r>
    </w:p>
    <w:p>
      <w:pPr>
        <w:numPr>
          <w:ilvl w:val="0"/>
          <w:numId w:val="12"/>
        </w:numPr>
        <w:spacing w:line="360" w:lineRule="auto"/>
        <w:ind w:left="720" w:hanging="720" w:hangingChars="300"/>
        <w:rPr>
          <w:rFonts w:ascii="仿宋" w:hAnsi="仿宋" w:eastAsia="仿宋" w:cs="仿宋"/>
          <w:sz w:val="24"/>
        </w:rPr>
      </w:pPr>
      <w:r>
        <w:rPr>
          <w:rFonts w:hint="eastAsia" w:ascii="仿宋" w:hAnsi="仿宋" w:eastAsia="仿宋" w:cs="仿宋"/>
          <w:sz w:val="24"/>
        </w:rPr>
        <w:t>GA/T550-2005</w:t>
      </w:r>
      <w:r>
        <w:rPr>
          <w:rFonts w:hint="eastAsia" w:ascii="仿宋" w:hAnsi="仿宋" w:eastAsia="仿宋" w:cs="仿宋"/>
          <w:sz w:val="24"/>
        </w:rPr>
        <w:tab/>
      </w:r>
      <w:r>
        <w:rPr>
          <w:rFonts w:hint="eastAsia" w:ascii="仿宋" w:hAnsi="仿宋" w:eastAsia="仿宋" w:cs="仿宋"/>
          <w:sz w:val="24"/>
        </w:rPr>
        <w:t xml:space="preserve">  安全技术防范管理信息代码</w:t>
      </w:r>
    </w:p>
    <w:p>
      <w:pPr>
        <w:numPr>
          <w:ilvl w:val="0"/>
          <w:numId w:val="12"/>
        </w:numPr>
        <w:spacing w:line="360" w:lineRule="auto"/>
        <w:ind w:left="720" w:hanging="720" w:hangingChars="300"/>
        <w:rPr>
          <w:rFonts w:ascii="仿宋" w:hAnsi="仿宋" w:eastAsia="仿宋" w:cs="仿宋"/>
          <w:sz w:val="24"/>
        </w:rPr>
      </w:pPr>
      <w:r>
        <w:rPr>
          <w:rFonts w:hint="eastAsia" w:ascii="仿宋" w:hAnsi="仿宋" w:eastAsia="仿宋" w:cs="仿宋"/>
          <w:sz w:val="24"/>
        </w:rPr>
        <w:t>GA/T551</w:t>
      </w:r>
      <w:r>
        <w:rPr>
          <w:rFonts w:hint="eastAsia" w:ascii="仿宋" w:hAnsi="仿宋" w:eastAsia="仿宋" w:cs="仿宋"/>
          <w:sz w:val="24"/>
        </w:rPr>
        <w:tab/>
      </w:r>
      <w:r>
        <w:rPr>
          <w:rFonts w:hint="eastAsia" w:ascii="仿宋" w:hAnsi="仿宋" w:eastAsia="仿宋" w:cs="仿宋"/>
          <w:sz w:val="24"/>
        </w:rPr>
        <w:tab/>
      </w:r>
      <w:r>
        <w:rPr>
          <w:rFonts w:hint="eastAsia" w:ascii="仿宋" w:hAnsi="仿宋" w:eastAsia="仿宋" w:cs="仿宋"/>
          <w:sz w:val="24"/>
        </w:rPr>
        <w:t xml:space="preserve">  安全技术防范管理信息基本数据结构</w:t>
      </w:r>
    </w:p>
    <w:p>
      <w:pPr>
        <w:numPr>
          <w:ilvl w:val="0"/>
          <w:numId w:val="12"/>
        </w:numPr>
        <w:spacing w:line="360" w:lineRule="auto"/>
        <w:ind w:left="720" w:hanging="720" w:hangingChars="300"/>
        <w:rPr>
          <w:rFonts w:ascii="仿宋" w:hAnsi="仿宋" w:eastAsia="仿宋" w:cs="仿宋"/>
          <w:sz w:val="24"/>
        </w:rPr>
      </w:pPr>
      <w:r>
        <w:rPr>
          <w:rFonts w:hint="eastAsia" w:ascii="仿宋" w:hAnsi="仿宋" w:eastAsia="仿宋" w:cs="仿宋"/>
          <w:sz w:val="24"/>
        </w:rPr>
        <w:t>GA308-2001</w:t>
      </w:r>
      <w:r>
        <w:rPr>
          <w:rFonts w:hint="eastAsia" w:ascii="仿宋" w:hAnsi="仿宋" w:eastAsia="仿宋" w:cs="仿宋"/>
          <w:sz w:val="24"/>
        </w:rPr>
        <w:tab/>
      </w:r>
      <w:r>
        <w:rPr>
          <w:rFonts w:hint="eastAsia" w:ascii="仿宋" w:hAnsi="仿宋" w:eastAsia="仿宋" w:cs="仿宋"/>
          <w:sz w:val="24"/>
        </w:rPr>
        <w:t xml:space="preserve">  安全防范系统验收规则</w:t>
      </w:r>
    </w:p>
    <w:p>
      <w:pPr>
        <w:numPr>
          <w:ilvl w:val="0"/>
          <w:numId w:val="12"/>
        </w:numPr>
        <w:spacing w:line="360" w:lineRule="auto"/>
        <w:ind w:left="720" w:hanging="720" w:hangingChars="300"/>
        <w:rPr>
          <w:rFonts w:ascii="仿宋" w:hAnsi="仿宋" w:eastAsia="仿宋" w:cs="仿宋"/>
          <w:sz w:val="24"/>
        </w:rPr>
      </w:pPr>
      <w:r>
        <w:rPr>
          <w:rFonts w:hint="eastAsia" w:ascii="仿宋" w:hAnsi="仿宋" w:eastAsia="仿宋" w:cs="仿宋"/>
          <w:sz w:val="24"/>
        </w:rPr>
        <w:t>GA/T669-2008   城市监控报警联网系统通用技术要求</w:t>
      </w:r>
    </w:p>
    <w:p>
      <w:pPr>
        <w:pStyle w:val="5"/>
        <w:spacing w:before="0" w:after="0" w:line="360" w:lineRule="auto"/>
        <w:rPr>
          <w:rFonts w:ascii="仿宋" w:hAnsi="仿宋" w:eastAsia="仿宋" w:cs="仿宋"/>
          <w:sz w:val="24"/>
          <w:szCs w:val="24"/>
        </w:rPr>
      </w:pPr>
      <w:bookmarkStart w:id="390" w:name="_Toc311818974"/>
      <w:bookmarkStart w:id="391" w:name="_Toc462145319"/>
      <w:r>
        <w:rPr>
          <w:rFonts w:hint="eastAsia" w:ascii="仿宋" w:hAnsi="仿宋" w:eastAsia="仿宋" w:cs="仿宋"/>
          <w:sz w:val="24"/>
          <w:szCs w:val="24"/>
        </w:rPr>
        <w:t>四、建设原则</w:t>
      </w:r>
      <w:bookmarkEnd w:id="390"/>
      <w:bookmarkEnd w:id="391"/>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水磨沟区2022年公共安全相关设备补点建设项目</w:t>
      </w:r>
      <w:r>
        <w:rPr>
          <w:rFonts w:ascii="仿宋" w:hAnsi="仿宋" w:eastAsia="仿宋" w:cs="仿宋"/>
          <w:sz w:val="24"/>
        </w:rPr>
        <w:t>的</w:t>
      </w:r>
      <w:r>
        <w:rPr>
          <w:rFonts w:hint="eastAsia" w:ascii="仿宋" w:hAnsi="仿宋" w:eastAsia="仿宋" w:cs="仿宋"/>
          <w:sz w:val="24"/>
        </w:rPr>
        <w:t>建设以“实用、可靠、先进、经济”为指导思想和基本原则。</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标准化：为了便于管理、维护和扩充，系统所采用的设备及技术必须符合国际通用标准，采用统一的系统标准和通信协议，使系统前端与管理平台之间互联互控，充分发挥整个系统的功能。</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先进性：系统采用包括先进的传输技术、图像压缩编码技术、存储技术、控制技术在内的先进技术，所采用的设备与技术是成熟的且符合技术发展方向，能适应以后发展，并能够方便地升级，以保证前期投资地长期效益。</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开放性：系统有良好的开放性和兼容性，可扩展性好，不仅系统规模和功能易于扩充，而且具有尽可能好的互操作性、可移植性，以满足信息化系统发展的需求。</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可靠性：组网设备按工业级标准选配，使用具有系统易于维护，能全天候长期稳定可靠运行，具有高可靠性。</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安全性：系统具有安全防范和保密措施，防止非法侵入系统及非法操作，不易受黑客攻击和病毒感染，具有很高安全性。</w:t>
      </w:r>
    </w:p>
    <w:p>
      <w:pPr>
        <w:ind w:firstLine="480" w:firstLineChars="200"/>
        <w:rPr>
          <w:rFonts w:hint="eastAsia" w:ascii="仿宋" w:hAnsi="仿宋" w:eastAsia="仿宋" w:cs="仿宋"/>
          <w:sz w:val="24"/>
        </w:rPr>
      </w:pPr>
      <w:r>
        <w:rPr>
          <w:rFonts w:hint="eastAsia" w:ascii="仿宋" w:hAnsi="仿宋" w:eastAsia="仿宋" w:cs="仿宋"/>
          <w:sz w:val="24"/>
        </w:rPr>
        <w:t>实用性和可扩充性：充分考虑目前需要及将来的长远利益。优先满足监控系统的基本要求，又要充分考虑今后的发展需要，充分保护现有的投资，而且具有较高的性价比。</w:t>
      </w:r>
    </w:p>
    <w:p>
      <w:pPr>
        <w:rPr>
          <w:rFonts w:hint="eastAsia" w:ascii="仿宋" w:hAnsi="仿宋" w:eastAsia="仿宋" w:cs="仿宋"/>
          <w:sz w:val="24"/>
        </w:rPr>
      </w:pPr>
      <w:r>
        <w:rPr>
          <w:rFonts w:hint="eastAsia" w:ascii="仿宋" w:hAnsi="仿宋" w:eastAsia="仿宋" w:cs="仿宋"/>
          <w:sz w:val="24"/>
        </w:rPr>
        <w:br w:type="page"/>
      </w:r>
    </w:p>
    <w:p>
      <w:pPr>
        <w:pStyle w:val="2"/>
      </w:pPr>
    </w:p>
    <w:p>
      <w:pPr>
        <w:pStyle w:val="3"/>
        <w:numPr>
          <w:ilvl w:val="0"/>
          <w:numId w:val="11"/>
        </w:numPr>
        <w:bidi w:val="0"/>
        <w:rPr>
          <w:rFonts w:hint="eastAsia" w:ascii="仿宋" w:hAnsi="仿宋" w:eastAsia="仿宋" w:cs="仿宋"/>
          <w:b/>
          <w:bCs/>
          <w:color w:val="auto"/>
          <w:sz w:val="32"/>
          <w:szCs w:val="32"/>
          <w:highlight w:val="none"/>
          <w:lang w:val="en-US" w:eastAsia="zh-Hans"/>
        </w:rPr>
      </w:pPr>
      <w:r>
        <w:rPr>
          <w:rFonts w:hint="eastAsia" w:ascii="仿宋" w:hAnsi="仿宋" w:eastAsia="仿宋" w:cs="仿宋"/>
          <w:color w:val="auto"/>
          <w:highlight w:val="none"/>
          <w:lang w:val="en-US" w:eastAsia="zh-Hans"/>
        </w:rPr>
        <w:t>采购需求</w:t>
      </w:r>
      <w:bookmarkEnd w:id="384"/>
    </w:p>
    <w:p>
      <w:pPr>
        <w:adjustRightInd w:val="0"/>
        <w:snapToGrid w:val="0"/>
        <w:spacing w:line="360" w:lineRule="auto"/>
        <w:ind w:firstLine="482" w:firstLineChars="200"/>
        <w:rPr>
          <w:rFonts w:ascii="仿宋" w:hAnsi="仿宋" w:eastAsia="仿宋" w:cs="仿宋"/>
          <w:b/>
          <w:bCs/>
          <w:sz w:val="24"/>
        </w:rPr>
      </w:pPr>
      <w:bookmarkStart w:id="392" w:name="_Toc2051791246_WPSOffice_Level1"/>
      <w:r>
        <w:rPr>
          <w:rFonts w:hint="eastAsia" w:ascii="仿宋" w:hAnsi="仿宋" w:eastAsia="仿宋" w:cs="仿宋"/>
          <w:b/>
          <w:bCs/>
          <w:sz w:val="24"/>
        </w:rPr>
        <w:t>1、交货地点：</w:t>
      </w:r>
      <w:r>
        <w:rPr>
          <w:rFonts w:hint="eastAsia" w:ascii="仿宋" w:hAnsi="仿宋" w:eastAsia="仿宋" w:cs="仿宋"/>
          <w:b/>
          <w:bCs/>
          <w:sz w:val="24"/>
          <w:lang w:eastAsia="zh-Hans"/>
        </w:rPr>
        <w:t>按甲方指定地点交货。</w:t>
      </w:r>
    </w:p>
    <w:p>
      <w:pPr>
        <w:adjustRightInd w:val="0"/>
        <w:snapToGrid w:val="0"/>
        <w:spacing w:line="360" w:lineRule="auto"/>
        <w:ind w:firstLine="482" w:firstLineChars="200"/>
        <w:rPr>
          <w:rFonts w:ascii="仿宋" w:hAnsi="仿宋" w:eastAsia="仿宋" w:cs="仿宋"/>
          <w:b/>
          <w:bCs/>
          <w:sz w:val="24"/>
        </w:rPr>
      </w:pPr>
      <w:r>
        <w:rPr>
          <w:rFonts w:hint="eastAsia" w:ascii="仿宋" w:hAnsi="仿宋" w:eastAsia="仿宋" w:cs="仿宋"/>
          <w:b/>
          <w:bCs/>
          <w:sz w:val="24"/>
        </w:rPr>
        <w:t>2、质量标准：达到国家及行业规定合格标准，并达到招标人要求。</w:t>
      </w:r>
    </w:p>
    <w:p>
      <w:pPr>
        <w:adjustRightInd w:val="0"/>
        <w:snapToGrid w:val="0"/>
        <w:spacing w:line="360" w:lineRule="auto"/>
        <w:ind w:firstLine="482" w:firstLineChars="200"/>
        <w:rPr>
          <w:rFonts w:ascii="仿宋" w:hAnsi="仿宋" w:eastAsia="仿宋" w:cs="仿宋"/>
          <w:b/>
          <w:bCs/>
          <w:sz w:val="24"/>
        </w:rPr>
      </w:pPr>
      <w:r>
        <w:rPr>
          <w:rFonts w:hint="eastAsia" w:ascii="仿宋" w:hAnsi="仿宋" w:eastAsia="仿宋" w:cs="仿宋"/>
          <w:b/>
          <w:bCs/>
          <w:sz w:val="24"/>
        </w:rPr>
        <w:t>3、供货安装周期：承接项目后</w:t>
      </w:r>
      <w:r>
        <w:rPr>
          <w:rFonts w:ascii="仿宋" w:hAnsi="仿宋" w:eastAsia="仿宋" w:cs="仿宋"/>
          <w:b/>
          <w:bCs/>
          <w:sz w:val="24"/>
        </w:rPr>
        <w:t>4</w:t>
      </w:r>
      <w:r>
        <w:rPr>
          <w:rFonts w:hint="eastAsia" w:ascii="仿宋" w:hAnsi="仿宋" w:eastAsia="仿宋" w:cs="仿宋"/>
          <w:b/>
          <w:bCs/>
          <w:sz w:val="24"/>
        </w:rPr>
        <w:t>5个自然日内交付使用。</w:t>
      </w:r>
    </w:p>
    <w:p>
      <w:pPr>
        <w:pStyle w:val="10"/>
        <w:adjustRightInd w:val="0"/>
        <w:snapToGrid w:val="0"/>
        <w:spacing w:line="360" w:lineRule="auto"/>
        <w:ind w:left="0" w:firstLine="482" w:firstLineChars="200"/>
        <w:rPr>
          <w:rFonts w:ascii="仿宋" w:hAnsi="仿宋" w:eastAsia="仿宋" w:cs="仿宋"/>
          <w:b/>
          <w:bCs/>
          <w:sz w:val="24"/>
          <w:szCs w:val="24"/>
        </w:rPr>
      </w:pPr>
      <w:r>
        <w:rPr>
          <w:rFonts w:hint="eastAsia" w:ascii="仿宋" w:hAnsi="仿宋" w:eastAsia="仿宋" w:cs="仿宋"/>
          <w:b/>
          <w:bCs/>
          <w:sz w:val="24"/>
          <w:szCs w:val="24"/>
        </w:rPr>
        <w:t>4、</w:t>
      </w:r>
      <w:r>
        <w:rPr>
          <w:rFonts w:hint="eastAsia" w:ascii="仿宋" w:hAnsi="仿宋" w:eastAsia="仿宋" w:cs="仿宋"/>
          <w:b/>
          <w:bCs/>
          <w:sz w:val="24"/>
          <w:szCs w:val="24"/>
          <w:lang w:eastAsia="zh-Hans"/>
        </w:rPr>
        <w:t>质保要求：</w:t>
      </w:r>
      <w:r>
        <w:rPr>
          <w:rFonts w:hint="eastAsia" w:ascii="仿宋" w:hAnsi="仿宋" w:eastAsia="仿宋" w:cs="仿宋"/>
          <w:b/>
          <w:bCs/>
          <w:sz w:val="24"/>
          <w:szCs w:val="24"/>
        </w:rPr>
        <w:t>五</w:t>
      </w:r>
      <w:r>
        <w:rPr>
          <w:rFonts w:hint="eastAsia" w:ascii="仿宋" w:hAnsi="仿宋" w:eastAsia="仿宋" w:cs="仿宋"/>
          <w:b/>
          <w:bCs/>
          <w:sz w:val="24"/>
          <w:szCs w:val="24"/>
          <w:lang w:eastAsia="zh-Hans"/>
        </w:rPr>
        <w:t>年</w:t>
      </w:r>
      <w:r>
        <w:rPr>
          <w:rFonts w:hint="eastAsia" w:ascii="仿宋" w:hAnsi="仿宋" w:eastAsia="仿宋" w:cs="仿宋"/>
          <w:b/>
          <w:bCs/>
          <w:sz w:val="24"/>
          <w:szCs w:val="24"/>
        </w:rPr>
        <w:t>。</w:t>
      </w:r>
    </w:p>
    <w:p>
      <w:pPr>
        <w:pStyle w:val="10"/>
        <w:adjustRightInd w:val="0"/>
        <w:snapToGrid w:val="0"/>
        <w:spacing w:line="360" w:lineRule="auto"/>
        <w:ind w:left="0" w:firstLine="482" w:firstLineChars="200"/>
        <w:rPr>
          <w:rFonts w:ascii="仿宋" w:hAnsi="仿宋" w:eastAsia="仿宋" w:cs="仿宋"/>
          <w:b/>
          <w:bCs/>
          <w:sz w:val="24"/>
          <w:szCs w:val="24"/>
          <w:lang w:eastAsia="zh-Hans"/>
        </w:rPr>
      </w:pPr>
      <w:r>
        <w:rPr>
          <w:rFonts w:hint="eastAsia" w:ascii="仿宋" w:hAnsi="仿宋" w:eastAsia="仿宋" w:cs="仿宋"/>
          <w:b/>
          <w:bCs/>
          <w:sz w:val="24"/>
          <w:szCs w:val="24"/>
          <w:lang w:eastAsia="zh-Hans"/>
        </w:rPr>
        <w:t>5、售后服务要求：</w:t>
      </w:r>
      <w:r>
        <w:rPr>
          <w:rFonts w:hint="eastAsia" w:ascii="仿宋" w:hAnsi="仿宋" w:eastAsia="仿宋" w:cs="仿宋"/>
          <w:b/>
          <w:bCs/>
          <w:sz w:val="24"/>
          <w:szCs w:val="24"/>
        </w:rPr>
        <w:t>免费售后服务五年，必须提供7×24小时电话支持；本地化应急服务解决措施（7×24的响应时间），6小时内之内到达现场进行排除工作。</w:t>
      </w:r>
    </w:p>
    <w:p>
      <w:pPr>
        <w:adjustRightInd w:val="0"/>
        <w:snapToGrid w:val="0"/>
        <w:spacing w:line="360" w:lineRule="auto"/>
        <w:ind w:firstLine="482" w:firstLineChars="200"/>
        <w:rPr>
          <w:rFonts w:ascii="仿宋" w:hAnsi="仿宋" w:eastAsia="仿宋" w:cs="仿宋"/>
          <w:b/>
          <w:bCs/>
          <w:sz w:val="24"/>
        </w:rPr>
      </w:pPr>
      <w:r>
        <w:rPr>
          <w:rFonts w:hint="eastAsia" w:ascii="仿宋" w:hAnsi="仿宋" w:eastAsia="仿宋" w:cs="仿宋"/>
          <w:b/>
          <w:bCs/>
          <w:sz w:val="24"/>
          <w:lang w:eastAsia="zh-Hans"/>
        </w:rPr>
        <w:t>6、</w:t>
      </w:r>
      <w:bookmarkStart w:id="393" w:name="_Toc514837971"/>
      <w:r>
        <w:rPr>
          <w:rFonts w:hint="eastAsia" w:ascii="仿宋" w:hAnsi="仿宋" w:eastAsia="仿宋" w:cs="仿宋"/>
          <w:b/>
          <w:bCs/>
          <w:sz w:val="24"/>
        </w:rPr>
        <w:t>在本地设有直属售后服务机构。</w:t>
      </w:r>
    </w:p>
    <w:p>
      <w:pPr>
        <w:adjustRightInd w:val="0"/>
        <w:snapToGrid w:val="0"/>
        <w:spacing w:line="360" w:lineRule="auto"/>
        <w:rPr>
          <w:rFonts w:ascii="仿宋" w:hAnsi="仿宋" w:eastAsia="仿宋" w:cs="仿宋"/>
          <w:b/>
          <w:bCs/>
          <w:sz w:val="24"/>
        </w:rPr>
      </w:pPr>
      <w:r>
        <w:rPr>
          <w:rFonts w:hint="eastAsia" w:ascii="仿宋" w:hAnsi="仿宋" w:eastAsia="仿宋" w:cs="仿宋"/>
          <w:b/>
          <w:bCs/>
          <w:sz w:val="24"/>
        </w:rPr>
        <w:t>二、</w:t>
      </w:r>
      <w:bookmarkEnd w:id="393"/>
      <w:bookmarkStart w:id="394" w:name="_Toc13486"/>
      <w:r>
        <w:rPr>
          <w:rFonts w:hint="eastAsia" w:ascii="仿宋" w:hAnsi="仿宋" w:eastAsia="仿宋" w:cs="仿宋"/>
          <w:b/>
          <w:bCs/>
          <w:sz w:val="24"/>
        </w:rPr>
        <w:t>项目规模</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水磨沟区2022年公共安全相关设备补点建设项目主要包括新建部分和改造部分，其中新建部分含前端和平台设备的采购，改造部分含前端设备的采购。其中新建部分前端新建1036处点位，新增2886路高清摄像机（枪机2302、球机483、高空球机101），新增844条链路；平台新增18套云存储主机，新增864块存储硬盘；改造部分前端更换1505路高清摄像机（枪机1206、球机299）另外。具体详细建设内容如下：</w:t>
      </w:r>
    </w:p>
    <w:p>
      <w:pPr>
        <w:pStyle w:val="5"/>
        <w:spacing w:before="0" w:after="0" w:line="360" w:lineRule="auto"/>
        <w:rPr>
          <w:rFonts w:ascii="仿宋" w:hAnsi="仿宋" w:eastAsia="仿宋" w:cs="仿宋"/>
          <w:sz w:val="24"/>
          <w:szCs w:val="24"/>
        </w:rPr>
      </w:pPr>
      <w:r>
        <w:rPr>
          <w:rFonts w:hint="eastAsia" w:ascii="仿宋" w:hAnsi="仿宋" w:eastAsia="仿宋" w:cs="仿宋"/>
          <w:sz w:val="24"/>
          <w:szCs w:val="24"/>
        </w:rPr>
        <w:t>四、采购内容及技术参数</w:t>
      </w:r>
    </w:p>
    <w:p>
      <w:pPr>
        <w:adjustRightInd w:val="0"/>
        <w:snapToGrid w:val="0"/>
        <w:spacing w:line="360" w:lineRule="auto"/>
        <w:ind w:firstLine="480" w:firstLineChars="200"/>
        <w:rPr>
          <w:rFonts w:ascii="仿宋" w:hAnsi="仿宋" w:eastAsia="仿宋" w:cs="仿宋"/>
          <w:szCs w:val="21"/>
        </w:rPr>
      </w:pPr>
      <w:r>
        <w:rPr>
          <w:rFonts w:hint="eastAsia" w:ascii="仿宋" w:hAnsi="仿宋" w:eastAsia="仿宋" w:cs="仿宋"/>
          <w:sz w:val="24"/>
        </w:rPr>
        <w:t>以上建设规模分配到15个管委会和政法委，建设内容详细清单见下表：</w:t>
      </w:r>
    </w:p>
    <w:bookmarkEnd w:id="394"/>
    <w:p>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按照15个管委会建设内容分为1</w:t>
      </w:r>
      <w:r>
        <w:rPr>
          <w:rFonts w:ascii="仿宋" w:hAnsi="仿宋" w:eastAsia="仿宋" w:cs="仿宋"/>
          <w:sz w:val="24"/>
        </w:rPr>
        <w:t>5</w:t>
      </w:r>
      <w:r>
        <w:rPr>
          <w:rFonts w:hint="eastAsia" w:ascii="仿宋" w:hAnsi="仿宋" w:eastAsia="仿宋" w:cs="仿宋"/>
          <w:sz w:val="24"/>
        </w:rPr>
        <w:t>个标段，将前端和平台设备归属在所在管委会范围内</w:t>
      </w:r>
    </w:p>
    <w:p>
      <w:pPr>
        <w:adjustRightInd w:val="0"/>
        <w:snapToGrid w:val="0"/>
        <w:spacing w:line="360" w:lineRule="auto"/>
        <w:rPr>
          <w:rFonts w:ascii="仿宋" w:hAnsi="仿宋" w:eastAsia="仿宋" w:cs="仿宋"/>
          <w:sz w:val="24"/>
        </w:rPr>
      </w:pPr>
      <w:r>
        <w:rPr>
          <w:rFonts w:hint="eastAsia" w:ascii="仿宋" w:hAnsi="仿宋" w:eastAsia="仿宋" w:cs="仿宋"/>
          <w:sz w:val="24"/>
        </w:rPr>
        <w:t>（一）各标段设备配置清单详见下表：</w:t>
      </w:r>
    </w:p>
    <w:p>
      <w:pPr>
        <w:spacing w:line="360" w:lineRule="auto"/>
        <w:ind w:firstLine="480" w:firstLineChars="200"/>
        <w:rPr>
          <w:rFonts w:ascii="仿宋" w:hAnsi="仿宋" w:eastAsia="仿宋" w:cs="仿宋"/>
          <w:sz w:val="24"/>
          <w:szCs w:val="32"/>
        </w:rPr>
      </w:pPr>
      <w:r>
        <w:rPr>
          <w:rFonts w:hint="eastAsia" w:ascii="仿宋" w:hAnsi="仿宋" w:eastAsia="仿宋" w:cs="仿宋"/>
          <w:sz w:val="24"/>
          <w:szCs w:val="32"/>
        </w:rPr>
        <w:t>标项1：南湖北路片区管委会项目</w:t>
      </w:r>
    </w:p>
    <w:tbl>
      <w:tblPr>
        <w:tblStyle w:val="21"/>
        <w:tblW w:w="924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653"/>
        <w:gridCol w:w="1201"/>
        <w:gridCol w:w="6105"/>
        <w:gridCol w:w="630"/>
        <w:gridCol w:w="6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0" w:hRule="atLeast"/>
        </w:trPr>
        <w:tc>
          <w:tcPr>
            <w:tcW w:w="653"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1201"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设备名称</w:t>
            </w:r>
          </w:p>
        </w:tc>
        <w:tc>
          <w:tcPr>
            <w:tcW w:w="6105"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主要性能指标</w:t>
            </w:r>
          </w:p>
        </w:tc>
        <w:tc>
          <w:tcPr>
            <w:tcW w:w="630"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单位</w:t>
            </w:r>
          </w:p>
        </w:tc>
        <w:tc>
          <w:tcPr>
            <w:tcW w:w="651"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97" w:hRule="atLeast"/>
        </w:trPr>
        <w:tc>
          <w:tcPr>
            <w:tcW w:w="7959" w:type="dxa"/>
            <w:gridSpan w:val="3"/>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一、新建前端部分</w:t>
            </w:r>
          </w:p>
        </w:tc>
        <w:tc>
          <w:tcPr>
            <w:tcW w:w="630" w:type="dxa"/>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651" w:type="dxa"/>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0" w:hRule="atLeast"/>
        </w:trPr>
        <w:tc>
          <w:tcPr>
            <w:tcW w:w="65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0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星光级枪机</w:t>
            </w:r>
          </w:p>
        </w:tc>
        <w:tc>
          <w:tcPr>
            <w:tcW w:w="6105" w:type="dxa"/>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采用≥1/1.8″逐行扫描400万像素图像传感器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具有≥1个RJ45接口、2路报警输入、1路报警输出，1路音频输入、1个TF卡插槽，1路音频输出，1路RS485接口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焦距范围：4/6/8/12mm，定焦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 最低照度：彩色≤0.0005lx、黑白≤0.0001lx。</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 支持120dB光学宽动态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 支持H.265、H.264、MJPEG编码格式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 支持ONVIF、GB/T 28181、GA/T 1400等协议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 支持TF卡热插拔，最大支持≥256GB TF卡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 支持暖光补光灯，补光距离≥30m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 设备支持人脸检测抓拍，可支持不低于40张人脸并发检测，支持抓拍优选，自动筛选出抓拍质量最优的图片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 支持混行检测：支持机动车、非机动车、行人分类检测抓拍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12. 防护等级≥IP67，支持在不低于-30～60℃环境下正常工作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供电方式：DC12V(±25%)、POE；含抱杆支架，DC12V/25W电源适配器，托板和万向节</w:t>
            </w:r>
          </w:p>
        </w:tc>
        <w:tc>
          <w:tcPr>
            <w:tcW w:w="63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651"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0" w:hRule="atLeast"/>
        </w:trPr>
        <w:tc>
          <w:tcPr>
            <w:tcW w:w="65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20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星光级枪机</w:t>
            </w:r>
          </w:p>
        </w:tc>
        <w:tc>
          <w:tcPr>
            <w:tcW w:w="6105" w:type="dxa"/>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采用≥1/1.8″逐行扫描400万像素图像传感器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具有≥1个RJ45接口、2路报警输入、1路报警输出，1路音频输入、1个TF卡插槽，1路音频输出，1路RS485接口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焦距范围：2.8～12mm，电动变焦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 最低照度：彩色≤0.0005lx、黑白≤0.0001lx。</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 支持120dB光学宽动态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 支持H.265、H.264、MJPEG编码格式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 支持ONVIF、GB/T 28181、GA/T 1400等协议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 支持TF卡热插拔，最大支持≥256GB TF卡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 支持暖光补光灯，补光距离≥30m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 设备支持人脸检测抓拍，可支持不低于40张人脸并发检测，支持抓拍优选，自动筛选出抓拍质量最优的图片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 支持混行检测：支持机动车、非机动车、行人分类检测抓拍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12. 防护等级≥IP67，支持在不低于-30～60℃环境下正常工作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供电方式：DC12V(±25%)、POE；含抱杆支架，DC12V/25W电源适配器，托板和万向节</w:t>
            </w:r>
          </w:p>
        </w:tc>
        <w:tc>
          <w:tcPr>
            <w:tcW w:w="63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651"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0" w:hRule="atLeast"/>
        </w:trPr>
        <w:tc>
          <w:tcPr>
            <w:tcW w:w="65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20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星光级球机</w:t>
            </w:r>
          </w:p>
        </w:tc>
        <w:tc>
          <w:tcPr>
            <w:tcW w:w="6105" w:type="dxa"/>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采用≥1/1.8 ”逐行扫描400万像素CMOS图像传感器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支持6-150mm电动变焦，不小于25倍光学变倍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支持最低照度：彩色：≤0.001lx，黑白：≤0.0001lx</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 支持120dB光学宽动态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 支持接口：≥1个RJ45接口、≥1个BNC接口、≥2个报警输入接口、1个报警输出接口、≥1个RS485接口、≥1个音频输入接口、1个音频输出接口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6. 支持红外灯补光，红外补光灯可定时或自动开启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 内置1个SD插槽，支持SD卡热插拔，支持≥256GB SD卡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 支持人脸检测，越界检测、区域入侵、进入区域、离开区域，运动检测、遮挡检测、声音检测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 支持ONVIF、GB/T 28181、GA/T 1400等标准协议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 水平范围：360°，水平速度0.1°/s~240°/s；预置位速度≥240°/s</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 垂直范围：-15°~90°，垂直速度：0.1°~160°/s；预置位速度≥200°/s</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12. 支持不低于256个预置位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13. 供电方式：AC/DC24V±25%，支持过压过流保护</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14. 功耗≤50W，，6KV防雷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15. 工作环境：–40°C ~ 65°C，≤95%RH（相对湿度，无冷凝）</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16. 防护等级不低于IP66</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含电源、球机安装支架（一个球机吊装杆或壁装杆 ），球机连接件</w:t>
            </w:r>
          </w:p>
        </w:tc>
        <w:tc>
          <w:tcPr>
            <w:tcW w:w="63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651"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0" w:hRule="atLeast"/>
        </w:trPr>
        <w:tc>
          <w:tcPr>
            <w:tcW w:w="65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20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监控箱</w:t>
            </w:r>
          </w:p>
        </w:tc>
        <w:tc>
          <w:tcPr>
            <w:tcW w:w="6105" w:type="dxa"/>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设备箱具备防雨、防尘、通风散热、抗紫外线（耐老化）、防盗、防锈；箱体采用≥1.2mm镀锌板，箱体尺寸（含雨帽）≥430(宽)*535(高)*220(深)mm，≥380(宽)*500(高)*200(深)mm（不含雨帽）；箱体工作温度范围-40℃～85℃，工作湿度≤90%RH，工作电压范围AC75～AC280V，外壳防护等级≥IP65，机械碰撞防护等级≥IK08，盐雾测试≥120小时；箱体内部预置可移动托板；整机一体化设计，内部集成控制终端、空开、电源防雷器、5位五孔插座、1路补光灯AC220V远程可控端子、DC12V风扇、1路RS485接口、1路RS232接口、2路IO告警输出、3路干接点输入（1路预留给箱门，1路预留给防雷器）、1路DC12V和1路DC5C（预留给网络传输设备）；具有≥4路AC220V输出，支持独立每路电压、电流检测、远程控制、实时发送每路电压电流值到客户端显示，支持通过客户端实时监测设备输出是否断电，并在客户端界面提示告警；支持供电电压、电流、功率、电量监测，可通过客户端显示，当供电断开时，提示供电异常告警；可通过客户端软件显示设备的实时功率和累计用电电量和电费统计数值；具有检测过压、欠压、过流，支持过压、欠压、过流、低载联动关闭指定输出接口；支持手动开启学习接入设备的功率，在当前设备的功率基础上接入其他设备时，自动关闭供电输出，并且客户端提示非法取电告警；支持在不使用外部蓄电池情况下，通过客户端实时监测设备供电电源，并在客户端提示设备供电电源掉电告警；可通过客户端显示摄像机工作状态并设置定时/手动开启，当接入的摄像机断电或网络断开时，可通过客户端提示告警，支持≥8路外接摄像机状态检测，支持在客户端内实现外接摄像机视频图像播放；可通过WEB及客户端显示交换机工作状态，可设置定时/手动重启、重启次数和时间，当网络传输断开时，可自动进行重启网络传输设备电源；支持多路补光灯检测，能够区分补光灯白天异常亮起和晚上无法开启，支持补光灯功率自学习功能，可设置定时/手动开启电源，支持≥4个时间段的分时控制；支持箱内实时温度、湿度、防雷状态、风扇工作状态检测，支持风扇故障监测和告警，支持风扇单次运行时间统计和总运行时间统计；支持通过客户端显示箱门开关状态，可设置箱门布防撤防,超过设定时间可自动布防，布防状态下箱门开启，客户端提示告警；支持箱门打开后，联动球机转向监控箱位置录像，可配置开始球机转动时间和停留录像时长；支持通过WEB直接查看实时数据、配置IP地址、客户端地址、传输模式、进行远程固件升级,支持IP地址冲突提示、MAC地址冲突提示；支持设备一机一档信息记录，包含设备名称、编号、国标编码、安装时间、品牌、类型、安装时间、质保期、到期时间等；支持设置设备运维、网络运维、电力运维，并生成考核计费报表，支持设置考核标准、考核申诉；支持通过时间、品牌等条件对外接摄像机故障率、在线率以柱状图或折线图展示统计报表；支持自动派单和手动派单，工单记录故障产生时间、派单时间及修复时长等信息；支持设置各类告警的告警等级；支持设置不同告警的处理时效。</w:t>
            </w:r>
          </w:p>
        </w:tc>
        <w:tc>
          <w:tcPr>
            <w:tcW w:w="63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651"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0" w:hRule="atLeast"/>
        </w:trPr>
        <w:tc>
          <w:tcPr>
            <w:tcW w:w="65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20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配套线缆</w:t>
            </w:r>
          </w:p>
        </w:tc>
        <w:tc>
          <w:tcPr>
            <w:tcW w:w="610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网线STP.CAT-5e、电源线RVV2*1.5及防护套管PVC，标签、扎带等</w:t>
            </w:r>
          </w:p>
        </w:tc>
        <w:tc>
          <w:tcPr>
            <w:tcW w:w="63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651"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0" w:hRule="atLeast"/>
        </w:trPr>
        <w:tc>
          <w:tcPr>
            <w:tcW w:w="65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20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五金配件</w:t>
            </w:r>
          </w:p>
        </w:tc>
        <w:tc>
          <w:tcPr>
            <w:tcW w:w="610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螺丝、连接件、抱箍、钢丝绳、吊卡等　</w:t>
            </w:r>
          </w:p>
        </w:tc>
        <w:tc>
          <w:tcPr>
            <w:tcW w:w="63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批</w:t>
            </w:r>
          </w:p>
        </w:tc>
        <w:tc>
          <w:tcPr>
            <w:tcW w:w="651"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0" w:hRule="atLeast"/>
        </w:trPr>
        <w:tc>
          <w:tcPr>
            <w:tcW w:w="65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20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金属立杆</w:t>
            </w:r>
          </w:p>
        </w:tc>
        <w:tc>
          <w:tcPr>
            <w:tcW w:w="610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直径165mm高3米/壁厚4.5mm（热镀锌，表面喷塑）</w:t>
            </w:r>
          </w:p>
        </w:tc>
        <w:tc>
          <w:tcPr>
            <w:tcW w:w="63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w:t>
            </w:r>
          </w:p>
        </w:tc>
        <w:tc>
          <w:tcPr>
            <w:tcW w:w="651"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0" w:hRule="atLeast"/>
        </w:trPr>
        <w:tc>
          <w:tcPr>
            <w:tcW w:w="65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20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金属立杆</w:t>
            </w:r>
          </w:p>
        </w:tc>
        <w:tc>
          <w:tcPr>
            <w:tcW w:w="610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直径165mm高4米/壁厚4.5mm（热镀锌，表面喷塑）</w:t>
            </w:r>
          </w:p>
        </w:tc>
        <w:tc>
          <w:tcPr>
            <w:tcW w:w="63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w:t>
            </w:r>
          </w:p>
        </w:tc>
        <w:tc>
          <w:tcPr>
            <w:tcW w:w="651"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0" w:hRule="atLeast"/>
        </w:trPr>
        <w:tc>
          <w:tcPr>
            <w:tcW w:w="65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20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金属立杆</w:t>
            </w:r>
          </w:p>
        </w:tc>
        <w:tc>
          <w:tcPr>
            <w:tcW w:w="610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直径165mm高6米/壁厚4.5mm（热镀锌，表面喷塑）</w:t>
            </w:r>
          </w:p>
        </w:tc>
        <w:tc>
          <w:tcPr>
            <w:tcW w:w="63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w:t>
            </w:r>
          </w:p>
        </w:tc>
        <w:tc>
          <w:tcPr>
            <w:tcW w:w="651"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0" w:hRule="atLeast"/>
        </w:trPr>
        <w:tc>
          <w:tcPr>
            <w:tcW w:w="65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20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金属立杆</w:t>
            </w:r>
          </w:p>
        </w:tc>
        <w:tc>
          <w:tcPr>
            <w:tcW w:w="610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直径219mm高5米/壁厚5.5mm（热镀锌，表面喷塑）</w:t>
            </w:r>
          </w:p>
        </w:tc>
        <w:tc>
          <w:tcPr>
            <w:tcW w:w="63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w:t>
            </w:r>
          </w:p>
        </w:tc>
        <w:tc>
          <w:tcPr>
            <w:tcW w:w="651"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0" w:hRule="atLeast"/>
        </w:trPr>
        <w:tc>
          <w:tcPr>
            <w:tcW w:w="65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120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金属立杆</w:t>
            </w:r>
          </w:p>
        </w:tc>
        <w:tc>
          <w:tcPr>
            <w:tcW w:w="610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直径219mm高6米/壁厚5.5mm（热镀锌，表面喷塑）</w:t>
            </w:r>
          </w:p>
        </w:tc>
        <w:tc>
          <w:tcPr>
            <w:tcW w:w="63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w:t>
            </w:r>
          </w:p>
        </w:tc>
        <w:tc>
          <w:tcPr>
            <w:tcW w:w="651"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240" w:hRule="atLeast"/>
        </w:trPr>
        <w:tc>
          <w:tcPr>
            <w:tcW w:w="65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20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横臂</w:t>
            </w:r>
          </w:p>
        </w:tc>
        <w:tc>
          <w:tcPr>
            <w:tcW w:w="610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锥型杆，1米横臂：管径80/150（厚3.0mm）</w:t>
            </w:r>
          </w:p>
        </w:tc>
        <w:tc>
          <w:tcPr>
            <w:tcW w:w="63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w:t>
            </w:r>
          </w:p>
        </w:tc>
        <w:tc>
          <w:tcPr>
            <w:tcW w:w="651"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0" w:hRule="atLeast"/>
        </w:trPr>
        <w:tc>
          <w:tcPr>
            <w:tcW w:w="65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120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横臂</w:t>
            </w:r>
          </w:p>
        </w:tc>
        <w:tc>
          <w:tcPr>
            <w:tcW w:w="610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锥型杆，3米横臂：管径80/150（厚3.0mm）</w:t>
            </w:r>
          </w:p>
        </w:tc>
        <w:tc>
          <w:tcPr>
            <w:tcW w:w="63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w:t>
            </w:r>
          </w:p>
        </w:tc>
        <w:tc>
          <w:tcPr>
            <w:tcW w:w="651"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0" w:hRule="atLeast"/>
        </w:trPr>
        <w:tc>
          <w:tcPr>
            <w:tcW w:w="65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120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横臂</w:t>
            </w:r>
          </w:p>
        </w:tc>
        <w:tc>
          <w:tcPr>
            <w:tcW w:w="610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锥型杆，4米横臂：管径100/150（厚5.0mm）</w:t>
            </w:r>
          </w:p>
        </w:tc>
        <w:tc>
          <w:tcPr>
            <w:tcW w:w="63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w:t>
            </w:r>
          </w:p>
        </w:tc>
        <w:tc>
          <w:tcPr>
            <w:tcW w:w="651"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0" w:hRule="atLeast"/>
        </w:trPr>
        <w:tc>
          <w:tcPr>
            <w:tcW w:w="65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20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横臂</w:t>
            </w:r>
          </w:p>
        </w:tc>
        <w:tc>
          <w:tcPr>
            <w:tcW w:w="610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锥型杆，5米横臂：管径100/180（厚5.0mm）</w:t>
            </w:r>
          </w:p>
        </w:tc>
        <w:tc>
          <w:tcPr>
            <w:tcW w:w="63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w:t>
            </w:r>
          </w:p>
        </w:tc>
        <w:tc>
          <w:tcPr>
            <w:tcW w:w="651"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0" w:hRule="atLeast"/>
        </w:trPr>
        <w:tc>
          <w:tcPr>
            <w:tcW w:w="65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120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横臂</w:t>
            </w:r>
          </w:p>
        </w:tc>
        <w:tc>
          <w:tcPr>
            <w:tcW w:w="610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锥型杆，6米横臂：管径100/180（厚5.0mm）</w:t>
            </w:r>
          </w:p>
        </w:tc>
        <w:tc>
          <w:tcPr>
            <w:tcW w:w="63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w:t>
            </w:r>
          </w:p>
        </w:tc>
        <w:tc>
          <w:tcPr>
            <w:tcW w:w="651"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0" w:hRule="atLeast"/>
        </w:trPr>
        <w:tc>
          <w:tcPr>
            <w:tcW w:w="65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120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抱箍支臂</w:t>
            </w:r>
          </w:p>
        </w:tc>
        <w:tc>
          <w:tcPr>
            <w:tcW w:w="610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直杆，1米，管径65（厚3.5mm）</w:t>
            </w:r>
          </w:p>
        </w:tc>
        <w:tc>
          <w:tcPr>
            <w:tcW w:w="63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w:t>
            </w:r>
          </w:p>
        </w:tc>
        <w:tc>
          <w:tcPr>
            <w:tcW w:w="651"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0" w:hRule="atLeast"/>
        </w:trPr>
        <w:tc>
          <w:tcPr>
            <w:tcW w:w="65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120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抱箍支臂</w:t>
            </w:r>
          </w:p>
        </w:tc>
        <w:tc>
          <w:tcPr>
            <w:tcW w:w="610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直杆，2米，管径65（厚3.5mm）</w:t>
            </w:r>
          </w:p>
        </w:tc>
        <w:tc>
          <w:tcPr>
            <w:tcW w:w="63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w:t>
            </w:r>
          </w:p>
        </w:tc>
        <w:tc>
          <w:tcPr>
            <w:tcW w:w="651"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0" w:hRule="atLeast"/>
        </w:trPr>
        <w:tc>
          <w:tcPr>
            <w:tcW w:w="65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120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抱箍支臂</w:t>
            </w:r>
          </w:p>
        </w:tc>
        <w:tc>
          <w:tcPr>
            <w:tcW w:w="610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直杆，3米，管径65（厚3.5mm）</w:t>
            </w:r>
          </w:p>
        </w:tc>
        <w:tc>
          <w:tcPr>
            <w:tcW w:w="63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w:t>
            </w:r>
          </w:p>
        </w:tc>
        <w:tc>
          <w:tcPr>
            <w:tcW w:w="651"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240" w:hRule="atLeast"/>
        </w:trPr>
        <w:tc>
          <w:tcPr>
            <w:tcW w:w="65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20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墙装支臂</w:t>
            </w:r>
          </w:p>
        </w:tc>
        <w:tc>
          <w:tcPr>
            <w:tcW w:w="610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直杆，1米，管径65（厚3.5mm）</w:t>
            </w:r>
          </w:p>
        </w:tc>
        <w:tc>
          <w:tcPr>
            <w:tcW w:w="63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w:t>
            </w:r>
          </w:p>
        </w:tc>
        <w:tc>
          <w:tcPr>
            <w:tcW w:w="651"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0" w:hRule="atLeast"/>
        </w:trPr>
        <w:tc>
          <w:tcPr>
            <w:tcW w:w="65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120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墙装支臂</w:t>
            </w:r>
          </w:p>
        </w:tc>
        <w:tc>
          <w:tcPr>
            <w:tcW w:w="610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直杆，2米，管径65（厚3.5mm）</w:t>
            </w:r>
          </w:p>
        </w:tc>
        <w:tc>
          <w:tcPr>
            <w:tcW w:w="63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w:t>
            </w:r>
          </w:p>
        </w:tc>
        <w:tc>
          <w:tcPr>
            <w:tcW w:w="651"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0" w:hRule="atLeast"/>
        </w:trPr>
        <w:tc>
          <w:tcPr>
            <w:tcW w:w="65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120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立杆底座</w:t>
            </w:r>
          </w:p>
        </w:tc>
        <w:tc>
          <w:tcPr>
            <w:tcW w:w="610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直径165基坑尺寸1000*1000*1100（地下埋深）、含预埋件、防雷接地</w:t>
            </w:r>
          </w:p>
        </w:tc>
        <w:tc>
          <w:tcPr>
            <w:tcW w:w="63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处</w:t>
            </w:r>
          </w:p>
        </w:tc>
        <w:tc>
          <w:tcPr>
            <w:tcW w:w="651"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0" w:hRule="atLeast"/>
        </w:trPr>
        <w:tc>
          <w:tcPr>
            <w:tcW w:w="65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120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立杆底座</w:t>
            </w:r>
          </w:p>
        </w:tc>
        <w:tc>
          <w:tcPr>
            <w:tcW w:w="610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直径219基坑尺寸1200*1200*1600（地下埋深）、含预埋件、防雷接地</w:t>
            </w:r>
          </w:p>
        </w:tc>
        <w:tc>
          <w:tcPr>
            <w:tcW w:w="63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处</w:t>
            </w:r>
          </w:p>
        </w:tc>
        <w:tc>
          <w:tcPr>
            <w:tcW w:w="651"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0" w:hRule="atLeast"/>
        </w:trPr>
        <w:tc>
          <w:tcPr>
            <w:tcW w:w="7959" w:type="dxa"/>
            <w:gridSpan w:val="3"/>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二、电力部分</w:t>
            </w:r>
          </w:p>
        </w:tc>
        <w:tc>
          <w:tcPr>
            <w:tcW w:w="1281" w:type="dxa"/>
            <w:gridSpan w:val="2"/>
            <w:shd w:val="clear" w:color="auto" w:fill="auto"/>
            <w:vAlign w:val="center"/>
          </w:tcPr>
          <w:p>
            <w:pPr>
              <w:jc w:val="left"/>
              <w:rPr>
                <w:rFonts w:hint="eastAsia" w:ascii="宋体" w:hAnsi="宋体" w:eastAsia="宋体" w:cs="宋体"/>
                <w:b/>
                <w:bCs/>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65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 </w:t>
            </w:r>
          </w:p>
        </w:tc>
        <w:tc>
          <w:tcPr>
            <w:tcW w:w="120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电网国家电表接入费</w:t>
            </w:r>
          </w:p>
        </w:tc>
        <w:tc>
          <w:tcPr>
            <w:tcW w:w="610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包含满足国家电网接入电表等相关配套的技术服务</w:t>
            </w:r>
          </w:p>
        </w:tc>
        <w:tc>
          <w:tcPr>
            <w:tcW w:w="63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651"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65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 </w:t>
            </w:r>
          </w:p>
        </w:tc>
        <w:tc>
          <w:tcPr>
            <w:tcW w:w="120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利旧点位电力接入及检测费</w:t>
            </w:r>
          </w:p>
        </w:tc>
        <w:tc>
          <w:tcPr>
            <w:tcW w:w="6105" w:type="dxa"/>
            <w:shd w:val="clear" w:color="auto" w:fill="auto"/>
            <w:vAlign w:val="center"/>
          </w:tcPr>
          <w:p>
            <w:pPr>
              <w:keepNext w:val="0"/>
              <w:keepLines w:val="0"/>
              <w:widowControl/>
              <w:suppressLineNumbers w:val="0"/>
              <w:jc w:val="left"/>
              <w:textAlignment w:val="center"/>
              <w:rPr>
                <w:rFonts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点位电力接入及检测费</w:t>
            </w:r>
          </w:p>
        </w:tc>
        <w:tc>
          <w:tcPr>
            <w:tcW w:w="63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处</w:t>
            </w:r>
          </w:p>
        </w:tc>
        <w:tc>
          <w:tcPr>
            <w:tcW w:w="651"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0" w:hRule="atLeast"/>
        </w:trPr>
        <w:tc>
          <w:tcPr>
            <w:tcW w:w="65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 </w:t>
            </w:r>
          </w:p>
        </w:tc>
        <w:tc>
          <w:tcPr>
            <w:tcW w:w="120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新建点位电力接入及检测费</w:t>
            </w:r>
          </w:p>
        </w:tc>
        <w:tc>
          <w:tcPr>
            <w:tcW w:w="6105" w:type="dxa"/>
            <w:shd w:val="clear" w:color="auto" w:fill="auto"/>
            <w:vAlign w:val="center"/>
          </w:tcPr>
          <w:p>
            <w:pPr>
              <w:keepNext w:val="0"/>
              <w:keepLines w:val="0"/>
              <w:widowControl/>
              <w:suppressLineNumbers w:val="0"/>
              <w:jc w:val="left"/>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电力接入及检测费</w:t>
            </w:r>
          </w:p>
        </w:tc>
        <w:tc>
          <w:tcPr>
            <w:tcW w:w="63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处</w:t>
            </w:r>
          </w:p>
        </w:tc>
        <w:tc>
          <w:tcPr>
            <w:tcW w:w="651"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0" w:hRule="atLeast"/>
        </w:trPr>
        <w:tc>
          <w:tcPr>
            <w:tcW w:w="65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 </w:t>
            </w:r>
          </w:p>
        </w:tc>
        <w:tc>
          <w:tcPr>
            <w:tcW w:w="1201" w:type="dxa"/>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电缆施工费用1</w:t>
            </w:r>
          </w:p>
        </w:tc>
        <w:tc>
          <w:tcPr>
            <w:tcW w:w="6105" w:type="dxa"/>
            <w:shd w:val="clear" w:color="auto" w:fill="auto"/>
            <w:vAlign w:val="center"/>
          </w:tcPr>
          <w:p>
            <w:pPr>
              <w:keepNext w:val="0"/>
              <w:keepLines w:val="0"/>
              <w:widowControl/>
              <w:suppressLineNumbers w:val="0"/>
              <w:jc w:val="left"/>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沿管道穿线含所需电源线RVV3*2.5、YJV3*4、YJV3*6施工费用</w:t>
            </w:r>
          </w:p>
        </w:tc>
        <w:tc>
          <w:tcPr>
            <w:tcW w:w="630" w:type="dxa"/>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米</w:t>
            </w:r>
          </w:p>
        </w:tc>
        <w:tc>
          <w:tcPr>
            <w:tcW w:w="651"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0" w:hRule="atLeast"/>
        </w:trPr>
        <w:tc>
          <w:tcPr>
            <w:tcW w:w="65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 </w:t>
            </w:r>
          </w:p>
        </w:tc>
        <w:tc>
          <w:tcPr>
            <w:tcW w:w="1201" w:type="dxa"/>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电缆施工费用2</w:t>
            </w:r>
          </w:p>
        </w:tc>
        <w:tc>
          <w:tcPr>
            <w:tcW w:w="6105" w:type="dxa"/>
            <w:shd w:val="clear" w:color="auto" w:fill="auto"/>
            <w:vAlign w:val="center"/>
          </w:tcPr>
          <w:p>
            <w:pPr>
              <w:keepNext w:val="0"/>
              <w:keepLines w:val="0"/>
              <w:widowControl/>
              <w:suppressLineNumbers w:val="0"/>
              <w:jc w:val="left"/>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沿墙钉固含所需电源线RVV3*2.5、YJV3*4、YJV3*6费用、PVC穿线管、卡子等材料和施费用</w:t>
            </w:r>
          </w:p>
        </w:tc>
        <w:tc>
          <w:tcPr>
            <w:tcW w:w="630" w:type="dxa"/>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米</w:t>
            </w:r>
          </w:p>
        </w:tc>
        <w:tc>
          <w:tcPr>
            <w:tcW w:w="651"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0" w:hRule="atLeast"/>
        </w:trPr>
        <w:tc>
          <w:tcPr>
            <w:tcW w:w="65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 </w:t>
            </w:r>
          </w:p>
        </w:tc>
        <w:tc>
          <w:tcPr>
            <w:tcW w:w="1201" w:type="dxa"/>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电缆施工费用3</w:t>
            </w:r>
          </w:p>
        </w:tc>
        <w:tc>
          <w:tcPr>
            <w:tcW w:w="6105" w:type="dxa"/>
            <w:shd w:val="clear" w:color="auto" w:fill="auto"/>
            <w:vAlign w:val="center"/>
          </w:tcPr>
          <w:p>
            <w:pPr>
              <w:keepNext w:val="0"/>
              <w:keepLines w:val="0"/>
              <w:widowControl/>
              <w:suppressLineNumbers w:val="0"/>
              <w:jc w:val="left"/>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道路（大理石、油路花砖等）、绿化带等开挖、回填、PE穿线管、电源线RVV3*2.5、YJV3*4、YJV3*6等施工费用</w:t>
            </w:r>
          </w:p>
        </w:tc>
        <w:tc>
          <w:tcPr>
            <w:tcW w:w="630" w:type="dxa"/>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米</w:t>
            </w:r>
          </w:p>
        </w:tc>
        <w:tc>
          <w:tcPr>
            <w:tcW w:w="651"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0" w:hRule="atLeast"/>
        </w:trPr>
        <w:tc>
          <w:tcPr>
            <w:tcW w:w="7959" w:type="dxa"/>
            <w:gridSpan w:val="3"/>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三、新建平台部分</w:t>
            </w:r>
          </w:p>
        </w:tc>
        <w:tc>
          <w:tcPr>
            <w:tcW w:w="630" w:type="dxa"/>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651" w:type="dxa"/>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0" w:hRule="atLeast"/>
        </w:trPr>
        <w:tc>
          <w:tcPr>
            <w:tcW w:w="65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 </w:t>
            </w:r>
          </w:p>
        </w:tc>
        <w:tc>
          <w:tcPr>
            <w:tcW w:w="1201" w:type="dxa"/>
            <w:shd w:val="clear" w:color="auto" w:fill="auto"/>
            <w:noWrap/>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48盘位云存储设备</w:t>
            </w:r>
          </w:p>
        </w:tc>
        <w:tc>
          <w:tcPr>
            <w:tcW w:w="6105" w:type="dxa"/>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48盘位视频监控云存储节点：单控制器</w:t>
            </w:r>
            <w:r>
              <w:rPr>
                <w:rFonts w:hint="eastAsia" w:ascii="新宋体" w:hAnsi="新宋体" w:eastAsia="新宋体" w:cs="新宋体"/>
                <w:i w:val="0"/>
                <w:iCs w:val="0"/>
                <w:color w:val="000000"/>
                <w:kern w:val="0"/>
                <w:sz w:val="18"/>
                <w:szCs w:val="18"/>
                <w:u w:val="none"/>
                <w:lang w:val="en-US" w:eastAsia="zh-CN" w:bidi="ar"/>
              </w:rPr>
              <w:br w:type="textWrapping"/>
            </w:r>
            <w:r>
              <w:rPr>
                <w:rFonts w:hint="eastAsia" w:ascii="新宋体" w:hAnsi="新宋体" w:eastAsia="新宋体" w:cs="新宋体"/>
                <w:i w:val="0"/>
                <w:iCs w:val="0"/>
                <w:color w:val="000000"/>
                <w:kern w:val="0"/>
                <w:sz w:val="18"/>
                <w:szCs w:val="18"/>
                <w:u w:val="none"/>
                <w:lang w:val="en-US" w:eastAsia="zh-CN" w:bidi="ar"/>
              </w:rPr>
              <w:t>磁盘通道数：48</w:t>
            </w:r>
            <w:r>
              <w:rPr>
                <w:rFonts w:hint="eastAsia" w:ascii="新宋体" w:hAnsi="新宋体" w:eastAsia="新宋体" w:cs="新宋体"/>
                <w:i w:val="0"/>
                <w:iCs w:val="0"/>
                <w:color w:val="000000"/>
                <w:kern w:val="0"/>
                <w:sz w:val="18"/>
                <w:szCs w:val="18"/>
                <w:u w:val="none"/>
                <w:lang w:val="en-US" w:eastAsia="zh-CN" w:bidi="ar"/>
              </w:rPr>
              <w:br w:type="textWrapping"/>
            </w:r>
            <w:r>
              <w:rPr>
                <w:rFonts w:hint="eastAsia" w:ascii="新宋体" w:hAnsi="新宋体" w:eastAsia="新宋体" w:cs="新宋体"/>
                <w:i w:val="0"/>
                <w:iCs w:val="0"/>
                <w:color w:val="000000"/>
                <w:kern w:val="0"/>
                <w:sz w:val="18"/>
                <w:szCs w:val="18"/>
                <w:u w:val="none"/>
                <w:lang w:val="en-US" w:eastAsia="zh-CN" w:bidi="ar"/>
              </w:rPr>
              <w:t>电源模块：交流电源</w:t>
            </w:r>
            <w:r>
              <w:rPr>
                <w:rFonts w:hint="eastAsia" w:ascii="新宋体" w:hAnsi="新宋体" w:eastAsia="新宋体" w:cs="新宋体"/>
                <w:i w:val="0"/>
                <w:iCs w:val="0"/>
                <w:color w:val="000000"/>
                <w:kern w:val="0"/>
                <w:sz w:val="18"/>
                <w:szCs w:val="18"/>
                <w:u w:val="none"/>
                <w:lang w:val="en-US" w:eastAsia="zh-CN" w:bidi="ar"/>
              </w:rPr>
              <w:br w:type="textWrapping"/>
            </w:r>
            <w:r>
              <w:rPr>
                <w:rFonts w:hint="eastAsia" w:ascii="新宋体" w:hAnsi="新宋体" w:eastAsia="新宋体" w:cs="新宋体"/>
                <w:i w:val="0"/>
                <w:iCs w:val="0"/>
                <w:color w:val="000000"/>
                <w:kern w:val="0"/>
                <w:sz w:val="18"/>
                <w:szCs w:val="18"/>
                <w:u w:val="none"/>
                <w:lang w:val="en-US" w:eastAsia="zh-CN" w:bidi="ar"/>
              </w:rPr>
              <w:t>网络接口：5个千兆以太网接口</w:t>
            </w:r>
            <w:r>
              <w:rPr>
                <w:rFonts w:hint="eastAsia" w:ascii="新宋体" w:hAnsi="新宋体" w:eastAsia="新宋体" w:cs="新宋体"/>
                <w:i w:val="0"/>
                <w:iCs w:val="0"/>
                <w:color w:val="000000"/>
                <w:kern w:val="0"/>
                <w:sz w:val="18"/>
                <w:szCs w:val="18"/>
                <w:u w:val="none"/>
                <w:lang w:val="en-US" w:eastAsia="zh-CN" w:bidi="ar"/>
              </w:rPr>
              <w:br w:type="textWrapping"/>
            </w:r>
            <w:r>
              <w:rPr>
                <w:rFonts w:hint="eastAsia" w:ascii="新宋体" w:hAnsi="新宋体" w:eastAsia="新宋体" w:cs="新宋体"/>
                <w:i w:val="0"/>
                <w:iCs w:val="0"/>
                <w:color w:val="000000"/>
                <w:kern w:val="0"/>
                <w:sz w:val="18"/>
                <w:szCs w:val="18"/>
                <w:u w:val="none"/>
                <w:lang w:val="en-US" w:eastAsia="zh-CN" w:bidi="ar"/>
              </w:rPr>
              <w:t>性能：512路2M块直存、51路回放</w:t>
            </w:r>
            <w:r>
              <w:rPr>
                <w:rFonts w:hint="eastAsia" w:ascii="新宋体" w:hAnsi="新宋体" w:eastAsia="新宋体" w:cs="新宋体"/>
                <w:i w:val="0"/>
                <w:iCs w:val="0"/>
                <w:color w:val="000000"/>
                <w:kern w:val="0"/>
                <w:sz w:val="18"/>
                <w:szCs w:val="18"/>
                <w:u w:val="none"/>
                <w:lang w:val="en-US" w:eastAsia="zh-CN" w:bidi="ar"/>
              </w:rPr>
              <w:br w:type="textWrapping"/>
            </w:r>
            <w:r>
              <w:rPr>
                <w:rFonts w:hint="eastAsia" w:ascii="新宋体" w:hAnsi="新宋体" w:eastAsia="新宋体" w:cs="新宋体"/>
                <w:i w:val="0"/>
                <w:iCs w:val="0"/>
                <w:color w:val="000000"/>
                <w:kern w:val="0"/>
                <w:sz w:val="18"/>
                <w:szCs w:val="18"/>
                <w:u w:val="none"/>
                <w:lang w:val="en-US" w:eastAsia="zh-CN" w:bidi="ar"/>
              </w:rPr>
              <w:t>384路2M流直存，38路回放</w:t>
            </w:r>
            <w:r>
              <w:rPr>
                <w:rFonts w:hint="eastAsia" w:ascii="新宋体" w:hAnsi="新宋体" w:eastAsia="新宋体" w:cs="新宋体"/>
                <w:i w:val="0"/>
                <w:iCs w:val="0"/>
                <w:color w:val="000000"/>
                <w:kern w:val="0"/>
                <w:sz w:val="18"/>
                <w:szCs w:val="18"/>
                <w:u w:val="none"/>
                <w:lang w:val="en-US" w:eastAsia="zh-CN" w:bidi="ar"/>
              </w:rPr>
              <w:br w:type="textWrapping"/>
            </w:r>
            <w:r>
              <w:rPr>
                <w:rFonts w:hint="eastAsia" w:ascii="新宋体" w:hAnsi="新宋体" w:eastAsia="新宋体" w:cs="新宋体"/>
                <w:i w:val="0"/>
                <w:iCs w:val="0"/>
                <w:color w:val="000000"/>
                <w:kern w:val="0"/>
                <w:sz w:val="18"/>
                <w:szCs w:val="18"/>
                <w:u w:val="none"/>
                <w:lang w:val="en-US" w:eastAsia="zh-CN" w:bidi="ar"/>
              </w:rPr>
              <w:t xml:space="preserve"> 支持提供存储虚拟化管理功能，将所有存储节点空间合并成一个存储虚拟池，对外提供海量存储空间管理</w:t>
            </w:r>
            <w:r>
              <w:rPr>
                <w:rFonts w:hint="eastAsia" w:ascii="新宋体" w:hAnsi="新宋体" w:eastAsia="新宋体" w:cs="新宋体"/>
                <w:i w:val="0"/>
                <w:iCs w:val="0"/>
                <w:color w:val="000000"/>
                <w:kern w:val="0"/>
                <w:sz w:val="18"/>
                <w:szCs w:val="18"/>
                <w:u w:val="none"/>
                <w:lang w:val="en-US" w:eastAsia="zh-CN" w:bidi="ar"/>
              </w:rPr>
              <w:br w:type="textWrapping"/>
            </w:r>
            <w:r>
              <w:rPr>
                <w:rFonts w:hint="eastAsia" w:ascii="新宋体" w:hAnsi="新宋体" w:eastAsia="新宋体" w:cs="新宋体"/>
                <w:i w:val="0"/>
                <w:iCs w:val="0"/>
                <w:color w:val="000000"/>
                <w:kern w:val="0"/>
                <w:sz w:val="18"/>
                <w:szCs w:val="18"/>
                <w:u w:val="none"/>
                <w:lang w:val="en-US" w:eastAsia="zh-CN" w:bidi="ar"/>
              </w:rPr>
              <w:t>支持PCIe插槽、支持千兆GE接口卡和万兆10GE接口卡、Mini SAS HD卡(SAS 3.0)</w:t>
            </w:r>
            <w:r>
              <w:rPr>
                <w:rFonts w:hint="eastAsia" w:ascii="新宋体" w:hAnsi="新宋体" w:eastAsia="新宋体" w:cs="新宋体"/>
                <w:i w:val="0"/>
                <w:iCs w:val="0"/>
                <w:color w:val="000000"/>
                <w:kern w:val="0"/>
                <w:sz w:val="18"/>
                <w:szCs w:val="18"/>
                <w:u w:val="none"/>
                <w:lang w:val="en-US" w:eastAsia="zh-CN" w:bidi="ar"/>
              </w:rPr>
              <w:br w:type="textWrapping"/>
            </w:r>
            <w:r>
              <w:rPr>
                <w:rFonts w:hint="eastAsia" w:ascii="新宋体" w:hAnsi="新宋体" w:eastAsia="新宋体" w:cs="新宋体"/>
                <w:i w:val="0"/>
                <w:iCs w:val="0"/>
                <w:color w:val="000000"/>
                <w:kern w:val="0"/>
                <w:sz w:val="18"/>
                <w:szCs w:val="18"/>
                <w:u w:val="none"/>
                <w:lang w:val="en-US" w:eastAsia="zh-CN" w:bidi="ar"/>
              </w:rPr>
              <w:t>支持网络端口链路聚合、负载均衡</w:t>
            </w:r>
            <w:r>
              <w:rPr>
                <w:rFonts w:hint="eastAsia" w:ascii="新宋体" w:hAnsi="新宋体" w:eastAsia="新宋体" w:cs="新宋体"/>
                <w:i w:val="0"/>
                <w:iCs w:val="0"/>
                <w:color w:val="000000"/>
                <w:kern w:val="0"/>
                <w:sz w:val="18"/>
                <w:szCs w:val="18"/>
                <w:u w:val="none"/>
                <w:lang w:val="en-US" w:eastAsia="zh-CN" w:bidi="ar"/>
              </w:rPr>
              <w:br w:type="textWrapping"/>
            </w:r>
            <w:r>
              <w:rPr>
                <w:rFonts w:hint="eastAsia" w:ascii="新宋体" w:hAnsi="新宋体" w:eastAsia="新宋体" w:cs="新宋体"/>
                <w:i w:val="0"/>
                <w:iCs w:val="0"/>
                <w:color w:val="000000"/>
                <w:kern w:val="0"/>
                <w:sz w:val="18"/>
                <w:szCs w:val="18"/>
                <w:u w:val="none"/>
                <w:lang w:val="en-US" w:eastAsia="zh-CN" w:bidi="ar"/>
              </w:rPr>
              <w:t>支持标准ONVIF、GB/T28181等标准前端接入</w:t>
            </w:r>
            <w:r>
              <w:rPr>
                <w:rFonts w:hint="eastAsia" w:ascii="新宋体" w:hAnsi="新宋体" w:eastAsia="新宋体" w:cs="新宋体"/>
                <w:i w:val="0"/>
                <w:iCs w:val="0"/>
                <w:color w:val="000000"/>
                <w:kern w:val="0"/>
                <w:sz w:val="18"/>
                <w:szCs w:val="18"/>
                <w:u w:val="none"/>
                <w:lang w:val="en-US" w:eastAsia="zh-CN" w:bidi="ar"/>
              </w:rPr>
              <w:br w:type="textWrapping"/>
            </w:r>
            <w:r>
              <w:rPr>
                <w:rFonts w:hint="eastAsia" w:ascii="新宋体" w:hAnsi="新宋体" w:eastAsia="新宋体" w:cs="新宋体"/>
                <w:i w:val="0"/>
                <w:iCs w:val="0"/>
                <w:color w:val="000000"/>
                <w:kern w:val="0"/>
                <w:sz w:val="18"/>
                <w:szCs w:val="18"/>
                <w:u w:val="none"/>
                <w:lang w:val="en-US" w:eastAsia="zh-CN" w:bidi="ar"/>
              </w:rPr>
              <w:t>支持视频智能结构化数据存储</w:t>
            </w:r>
            <w:r>
              <w:rPr>
                <w:rFonts w:hint="eastAsia" w:ascii="新宋体" w:hAnsi="新宋体" w:eastAsia="新宋体" w:cs="新宋体"/>
                <w:i w:val="0"/>
                <w:iCs w:val="0"/>
                <w:color w:val="000000"/>
                <w:kern w:val="0"/>
                <w:sz w:val="18"/>
                <w:szCs w:val="18"/>
                <w:u w:val="none"/>
                <w:lang w:val="en-US" w:eastAsia="zh-CN" w:bidi="ar"/>
              </w:rPr>
              <w:br w:type="textWrapping"/>
            </w:r>
            <w:r>
              <w:rPr>
                <w:rFonts w:hint="eastAsia" w:ascii="新宋体" w:hAnsi="新宋体" w:eastAsia="新宋体" w:cs="新宋体"/>
                <w:i w:val="0"/>
                <w:iCs w:val="0"/>
                <w:color w:val="000000"/>
                <w:kern w:val="0"/>
                <w:sz w:val="18"/>
                <w:szCs w:val="18"/>
                <w:u w:val="none"/>
                <w:lang w:val="en-US" w:eastAsia="zh-CN" w:bidi="ar"/>
              </w:rPr>
              <w:t>支持裸数据块直存方式，无文件系统碎片，海量小文件存储性能无衰减</w:t>
            </w:r>
            <w:r>
              <w:rPr>
                <w:rFonts w:hint="eastAsia" w:ascii="新宋体" w:hAnsi="新宋体" w:eastAsia="新宋体" w:cs="新宋体"/>
                <w:i w:val="0"/>
                <w:iCs w:val="0"/>
                <w:color w:val="000000"/>
                <w:kern w:val="0"/>
                <w:sz w:val="18"/>
                <w:szCs w:val="18"/>
                <w:u w:val="none"/>
                <w:lang w:val="en-US" w:eastAsia="zh-CN" w:bidi="ar"/>
              </w:rPr>
              <w:br w:type="textWrapping"/>
            </w:r>
            <w:r>
              <w:rPr>
                <w:rFonts w:hint="eastAsia" w:ascii="新宋体" w:hAnsi="新宋体" w:eastAsia="新宋体" w:cs="新宋体"/>
                <w:i w:val="0"/>
                <w:iCs w:val="0"/>
                <w:color w:val="000000"/>
                <w:kern w:val="0"/>
                <w:sz w:val="18"/>
                <w:szCs w:val="18"/>
                <w:u w:val="none"/>
                <w:lang w:val="en-US" w:eastAsia="zh-CN" w:bidi="ar"/>
              </w:rPr>
              <w:t>支持数据离散，并发读写，支持视频秒级检索及回放，视频、图片极速下载</w:t>
            </w:r>
            <w:r>
              <w:rPr>
                <w:rFonts w:hint="eastAsia" w:ascii="新宋体" w:hAnsi="新宋体" w:eastAsia="新宋体" w:cs="新宋体"/>
                <w:i w:val="0"/>
                <w:iCs w:val="0"/>
                <w:color w:val="000000"/>
                <w:kern w:val="0"/>
                <w:sz w:val="18"/>
                <w:szCs w:val="18"/>
                <w:u w:val="none"/>
                <w:lang w:val="en-US" w:eastAsia="zh-CN" w:bidi="ar"/>
              </w:rPr>
              <w:br w:type="textWrapping"/>
            </w:r>
            <w:r>
              <w:rPr>
                <w:rFonts w:hint="eastAsia" w:ascii="新宋体" w:hAnsi="新宋体" w:eastAsia="新宋体" w:cs="新宋体"/>
                <w:i w:val="0"/>
                <w:iCs w:val="0"/>
                <w:color w:val="000000"/>
                <w:kern w:val="0"/>
                <w:sz w:val="18"/>
                <w:szCs w:val="18"/>
                <w:u w:val="none"/>
                <w:lang w:val="en-US" w:eastAsia="zh-CN" w:bidi="ar"/>
              </w:rPr>
              <w:t>支持云节点负载均衡、故障切换，解决单节点性能瓶颈问题及单节点故障问题，保证业务连续性</w:t>
            </w:r>
            <w:r>
              <w:rPr>
                <w:rFonts w:hint="eastAsia" w:ascii="新宋体" w:hAnsi="新宋体" w:eastAsia="新宋体" w:cs="新宋体"/>
                <w:i w:val="0"/>
                <w:iCs w:val="0"/>
                <w:color w:val="000000"/>
                <w:kern w:val="0"/>
                <w:sz w:val="18"/>
                <w:szCs w:val="18"/>
                <w:u w:val="none"/>
                <w:lang w:val="en-US" w:eastAsia="zh-CN" w:bidi="ar"/>
              </w:rPr>
              <w:br w:type="textWrapping"/>
            </w:r>
            <w:r>
              <w:rPr>
                <w:rFonts w:hint="eastAsia" w:ascii="新宋体" w:hAnsi="新宋体" w:eastAsia="新宋体" w:cs="新宋体"/>
                <w:i w:val="0"/>
                <w:iCs w:val="0"/>
                <w:color w:val="000000"/>
                <w:kern w:val="0"/>
                <w:sz w:val="18"/>
                <w:szCs w:val="18"/>
                <w:u w:val="none"/>
                <w:lang w:val="en-US" w:eastAsia="zh-CN" w:bidi="ar"/>
              </w:rPr>
              <w:t>支持云备份功能，实现云内数据备份和云间备份</w:t>
            </w:r>
            <w:r>
              <w:rPr>
                <w:rFonts w:hint="eastAsia" w:ascii="新宋体" w:hAnsi="新宋体" w:eastAsia="新宋体" w:cs="新宋体"/>
                <w:i w:val="0"/>
                <w:iCs w:val="0"/>
                <w:color w:val="000000"/>
                <w:kern w:val="0"/>
                <w:sz w:val="18"/>
                <w:szCs w:val="18"/>
                <w:u w:val="none"/>
                <w:lang w:val="en-US" w:eastAsia="zh-CN" w:bidi="ar"/>
              </w:rPr>
              <w:br w:type="textWrapping"/>
            </w:r>
            <w:r>
              <w:rPr>
                <w:rFonts w:hint="eastAsia" w:ascii="新宋体" w:hAnsi="新宋体" w:eastAsia="新宋体" w:cs="新宋体"/>
                <w:i w:val="0"/>
                <w:iCs w:val="0"/>
                <w:color w:val="000000"/>
                <w:kern w:val="0"/>
                <w:sz w:val="18"/>
                <w:szCs w:val="18"/>
                <w:u w:val="none"/>
                <w:lang w:val="en-US" w:eastAsia="zh-CN" w:bidi="ar"/>
              </w:rPr>
              <w:t>支持冗余电源，风扇，电池，支持磁盘、电源、风扇、电池的热插拔和在线更换</w:t>
            </w:r>
            <w:r>
              <w:rPr>
                <w:rFonts w:hint="eastAsia" w:ascii="新宋体" w:hAnsi="新宋体" w:eastAsia="新宋体" w:cs="新宋体"/>
                <w:i w:val="0"/>
                <w:iCs w:val="0"/>
                <w:color w:val="000000"/>
                <w:kern w:val="0"/>
                <w:sz w:val="18"/>
                <w:szCs w:val="18"/>
                <w:u w:val="none"/>
                <w:lang w:val="en-US" w:eastAsia="zh-CN" w:bidi="ar"/>
              </w:rPr>
              <w:br w:type="textWrapping"/>
            </w:r>
            <w:r>
              <w:rPr>
                <w:rFonts w:hint="eastAsia" w:ascii="新宋体" w:hAnsi="新宋体" w:eastAsia="新宋体" w:cs="新宋体"/>
                <w:i w:val="0"/>
                <w:iCs w:val="0"/>
                <w:color w:val="000000"/>
                <w:kern w:val="0"/>
                <w:sz w:val="18"/>
                <w:szCs w:val="18"/>
                <w:u w:val="none"/>
                <w:lang w:val="en-US" w:eastAsia="zh-CN" w:bidi="ar"/>
              </w:rPr>
              <w:t>支持数码管、指示灯、蜂鸣器告警、邮件告警、SNMP Trap、短信等告警方式对故障进行告警</w:t>
            </w:r>
            <w:r>
              <w:rPr>
                <w:rFonts w:hint="eastAsia" w:ascii="新宋体" w:hAnsi="新宋体" w:eastAsia="新宋体" w:cs="新宋体"/>
                <w:i w:val="0"/>
                <w:iCs w:val="0"/>
                <w:color w:val="000000"/>
                <w:kern w:val="0"/>
                <w:sz w:val="18"/>
                <w:szCs w:val="18"/>
                <w:u w:val="none"/>
                <w:lang w:val="en-US" w:eastAsia="zh-CN" w:bidi="ar"/>
              </w:rPr>
              <w:br w:type="textWrapping"/>
            </w:r>
            <w:r>
              <w:rPr>
                <w:rFonts w:hint="eastAsia" w:ascii="新宋体" w:hAnsi="新宋体" w:eastAsia="新宋体" w:cs="新宋体"/>
                <w:i w:val="0"/>
                <w:iCs w:val="0"/>
                <w:color w:val="000000"/>
                <w:kern w:val="0"/>
                <w:sz w:val="18"/>
                <w:szCs w:val="18"/>
                <w:u w:val="none"/>
                <w:lang w:val="en-US" w:eastAsia="zh-CN" w:bidi="ar"/>
              </w:rPr>
              <w:t>支持IP冲突告警、网口降速、电源故障、风扇故障、电池电量不足、电池故障等告警</w:t>
            </w:r>
            <w:r>
              <w:rPr>
                <w:rFonts w:hint="eastAsia" w:ascii="新宋体" w:hAnsi="新宋体" w:eastAsia="新宋体" w:cs="新宋体"/>
                <w:i w:val="0"/>
                <w:iCs w:val="0"/>
                <w:color w:val="000000"/>
                <w:kern w:val="0"/>
                <w:sz w:val="18"/>
                <w:szCs w:val="18"/>
                <w:u w:val="none"/>
                <w:lang w:val="en-US" w:eastAsia="zh-CN" w:bidi="ar"/>
              </w:rPr>
              <w:br w:type="textWrapping"/>
            </w:r>
            <w:r>
              <w:rPr>
                <w:rFonts w:hint="eastAsia" w:ascii="新宋体" w:hAnsi="新宋体" w:eastAsia="新宋体" w:cs="新宋体"/>
                <w:i w:val="0"/>
                <w:iCs w:val="0"/>
                <w:color w:val="000000"/>
                <w:kern w:val="0"/>
                <w:sz w:val="18"/>
                <w:szCs w:val="18"/>
                <w:u w:val="none"/>
                <w:lang w:val="en-US" w:eastAsia="zh-CN" w:bidi="ar"/>
              </w:rPr>
              <w:t>支持数据保险箱（掉电数据永久保护）</w:t>
            </w:r>
            <w:r>
              <w:rPr>
                <w:rFonts w:hint="eastAsia" w:ascii="新宋体" w:hAnsi="新宋体" w:eastAsia="新宋体" w:cs="新宋体"/>
                <w:i w:val="0"/>
                <w:iCs w:val="0"/>
                <w:color w:val="000000"/>
                <w:kern w:val="0"/>
                <w:sz w:val="18"/>
                <w:szCs w:val="18"/>
                <w:u w:val="none"/>
                <w:lang w:val="en-US" w:eastAsia="zh-CN" w:bidi="ar"/>
              </w:rPr>
              <w:br w:type="textWrapping"/>
            </w:r>
            <w:r>
              <w:rPr>
                <w:rFonts w:hint="eastAsia" w:ascii="新宋体" w:hAnsi="新宋体" w:eastAsia="新宋体" w:cs="新宋体"/>
                <w:i w:val="0"/>
                <w:iCs w:val="0"/>
                <w:color w:val="000000"/>
                <w:kern w:val="0"/>
                <w:sz w:val="18"/>
                <w:szCs w:val="18"/>
                <w:u w:val="none"/>
                <w:lang w:val="en-US" w:eastAsia="zh-CN" w:bidi="ar"/>
              </w:rPr>
              <w:t>支持JBOD、RAID 0、1、5、6、10、50，RAID阵列可即建即用</w:t>
            </w:r>
            <w:r>
              <w:rPr>
                <w:rFonts w:hint="eastAsia" w:ascii="新宋体" w:hAnsi="新宋体" w:eastAsia="新宋体" w:cs="新宋体"/>
                <w:i w:val="0"/>
                <w:iCs w:val="0"/>
                <w:color w:val="000000"/>
                <w:kern w:val="0"/>
                <w:sz w:val="18"/>
                <w:szCs w:val="18"/>
                <w:u w:val="none"/>
                <w:lang w:val="en-US" w:eastAsia="zh-CN" w:bidi="ar"/>
              </w:rPr>
              <w:br w:type="textWrapping"/>
            </w:r>
            <w:r>
              <w:rPr>
                <w:rFonts w:hint="eastAsia" w:ascii="新宋体" w:hAnsi="新宋体" w:eastAsia="新宋体" w:cs="新宋体"/>
                <w:i w:val="0"/>
                <w:iCs w:val="0"/>
                <w:color w:val="000000"/>
                <w:kern w:val="0"/>
                <w:sz w:val="18"/>
                <w:szCs w:val="18"/>
                <w:u w:val="none"/>
                <w:lang w:val="en-US" w:eastAsia="zh-CN" w:bidi="ar"/>
              </w:rPr>
              <w:t>支持SATA、SSD盘</w:t>
            </w:r>
            <w:r>
              <w:rPr>
                <w:rFonts w:hint="eastAsia" w:ascii="新宋体" w:hAnsi="新宋体" w:eastAsia="新宋体" w:cs="新宋体"/>
                <w:i w:val="0"/>
                <w:iCs w:val="0"/>
                <w:color w:val="000000"/>
                <w:kern w:val="0"/>
                <w:sz w:val="18"/>
                <w:szCs w:val="18"/>
                <w:u w:val="none"/>
                <w:lang w:val="en-US" w:eastAsia="zh-CN" w:bidi="ar"/>
              </w:rPr>
              <w:br w:type="textWrapping"/>
            </w:r>
            <w:r>
              <w:rPr>
                <w:rFonts w:hint="eastAsia" w:ascii="新宋体" w:hAnsi="新宋体" w:eastAsia="新宋体" w:cs="新宋体"/>
                <w:i w:val="0"/>
                <w:iCs w:val="0"/>
                <w:color w:val="000000"/>
                <w:kern w:val="0"/>
                <w:sz w:val="18"/>
                <w:szCs w:val="18"/>
                <w:u w:val="none"/>
                <w:lang w:val="en-US" w:eastAsia="zh-CN" w:bidi="ar"/>
              </w:rPr>
              <w:t>支持自动空白盘全局热备、专有热备</w:t>
            </w:r>
            <w:r>
              <w:rPr>
                <w:rFonts w:hint="eastAsia" w:ascii="新宋体" w:hAnsi="新宋体" w:eastAsia="新宋体" w:cs="新宋体"/>
                <w:i w:val="0"/>
                <w:iCs w:val="0"/>
                <w:color w:val="000000"/>
                <w:kern w:val="0"/>
                <w:sz w:val="18"/>
                <w:szCs w:val="18"/>
                <w:u w:val="none"/>
                <w:lang w:val="en-US" w:eastAsia="zh-CN" w:bidi="ar"/>
              </w:rPr>
              <w:br w:type="textWrapping"/>
            </w:r>
            <w:r>
              <w:rPr>
                <w:rFonts w:hint="eastAsia" w:ascii="新宋体" w:hAnsi="新宋体" w:eastAsia="新宋体" w:cs="新宋体"/>
                <w:i w:val="0"/>
                <w:iCs w:val="0"/>
                <w:color w:val="000000"/>
                <w:kern w:val="0"/>
                <w:sz w:val="18"/>
                <w:szCs w:val="18"/>
                <w:u w:val="none"/>
                <w:lang w:val="en-US" w:eastAsia="zh-CN" w:bidi="ar"/>
              </w:rPr>
              <w:t>支持RAID阵列磁盘进行定位，RAID阵列自动巡检</w:t>
            </w:r>
            <w:r>
              <w:rPr>
                <w:rFonts w:hint="eastAsia" w:ascii="新宋体" w:hAnsi="新宋体" w:eastAsia="新宋体" w:cs="新宋体"/>
                <w:i w:val="0"/>
                <w:iCs w:val="0"/>
                <w:color w:val="000000"/>
                <w:kern w:val="0"/>
                <w:sz w:val="18"/>
                <w:szCs w:val="18"/>
                <w:u w:val="none"/>
                <w:lang w:val="en-US" w:eastAsia="zh-CN" w:bidi="ar"/>
              </w:rPr>
              <w:br w:type="textWrapping"/>
            </w:r>
            <w:r>
              <w:rPr>
                <w:rFonts w:hint="eastAsia" w:ascii="新宋体" w:hAnsi="新宋体" w:eastAsia="新宋体" w:cs="新宋体"/>
                <w:i w:val="0"/>
                <w:iCs w:val="0"/>
                <w:color w:val="000000"/>
                <w:kern w:val="0"/>
                <w:sz w:val="18"/>
                <w:szCs w:val="18"/>
                <w:u w:val="none"/>
                <w:lang w:val="en-US" w:eastAsia="zh-CN" w:bidi="ar"/>
              </w:rPr>
              <w:t>支持RAID阵列重构重建、无感知重建、SMART检测预拷贝，RAID阵列可自动动态调整重建速度、重建/同步优先级</w:t>
            </w:r>
            <w:r>
              <w:rPr>
                <w:rFonts w:hint="eastAsia" w:ascii="新宋体" w:hAnsi="新宋体" w:eastAsia="新宋体" w:cs="新宋体"/>
                <w:i w:val="0"/>
                <w:iCs w:val="0"/>
                <w:color w:val="000000"/>
                <w:kern w:val="0"/>
                <w:sz w:val="18"/>
                <w:szCs w:val="18"/>
                <w:u w:val="none"/>
                <w:lang w:val="en-US" w:eastAsia="zh-CN" w:bidi="ar"/>
              </w:rPr>
              <w:br w:type="textWrapping"/>
            </w:r>
            <w:r>
              <w:rPr>
                <w:rFonts w:hint="eastAsia" w:ascii="新宋体" w:hAnsi="新宋体" w:eastAsia="新宋体" w:cs="新宋体"/>
                <w:i w:val="0"/>
                <w:iCs w:val="0"/>
                <w:color w:val="000000"/>
                <w:kern w:val="0"/>
                <w:sz w:val="18"/>
                <w:szCs w:val="18"/>
                <w:u w:val="none"/>
                <w:lang w:val="en-US" w:eastAsia="zh-CN" w:bidi="ar"/>
              </w:rPr>
              <w:t>支持RAID阵列磁盘坏块替换、多错误容忍、磁盘错误修复</w:t>
            </w:r>
            <w:r>
              <w:rPr>
                <w:rFonts w:hint="eastAsia" w:ascii="新宋体" w:hAnsi="新宋体" w:eastAsia="新宋体" w:cs="新宋体"/>
                <w:i w:val="0"/>
                <w:iCs w:val="0"/>
                <w:color w:val="000000"/>
                <w:kern w:val="0"/>
                <w:sz w:val="18"/>
                <w:szCs w:val="18"/>
                <w:u w:val="none"/>
                <w:lang w:val="en-US" w:eastAsia="zh-CN" w:bidi="ar"/>
              </w:rPr>
              <w:br w:type="textWrapping"/>
            </w:r>
            <w:r>
              <w:rPr>
                <w:rFonts w:hint="eastAsia" w:ascii="新宋体" w:hAnsi="新宋体" w:eastAsia="新宋体" w:cs="新宋体"/>
                <w:i w:val="0"/>
                <w:iCs w:val="0"/>
                <w:color w:val="000000"/>
                <w:kern w:val="0"/>
                <w:sz w:val="18"/>
                <w:szCs w:val="18"/>
                <w:u w:val="none"/>
                <w:lang w:val="en-US" w:eastAsia="zh-CN" w:bidi="ar"/>
              </w:rPr>
              <w:t>支持硬件过载保护机制</w:t>
            </w:r>
            <w:r>
              <w:rPr>
                <w:rFonts w:hint="eastAsia" w:ascii="新宋体" w:hAnsi="新宋体" w:eastAsia="新宋体" w:cs="新宋体"/>
                <w:i w:val="0"/>
                <w:iCs w:val="0"/>
                <w:color w:val="000000"/>
                <w:kern w:val="0"/>
                <w:sz w:val="18"/>
                <w:szCs w:val="18"/>
                <w:u w:val="none"/>
                <w:lang w:val="en-US" w:eastAsia="zh-CN" w:bidi="ar"/>
              </w:rPr>
              <w:br w:type="textWrapping"/>
            </w:r>
            <w:r>
              <w:rPr>
                <w:rFonts w:hint="eastAsia" w:ascii="新宋体" w:hAnsi="新宋体" w:eastAsia="新宋体" w:cs="新宋体"/>
                <w:i w:val="0"/>
                <w:iCs w:val="0"/>
                <w:color w:val="000000"/>
                <w:kern w:val="0"/>
                <w:sz w:val="18"/>
                <w:szCs w:val="18"/>
                <w:u w:val="none"/>
                <w:lang w:val="en-US" w:eastAsia="zh-CN" w:bidi="ar"/>
              </w:rPr>
              <w:t>支持风扇多级调速技术</w:t>
            </w:r>
            <w:r>
              <w:rPr>
                <w:rFonts w:hint="eastAsia" w:ascii="新宋体" w:hAnsi="新宋体" w:eastAsia="新宋体" w:cs="新宋体"/>
                <w:i w:val="0"/>
                <w:iCs w:val="0"/>
                <w:color w:val="000000"/>
                <w:kern w:val="0"/>
                <w:sz w:val="18"/>
                <w:szCs w:val="18"/>
                <w:u w:val="none"/>
                <w:lang w:val="en-US" w:eastAsia="zh-CN" w:bidi="ar"/>
              </w:rPr>
              <w:br w:type="textWrapping"/>
            </w:r>
            <w:r>
              <w:rPr>
                <w:rFonts w:hint="eastAsia" w:ascii="新宋体" w:hAnsi="新宋体" w:eastAsia="新宋体" w:cs="新宋体"/>
                <w:i w:val="0"/>
                <w:iCs w:val="0"/>
                <w:color w:val="000000"/>
                <w:kern w:val="0"/>
                <w:sz w:val="18"/>
                <w:szCs w:val="18"/>
                <w:u w:val="none"/>
                <w:lang w:val="en-US" w:eastAsia="zh-CN" w:bidi="ar"/>
              </w:rPr>
              <w:t>支持防尘、防震、防腐蚀</w:t>
            </w:r>
          </w:p>
        </w:tc>
        <w:tc>
          <w:tcPr>
            <w:tcW w:w="63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651"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0" w:hRule="atLeast"/>
        </w:trPr>
        <w:tc>
          <w:tcPr>
            <w:tcW w:w="65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 </w:t>
            </w:r>
          </w:p>
        </w:tc>
        <w:tc>
          <w:tcPr>
            <w:tcW w:w="1201" w:type="dxa"/>
            <w:shd w:val="clear" w:color="auto" w:fill="auto"/>
            <w:noWrap/>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云存储硬盘(18TB*2)</w:t>
            </w:r>
          </w:p>
        </w:tc>
        <w:tc>
          <w:tcPr>
            <w:tcW w:w="6105" w:type="dxa"/>
            <w:shd w:val="clear" w:color="auto" w:fill="auto"/>
            <w:noWrap/>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监控级SATA硬盘：18TB*2</w:t>
            </w:r>
          </w:p>
        </w:tc>
        <w:tc>
          <w:tcPr>
            <w:tcW w:w="63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块</w:t>
            </w:r>
          </w:p>
        </w:tc>
        <w:tc>
          <w:tcPr>
            <w:tcW w:w="651"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0" w:hRule="atLeast"/>
        </w:trPr>
        <w:tc>
          <w:tcPr>
            <w:tcW w:w="65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 </w:t>
            </w:r>
          </w:p>
        </w:tc>
        <w:tc>
          <w:tcPr>
            <w:tcW w:w="1201" w:type="dxa"/>
            <w:shd w:val="clear" w:color="auto" w:fill="auto"/>
            <w:noWrap/>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电池模块</w:t>
            </w:r>
          </w:p>
        </w:tc>
        <w:tc>
          <w:tcPr>
            <w:tcW w:w="6105" w:type="dxa"/>
            <w:shd w:val="clear" w:color="auto" w:fill="auto"/>
            <w:noWrap/>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电池模块</w:t>
            </w:r>
          </w:p>
        </w:tc>
        <w:tc>
          <w:tcPr>
            <w:tcW w:w="63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651"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0" w:hRule="atLeast"/>
        </w:trPr>
        <w:tc>
          <w:tcPr>
            <w:tcW w:w="65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 </w:t>
            </w:r>
          </w:p>
        </w:tc>
        <w:tc>
          <w:tcPr>
            <w:tcW w:w="1201" w:type="dxa"/>
            <w:shd w:val="clear" w:color="auto" w:fill="auto"/>
            <w:noWrap/>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700W电源模块</w:t>
            </w:r>
          </w:p>
        </w:tc>
        <w:tc>
          <w:tcPr>
            <w:tcW w:w="6105" w:type="dxa"/>
            <w:shd w:val="clear" w:color="auto" w:fill="auto"/>
            <w:noWrap/>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700W电源模块</w:t>
            </w:r>
          </w:p>
        </w:tc>
        <w:tc>
          <w:tcPr>
            <w:tcW w:w="63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651"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0" w:hRule="atLeast"/>
        </w:trPr>
        <w:tc>
          <w:tcPr>
            <w:tcW w:w="65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 </w:t>
            </w:r>
          </w:p>
        </w:tc>
        <w:tc>
          <w:tcPr>
            <w:tcW w:w="120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线缆辅材</w:t>
            </w:r>
          </w:p>
        </w:tc>
        <w:tc>
          <w:tcPr>
            <w:tcW w:w="610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含网线、水晶头、电源线、尾纤、信号线、标签、扎带等辅材</w:t>
            </w:r>
          </w:p>
        </w:tc>
        <w:tc>
          <w:tcPr>
            <w:tcW w:w="63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651"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0" w:hRule="atLeast"/>
        </w:trPr>
        <w:tc>
          <w:tcPr>
            <w:tcW w:w="7959" w:type="dxa"/>
            <w:gridSpan w:val="3"/>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四、改造前端部分</w:t>
            </w:r>
          </w:p>
        </w:tc>
        <w:tc>
          <w:tcPr>
            <w:tcW w:w="630" w:type="dxa"/>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651" w:type="dxa"/>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0" w:hRule="atLeast"/>
        </w:trPr>
        <w:tc>
          <w:tcPr>
            <w:tcW w:w="65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0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星光级枪机</w:t>
            </w:r>
          </w:p>
        </w:tc>
        <w:tc>
          <w:tcPr>
            <w:tcW w:w="6105" w:type="dxa"/>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采用≥1/1.8″逐行扫描400万像素图像传感器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具有≥1个RJ45接口、2路报警输入、1路报警输出，1路音频输入、1个TF卡插槽，1路音频输出，1路RS485接口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焦距范围：4/6/8/12mm，定焦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 最低照度：彩色≤0.0005lx、黑白≤0.0001lx。</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 支持120dB光学宽动态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 支持H.265、H.264、MJPEG编码格式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 支持ONVIF、GB/T 28181、GA/T 1400等协议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 支持TF卡热插拔，最大支持≥256GB TF卡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 支持暖光补光灯，补光距离≥30m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 设备支持人脸检测抓拍，可支持不低于40张人脸并发检测，支持抓拍优选，自动筛选出抓拍质量最优的图片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 支持混行检测：支持机动车、非机动车、行人分类检测抓拍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12. 防护等级≥IP67，支持在不低于-30～60℃环境下正常工作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供电方式：DC12V(±25%)、POE；含抱杆支架，DC12V/25W电源适配器，托板和万向节</w:t>
            </w:r>
          </w:p>
        </w:tc>
        <w:tc>
          <w:tcPr>
            <w:tcW w:w="63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651"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0" w:hRule="atLeast"/>
        </w:trPr>
        <w:tc>
          <w:tcPr>
            <w:tcW w:w="65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20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星光级枪机</w:t>
            </w:r>
          </w:p>
        </w:tc>
        <w:tc>
          <w:tcPr>
            <w:tcW w:w="6105" w:type="dxa"/>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采用≥1/1.8″逐行扫描400万像素图像传感器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具有≥1个RJ45接口、2路报警输入、1路报警输出，1路音频输入、1个TF卡插槽，1路音频输出，1路RS485接口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焦距范围：2.8～12mm，电动变焦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 最低照度：彩色≤0.0005lx、黑白≤0.0001lx。</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 支持120dB光学宽动态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 支持H.265、H.264、MJPEG编码格式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 支持ONVIF、GB/T 28181、GA/T 1400等协议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 支持TF卡热插拔，最大支持≥256GB TF卡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 支持暖光补光灯，补光距离≥30m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 设备支持人脸检测抓拍，可支持不低于40张人脸并发检测，支持抓拍优选，自动筛选出抓拍质量最优的图片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 支持混行检测：支持机动车、非机动车、行人分类检测抓拍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12. 防护等级≥IP67，支持在不低于-30～60℃环境下正常工作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供电方式：DC12V(±25%)、POE；含抱杆支架，DC12V/25W电源适配器，托板和万向节</w:t>
            </w:r>
          </w:p>
        </w:tc>
        <w:tc>
          <w:tcPr>
            <w:tcW w:w="63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651"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0" w:hRule="atLeast"/>
        </w:trPr>
        <w:tc>
          <w:tcPr>
            <w:tcW w:w="65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20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星光级球机</w:t>
            </w:r>
          </w:p>
        </w:tc>
        <w:tc>
          <w:tcPr>
            <w:tcW w:w="6105" w:type="dxa"/>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采用≥1/1.8 ”逐行扫描400万像素CMOS图像传感器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支持6-150mm电动变焦，不小于25倍光学变倍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支持最低照度：彩色：≤0.001lx，黑白：≤0.0001lx</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 支持120dB光学宽动态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 支持接口：≥1个RJ45接口、≥1个BNC接口、≥2个报警输入接口、1个报警输出接口、≥1个RS485接口、≥1个音频输入接口、1个音频输出接口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6. 支持红外灯补光，红外补光灯可定时或自动开启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 内置1个SD插槽，支持SD卡热插拔，支持≥256GB SD卡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 支持人脸检测，越界检测、区域入侵、进入区域、离开区域，运动检测、遮挡检测、声音检测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 支持ONVIF、GB/T 28181、GA/T 1400等标准协议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 水平范围：360°，水平速度0.1°/s~240°/s；预置位速度≥240°/s</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 垂直范围：-15°~90°，垂直速度：0.1°~160°/s；预置位速度≥200°/s</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12. 支持不低于256个预置位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13. 供电方式：AC/DC24V±25%，支持过压过流保护</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14. 功耗≤50W，，6KV防雷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15. 工作环境：–40°C ~ 65°C，≤95%RH（相对湿度，无冷凝）</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16. 防护等级不低于IP66</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含电源、球机安装支架（一个球机吊装杆或壁装杆 ），球机连接件</w:t>
            </w:r>
          </w:p>
        </w:tc>
        <w:tc>
          <w:tcPr>
            <w:tcW w:w="63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651"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0" w:hRule="atLeast"/>
        </w:trPr>
        <w:tc>
          <w:tcPr>
            <w:tcW w:w="65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20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配套线缆</w:t>
            </w:r>
          </w:p>
        </w:tc>
        <w:tc>
          <w:tcPr>
            <w:tcW w:w="610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网线STP.CAT-5e、电源线RVV2*1.5及防护套管PVC，标签、扎带等</w:t>
            </w:r>
          </w:p>
        </w:tc>
        <w:tc>
          <w:tcPr>
            <w:tcW w:w="63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651"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0" w:hRule="atLeast"/>
        </w:trPr>
        <w:tc>
          <w:tcPr>
            <w:tcW w:w="7959" w:type="dxa"/>
            <w:gridSpan w:val="3"/>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五、其他</w:t>
            </w:r>
          </w:p>
        </w:tc>
        <w:tc>
          <w:tcPr>
            <w:tcW w:w="630" w:type="dxa"/>
            <w:shd w:val="clear" w:color="auto" w:fill="auto"/>
            <w:noWrap/>
            <w:vAlign w:val="center"/>
          </w:tcPr>
          <w:p>
            <w:pPr>
              <w:rPr>
                <w:rFonts w:hint="eastAsia" w:ascii="宋体" w:hAnsi="宋体" w:eastAsia="宋体" w:cs="宋体"/>
                <w:i w:val="0"/>
                <w:iCs w:val="0"/>
                <w:color w:val="000000"/>
                <w:sz w:val="18"/>
                <w:szCs w:val="18"/>
                <w:u w:val="none"/>
              </w:rPr>
            </w:pPr>
          </w:p>
        </w:tc>
        <w:tc>
          <w:tcPr>
            <w:tcW w:w="651" w:type="dxa"/>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65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0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链路费</w:t>
            </w:r>
          </w:p>
        </w:tc>
        <w:tc>
          <w:tcPr>
            <w:tcW w:w="610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每条每月400元，每年4800元计算</w:t>
            </w:r>
          </w:p>
        </w:tc>
        <w:tc>
          <w:tcPr>
            <w:tcW w:w="63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条</w:t>
            </w:r>
          </w:p>
        </w:tc>
        <w:tc>
          <w:tcPr>
            <w:tcW w:w="65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65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20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IDC主机托管</w:t>
            </w:r>
          </w:p>
        </w:tc>
        <w:tc>
          <w:tcPr>
            <w:tcW w:w="610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2个4U机位</w:t>
            </w:r>
          </w:p>
        </w:tc>
        <w:tc>
          <w:tcPr>
            <w:tcW w:w="63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651"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0" w:hRule="atLeast"/>
        </w:trPr>
        <w:tc>
          <w:tcPr>
            <w:tcW w:w="65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20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施工集成服务</w:t>
            </w:r>
          </w:p>
        </w:tc>
        <w:tc>
          <w:tcPr>
            <w:tcW w:w="6105"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包含前端设备，平台设备，改成部分设备的运输、安装等</w:t>
            </w:r>
          </w:p>
        </w:tc>
        <w:tc>
          <w:tcPr>
            <w:tcW w:w="63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651"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65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20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技术集成服务</w:t>
            </w:r>
          </w:p>
        </w:tc>
        <w:tc>
          <w:tcPr>
            <w:tcW w:w="610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包含摄像机调试，一机一档数据采集，平台设备数据调测等技术服务</w:t>
            </w:r>
          </w:p>
        </w:tc>
        <w:tc>
          <w:tcPr>
            <w:tcW w:w="63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651"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bl>
    <w:p>
      <w:pPr>
        <w:pStyle w:val="2"/>
        <w:jc w:val="both"/>
        <w:rPr>
          <w:rFonts w:hint="eastAsia"/>
        </w:rPr>
      </w:pPr>
    </w:p>
    <w:p>
      <w:pPr>
        <w:spacing w:line="360" w:lineRule="auto"/>
        <w:ind w:firstLine="480" w:firstLineChars="200"/>
        <w:rPr>
          <w:rFonts w:hint="eastAsia" w:ascii="仿宋" w:hAnsi="仿宋" w:eastAsia="仿宋" w:cs="仿宋"/>
          <w:sz w:val="24"/>
          <w:szCs w:val="32"/>
        </w:rPr>
      </w:pPr>
      <w:r>
        <w:rPr>
          <w:rFonts w:hint="eastAsia" w:ascii="仿宋" w:hAnsi="仿宋" w:eastAsia="仿宋" w:cs="仿宋"/>
          <w:sz w:val="24"/>
          <w:szCs w:val="32"/>
        </w:rPr>
        <w:t>标项2：龙盛街片区管委会项目</w:t>
      </w:r>
    </w:p>
    <w:tbl>
      <w:tblPr>
        <w:tblStyle w:val="21"/>
        <w:tblW w:w="879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645"/>
        <w:gridCol w:w="1569"/>
        <w:gridCol w:w="5091"/>
        <w:gridCol w:w="735"/>
        <w:gridCol w:w="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0" w:hRule="atLeast"/>
        </w:trPr>
        <w:tc>
          <w:tcPr>
            <w:tcW w:w="645"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1569"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设备名称</w:t>
            </w:r>
          </w:p>
        </w:tc>
        <w:tc>
          <w:tcPr>
            <w:tcW w:w="5091" w:type="dxa"/>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主要性能指标</w:t>
            </w:r>
          </w:p>
        </w:tc>
        <w:tc>
          <w:tcPr>
            <w:tcW w:w="735"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单位</w:t>
            </w:r>
          </w:p>
        </w:tc>
        <w:tc>
          <w:tcPr>
            <w:tcW w:w="75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240" w:hRule="atLeast"/>
        </w:trPr>
        <w:tc>
          <w:tcPr>
            <w:tcW w:w="7305" w:type="dxa"/>
            <w:gridSpan w:val="3"/>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一、新建前端部分</w:t>
            </w:r>
          </w:p>
        </w:tc>
        <w:tc>
          <w:tcPr>
            <w:tcW w:w="735" w:type="dxa"/>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0" w:type="auto"/>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0" w:hRule="atLeast"/>
        </w:trPr>
        <w:tc>
          <w:tcPr>
            <w:tcW w:w="64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56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星光级枪机</w:t>
            </w:r>
          </w:p>
        </w:tc>
        <w:tc>
          <w:tcPr>
            <w:tcW w:w="5091" w:type="dxa"/>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采用≥1/1.8″逐行扫描400万像素图像传感器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具有≥1个RJ45接口、2路报警输入、1路报警输出，1路音频输入、1个TF卡插槽，1路音频输出，1路RS485接口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焦距范围：4/6/8/12mm，定焦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 最低照度：彩色≤0.0005lx、黑白≤0.0001lx。</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 支持120dB光学宽动态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 支持H.265、H.264、MJPEG编码格式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 支持ONVIF、GB/T 28181、GA/T 1400等协议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 支持TF卡热插拔，最大支持≥256GB TF卡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 支持暖光补光灯，补光距离≥30m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 设备支持人脸检测抓拍，可支持不低于40张人脸并发检测，支持抓拍优选，自动筛选出抓拍质量最优的图片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 支持混行检测：支持机动车、非机动车、行人分类检测抓拍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12. 防护等级≥IP67，支持在不低于-30～60℃环境下正常工作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供电方式：DC12V(±25%)、POE；含抱杆支架，DC12V/25W电源适配器，托板和万向节</w:t>
            </w:r>
          </w:p>
        </w:tc>
        <w:tc>
          <w:tcPr>
            <w:tcW w:w="73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0" w:type="auto"/>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0" w:hRule="atLeast"/>
        </w:trPr>
        <w:tc>
          <w:tcPr>
            <w:tcW w:w="64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56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星光级枪机</w:t>
            </w:r>
          </w:p>
        </w:tc>
        <w:tc>
          <w:tcPr>
            <w:tcW w:w="5091" w:type="dxa"/>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采用≥1/1.8″逐行扫描400万像素图像传感器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具有≥1个RJ45接口、2路报警输入、1路报警输出，1路音频输入、1个TF卡插槽，1路音频输出，1路RS485接口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焦距范围：2.8～12mm，电动变焦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 最低照度：彩色≤0.0005lx、黑白≤0.0001lx。</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 支持120dB光学宽动态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 支持H.265、H.264、MJPEG编码格式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 支持ONVIF、GB/T 28181、GA/T 1400等协议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 支持TF卡热插拔，最大支持≥256GB TF卡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 支持暖光补光灯，补光距离≥30m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 设备支持人脸检测抓拍，可支持不低于40张人脸并发检测，支持抓拍优选，自动筛选出抓拍质量最优的图片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 支持混行检测：支持机动车、非机动车、行人分类检测抓拍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12. 防护等级≥IP67，支持在不低于-30～60℃环境下正常工作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供电方式：DC12V(±25%)、POE；含抱杆支架，DC12V/25W电源适配器，托板和万向节</w:t>
            </w:r>
          </w:p>
        </w:tc>
        <w:tc>
          <w:tcPr>
            <w:tcW w:w="73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0" w:type="auto"/>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0" w:hRule="atLeast"/>
        </w:trPr>
        <w:tc>
          <w:tcPr>
            <w:tcW w:w="64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56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星光级球机</w:t>
            </w:r>
          </w:p>
        </w:tc>
        <w:tc>
          <w:tcPr>
            <w:tcW w:w="5091" w:type="dxa"/>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采用≥1/1.8 ”逐行扫描400万像素CMOS图像传感器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支持6-150mm电动变焦，不小于25倍光学变倍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支持最低照度：彩色：≤0.001lx，黑白：≤0.0001lx</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 支持120dB光学宽动态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 支持接口：≥1个RJ45接口、≥1个BNC接口、≥2个报警输入接口、1个报警输出接口、≥1个RS485接口、≥1个音频输入接口、1个音频输出接口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6. 支持红外灯补光，红外补光灯可定时或自动开启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 内置1个SD插槽，支持SD卡热插拔，支持≥256GB SD卡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 支持人脸检测，越界检测、区域入侵、进入区域、离开区域，运动检测、遮挡检测、声音检测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 支持ONVIF、GB/T 28181、GA/T 1400等标准协议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 水平范围：360°，水平速度0.1°/s~240°/s；预置位速度≥240°/s</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 垂直范围：-15°~90°，垂直速度：0.1°~160°/s；预置位速度≥200°/s</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12. 支持不低于256个预置位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13. 供电方式：AC/DC24V±25%，支持过压过流保护</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14. 功耗≤50W，，6KV防雷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15. 工作环境：–40°C ~ 65°C，≤95%RH（相对湿度，无冷凝）</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16. 防护等级不低于IP66</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含电源、球机安装支架（一个球机吊装杆或壁装杆 ），球机连接件</w:t>
            </w:r>
          </w:p>
        </w:tc>
        <w:tc>
          <w:tcPr>
            <w:tcW w:w="73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0" w:type="auto"/>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0" w:hRule="atLeast"/>
        </w:trPr>
        <w:tc>
          <w:tcPr>
            <w:tcW w:w="64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56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监控箱</w:t>
            </w:r>
          </w:p>
        </w:tc>
        <w:tc>
          <w:tcPr>
            <w:tcW w:w="5091" w:type="dxa"/>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设备箱具备防雨、防尘、通风散热、抗紫外线（耐老化）、防盗、防锈；箱体采用≥1.2mm镀锌板，箱体尺寸（含雨帽）≥430(宽)*535(高)*220(深)mm，≥380(宽)*500(高)*200(深)mm（不含雨帽）；箱体工作温度范围-40℃～85℃，工作湿度≤90%RH，工作电压范围AC75～AC280V，外壳防护等级≥IP65，机械碰撞防护等级≥IK08，盐雾测试≥120小时；箱体内部预置可移动托板；整机一体化设计，内部集成控制终端、空开、电源防雷器、5位五孔插座、1路补光灯AC220V远程可控端子、DC12V风扇、1路RS485接口、1路RS232接口、2路IO告警输出、3路干接点输入（1路预留给箱门，1路预留给防雷器）、1路DC12V和1路DC5C（预留给网络传输设备）；具有≥4路AC220V输出，支持独立每路电压、电流检测、远程控制、实时发送每路电压电流值到客户端显示，支持通过客户端实时监测设备输出是否断电，并在客户端界面提示告警；支持供电电压、电流、功率、电量监测，可通过客户端显示，当供电断开时，提示供电异常告警；可通过客户端软件显示设备的实时功率和累计用电电量和电费统计数值；具有检测过压、欠压、过流，支持过压、欠压、过流、低载联动关闭指定输出接口；支持手动开启学习接入设备的功率，在当前设备的功率基础上接入其他设备时，自动关闭供电输出，并且客户端提示非法取电告警；支持在不使用外部蓄电池情况下，通过客户端实时监测设备供电电源，并在客户端提示设备供电电源掉电告警；可通过客户端显示摄像机工作状态并设置定时/手动开启，当接入的摄像机断电或网络断开时，可通过客户端提示告警，支持≥8路外接摄像机状态检测，支持在客户端内实现外接摄像机视频图像播放；可通过WEB及客户端显示交换机工作状态，可设置定时/手动重启、重启次数和时间，当网络传输断开时，可自动进行重启网络传输设备电源；支持多路补光灯检测，能够区分补光灯白天异常亮起和晚上无法开启，支持补光灯功率自学习功能，可设置定时/手动开启电源，支持≥4个时间段的分时控制；支持箱内实时温度、湿度、防雷状态、风扇工作状态检测，支持风扇故障监测和告警，支持风扇单次运行时间统计和总运行时间统计；支持通过客户端显示箱门开关状态，可设置箱门布防撤防,超过设定时间可自动布防，布防状态下箱门开启，客户端提示告警；支持箱门打开后，联动球机转向监控箱位置录像，可配置开始球机转动时间和停留录像时长；支持通过WEB直接查看实时数据、配置IP地址、客户端地址、传输模式、进行远程固件升级,支持IP地址冲突提示、MAC地址冲突提示；支持设备一机一档信息记录，包含设备名称、编号、国标编码、安装时间、品牌、类型、安装时间、质保期、到期时间等；支持设置设备运维、网络运维、电力运维，并生成考核计费报表，支持设置考核标准、考核申诉；支持通过时间、品牌等条件对外接摄像机故障率、在线率以柱状图或折线图展示统计报表；支持自动派单和手动派单，工单记录故障产生时间、派单时间及修复时长等信息；支持设置各类告警的告警等级；支持设置不同告警的处理时效。</w:t>
            </w:r>
          </w:p>
        </w:tc>
        <w:tc>
          <w:tcPr>
            <w:tcW w:w="73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0" w:type="auto"/>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0" w:hRule="atLeast"/>
        </w:trPr>
        <w:tc>
          <w:tcPr>
            <w:tcW w:w="64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56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配套线缆</w:t>
            </w:r>
          </w:p>
        </w:tc>
        <w:tc>
          <w:tcPr>
            <w:tcW w:w="5091"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网线STP.CAT-5e、电源线RVV2*1.5及防护套管PVC，标签、扎带等</w:t>
            </w:r>
          </w:p>
        </w:tc>
        <w:tc>
          <w:tcPr>
            <w:tcW w:w="73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0" w:type="auto"/>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0" w:hRule="atLeast"/>
        </w:trPr>
        <w:tc>
          <w:tcPr>
            <w:tcW w:w="64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56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五金配件</w:t>
            </w:r>
          </w:p>
        </w:tc>
        <w:tc>
          <w:tcPr>
            <w:tcW w:w="5091"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螺丝、连接件、抱箍、钢丝绳、吊卡等　</w:t>
            </w:r>
          </w:p>
        </w:tc>
        <w:tc>
          <w:tcPr>
            <w:tcW w:w="73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批</w:t>
            </w:r>
          </w:p>
        </w:tc>
        <w:tc>
          <w:tcPr>
            <w:tcW w:w="0" w:type="auto"/>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0" w:hRule="atLeast"/>
        </w:trPr>
        <w:tc>
          <w:tcPr>
            <w:tcW w:w="64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56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金属立杆</w:t>
            </w:r>
          </w:p>
        </w:tc>
        <w:tc>
          <w:tcPr>
            <w:tcW w:w="5091"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直径165mm高3米/壁厚4.5mm（热镀锌，表面喷塑）</w:t>
            </w:r>
          </w:p>
        </w:tc>
        <w:tc>
          <w:tcPr>
            <w:tcW w:w="73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w:t>
            </w:r>
          </w:p>
        </w:tc>
        <w:tc>
          <w:tcPr>
            <w:tcW w:w="0" w:type="auto"/>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0" w:hRule="atLeast"/>
        </w:trPr>
        <w:tc>
          <w:tcPr>
            <w:tcW w:w="64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56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金属立杆</w:t>
            </w:r>
          </w:p>
        </w:tc>
        <w:tc>
          <w:tcPr>
            <w:tcW w:w="5091"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直径165mm高4米/壁厚4.5mm（热镀锌，表面喷塑）</w:t>
            </w:r>
          </w:p>
        </w:tc>
        <w:tc>
          <w:tcPr>
            <w:tcW w:w="73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w:t>
            </w:r>
          </w:p>
        </w:tc>
        <w:tc>
          <w:tcPr>
            <w:tcW w:w="0" w:type="auto"/>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0" w:hRule="atLeast"/>
        </w:trPr>
        <w:tc>
          <w:tcPr>
            <w:tcW w:w="64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56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金属立杆</w:t>
            </w:r>
          </w:p>
        </w:tc>
        <w:tc>
          <w:tcPr>
            <w:tcW w:w="5091"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直径165mm高6米/壁厚4.5mm（热镀锌，表面喷塑）</w:t>
            </w:r>
          </w:p>
        </w:tc>
        <w:tc>
          <w:tcPr>
            <w:tcW w:w="73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w:t>
            </w:r>
          </w:p>
        </w:tc>
        <w:tc>
          <w:tcPr>
            <w:tcW w:w="0" w:type="auto"/>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0" w:hRule="atLeast"/>
        </w:trPr>
        <w:tc>
          <w:tcPr>
            <w:tcW w:w="64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56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金属立杆</w:t>
            </w:r>
          </w:p>
        </w:tc>
        <w:tc>
          <w:tcPr>
            <w:tcW w:w="5091"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直径219mm高6米/壁厚5.5mm（热镀锌，表面喷塑）</w:t>
            </w:r>
          </w:p>
        </w:tc>
        <w:tc>
          <w:tcPr>
            <w:tcW w:w="73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w:t>
            </w:r>
          </w:p>
        </w:tc>
        <w:tc>
          <w:tcPr>
            <w:tcW w:w="0" w:type="auto"/>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0" w:hRule="atLeast"/>
        </w:trPr>
        <w:tc>
          <w:tcPr>
            <w:tcW w:w="64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156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横臂</w:t>
            </w:r>
          </w:p>
        </w:tc>
        <w:tc>
          <w:tcPr>
            <w:tcW w:w="5091"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锥型杆，1米横臂：管径80/150（厚3.0mm）</w:t>
            </w:r>
          </w:p>
        </w:tc>
        <w:tc>
          <w:tcPr>
            <w:tcW w:w="73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w:t>
            </w:r>
          </w:p>
        </w:tc>
        <w:tc>
          <w:tcPr>
            <w:tcW w:w="0" w:type="auto"/>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0" w:hRule="atLeast"/>
        </w:trPr>
        <w:tc>
          <w:tcPr>
            <w:tcW w:w="64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56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横臂</w:t>
            </w:r>
          </w:p>
        </w:tc>
        <w:tc>
          <w:tcPr>
            <w:tcW w:w="5091"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锥型杆，2米横臂：管径80/150（厚5.0mm）</w:t>
            </w:r>
          </w:p>
        </w:tc>
        <w:tc>
          <w:tcPr>
            <w:tcW w:w="73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w:t>
            </w:r>
          </w:p>
        </w:tc>
        <w:tc>
          <w:tcPr>
            <w:tcW w:w="0" w:type="auto"/>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0" w:hRule="atLeast"/>
        </w:trPr>
        <w:tc>
          <w:tcPr>
            <w:tcW w:w="64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156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横臂</w:t>
            </w:r>
          </w:p>
        </w:tc>
        <w:tc>
          <w:tcPr>
            <w:tcW w:w="5091"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锥型杆，3米横臂：管径80/150（厚3.0mm）</w:t>
            </w:r>
          </w:p>
        </w:tc>
        <w:tc>
          <w:tcPr>
            <w:tcW w:w="73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w:t>
            </w:r>
          </w:p>
        </w:tc>
        <w:tc>
          <w:tcPr>
            <w:tcW w:w="0" w:type="auto"/>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0" w:hRule="atLeast"/>
        </w:trPr>
        <w:tc>
          <w:tcPr>
            <w:tcW w:w="64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156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横臂</w:t>
            </w:r>
          </w:p>
        </w:tc>
        <w:tc>
          <w:tcPr>
            <w:tcW w:w="5091"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锥型杆，4米横臂：管径100/150（厚5.0mm）</w:t>
            </w:r>
          </w:p>
        </w:tc>
        <w:tc>
          <w:tcPr>
            <w:tcW w:w="73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w:t>
            </w:r>
          </w:p>
        </w:tc>
        <w:tc>
          <w:tcPr>
            <w:tcW w:w="0" w:type="auto"/>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0" w:hRule="atLeast"/>
        </w:trPr>
        <w:tc>
          <w:tcPr>
            <w:tcW w:w="64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56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横臂</w:t>
            </w:r>
          </w:p>
        </w:tc>
        <w:tc>
          <w:tcPr>
            <w:tcW w:w="5091"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锥型杆，5米横臂：管径100/180（厚5.0mm）</w:t>
            </w:r>
          </w:p>
        </w:tc>
        <w:tc>
          <w:tcPr>
            <w:tcW w:w="73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w:t>
            </w:r>
          </w:p>
        </w:tc>
        <w:tc>
          <w:tcPr>
            <w:tcW w:w="0" w:type="auto"/>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0" w:hRule="atLeast"/>
        </w:trPr>
        <w:tc>
          <w:tcPr>
            <w:tcW w:w="64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156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横臂</w:t>
            </w:r>
          </w:p>
        </w:tc>
        <w:tc>
          <w:tcPr>
            <w:tcW w:w="5091"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锥型杆，6米横臂：管径100/180（厚5.0mm）</w:t>
            </w:r>
          </w:p>
        </w:tc>
        <w:tc>
          <w:tcPr>
            <w:tcW w:w="73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w:t>
            </w:r>
          </w:p>
        </w:tc>
        <w:tc>
          <w:tcPr>
            <w:tcW w:w="0" w:type="auto"/>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0" w:hRule="atLeast"/>
        </w:trPr>
        <w:tc>
          <w:tcPr>
            <w:tcW w:w="64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156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横臂</w:t>
            </w:r>
          </w:p>
        </w:tc>
        <w:tc>
          <w:tcPr>
            <w:tcW w:w="5091"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直杆，2米横臂：管径89（厚4.0mm）</w:t>
            </w:r>
          </w:p>
        </w:tc>
        <w:tc>
          <w:tcPr>
            <w:tcW w:w="73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w:t>
            </w:r>
          </w:p>
        </w:tc>
        <w:tc>
          <w:tcPr>
            <w:tcW w:w="0" w:type="auto"/>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0" w:hRule="atLeast"/>
        </w:trPr>
        <w:tc>
          <w:tcPr>
            <w:tcW w:w="64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156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横臂</w:t>
            </w:r>
          </w:p>
        </w:tc>
        <w:tc>
          <w:tcPr>
            <w:tcW w:w="5091"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直杆，3米横臂：管径89（厚4.0mm）</w:t>
            </w:r>
          </w:p>
        </w:tc>
        <w:tc>
          <w:tcPr>
            <w:tcW w:w="73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w:t>
            </w:r>
          </w:p>
        </w:tc>
        <w:tc>
          <w:tcPr>
            <w:tcW w:w="0" w:type="auto"/>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0" w:hRule="atLeast"/>
        </w:trPr>
        <w:tc>
          <w:tcPr>
            <w:tcW w:w="64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156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抱箍支臂</w:t>
            </w:r>
          </w:p>
        </w:tc>
        <w:tc>
          <w:tcPr>
            <w:tcW w:w="5091"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直杆，1米，管径65（厚3.5mm）</w:t>
            </w:r>
          </w:p>
        </w:tc>
        <w:tc>
          <w:tcPr>
            <w:tcW w:w="73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w:t>
            </w:r>
          </w:p>
        </w:tc>
        <w:tc>
          <w:tcPr>
            <w:tcW w:w="0" w:type="auto"/>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0" w:hRule="atLeast"/>
        </w:trPr>
        <w:tc>
          <w:tcPr>
            <w:tcW w:w="64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56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抱箍支臂</w:t>
            </w:r>
          </w:p>
        </w:tc>
        <w:tc>
          <w:tcPr>
            <w:tcW w:w="5091"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直杆，2米，管径65（厚3.5mm）</w:t>
            </w:r>
          </w:p>
        </w:tc>
        <w:tc>
          <w:tcPr>
            <w:tcW w:w="73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w:t>
            </w:r>
          </w:p>
        </w:tc>
        <w:tc>
          <w:tcPr>
            <w:tcW w:w="0" w:type="auto"/>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0" w:hRule="atLeast"/>
        </w:trPr>
        <w:tc>
          <w:tcPr>
            <w:tcW w:w="64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156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抱箍支臂</w:t>
            </w:r>
          </w:p>
        </w:tc>
        <w:tc>
          <w:tcPr>
            <w:tcW w:w="5091"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直杆，3米，管径65（厚3.5mm）</w:t>
            </w:r>
          </w:p>
        </w:tc>
        <w:tc>
          <w:tcPr>
            <w:tcW w:w="73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w:t>
            </w:r>
          </w:p>
        </w:tc>
        <w:tc>
          <w:tcPr>
            <w:tcW w:w="0" w:type="auto"/>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0" w:hRule="atLeast"/>
        </w:trPr>
        <w:tc>
          <w:tcPr>
            <w:tcW w:w="64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156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抱箍支臂</w:t>
            </w:r>
          </w:p>
        </w:tc>
        <w:tc>
          <w:tcPr>
            <w:tcW w:w="5091"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直杆，4米，管径65（厚3.5mm）</w:t>
            </w:r>
          </w:p>
        </w:tc>
        <w:tc>
          <w:tcPr>
            <w:tcW w:w="73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w:t>
            </w:r>
          </w:p>
        </w:tc>
        <w:tc>
          <w:tcPr>
            <w:tcW w:w="0" w:type="auto"/>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0" w:hRule="atLeast"/>
        </w:trPr>
        <w:tc>
          <w:tcPr>
            <w:tcW w:w="64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156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墙装支臂</w:t>
            </w:r>
          </w:p>
        </w:tc>
        <w:tc>
          <w:tcPr>
            <w:tcW w:w="5091"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直杆，1米，管径65（厚3.5mm）</w:t>
            </w:r>
          </w:p>
        </w:tc>
        <w:tc>
          <w:tcPr>
            <w:tcW w:w="73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w:t>
            </w:r>
          </w:p>
        </w:tc>
        <w:tc>
          <w:tcPr>
            <w:tcW w:w="0" w:type="auto"/>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0" w:hRule="atLeast"/>
        </w:trPr>
        <w:tc>
          <w:tcPr>
            <w:tcW w:w="64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156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墙装支臂</w:t>
            </w:r>
          </w:p>
        </w:tc>
        <w:tc>
          <w:tcPr>
            <w:tcW w:w="5091"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直杆，2米，管径65（厚3.5mm）</w:t>
            </w:r>
          </w:p>
        </w:tc>
        <w:tc>
          <w:tcPr>
            <w:tcW w:w="73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w:t>
            </w:r>
          </w:p>
        </w:tc>
        <w:tc>
          <w:tcPr>
            <w:tcW w:w="0" w:type="auto"/>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0" w:hRule="atLeast"/>
        </w:trPr>
        <w:tc>
          <w:tcPr>
            <w:tcW w:w="64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156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立杆底座</w:t>
            </w:r>
          </w:p>
        </w:tc>
        <w:tc>
          <w:tcPr>
            <w:tcW w:w="5091"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直径165基坑尺寸1000*1000*1100（地下埋深）、含预埋件、防雷接地</w:t>
            </w:r>
          </w:p>
        </w:tc>
        <w:tc>
          <w:tcPr>
            <w:tcW w:w="73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处</w:t>
            </w:r>
          </w:p>
        </w:tc>
        <w:tc>
          <w:tcPr>
            <w:tcW w:w="0" w:type="auto"/>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0" w:hRule="atLeast"/>
        </w:trPr>
        <w:tc>
          <w:tcPr>
            <w:tcW w:w="64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156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立杆底座</w:t>
            </w:r>
          </w:p>
        </w:tc>
        <w:tc>
          <w:tcPr>
            <w:tcW w:w="5091"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直径219基坑尺寸1200*1200*1600（地下埋深）、含预埋件、防雷接地</w:t>
            </w:r>
          </w:p>
        </w:tc>
        <w:tc>
          <w:tcPr>
            <w:tcW w:w="73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处</w:t>
            </w:r>
          </w:p>
        </w:tc>
        <w:tc>
          <w:tcPr>
            <w:tcW w:w="0" w:type="auto"/>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0" w:hRule="atLeast"/>
        </w:trPr>
        <w:tc>
          <w:tcPr>
            <w:tcW w:w="7305" w:type="dxa"/>
            <w:gridSpan w:val="3"/>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二、电力部分</w:t>
            </w:r>
          </w:p>
        </w:tc>
        <w:tc>
          <w:tcPr>
            <w:tcW w:w="735" w:type="dxa"/>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64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56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电网国家电表接入费</w:t>
            </w:r>
          </w:p>
        </w:tc>
        <w:tc>
          <w:tcPr>
            <w:tcW w:w="5091"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包含满足国家电网接入电表等相关配套的技术服务</w:t>
            </w:r>
          </w:p>
        </w:tc>
        <w:tc>
          <w:tcPr>
            <w:tcW w:w="73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0" w:type="auto"/>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64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56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利旧点位电力接入及检测费</w:t>
            </w:r>
          </w:p>
        </w:tc>
        <w:tc>
          <w:tcPr>
            <w:tcW w:w="5091" w:type="dxa"/>
            <w:shd w:val="clear" w:color="auto" w:fill="auto"/>
            <w:vAlign w:val="center"/>
          </w:tcPr>
          <w:p>
            <w:pPr>
              <w:keepNext w:val="0"/>
              <w:keepLines w:val="0"/>
              <w:widowControl/>
              <w:suppressLineNumbers w:val="0"/>
              <w:jc w:val="left"/>
              <w:textAlignment w:val="center"/>
              <w:rPr>
                <w:rFonts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点位电力接入及检测费</w:t>
            </w:r>
          </w:p>
        </w:tc>
        <w:tc>
          <w:tcPr>
            <w:tcW w:w="73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处</w:t>
            </w:r>
          </w:p>
        </w:tc>
        <w:tc>
          <w:tcPr>
            <w:tcW w:w="0" w:type="auto"/>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0" w:hRule="atLeast"/>
        </w:trPr>
        <w:tc>
          <w:tcPr>
            <w:tcW w:w="64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56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新建点位电力接入及检测费</w:t>
            </w:r>
          </w:p>
        </w:tc>
        <w:tc>
          <w:tcPr>
            <w:tcW w:w="5091" w:type="dxa"/>
            <w:shd w:val="clear" w:color="auto" w:fill="auto"/>
            <w:vAlign w:val="center"/>
          </w:tcPr>
          <w:p>
            <w:pPr>
              <w:keepNext w:val="0"/>
              <w:keepLines w:val="0"/>
              <w:widowControl/>
              <w:suppressLineNumbers w:val="0"/>
              <w:jc w:val="left"/>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电力接入及检测费</w:t>
            </w:r>
          </w:p>
        </w:tc>
        <w:tc>
          <w:tcPr>
            <w:tcW w:w="73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处</w:t>
            </w:r>
          </w:p>
        </w:tc>
        <w:tc>
          <w:tcPr>
            <w:tcW w:w="0" w:type="auto"/>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0" w:hRule="atLeast"/>
        </w:trPr>
        <w:tc>
          <w:tcPr>
            <w:tcW w:w="64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569" w:type="dxa"/>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电缆施工费用1</w:t>
            </w:r>
          </w:p>
        </w:tc>
        <w:tc>
          <w:tcPr>
            <w:tcW w:w="5091" w:type="dxa"/>
            <w:shd w:val="clear" w:color="auto" w:fill="auto"/>
            <w:vAlign w:val="center"/>
          </w:tcPr>
          <w:p>
            <w:pPr>
              <w:keepNext w:val="0"/>
              <w:keepLines w:val="0"/>
              <w:widowControl/>
              <w:suppressLineNumbers w:val="0"/>
              <w:jc w:val="left"/>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沿管道穿线含所需电源线RVV3*2.5、YJV3*4、YJV3*6施工费用</w:t>
            </w:r>
          </w:p>
        </w:tc>
        <w:tc>
          <w:tcPr>
            <w:tcW w:w="735" w:type="dxa"/>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米</w:t>
            </w:r>
          </w:p>
        </w:tc>
        <w:tc>
          <w:tcPr>
            <w:tcW w:w="0" w:type="auto"/>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trPr>
        <w:tc>
          <w:tcPr>
            <w:tcW w:w="64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569" w:type="dxa"/>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电缆施工费用2</w:t>
            </w:r>
          </w:p>
        </w:tc>
        <w:tc>
          <w:tcPr>
            <w:tcW w:w="5091" w:type="dxa"/>
            <w:shd w:val="clear" w:color="auto" w:fill="auto"/>
            <w:vAlign w:val="center"/>
          </w:tcPr>
          <w:p>
            <w:pPr>
              <w:keepNext w:val="0"/>
              <w:keepLines w:val="0"/>
              <w:widowControl/>
              <w:suppressLineNumbers w:val="0"/>
              <w:jc w:val="left"/>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沿墙钉固含所需电源线RVV3*2.5、YJV3*4、YJV3*6费用、PVC穿线管、卡子等材料和施费用</w:t>
            </w:r>
          </w:p>
        </w:tc>
        <w:tc>
          <w:tcPr>
            <w:tcW w:w="735" w:type="dxa"/>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米</w:t>
            </w:r>
          </w:p>
        </w:tc>
        <w:tc>
          <w:tcPr>
            <w:tcW w:w="0" w:type="auto"/>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64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569" w:type="dxa"/>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电缆施工费用3</w:t>
            </w:r>
          </w:p>
        </w:tc>
        <w:tc>
          <w:tcPr>
            <w:tcW w:w="5091" w:type="dxa"/>
            <w:shd w:val="clear" w:color="auto" w:fill="auto"/>
            <w:vAlign w:val="center"/>
          </w:tcPr>
          <w:p>
            <w:pPr>
              <w:keepNext w:val="0"/>
              <w:keepLines w:val="0"/>
              <w:widowControl/>
              <w:suppressLineNumbers w:val="0"/>
              <w:jc w:val="left"/>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道路（大理石、油路花砖等）、绿化带等开挖、回填、PE穿线管、电源线RVV3*2.5、YJV3*4、YJV3*6等施工费用</w:t>
            </w:r>
          </w:p>
        </w:tc>
        <w:tc>
          <w:tcPr>
            <w:tcW w:w="735" w:type="dxa"/>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米</w:t>
            </w:r>
          </w:p>
        </w:tc>
        <w:tc>
          <w:tcPr>
            <w:tcW w:w="0" w:type="auto"/>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0" w:hRule="atLeast"/>
        </w:trPr>
        <w:tc>
          <w:tcPr>
            <w:tcW w:w="7305" w:type="dxa"/>
            <w:gridSpan w:val="3"/>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三、新建平台部分</w:t>
            </w:r>
          </w:p>
        </w:tc>
        <w:tc>
          <w:tcPr>
            <w:tcW w:w="735" w:type="dxa"/>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0" w:type="auto"/>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0" w:hRule="atLeast"/>
        </w:trPr>
        <w:tc>
          <w:tcPr>
            <w:tcW w:w="64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 </w:t>
            </w:r>
          </w:p>
        </w:tc>
        <w:tc>
          <w:tcPr>
            <w:tcW w:w="1569" w:type="dxa"/>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48盘位云存储设备</w:t>
            </w:r>
          </w:p>
        </w:tc>
        <w:tc>
          <w:tcPr>
            <w:tcW w:w="5091" w:type="dxa"/>
            <w:shd w:val="clear" w:color="auto" w:fill="auto"/>
            <w:vAlign w:val="center"/>
          </w:tcPr>
          <w:p>
            <w:pPr>
              <w:keepNext w:val="0"/>
              <w:keepLines w:val="0"/>
              <w:widowControl/>
              <w:suppressLineNumbers w:val="0"/>
              <w:jc w:val="left"/>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48盘位视频监控云存储节点：单控制器</w:t>
            </w:r>
            <w:r>
              <w:rPr>
                <w:rFonts w:hint="eastAsia" w:ascii="新宋体" w:hAnsi="新宋体" w:eastAsia="新宋体" w:cs="新宋体"/>
                <w:i w:val="0"/>
                <w:iCs w:val="0"/>
                <w:color w:val="000000"/>
                <w:kern w:val="0"/>
                <w:sz w:val="18"/>
                <w:szCs w:val="18"/>
                <w:u w:val="none"/>
                <w:lang w:val="en-US" w:eastAsia="zh-CN" w:bidi="ar"/>
              </w:rPr>
              <w:br w:type="textWrapping"/>
            </w:r>
            <w:r>
              <w:rPr>
                <w:rFonts w:hint="eastAsia" w:ascii="新宋体" w:hAnsi="新宋体" w:eastAsia="新宋体" w:cs="新宋体"/>
                <w:i w:val="0"/>
                <w:iCs w:val="0"/>
                <w:color w:val="000000"/>
                <w:kern w:val="0"/>
                <w:sz w:val="18"/>
                <w:szCs w:val="18"/>
                <w:u w:val="none"/>
                <w:lang w:val="en-US" w:eastAsia="zh-CN" w:bidi="ar"/>
              </w:rPr>
              <w:t>磁盘通道数：48</w:t>
            </w:r>
            <w:r>
              <w:rPr>
                <w:rFonts w:hint="eastAsia" w:ascii="新宋体" w:hAnsi="新宋体" w:eastAsia="新宋体" w:cs="新宋体"/>
                <w:i w:val="0"/>
                <w:iCs w:val="0"/>
                <w:color w:val="000000"/>
                <w:kern w:val="0"/>
                <w:sz w:val="18"/>
                <w:szCs w:val="18"/>
                <w:u w:val="none"/>
                <w:lang w:val="en-US" w:eastAsia="zh-CN" w:bidi="ar"/>
              </w:rPr>
              <w:br w:type="textWrapping"/>
            </w:r>
            <w:r>
              <w:rPr>
                <w:rFonts w:hint="eastAsia" w:ascii="新宋体" w:hAnsi="新宋体" w:eastAsia="新宋体" w:cs="新宋体"/>
                <w:i w:val="0"/>
                <w:iCs w:val="0"/>
                <w:color w:val="000000"/>
                <w:kern w:val="0"/>
                <w:sz w:val="18"/>
                <w:szCs w:val="18"/>
                <w:u w:val="none"/>
                <w:lang w:val="en-US" w:eastAsia="zh-CN" w:bidi="ar"/>
              </w:rPr>
              <w:t>电源模块：交流电源</w:t>
            </w:r>
            <w:r>
              <w:rPr>
                <w:rFonts w:hint="eastAsia" w:ascii="新宋体" w:hAnsi="新宋体" w:eastAsia="新宋体" w:cs="新宋体"/>
                <w:i w:val="0"/>
                <w:iCs w:val="0"/>
                <w:color w:val="000000"/>
                <w:kern w:val="0"/>
                <w:sz w:val="18"/>
                <w:szCs w:val="18"/>
                <w:u w:val="none"/>
                <w:lang w:val="en-US" w:eastAsia="zh-CN" w:bidi="ar"/>
              </w:rPr>
              <w:br w:type="textWrapping"/>
            </w:r>
            <w:r>
              <w:rPr>
                <w:rFonts w:hint="eastAsia" w:ascii="新宋体" w:hAnsi="新宋体" w:eastAsia="新宋体" w:cs="新宋体"/>
                <w:i w:val="0"/>
                <w:iCs w:val="0"/>
                <w:color w:val="000000"/>
                <w:kern w:val="0"/>
                <w:sz w:val="18"/>
                <w:szCs w:val="18"/>
                <w:u w:val="none"/>
                <w:lang w:val="en-US" w:eastAsia="zh-CN" w:bidi="ar"/>
              </w:rPr>
              <w:t>网络接口：5个千兆以太网接口</w:t>
            </w:r>
            <w:r>
              <w:rPr>
                <w:rFonts w:hint="eastAsia" w:ascii="新宋体" w:hAnsi="新宋体" w:eastAsia="新宋体" w:cs="新宋体"/>
                <w:i w:val="0"/>
                <w:iCs w:val="0"/>
                <w:color w:val="000000"/>
                <w:kern w:val="0"/>
                <w:sz w:val="18"/>
                <w:szCs w:val="18"/>
                <w:u w:val="none"/>
                <w:lang w:val="en-US" w:eastAsia="zh-CN" w:bidi="ar"/>
              </w:rPr>
              <w:br w:type="textWrapping"/>
            </w:r>
            <w:r>
              <w:rPr>
                <w:rFonts w:hint="eastAsia" w:ascii="新宋体" w:hAnsi="新宋体" w:eastAsia="新宋体" w:cs="新宋体"/>
                <w:i w:val="0"/>
                <w:iCs w:val="0"/>
                <w:color w:val="000000"/>
                <w:kern w:val="0"/>
                <w:sz w:val="18"/>
                <w:szCs w:val="18"/>
                <w:u w:val="none"/>
                <w:lang w:val="en-US" w:eastAsia="zh-CN" w:bidi="ar"/>
              </w:rPr>
              <w:t>性能：512路2M块直存、51路回放</w:t>
            </w:r>
            <w:r>
              <w:rPr>
                <w:rFonts w:hint="eastAsia" w:ascii="新宋体" w:hAnsi="新宋体" w:eastAsia="新宋体" w:cs="新宋体"/>
                <w:i w:val="0"/>
                <w:iCs w:val="0"/>
                <w:color w:val="000000"/>
                <w:kern w:val="0"/>
                <w:sz w:val="18"/>
                <w:szCs w:val="18"/>
                <w:u w:val="none"/>
                <w:lang w:val="en-US" w:eastAsia="zh-CN" w:bidi="ar"/>
              </w:rPr>
              <w:br w:type="textWrapping"/>
            </w:r>
            <w:r>
              <w:rPr>
                <w:rFonts w:hint="eastAsia" w:ascii="新宋体" w:hAnsi="新宋体" w:eastAsia="新宋体" w:cs="新宋体"/>
                <w:i w:val="0"/>
                <w:iCs w:val="0"/>
                <w:color w:val="000000"/>
                <w:kern w:val="0"/>
                <w:sz w:val="18"/>
                <w:szCs w:val="18"/>
                <w:u w:val="none"/>
                <w:lang w:val="en-US" w:eastAsia="zh-CN" w:bidi="ar"/>
              </w:rPr>
              <w:t>384路2M流直存，38路回放</w:t>
            </w:r>
            <w:r>
              <w:rPr>
                <w:rFonts w:hint="eastAsia" w:ascii="新宋体" w:hAnsi="新宋体" w:eastAsia="新宋体" w:cs="新宋体"/>
                <w:i w:val="0"/>
                <w:iCs w:val="0"/>
                <w:color w:val="000000"/>
                <w:kern w:val="0"/>
                <w:sz w:val="18"/>
                <w:szCs w:val="18"/>
                <w:u w:val="none"/>
                <w:lang w:val="en-US" w:eastAsia="zh-CN" w:bidi="ar"/>
              </w:rPr>
              <w:br w:type="textWrapping"/>
            </w:r>
            <w:r>
              <w:rPr>
                <w:rFonts w:hint="eastAsia" w:ascii="新宋体" w:hAnsi="新宋体" w:eastAsia="新宋体" w:cs="新宋体"/>
                <w:i w:val="0"/>
                <w:iCs w:val="0"/>
                <w:color w:val="000000"/>
                <w:kern w:val="0"/>
                <w:sz w:val="18"/>
                <w:szCs w:val="18"/>
                <w:u w:val="none"/>
                <w:lang w:val="en-US" w:eastAsia="zh-CN" w:bidi="ar"/>
              </w:rPr>
              <w:t xml:space="preserve"> 支持提供存储虚拟化管理功能，将所有存储节点空间合并成一个存储虚拟池，对外提供海量存储空间管理</w:t>
            </w:r>
            <w:r>
              <w:rPr>
                <w:rFonts w:hint="eastAsia" w:ascii="新宋体" w:hAnsi="新宋体" w:eastAsia="新宋体" w:cs="新宋体"/>
                <w:i w:val="0"/>
                <w:iCs w:val="0"/>
                <w:color w:val="000000"/>
                <w:kern w:val="0"/>
                <w:sz w:val="18"/>
                <w:szCs w:val="18"/>
                <w:u w:val="none"/>
                <w:lang w:val="en-US" w:eastAsia="zh-CN" w:bidi="ar"/>
              </w:rPr>
              <w:br w:type="textWrapping"/>
            </w:r>
            <w:r>
              <w:rPr>
                <w:rFonts w:hint="eastAsia" w:ascii="新宋体" w:hAnsi="新宋体" w:eastAsia="新宋体" w:cs="新宋体"/>
                <w:i w:val="0"/>
                <w:iCs w:val="0"/>
                <w:color w:val="000000"/>
                <w:kern w:val="0"/>
                <w:sz w:val="18"/>
                <w:szCs w:val="18"/>
                <w:u w:val="none"/>
                <w:lang w:val="en-US" w:eastAsia="zh-CN" w:bidi="ar"/>
              </w:rPr>
              <w:t>支持PCIe插槽、支持千兆GE接口卡和万兆10GE接口卡、Mini SAS HD卡(SAS 3.0)</w:t>
            </w:r>
            <w:r>
              <w:rPr>
                <w:rFonts w:hint="eastAsia" w:ascii="新宋体" w:hAnsi="新宋体" w:eastAsia="新宋体" w:cs="新宋体"/>
                <w:i w:val="0"/>
                <w:iCs w:val="0"/>
                <w:color w:val="000000"/>
                <w:kern w:val="0"/>
                <w:sz w:val="18"/>
                <w:szCs w:val="18"/>
                <w:u w:val="none"/>
                <w:lang w:val="en-US" w:eastAsia="zh-CN" w:bidi="ar"/>
              </w:rPr>
              <w:br w:type="textWrapping"/>
            </w:r>
            <w:r>
              <w:rPr>
                <w:rFonts w:hint="eastAsia" w:ascii="新宋体" w:hAnsi="新宋体" w:eastAsia="新宋体" w:cs="新宋体"/>
                <w:i w:val="0"/>
                <w:iCs w:val="0"/>
                <w:color w:val="000000"/>
                <w:kern w:val="0"/>
                <w:sz w:val="18"/>
                <w:szCs w:val="18"/>
                <w:u w:val="none"/>
                <w:lang w:val="en-US" w:eastAsia="zh-CN" w:bidi="ar"/>
              </w:rPr>
              <w:t>支持网络端口链路聚合、负载均衡</w:t>
            </w:r>
            <w:r>
              <w:rPr>
                <w:rFonts w:hint="eastAsia" w:ascii="新宋体" w:hAnsi="新宋体" w:eastAsia="新宋体" w:cs="新宋体"/>
                <w:i w:val="0"/>
                <w:iCs w:val="0"/>
                <w:color w:val="000000"/>
                <w:kern w:val="0"/>
                <w:sz w:val="18"/>
                <w:szCs w:val="18"/>
                <w:u w:val="none"/>
                <w:lang w:val="en-US" w:eastAsia="zh-CN" w:bidi="ar"/>
              </w:rPr>
              <w:br w:type="textWrapping"/>
            </w:r>
            <w:r>
              <w:rPr>
                <w:rFonts w:hint="eastAsia" w:ascii="新宋体" w:hAnsi="新宋体" w:eastAsia="新宋体" w:cs="新宋体"/>
                <w:i w:val="0"/>
                <w:iCs w:val="0"/>
                <w:color w:val="000000"/>
                <w:kern w:val="0"/>
                <w:sz w:val="18"/>
                <w:szCs w:val="18"/>
                <w:u w:val="none"/>
                <w:lang w:val="en-US" w:eastAsia="zh-CN" w:bidi="ar"/>
              </w:rPr>
              <w:t>支持标准ONVIF、GB/T28181等标准前端接入</w:t>
            </w:r>
            <w:r>
              <w:rPr>
                <w:rFonts w:hint="eastAsia" w:ascii="新宋体" w:hAnsi="新宋体" w:eastAsia="新宋体" w:cs="新宋体"/>
                <w:i w:val="0"/>
                <w:iCs w:val="0"/>
                <w:color w:val="000000"/>
                <w:kern w:val="0"/>
                <w:sz w:val="18"/>
                <w:szCs w:val="18"/>
                <w:u w:val="none"/>
                <w:lang w:val="en-US" w:eastAsia="zh-CN" w:bidi="ar"/>
              </w:rPr>
              <w:br w:type="textWrapping"/>
            </w:r>
            <w:r>
              <w:rPr>
                <w:rFonts w:hint="eastAsia" w:ascii="新宋体" w:hAnsi="新宋体" w:eastAsia="新宋体" w:cs="新宋体"/>
                <w:i w:val="0"/>
                <w:iCs w:val="0"/>
                <w:color w:val="000000"/>
                <w:kern w:val="0"/>
                <w:sz w:val="18"/>
                <w:szCs w:val="18"/>
                <w:u w:val="none"/>
                <w:lang w:val="en-US" w:eastAsia="zh-CN" w:bidi="ar"/>
              </w:rPr>
              <w:t>支持视频智能结构化数据存储</w:t>
            </w:r>
            <w:r>
              <w:rPr>
                <w:rFonts w:hint="eastAsia" w:ascii="新宋体" w:hAnsi="新宋体" w:eastAsia="新宋体" w:cs="新宋体"/>
                <w:i w:val="0"/>
                <w:iCs w:val="0"/>
                <w:color w:val="000000"/>
                <w:kern w:val="0"/>
                <w:sz w:val="18"/>
                <w:szCs w:val="18"/>
                <w:u w:val="none"/>
                <w:lang w:val="en-US" w:eastAsia="zh-CN" w:bidi="ar"/>
              </w:rPr>
              <w:br w:type="textWrapping"/>
            </w:r>
            <w:r>
              <w:rPr>
                <w:rFonts w:hint="eastAsia" w:ascii="新宋体" w:hAnsi="新宋体" w:eastAsia="新宋体" w:cs="新宋体"/>
                <w:i w:val="0"/>
                <w:iCs w:val="0"/>
                <w:color w:val="000000"/>
                <w:kern w:val="0"/>
                <w:sz w:val="18"/>
                <w:szCs w:val="18"/>
                <w:u w:val="none"/>
                <w:lang w:val="en-US" w:eastAsia="zh-CN" w:bidi="ar"/>
              </w:rPr>
              <w:t>支持裸数据块直存方式，无文件系统碎片，海量小文件存储性能无衰减</w:t>
            </w:r>
            <w:r>
              <w:rPr>
                <w:rFonts w:hint="eastAsia" w:ascii="新宋体" w:hAnsi="新宋体" w:eastAsia="新宋体" w:cs="新宋体"/>
                <w:i w:val="0"/>
                <w:iCs w:val="0"/>
                <w:color w:val="000000"/>
                <w:kern w:val="0"/>
                <w:sz w:val="18"/>
                <w:szCs w:val="18"/>
                <w:u w:val="none"/>
                <w:lang w:val="en-US" w:eastAsia="zh-CN" w:bidi="ar"/>
              </w:rPr>
              <w:br w:type="textWrapping"/>
            </w:r>
            <w:r>
              <w:rPr>
                <w:rFonts w:hint="eastAsia" w:ascii="新宋体" w:hAnsi="新宋体" w:eastAsia="新宋体" w:cs="新宋体"/>
                <w:i w:val="0"/>
                <w:iCs w:val="0"/>
                <w:color w:val="000000"/>
                <w:kern w:val="0"/>
                <w:sz w:val="18"/>
                <w:szCs w:val="18"/>
                <w:u w:val="none"/>
                <w:lang w:val="en-US" w:eastAsia="zh-CN" w:bidi="ar"/>
              </w:rPr>
              <w:t>支持数据离散，并发读写，支持视频秒级检索及回放，视频、图片极速下载</w:t>
            </w:r>
            <w:r>
              <w:rPr>
                <w:rFonts w:hint="eastAsia" w:ascii="新宋体" w:hAnsi="新宋体" w:eastAsia="新宋体" w:cs="新宋体"/>
                <w:i w:val="0"/>
                <w:iCs w:val="0"/>
                <w:color w:val="000000"/>
                <w:kern w:val="0"/>
                <w:sz w:val="18"/>
                <w:szCs w:val="18"/>
                <w:u w:val="none"/>
                <w:lang w:val="en-US" w:eastAsia="zh-CN" w:bidi="ar"/>
              </w:rPr>
              <w:br w:type="textWrapping"/>
            </w:r>
            <w:r>
              <w:rPr>
                <w:rFonts w:hint="eastAsia" w:ascii="新宋体" w:hAnsi="新宋体" w:eastAsia="新宋体" w:cs="新宋体"/>
                <w:i w:val="0"/>
                <w:iCs w:val="0"/>
                <w:color w:val="000000"/>
                <w:kern w:val="0"/>
                <w:sz w:val="18"/>
                <w:szCs w:val="18"/>
                <w:u w:val="none"/>
                <w:lang w:val="en-US" w:eastAsia="zh-CN" w:bidi="ar"/>
              </w:rPr>
              <w:t>支持云节点负载均衡、故障切换，解决单节点性能瓶颈问题及单节点故障问题，保证业务连续性</w:t>
            </w:r>
            <w:r>
              <w:rPr>
                <w:rFonts w:hint="eastAsia" w:ascii="新宋体" w:hAnsi="新宋体" w:eastAsia="新宋体" w:cs="新宋体"/>
                <w:i w:val="0"/>
                <w:iCs w:val="0"/>
                <w:color w:val="000000"/>
                <w:kern w:val="0"/>
                <w:sz w:val="18"/>
                <w:szCs w:val="18"/>
                <w:u w:val="none"/>
                <w:lang w:val="en-US" w:eastAsia="zh-CN" w:bidi="ar"/>
              </w:rPr>
              <w:br w:type="textWrapping"/>
            </w:r>
            <w:r>
              <w:rPr>
                <w:rFonts w:hint="eastAsia" w:ascii="新宋体" w:hAnsi="新宋体" w:eastAsia="新宋体" w:cs="新宋体"/>
                <w:i w:val="0"/>
                <w:iCs w:val="0"/>
                <w:color w:val="000000"/>
                <w:kern w:val="0"/>
                <w:sz w:val="18"/>
                <w:szCs w:val="18"/>
                <w:u w:val="none"/>
                <w:lang w:val="en-US" w:eastAsia="zh-CN" w:bidi="ar"/>
              </w:rPr>
              <w:t>支持云备份功能，实现云内数据备份和云间备份</w:t>
            </w:r>
            <w:r>
              <w:rPr>
                <w:rFonts w:hint="eastAsia" w:ascii="新宋体" w:hAnsi="新宋体" w:eastAsia="新宋体" w:cs="新宋体"/>
                <w:i w:val="0"/>
                <w:iCs w:val="0"/>
                <w:color w:val="000000"/>
                <w:kern w:val="0"/>
                <w:sz w:val="18"/>
                <w:szCs w:val="18"/>
                <w:u w:val="none"/>
                <w:lang w:val="en-US" w:eastAsia="zh-CN" w:bidi="ar"/>
              </w:rPr>
              <w:br w:type="textWrapping"/>
            </w:r>
            <w:r>
              <w:rPr>
                <w:rFonts w:hint="eastAsia" w:ascii="新宋体" w:hAnsi="新宋体" w:eastAsia="新宋体" w:cs="新宋体"/>
                <w:i w:val="0"/>
                <w:iCs w:val="0"/>
                <w:color w:val="000000"/>
                <w:kern w:val="0"/>
                <w:sz w:val="18"/>
                <w:szCs w:val="18"/>
                <w:u w:val="none"/>
                <w:lang w:val="en-US" w:eastAsia="zh-CN" w:bidi="ar"/>
              </w:rPr>
              <w:t>支持冗余电源，风扇，电池，支持磁盘、电源、风扇、电池的热插拔和在线更换</w:t>
            </w:r>
            <w:r>
              <w:rPr>
                <w:rFonts w:hint="eastAsia" w:ascii="新宋体" w:hAnsi="新宋体" w:eastAsia="新宋体" w:cs="新宋体"/>
                <w:i w:val="0"/>
                <w:iCs w:val="0"/>
                <w:color w:val="000000"/>
                <w:kern w:val="0"/>
                <w:sz w:val="18"/>
                <w:szCs w:val="18"/>
                <w:u w:val="none"/>
                <w:lang w:val="en-US" w:eastAsia="zh-CN" w:bidi="ar"/>
              </w:rPr>
              <w:br w:type="textWrapping"/>
            </w:r>
            <w:r>
              <w:rPr>
                <w:rFonts w:hint="eastAsia" w:ascii="新宋体" w:hAnsi="新宋体" w:eastAsia="新宋体" w:cs="新宋体"/>
                <w:i w:val="0"/>
                <w:iCs w:val="0"/>
                <w:color w:val="000000"/>
                <w:kern w:val="0"/>
                <w:sz w:val="18"/>
                <w:szCs w:val="18"/>
                <w:u w:val="none"/>
                <w:lang w:val="en-US" w:eastAsia="zh-CN" w:bidi="ar"/>
              </w:rPr>
              <w:t>支持数码管、指示灯、蜂鸣器告警、邮件告警、SNMP Trap、短信等告警方式对故障进行告警</w:t>
            </w:r>
            <w:r>
              <w:rPr>
                <w:rFonts w:hint="eastAsia" w:ascii="新宋体" w:hAnsi="新宋体" w:eastAsia="新宋体" w:cs="新宋体"/>
                <w:i w:val="0"/>
                <w:iCs w:val="0"/>
                <w:color w:val="000000"/>
                <w:kern w:val="0"/>
                <w:sz w:val="18"/>
                <w:szCs w:val="18"/>
                <w:u w:val="none"/>
                <w:lang w:val="en-US" w:eastAsia="zh-CN" w:bidi="ar"/>
              </w:rPr>
              <w:br w:type="textWrapping"/>
            </w:r>
            <w:r>
              <w:rPr>
                <w:rFonts w:hint="eastAsia" w:ascii="新宋体" w:hAnsi="新宋体" w:eastAsia="新宋体" w:cs="新宋体"/>
                <w:i w:val="0"/>
                <w:iCs w:val="0"/>
                <w:color w:val="000000"/>
                <w:kern w:val="0"/>
                <w:sz w:val="18"/>
                <w:szCs w:val="18"/>
                <w:u w:val="none"/>
                <w:lang w:val="en-US" w:eastAsia="zh-CN" w:bidi="ar"/>
              </w:rPr>
              <w:t>支持IP冲突告警、网口降速、电源故障、风扇故障、电池电量不足、电池故障等告警</w:t>
            </w:r>
            <w:r>
              <w:rPr>
                <w:rFonts w:hint="eastAsia" w:ascii="新宋体" w:hAnsi="新宋体" w:eastAsia="新宋体" w:cs="新宋体"/>
                <w:i w:val="0"/>
                <w:iCs w:val="0"/>
                <w:color w:val="000000"/>
                <w:kern w:val="0"/>
                <w:sz w:val="18"/>
                <w:szCs w:val="18"/>
                <w:u w:val="none"/>
                <w:lang w:val="en-US" w:eastAsia="zh-CN" w:bidi="ar"/>
              </w:rPr>
              <w:br w:type="textWrapping"/>
            </w:r>
            <w:r>
              <w:rPr>
                <w:rFonts w:hint="eastAsia" w:ascii="新宋体" w:hAnsi="新宋体" w:eastAsia="新宋体" w:cs="新宋体"/>
                <w:i w:val="0"/>
                <w:iCs w:val="0"/>
                <w:color w:val="000000"/>
                <w:kern w:val="0"/>
                <w:sz w:val="18"/>
                <w:szCs w:val="18"/>
                <w:u w:val="none"/>
                <w:lang w:val="en-US" w:eastAsia="zh-CN" w:bidi="ar"/>
              </w:rPr>
              <w:t>支持数据保险箱（掉电数据永久保护）</w:t>
            </w:r>
            <w:r>
              <w:rPr>
                <w:rFonts w:hint="eastAsia" w:ascii="新宋体" w:hAnsi="新宋体" w:eastAsia="新宋体" w:cs="新宋体"/>
                <w:i w:val="0"/>
                <w:iCs w:val="0"/>
                <w:color w:val="000000"/>
                <w:kern w:val="0"/>
                <w:sz w:val="18"/>
                <w:szCs w:val="18"/>
                <w:u w:val="none"/>
                <w:lang w:val="en-US" w:eastAsia="zh-CN" w:bidi="ar"/>
              </w:rPr>
              <w:br w:type="textWrapping"/>
            </w:r>
            <w:r>
              <w:rPr>
                <w:rFonts w:hint="eastAsia" w:ascii="新宋体" w:hAnsi="新宋体" w:eastAsia="新宋体" w:cs="新宋体"/>
                <w:i w:val="0"/>
                <w:iCs w:val="0"/>
                <w:color w:val="000000"/>
                <w:kern w:val="0"/>
                <w:sz w:val="18"/>
                <w:szCs w:val="18"/>
                <w:u w:val="none"/>
                <w:lang w:val="en-US" w:eastAsia="zh-CN" w:bidi="ar"/>
              </w:rPr>
              <w:t>支持JBOD、RAID 0、1、5、6、10、50，RAID阵列可即建即用</w:t>
            </w:r>
            <w:r>
              <w:rPr>
                <w:rFonts w:hint="eastAsia" w:ascii="新宋体" w:hAnsi="新宋体" w:eastAsia="新宋体" w:cs="新宋体"/>
                <w:i w:val="0"/>
                <w:iCs w:val="0"/>
                <w:color w:val="000000"/>
                <w:kern w:val="0"/>
                <w:sz w:val="18"/>
                <w:szCs w:val="18"/>
                <w:u w:val="none"/>
                <w:lang w:val="en-US" w:eastAsia="zh-CN" w:bidi="ar"/>
              </w:rPr>
              <w:br w:type="textWrapping"/>
            </w:r>
            <w:r>
              <w:rPr>
                <w:rFonts w:hint="eastAsia" w:ascii="新宋体" w:hAnsi="新宋体" w:eastAsia="新宋体" w:cs="新宋体"/>
                <w:i w:val="0"/>
                <w:iCs w:val="0"/>
                <w:color w:val="000000"/>
                <w:kern w:val="0"/>
                <w:sz w:val="18"/>
                <w:szCs w:val="18"/>
                <w:u w:val="none"/>
                <w:lang w:val="en-US" w:eastAsia="zh-CN" w:bidi="ar"/>
              </w:rPr>
              <w:t>支持SATA、SSD盘</w:t>
            </w:r>
            <w:r>
              <w:rPr>
                <w:rFonts w:hint="eastAsia" w:ascii="新宋体" w:hAnsi="新宋体" w:eastAsia="新宋体" w:cs="新宋体"/>
                <w:i w:val="0"/>
                <w:iCs w:val="0"/>
                <w:color w:val="000000"/>
                <w:kern w:val="0"/>
                <w:sz w:val="18"/>
                <w:szCs w:val="18"/>
                <w:u w:val="none"/>
                <w:lang w:val="en-US" w:eastAsia="zh-CN" w:bidi="ar"/>
              </w:rPr>
              <w:br w:type="textWrapping"/>
            </w:r>
            <w:r>
              <w:rPr>
                <w:rFonts w:hint="eastAsia" w:ascii="新宋体" w:hAnsi="新宋体" w:eastAsia="新宋体" w:cs="新宋体"/>
                <w:i w:val="0"/>
                <w:iCs w:val="0"/>
                <w:color w:val="000000"/>
                <w:kern w:val="0"/>
                <w:sz w:val="18"/>
                <w:szCs w:val="18"/>
                <w:u w:val="none"/>
                <w:lang w:val="en-US" w:eastAsia="zh-CN" w:bidi="ar"/>
              </w:rPr>
              <w:t>支持自动空白盘全局热备、专有热备</w:t>
            </w:r>
            <w:r>
              <w:rPr>
                <w:rFonts w:hint="eastAsia" w:ascii="新宋体" w:hAnsi="新宋体" w:eastAsia="新宋体" w:cs="新宋体"/>
                <w:i w:val="0"/>
                <w:iCs w:val="0"/>
                <w:color w:val="000000"/>
                <w:kern w:val="0"/>
                <w:sz w:val="18"/>
                <w:szCs w:val="18"/>
                <w:u w:val="none"/>
                <w:lang w:val="en-US" w:eastAsia="zh-CN" w:bidi="ar"/>
              </w:rPr>
              <w:br w:type="textWrapping"/>
            </w:r>
            <w:r>
              <w:rPr>
                <w:rFonts w:hint="eastAsia" w:ascii="新宋体" w:hAnsi="新宋体" w:eastAsia="新宋体" w:cs="新宋体"/>
                <w:i w:val="0"/>
                <w:iCs w:val="0"/>
                <w:color w:val="000000"/>
                <w:kern w:val="0"/>
                <w:sz w:val="18"/>
                <w:szCs w:val="18"/>
                <w:u w:val="none"/>
                <w:lang w:val="en-US" w:eastAsia="zh-CN" w:bidi="ar"/>
              </w:rPr>
              <w:t>支持RAID阵列磁盘进行定位，RAID阵列自动巡检</w:t>
            </w:r>
            <w:r>
              <w:rPr>
                <w:rFonts w:hint="eastAsia" w:ascii="新宋体" w:hAnsi="新宋体" w:eastAsia="新宋体" w:cs="新宋体"/>
                <w:i w:val="0"/>
                <w:iCs w:val="0"/>
                <w:color w:val="000000"/>
                <w:kern w:val="0"/>
                <w:sz w:val="18"/>
                <w:szCs w:val="18"/>
                <w:u w:val="none"/>
                <w:lang w:val="en-US" w:eastAsia="zh-CN" w:bidi="ar"/>
              </w:rPr>
              <w:br w:type="textWrapping"/>
            </w:r>
            <w:r>
              <w:rPr>
                <w:rFonts w:hint="eastAsia" w:ascii="新宋体" w:hAnsi="新宋体" w:eastAsia="新宋体" w:cs="新宋体"/>
                <w:i w:val="0"/>
                <w:iCs w:val="0"/>
                <w:color w:val="000000"/>
                <w:kern w:val="0"/>
                <w:sz w:val="18"/>
                <w:szCs w:val="18"/>
                <w:u w:val="none"/>
                <w:lang w:val="en-US" w:eastAsia="zh-CN" w:bidi="ar"/>
              </w:rPr>
              <w:t>支持RAID阵列重构重建、无感知重建、SMART检测预拷贝，RAID阵列可自动动态调整重建速度、重建/同步优先级</w:t>
            </w:r>
            <w:r>
              <w:rPr>
                <w:rFonts w:hint="eastAsia" w:ascii="新宋体" w:hAnsi="新宋体" w:eastAsia="新宋体" w:cs="新宋体"/>
                <w:i w:val="0"/>
                <w:iCs w:val="0"/>
                <w:color w:val="000000"/>
                <w:kern w:val="0"/>
                <w:sz w:val="18"/>
                <w:szCs w:val="18"/>
                <w:u w:val="none"/>
                <w:lang w:val="en-US" w:eastAsia="zh-CN" w:bidi="ar"/>
              </w:rPr>
              <w:br w:type="textWrapping"/>
            </w:r>
            <w:r>
              <w:rPr>
                <w:rFonts w:hint="eastAsia" w:ascii="新宋体" w:hAnsi="新宋体" w:eastAsia="新宋体" w:cs="新宋体"/>
                <w:i w:val="0"/>
                <w:iCs w:val="0"/>
                <w:color w:val="000000"/>
                <w:kern w:val="0"/>
                <w:sz w:val="18"/>
                <w:szCs w:val="18"/>
                <w:u w:val="none"/>
                <w:lang w:val="en-US" w:eastAsia="zh-CN" w:bidi="ar"/>
              </w:rPr>
              <w:t>支持RAID阵列磁盘坏块替换、多错误容忍、磁盘错误修复</w:t>
            </w:r>
            <w:r>
              <w:rPr>
                <w:rFonts w:hint="eastAsia" w:ascii="新宋体" w:hAnsi="新宋体" w:eastAsia="新宋体" w:cs="新宋体"/>
                <w:i w:val="0"/>
                <w:iCs w:val="0"/>
                <w:color w:val="000000"/>
                <w:kern w:val="0"/>
                <w:sz w:val="18"/>
                <w:szCs w:val="18"/>
                <w:u w:val="none"/>
                <w:lang w:val="en-US" w:eastAsia="zh-CN" w:bidi="ar"/>
              </w:rPr>
              <w:br w:type="textWrapping"/>
            </w:r>
            <w:r>
              <w:rPr>
                <w:rFonts w:hint="eastAsia" w:ascii="新宋体" w:hAnsi="新宋体" w:eastAsia="新宋体" w:cs="新宋体"/>
                <w:i w:val="0"/>
                <w:iCs w:val="0"/>
                <w:color w:val="000000"/>
                <w:kern w:val="0"/>
                <w:sz w:val="18"/>
                <w:szCs w:val="18"/>
                <w:u w:val="none"/>
                <w:lang w:val="en-US" w:eastAsia="zh-CN" w:bidi="ar"/>
              </w:rPr>
              <w:t>支持硬件过载保护机制</w:t>
            </w:r>
            <w:r>
              <w:rPr>
                <w:rFonts w:hint="eastAsia" w:ascii="新宋体" w:hAnsi="新宋体" w:eastAsia="新宋体" w:cs="新宋体"/>
                <w:i w:val="0"/>
                <w:iCs w:val="0"/>
                <w:color w:val="000000"/>
                <w:kern w:val="0"/>
                <w:sz w:val="18"/>
                <w:szCs w:val="18"/>
                <w:u w:val="none"/>
                <w:lang w:val="en-US" w:eastAsia="zh-CN" w:bidi="ar"/>
              </w:rPr>
              <w:br w:type="textWrapping"/>
            </w:r>
            <w:r>
              <w:rPr>
                <w:rFonts w:hint="eastAsia" w:ascii="新宋体" w:hAnsi="新宋体" w:eastAsia="新宋体" w:cs="新宋体"/>
                <w:i w:val="0"/>
                <w:iCs w:val="0"/>
                <w:color w:val="000000"/>
                <w:kern w:val="0"/>
                <w:sz w:val="18"/>
                <w:szCs w:val="18"/>
                <w:u w:val="none"/>
                <w:lang w:val="en-US" w:eastAsia="zh-CN" w:bidi="ar"/>
              </w:rPr>
              <w:t>支持风扇多级调速技术</w:t>
            </w:r>
            <w:r>
              <w:rPr>
                <w:rFonts w:hint="eastAsia" w:ascii="新宋体" w:hAnsi="新宋体" w:eastAsia="新宋体" w:cs="新宋体"/>
                <w:i w:val="0"/>
                <w:iCs w:val="0"/>
                <w:color w:val="000000"/>
                <w:kern w:val="0"/>
                <w:sz w:val="18"/>
                <w:szCs w:val="18"/>
                <w:u w:val="none"/>
                <w:lang w:val="en-US" w:eastAsia="zh-CN" w:bidi="ar"/>
              </w:rPr>
              <w:br w:type="textWrapping"/>
            </w:r>
            <w:r>
              <w:rPr>
                <w:rFonts w:hint="eastAsia" w:ascii="新宋体" w:hAnsi="新宋体" w:eastAsia="新宋体" w:cs="新宋体"/>
                <w:i w:val="0"/>
                <w:iCs w:val="0"/>
                <w:color w:val="000000"/>
                <w:kern w:val="0"/>
                <w:sz w:val="18"/>
                <w:szCs w:val="18"/>
                <w:u w:val="none"/>
                <w:lang w:val="en-US" w:eastAsia="zh-CN" w:bidi="ar"/>
              </w:rPr>
              <w:t>支持防尘、防震、防腐蚀</w:t>
            </w:r>
          </w:p>
        </w:tc>
        <w:tc>
          <w:tcPr>
            <w:tcW w:w="73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0" w:type="auto"/>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2" w:hRule="atLeast"/>
        </w:trPr>
        <w:tc>
          <w:tcPr>
            <w:tcW w:w="64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 </w:t>
            </w:r>
          </w:p>
        </w:tc>
        <w:tc>
          <w:tcPr>
            <w:tcW w:w="1569" w:type="dxa"/>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云存储硬盘(18TB*2)</w:t>
            </w:r>
          </w:p>
        </w:tc>
        <w:tc>
          <w:tcPr>
            <w:tcW w:w="5091" w:type="dxa"/>
            <w:shd w:val="clear" w:color="auto" w:fill="auto"/>
            <w:noWrap/>
            <w:vAlign w:val="center"/>
          </w:tcPr>
          <w:p>
            <w:pPr>
              <w:keepNext w:val="0"/>
              <w:keepLines w:val="0"/>
              <w:widowControl/>
              <w:suppressLineNumbers w:val="0"/>
              <w:jc w:val="left"/>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监控级SATA硬盘：18TB*2</w:t>
            </w:r>
          </w:p>
        </w:tc>
        <w:tc>
          <w:tcPr>
            <w:tcW w:w="73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块</w:t>
            </w:r>
          </w:p>
        </w:tc>
        <w:tc>
          <w:tcPr>
            <w:tcW w:w="0" w:type="auto"/>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2" w:hRule="atLeast"/>
        </w:trPr>
        <w:tc>
          <w:tcPr>
            <w:tcW w:w="64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 </w:t>
            </w:r>
          </w:p>
        </w:tc>
        <w:tc>
          <w:tcPr>
            <w:tcW w:w="1569" w:type="dxa"/>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电池模块</w:t>
            </w:r>
          </w:p>
        </w:tc>
        <w:tc>
          <w:tcPr>
            <w:tcW w:w="5091" w:type="dxa"/>
            <w:shd w:val="clear" w:color="auto" w:fill="auto"/>
            <w:noWrap/>
            <w:vAlign w:val="center"/>
          </w:tcPr>
          <w:p>
            <w:pPr>
              <w:keepNext w:val="0"/>
              <w:keepLines w:val="0"/>
              <w:widowControl/>
              <w:suppressLineNumbers w:val="0"/>
              <w:jc w:val="left"/>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电池模块</w:t>
            </w:r>
          </w:p>
        </w:tc>
        <w:tc>
          <w:tcPr>
            <w:tcW w:w="73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0" w:type="auto"/>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2" w:hRule="atLeast"/>
        </w:trPr>
        <w:tc>
          <w:tcPr>
            <w:tcW w:w="64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 </w:t>
            </w:r>
          </w:p>
        </w:tc>
        <w:tc>
          <w:tcPr>
            <w:tcW w:w="1569" w:type="dxa"/>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700W电源模块</w:t>
            </w:r>
          </w:p>
        </w:tc>
        <w:tc>
          <w:tcPr>
            <w:tcW w:w="5091" w:type="dxa"/>
            <w:shd w:val="clear" w:color="auto" w:fill="auto"/>
            <w:noWrap/>
            <w:vAlign w:val="center"/>
          </w:tcPr>
          <w:p>
            <w:pPr>
              <w:keepNext w:val="0"/>
              <w:keepLines w:val="0"/>
              <w:widowControl/>
              <w:suppressLineNumbers w:val="0"/>
              <w:jc w:val="left"/>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700W电源模块</w:t>
            </w:r>
          </w:p>
        </w:tc>
        <w:tc>
          <w:tcPr>
            <w:tcW w:w="73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0" w:type="auto"/>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0" w:hRule="atLeast"/>
        </w:trPr>
        <w:tc>
          <w:tcPr>
            <w:tcW w:w="64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 </w:t>
            </w:r>
          </w:p>
        </w:tc>
        <w:tc>
          <w:tcPr>
            <w:tcW w:w="156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线缆辅材</w:t>
            </w:r>
          </w:p>
        </w:tc>
        <w:tc>
          <w:tcPr>
            <w:tcW w:w="5091"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含网线、水晶头、电源线、尾纤、信号线、标签、扎带等辅材</w:t>
            </w:r>
          </w:p>
        </w:tc>
        <w:tc>
          <w:tcPr>
            <w:tcW w:w="73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0" w:hRule="atLeast"/>
        </w:trPr>
        <w:tc>
          <w:tcPr>
            <w:tcW w:w="7305" w:type="dxa"/>
            <w:gridSpan w:val="3"/>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四、改造前端部分</w:t>
            </w:r>
          </w:p>
        </w:tc>
        <w:tc>
          <w:tcPr>
            <w:tcW w:w="735" w:type="dxa"/>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0" w:type="auto"/>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0" w:hRule="atLeast"/>
        </w:trPr>
        <w:tc>
          <w:tcPr>
            <w:tcW w:w="64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56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星光级枪机</w:t>
            </w:r>
          </w:p>
        </w:tc>
        <w:tc>
          <w:tcPr>
            <w:tcW w:w="5091" w:type="dxa"/>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采用≥1/1.8″逐行扫描400万像素图像传感器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具有≥1个RJ45接口、2路报警输入、1路报警输出，1路音频输入、1个TF卡插槽，1路音频输出，1路RS485接口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焦距范围：4/6/8/12mm，定焦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 最低照度：彩色≤0.0005lx、黑白≤0.0001lx。</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 支持120dB光学宽动态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 支持H.265、H.264、MJPEG编码格式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 支持ONVIF、GB/T 28181、GA/T 1400等协议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 支持TF卡热插拔，最大支持≥256GB TF卡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 支持暖光补光灯，补光距离≥30m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 设备支持人脸检测抓拍，可支持不低于40张人脸并发检测，支持抓拍优选，自动筛选出抓拍质量最优的图片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 支持混行检测：支持机动车、非机动车、行人分类检测抓拍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12. 防护等级≥IP67，支持在不低于-30～60℃环境下正常工作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供电方式：DC12V(±25%)、POE；含抱杆支架，DC12V/25W电源适配器，托板和万向节</w:t>
            </w:r>
          </w:p>
        </w:tc>
        <w:tc>
          <w:tcPr>
            <w:tcW w:w="73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0" w:type="auto"/>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0" w:hRule="atLeast"/>
        </w:trPr>
        <w:tc>
          <w:tcPr>
            <w:tcW w:w="64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56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星光级枪机</w:t>
            </w:r>
          </w:p>
        </w:tc>
        <w:tc>
          <w:tcPr>
            <w:tcW w:w="5091" w:type="dxa"/>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采用≥1/1.8″逐行扫描400万像素图像传感器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具有≥1个RJ45接口、2路报警输入、1路报警输出，1路音频输入、1个TF卡插槽，1路音频输出，1路RS485接口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焦距范围：2.8～12mm，电动变焦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 最低照度：彩色≤0.0005lx、黑白≤0.0001lx。</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 支持120dB光学宽动态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 支持H.265、H.264、MJPEG编码格式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 支持ONVIF、GB/T 28181、GA/T 1400等协议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 支持TF卡热插拔，最大支持≥256GB TF卡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 支持暖光补光灯，补光距离≥30m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 设备支持人脸检测抓拍，可支持不低于40张人脸并发检测，支持抓拍优选，自动筛选出抓拍质量最优的图片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 支持混行检测：支持机动车、非机动车、行人分类检测抓拍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12. 防护等级≥IP67，支持在不低于-30～60℃环境下正常工作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供电方式：DC12V(±25%)、POE；含抱杆支架，DC12V/25W电源适配器，托板和万向节</w:t>
            </w:r>
          </w:p>
        </w:tc>
        <w:tc>
          <w:tcPr>
            <w:tcW w:w="73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0" w:type="auto"/>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0" w:hRule="atLeast"/>
        </w:trPr>
        <w:tc>
          <w:tcPr>
            <w:tcW w:w="64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56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星光级球机</w:t>
            </w:r>
          </w:p>
        </w:tc>
        <w:tc>
          <w:tcPr>
            <w:tcW w:w="5091" w:type="dxa"/>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采用≥1/1.8 ”逐行扫描400万像素CMOS图像传感器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支持6-150mm电动变焦，不小于25倍光学变倍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支持最低照度：彩色：≤0.001lx，黑白：≤0.0001lx</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 支持120dB光学宽动态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 支持接口：≥1个RJ45接口、≥1个BNC接口、≥2个报警输入接口、1个报警输出接口、≥1个RS485接口、≥1个音频输入接口、1个音频输出接口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6. 支持红外灯补光，红外补光灯可定时或自动开启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 内置1个SD插槽，支持SD卡热插拔，支持≥256GB SD卡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 支持人脸检测，越界检测、区域入侵、进入区域、离开区域，运动检测、遮挡检测、声音检测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 支持ONVIF、GB/T 28181、GA/T 1400等标准协议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 水平范围：360°，水平速度0.1°/s~240°/s；预置位速度≥240°/s</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 垂直范围：-15°~90°，垂直速度：0.1°~160°/s；预置位速度≥200°/s</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12. 支持不低于256个预置位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13. 供电方式：AC/DC24V±25%，支持过压过流保护</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14. 功耗≤50W，，6KV防雷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15. 工作环境：–40°C ~ 65°C，≤95%RH（相对湿度，无冷凝）</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16. 防护等级不低于IP66</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含电源、球机安装支架（一个球机吊装杆或壁装杆 ），球机连接件</w:t>
            </w:r>
          </w:p>
        </w:tc>
        <w:tc>
          <w:tcPr>
            <w:tcW w:w="73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0" w:type="auto"/>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0" w:hRule="atLeast"/>
        </w:trPr>
        <w:tc>
          <w:tcPr>
            <w:tcW w:w="64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56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配套线缆</w:t>
            </w:r>
          </w:p>
        </w:tc>
        <w:tc>
          <w:tcPr>
            <w:tcW w:w="5091"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网线STP.CAT-5e、电源线RVV2*1.5及防护套管PVC，标签、扎带等</w:t>
            </w:r>
          </w:p>
        </w:tc>
        <w:tc>
          <w:tcPr>
            <w:tcW w:w="73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0" w:type="auto"/>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0" w:hRule="atLeast"/>
        </w:trPr>
        <w:tc>
          <w:tcPr>
            <w:tcW w:w="0" w:type="auto"/>
            <w:gridSpan w:val="3"/>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五、其他</w:t>
            </w:r>
          </w:p>
        </w:tc>
        <w:tc>
          <w:tcPr>
            <w:tcW w:w="0" w:type="auto"/>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0" w:type="auto"/>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64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56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链路费</w:t>
            </w:r>
          </w:p>
        </w:tc>
        <w:tc>
          <w:tcPr>
            <w:tcW w:w="5091"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每条每月400元，每年4800元计算</w:t>
            </w:r>
          </w:p>
        </w:tc>
        <w:tc>
          <w:tcPr>
            <w:tcW w:w="73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条</w:t>
            </w:r>
          </w:p>
        </w:tc>
        <w:tc>
          <w:tcPr>
            <w:tcW w:w="75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0" w:hRule="atLeast"/>
        </w:trPr>
        <w:tc>
          <w:tcPr>
            <w:tcW w:w="64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56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IDC主机托管</w:t>
            </w:r>
          </w:p>
        </w:tc>
        <w:tc>
          <w:tcPr>
            <w:tcW w:w="5091"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2个4U机位</w:t>
            </w:r>
          </w:p>
        </w:tc>
        <w:tc>
          <w:tcPr>
            <w:tcW w:w="73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0" w:type="auto"/>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56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施工集成服务</w:t>
            </w:r>
          </w:p>
        </w:tc>
        <w:tc>
          <w:tcPr>
            <w:tcW w:w="5091"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包含前端设备，平台设备，改成部分设备的运输、安装等</w:t>
            </w:r>
          </w:p>
        </w:tc>
        <w:tc>
          <w:tcPr>
            <w:tcW w:w="0" w:type="auto"/>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0" w:type="auto"/>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56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技术集成服务</w:t>
            </w:r>
          </w:p>
        </w:tc>
        <w:tc>
          <w:tcPr>
            <w:tcW w:w="5091"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包含摄像机调试，一机一档数据采集，平台设备数据调测等技术服务</w:t>
            </w:r>
          </w:p>
        </w:tc>
        <w:tc>
          <w:tcPr>
            <w:tcW w:w="0" w:type="auto"/>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bl>
    <w:p>
      <w:pPr>
        <w:spacing w:line="360" w:lineRule="auto"/>
        <w:ind w:firstLine="480" w:firstLineChars="200"/>
        <w:rPr>
          <w:rFonts w:ascii="仿宋" w:hAnsi="仿宋" w:eastAsia="仿宋" w:cs="仿宋"/>
          <w:sz w:val="24"/>
          <w:szCs w:val="32"/>
          <w:lang w:eastAsia="zh-Hans"/>
        </w:rPr>
      </w:pPr>
      <w:r>
        <w:rPr>
          <w:rFonts w:ascii="仿宋" w:hAnsi="仿宋" w:eastAsia="仿宋" w:cs="仿宋"/>
          <w:sz w:val="24"/>
          <w:szCs w:val="32"/>
          <w:lang w:eastAsia="zh-Hans"/>
        </w:rPr>
        <w:t xml:space="preserve"> </w:t>
      </w:r>
    </w:p>
    <w:p>
      <w:pPr>
        <w:spacing w:line="360" w:lineRule="auto"/>
        <w:ind w:firstLine="480" w:firstLineChars="200"/>
        <w:rPr>
          <w:rFonts w:ascii="仿宋" w:hAnsi="仿宋" w:eastAsia="仿宋" w:cs="仿宋"/>
          <w:sz w:val="24"/>
          <w:szCs w:val="32"/>
        </w:rPr>
      </w:pPr>
      <w:r>
        <w:rPr>
          <w:rFonts w:hint="eastAsia" w:ascii="仿宋" w:hAnsi="仿宋" w:eastAsia="仿宋" w:cs="仿宋"/>
          <w:sz w:val="24"/>
          <w:szCs w:val="32"/>
        </w:rPr>
        <w:t>标项3：苇胡梁片区管委会项目</w:t>
      </w:r>
    </w:p>
    <w:p>
      <w:pPr>
        <w:pStyle w:val="2"/>
        <w:jc w:val="both"/>
        <w:rPr>
          <w:rFonts w:hint="eastAsia"/>
        </w:rPr>
      </w:pPr>
    </w:p>
    <w:tbl>
      <w:tblPr>
        <w:tblStyle w:val="21"/>
        <w:tblW w:w="900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563"/>
        <w:gridCol w:w="2320"/>
        <w:gridCol w:w="4716"/>
        <w:gridCol w:w="651"/>
        <w:gridCol w:w="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0" w:hRule="atLeast"/>
        </w:trPr>
        <w:tc>
          <w:tcPr>
            <w:tcW w:w="615"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2430"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设备名称</w:t>
            </w:r>
          </w:p>
        </w:tc>
        <w:tc>
          <w:tcPr>
            <w:tcW w:w="4470"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主要性能指标</w:t>
            </w:r>
          </w:p>
        </w:tc>
        <w:tc>
          <w:tcPr>
            <w:tcW w:w="735"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w:t>
            </w:r>
          </w:p>
        </w:tc>
        <w:tc>
          <w:tcPr>
            <w:tcW w:w="75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0" w:hRule="atLeast"/>
        </w:trPr>
        <w:tc>
          <w:tcPr>
            <w:tcW w:w="7515" w:type="dxa"/>
            <w:gridSpan w:val="3"/>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一、新建前端部分</w:t>
            </w:r>
          </w:p>
        </w:tc>
        <w:tc>
          <w:tcPr>
            <w:tcW w:w="735" w:type="dxa"/>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0" w:type="auto"/>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0" w:hRule="atLeast"/>
        </w:trPr>
        <w:tc>
          <w:tcPr>
            <w:tcW w:w="61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43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星光级枪机</w:t>
            </w:r>
          </w:p>
        </w:tc>
        <w:tc>
          <w:tcPr>
            <w:tcW w:w="4470" w:type="dxa"/>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 采用≥1/1.8″逐行扫描400万像素图像传感器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 具有≥1个RJ45接口、2路报警输入、1路报警输出，1路音频输入、1个TF卡插槽，1路音频输出，1路RS485接口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 焦距范围：4/6/8/12mm，定焦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 最低照度：彩色≤0.0005lx、黑白≤0.0001lx。</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 支持120dB光学宽动态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 支持H.265、H.264、MJPEG编码格式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 支持ONVIF、GB/T 28181、GA/T 1400等协议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 支持TF卡热插拔，最大支持≥256GB TF卡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 支持暖光补光灯，补光距离≥30m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 设备支持人脸检测抓拍，可支持不低于40张人脸并发检测，支持抓拍优选，自动筛选出抓拍质量最优的图片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 支持混行检测：支持机动车、非机动车、行人分类检测抓拍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 防护等级≥IP67，支持在不低于-30～60℃环境下正常工作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供电方式：DC12V(±25%)、POE；含抱杆支架，DC12V/25W电源适配器，托板和万向节</w:t>
            </w:r>
          </w:p>
        </w:tc>
        <w:tc>
          <w:tcPr>
            <w:tcW w:w="73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0" w:hRule="atLeast"/>
        </w:trPr>
        <w:tc>
          <w:tcPr>
            <w:tcW w:w="61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43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星光级枪机</w:t>
            </w:r>
          </w:p>
        </w:tc>
        <w:tc>
          <w:tcPr>
            <w:tcW w:w="4470" w:type="dxa"/>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 采用≥1/1.8″逐行扫描400万像素图像传感器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 具有≥1个RJ45接口、2路报警输入、1路报警输出，1路音频输入、1个TF卡插槽，1路音频输出，1路RS485接口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 焦距范围：2.8～12mm，电动变焦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 最低照度：彩色≤0.0005lx、黑白≤0.0001lx。</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 支持120dB光学宽动态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 支持H.265、H.264、MJPEG编码格式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 支持ONVIF、GB/T 28181、GA/T 1400等协议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 支持TF卡热插拔，最大支持≥256GB TF卡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 支持暖光补光灯，补光距离≥30m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 设备支持人脸检测抓拍，可支持不低于40张人脸并发检测，支持抓拍优选，自动筛选出抓拍质量最优的图片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 支持混行检测：支持机动车、非机动车、行人分类检测抓拍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 防护等级≥IP67，支持在不低于-30～60℃环境下正常工作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供电方式：DC12V(±25%)、POE；含抱杆支架，DC12V/25W电源适配器，托板和万向节</w:t>
            </w:r>
          </w:p>
        </w:tc>
        <w:tc>
          <w:tcPr>
            <w:tcW w:w="73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420" w:hRule="atLeast"/>
        </w:trPr>
        <w:tc>
          <w:tcPr>
            <w:tcW w:w="61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243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星光级球机</w:t>
            </w:r>
          </w:p>
        </w:tc>
        <w:tc>
          <w:tcPr>
            <w:tcW w:w="4470" w:type="dxa"/>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 采用≥1/1.8 ”逐行扫描400万像素CMOS图像传感器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 支持6-150mm电动变焦，不小于25倍光学变倍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 支持最低照度：彩色：≤0.001lx，黑白：≤0.0001lx</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 支持120dB光学宽动态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 支持接口：≥1个RJ45接口、≥1个BNC接口、≥2个报警输入接口、1个报警输出接口、≥1个RS485接口、≥1个音频输入接口、1个音频输出接口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6. 支持红外灯补光，红外补光灯可定时或自动开启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 内置1个SD插槽，支持SD卡热插拔，支持≥256GB SD卡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 支持人脸检测，越界检测、区域入侵、进入区域、离开区域，运动检测、遮挡检测、声音检测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 支持ONVIF、GB/T 28181、GA/T 1400等标准协议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 水平范围：360°，水平速度0.1°/s~240°/s；预置位速度≥240°/s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 垂直范围：-15°~90°，垂直速度：0.1°~160°/s；预置位速度≥200°/s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 支持不低于256个预置位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 供电方式：AC/DC24V±25%，支持过压过流保护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 功耗≤50W，，6KV防雷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15. 工作环境：–40°C ~ 65°C，≤95%RH（相对湿度，无冷凝）</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16. 防护等级不低于IP66</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含电源、球机安装支架（一个球机吊装杆或壁装杆 ），球机连接件</w:t>
            </w:r>
          </w:p>
        </w:tc>
        <w:tc>
          <w:tcPr>
            <w:tcW w:w="73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0" w:hRule="atLeast"/>
        </w:trPr>
        <w:tc>
          <w:tcPr>
            <w:tcW w:w="61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243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高空球机</w:t>
            </w:r>
          </w:p>
        </w:tc>
        <w:tc>
          <w:tcPr>
            <w:tcW w:w="4470" w:type="dxa"/>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 采用≥1/1.8 ”逐行扫描400万像素CMOS图像传感器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 支持6-190mm电动变焦，不小于30倍光学变倍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 支持最低照度：彩色：≤0.001lx，黑白：≤0.0001lx</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 支持120dB光学宽动态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 支持接口：≥1个RJ45接口、≥1个BNC接口、≥2个报警输入接口、1个报警输出接口、≥1个RS485接口、≥1个音频输入接口、1个音频输出接口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6. 支持红外灯补光，红外补光灯可定时或自动开启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 内置1个SD插槽，支持SD卡热插拔，支持≥256GB SD卡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 支持人脸检测，越界检测、区域入侵、进入区域、离开区域，运动检测、遮挡检测、声音检测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 支持ONVIF、GB/T 28181、GA/T 1400等标准协议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 水平范围：360°，水平速度0.1°/s~240°/s；预置位速度≥240°/s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 垂直范围：-15°~90°，垂直速度：0.1°~160°/s；预置位速度≥200°/s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 支持不低于256个预置位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 供电方式：AC/DC24V±25%，支持过压过流保护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 功耗≤50W，，6KV防雷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15. 工作环境：–40°C ~ 65°C，≤95%RH（相对湿度，无冷凝）</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16. 防护等级不低于IP66</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含电源、球机安装支架（一个球机吊装杆或壁装杆 ），球机连接件</w:t>
            </w:r>
          </w:p>
        </w:tc>
        <w:tc>
          <w:tcPr>
            <w:tcW w:w="73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0" w:hRule="atLeast"/>
        </w:trPr>
        <w:tc>
          <w:tcPr>
            <w:tcW w:w="61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3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监控箱</w:t>
            </w:r>
          </w:p>
        </w:tc>
        <w:tc>
          <w:tcPr>
            <w:tcW w:w="4470" w:type="dxa"/>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设备箱具备防雨、防尘、通风散热、抗紫外线（耐老化）、防盗、防锈；箱体采用≥1.2mm镀锌板，箱体尺寸（含雨帽）≥430(宽)*535(高)*220(深)mm，≥380(宽)*500(高)*200(深)mm（不含雨帽）；箱体工作温度范围-40℃～85℃，工作湿度≤90%RH，工作电压范围AC75～AC280V，外壳防护等级≥IP65，机械碰撞防护等级≥IK08，盐雾测试≥120小时；箱体内部预置可移动托板；整机一体化设计，内部集成控制终端、空开、电源防雷器、5位五孔插座、1路补光灯AC220V远程可控端子、DC12V风扇、1路RS485接口、1路RS232接口、2路IO告警输出、3路干接点输入（1路预留给箱门，1路预留给防雷器）、1路DC12V和1路DC5C（预留给网络传输设备）；具有≥4路AC220V输出，支持独立每路电压、电流检测、远程控制、实时发送每路电压电流值到客户端显示，支持通过客户端实时监测设备输出是否断电，并在客户端界面提示告警；支持供电电压、电流、功率、电量监测，可通过客户端显示，当供电断开时，提示供电异常告警；可通过客户端软件显示设备的实时功率和累计用电电量和电费统计数值；具有检测过压、欠压、过流，支持过压、欠压、过流、低载联动关闭指定输出接口；支持手动开启学习接入设备的功率，在当前设备的功率基础上接入其他设备时，自动关闭供电输出，并且客户端提示非法取电告警；支持在不使用外部蓄电池情况下，通过客户端实时监测设备供电电源，并在客户端提示设备供电电源掉电告警；可通过客户端显示摄像机工作状态并设置定时/手动开启，当接入的摄像机断电或网络断开时，可通过客户端提示告警，支持≥8路外接摄像机状态检测，支持在客户端内实现外接摄像机视频图像播放；可通过WEB及客户端显示交换机工作状态，可设置定时/手动重启、重启次数和时间，当网络传输断开时，可自动进行重启网络传输设备电源；支持多路补光灯检测，能够区分补光灯白天异常亮起和晚上无法开启，支持补光灯功率自学习功能，可设置定时/手动开启电源，支持≥4个时间段的分时控制；支持箱内实时温度、湿度、防雷状态、风扇工作状态检测，支持风扇故障监测和告警，支持风扇单次运行时间统计和总运行时间统计；支持通过客户端显示箱门开关状态，可设置箱门布防撤防,超过设定时间可自动布防，布防状态下箱门开启，客户端提示告警；支持箱门打开后，联动球机转向监控箱位置录像，可配置开始球机转动时间和停留录像时长；支持通过WEB直接查看实时数据、配置IP地址、客户端地址、传输模式、进行远程固件升级,支持IP地址冲突提示、MAC地址冲突提示；支持设备一机一档信息记录，包含设备名称、编号、国标编码、安装时间、品牌、类型、安装时间、质保期、到期时间等；支持设置设备运维、网络运维、电力运维，并生成考核计费报表，支持设置考核标准、考核申诉；支持通过时间、品牌等条件对外接摄像机故障率、在线率以柱状图或折线图展示统计报表；支持自动派单和手动派单，工单记录故障产生时间、派单时间及修复时长等信息；支持设置各类告警的告警等级；支持设置不同告警的处理时效。</w:t>
            </w:r>
          </w:p>
        </w:tc>
        <w:tc>
          <w:tcPr>
            <w:tcW w:w="73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0" w:hRule="atLeast"/>
        </w:trPr>
        <w:tc>
          <w:tcPr>
            <w:tcW w:w="61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243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配套线缆</w:t>
            </w:r>
          </w:p>
        </w:tc>
        <w:tc>
          <w:tcPr>
            <w:tcW w:w="447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网线STP.CAT-5e、电源线RVV2*1.5及防护套管PVC，标签、扎带等</w:t>
            </w:r>
          </w:p>
        </w:tc>
        <w:tc>
          <w:tcPr>
            <w:tcW w:w="73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0" w:hRule="atLeast"/>
        </w:trPr>
        <w:tc>
          <w:tcPr>
            <w:tcW w:w="61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243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五金配件</w:t>
            </w:r>
          </w:p>
        </w:tc>
        <w:tc>
          <w:tcPr>
            <w:tcW w:w="447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螺丝、连接件、抱箍、钢丝绳、吊卡等　</w:t>
            </w:r>
          </w:p>
        </w:tc>
        <w:tc>
          <w:tcPr>
            <w:tcW w:w="73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批</w:t>
            </w:r>
          </w:p>
        </w:tc>
        <w:tc>
          <w:tcPr>
            <w:tcW w:w="0" w:type="auto"/>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0" w:hRule="atLeast"/>
        </w:trPr>
        <w:tc>
          <w:tcPr>
            <w:tcW w:w="61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243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金属立杆</w:t>
            </w:r>
          </w:p>
        </w:tc>
        <w:tc>
          <w:tcPr>
            <w:tcW w:w="447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直径165mm高3米/壁厚4.5mm（热镀锌，表面喷塑）</w:t>
            </w:r>
          </w:p>
        </w:tc>
        <w:tc>
          <w:tcPr>
            <w:tcW w:w="73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0" w:type="auto"/>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420" w:hRule="atLeast"/>
        </w:trPr>
        <w:tc>
          <w:tcPr>
            <w:tcW w:w="61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243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金属立杆</w:t>
            </w:r>
          </w:p>
        </w:tc>
        <w:tc>
          <w:tcPr>
            <w:tcW w:w="447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直径165mm高4米/壁厚4.5mm（热镀锌，表面喷塑）</w:t>
            </w:r>
          </w:p>
        </w:tc>
        <w:tc>
          <w:tcPr>
            <w:tcW w:w="73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0" w:type="auto"/>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0" w:hRule="atLeast"/>
        </w:trPr>
        <w:tc>
          <w:tcPr>
            <w:tcW w:w="61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43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金属立杆</w:t>
            </w:r>
          </w:p>
        </w:tc>
        <w:tc>
          <w:tcPr>
            <w:tcW w:w="447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直径165mm高5米/壁厚4.5mm（热镀锌，表面喷塑）</w:t>
            </w:r>
          </w:p>
        </w:tc>
        <w:tc>
          <w:tcPr>
            <w:tcW w:w="73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0" w:type="auto"/>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0" w:hRule="atLeast"/>
        </w:trPr>
        <w:tc>
          <w:tcPr>
            <w:tcW w:w="61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243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金属立杆</w:t>
            </w:r>
          </w:p>
        </w:tc>
        <w:tc>
          <w:tcPr>
            <w:tcW w:w="447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直径165mm高6米/壁厚4.5mm（热镀锌，表面喷塑）</w:t>
            </w:r>
          </w:p>
        </w:tc>
        <w:tc>
          <w:tcPr>
            <w:tcW w:w="73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0" w:type="auto"/>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0" w:hRule="atLeast"/>
        </w:trPr>
        <w:tc>
          <w:tcPr>
            <w:tcW w:w="61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243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横臂</w:t>
            </w:r>
          </w:p>
        </w:tc>
        <w:tc>
          <w:tcPr>
            <w:tcW w:w="447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锥型杆，2米横臂：管径80/150（厚5.0mm）</w:t>
            </w:r>
          </w:p>
        </w:tc>
        <w:tc>
          <w:tcPr>
            <w:tcW w:w="73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0" w:type="auto"/>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0" w:hRule="atLeast"/>
        </w:trPr>
        <w:tc>
          <w:tcPr>
            <w:tcW w:w="61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243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横臂</w:t>
            </w:r>
          </w:p>
        </w:tc>
        <w:tc>
          <w:tcPr>
            <w:tcW w:w="447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锥型杆，3米横臂：管径80/150（厚3.0mm）</w:t>
            </w:r>
          </w:p>
        </w:tc>
        <w:tc>
          <w:tcPr>
            <w:tcW w:w="73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0" w:type="auto"/>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0" w:hRule="atLeast"/>
        </w:trPr>
        <w:tc>
          <w:tcPr>
            <w:tcW w:w="61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243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横臂</w:t>
            </w:r>
          </w:p>
        </w:tc>
        <w:tc>
          <w:tcPr>
            <w:tcW w:w="447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直杆，1米横臂：管径89（厚4.0mm）</w:t>
            </w:r>
          </w:p>
        </w:tc>
        <w:tc>
          <w:tcPr>
            <w:tcW w:w="73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0" w:type="auto"/>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0" w:hRule="atLeast"/>
        </w:trPr>
        <w:tc>
          <w:tcPr>
            <w:tcW w:w="61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243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横臂</w:t>
            </w:r>
          </w:p>
        </w:tc>
        <w:tc>
          <w:tcPr>
            <w:tcW w:w="447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直杆，2米横臂：管径89（厚4.0mm）</w:t>
            </w:r>
          </w:p>
        </w:tc>
        <w:tc>
          <w:tcPr>
            <w:tcW w:w="73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0" w:type="auto"/>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0" w:hRule="atLeast"/>
        </w:trPr>
        <w:tc>
          <w:tcPr>
            <w:tcW w:w="61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243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横臂</w:t>
            </w:r>
          </w:p>
        </w:tc>
        <w:tc>
          <w:tcPr>
            <w:tcW w:w="447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直杆，3米横臂：管径89（厚4.0mm）</w:t>
            </w:r>
          </w:p>
        </w:tc>
        <w:tc>
          <w:tcPr>
            <w:tcW w:w="73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0" w:type="auto"/>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0" w:hRule="atLeast"/>
        </w:trPr>
        <w:tc>
          <w:tcPr>
            <w:tcW w:w="61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243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横臂</w:t>
            </w:r>
          </w:p>
        </w:tc>
        <w:tc>
          <w:tcPr>
            <w:tcW w:w="447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直杆，4米横臂：管径89（厚4.0mm）</w:t>
            </w:r>
          </w:p>
        </w:tc>
        <w:tc>
          <w:tcPr>
            <w:tcW w:w="73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0" w:type="auto"/>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420" w:hRule="atLeast"/>
        </w:trPr>
        <w:tc>
          <w:tcPr>
            <w:tcW w:w="61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243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抱箍支臂</w:t>
            </w:r>
          </w:p>
        </w:tc>
        <w:tc>
          <w:tcPr>
            <w:tcW w:w="447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直杆，1米，管径65（厚3.5mm）</w:t>
            </w:r>
          </w:p>
        </w:tc>
        <w:tc>
          <w:tcPr>
            <w:tcW w:w="73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0" w:type="auto"/>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0" w:hRule="atLeast"/>
        </w:trPr>
        <w:tc>
          <w:tcPr>
            <w:tcW w:w="61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243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抱箍支臂</w:t>
            </w:r>
          </w:p>
        </w:tc>
        <w:tc>
          <w:tcPr>
            <w:tcW w:w="447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直杆，2米，管径65（厚3.5mm）</w:t>
            </w:r>
          </w:p>
        </w:tc>
        <w:tc>
          <w:tcPr>
            <w:tcW w:w="73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0" w:type="auto"/>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420" w:hRule="atLeast"/>
        </w:trPr>
        <w:tc>
          <w:tcPr>
            <w:tcW w:w="61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243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抱箍支臂</w:t>
            </w:r>
          </w:p>
        </w:tc>
        <w:tc>
          <w:tcPr>
            <w:tcW w:w="447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直杆，3米，管径65（厚3.5mm）</w:t>
            </w:r>
          </w:p>
        </w:tc>
        <w:tc>
          <w:tcPr>
            <w:tcW w:w="73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0" w:type="auto"/>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0" w:hRule="atLeast"/>
        </w:trPr>
        <w:tc>
          <w:tcPr>
            <w:tcW w:w="61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243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墙装支臂</w:t>
            </w:r>
          </w:p>
        </w:tc>
        <w:tc>
          <w:tcPr>
            <w:tcW w:w="447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直杆，1米，管径65（厚3.5mm）</w:t>
            </w:r>
          </w:p>
        </w:tc>
        <w:tc>
          <w:tcPr>
            <w:tcW w:w="73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0" w:type="auto"/>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420" w:hRule="atLeast"/>
        </w:trPr>
        <w:tc>
          <w:tcPr>
            <w:tcW w:w="61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243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制高点支架</w:t>
            </w:r>
          </w:p>
        </w:tc>
        <w:tc>
          <w:tcPr>
            <w:tcW w:w="447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w:t>
            </w:r>
          </w:p>
        </w:tc>
        <w:tc>
          <w:tcPr>
            <w:tcW w:w="73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0" w:type="auto"/>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0" w:hRule="atLeast"/>
        </w:trPr>
        <w:tc>
          <w:tcPr>
            <w:tcW w:w="61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243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立杆底座</w:t>
            </w:r>
          </w:p>
        </w:tc>
        <w:tc>
          <w:tcPr>
            <w:tcW w:w="447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直径165基坑尺寸1000*1000*1100（地下埋深）、含预埋件、防雷接地</w:t>
            </w:r>
          </w:p>
        </w:tc>
        <w:tc>
          <w:tcPr>
            <w:tcW w:w="73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w:t>
            </w:r>
          </w:p>
        </w:tc>
        <w:tc>
          <w:tcPr>
            <w:tcW w:w="0" w:type="auto"/>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420" w:hRule="atLeast"/>
        </w:trPr>
        <w:tc>
          <w:tcPr>
            <w:tcW w:w="7515" w:type="dxa"/>
            <w:gridSpan w:val="3"/>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二、电力部分</w:t>
            </w:r>
          </w:p>
        </w:tc>
        <w:tc>
          <w:tcPr>
            <w:tcW w:w="735" w:type="dxa"/>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0" w:hRule="atLeast"/>
        </w:trPr>
        <w:tc>
          <w:tcPr>
            <w:tcW w:w="61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43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电网国家电表接入费</w:t>
            </w:r>
          </w:p>
        </w:tc>
        <w:tc>
          <w:tcPr>
            <w:tcW w:w="447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包含满足国家电网接入电表等相关配套的技术服务</w:t>
            </w:r>
          </w:p>
        </w:tc>
        <w:tc>
          <w:tcPr>
            <w:tcW w:w="73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61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43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利旧点位电力接入及检测费</w:t>
            </w:r>
          </w:p>
        </w:tc>
        <w:tc>
          <w:tcPr>
            <w:tcW w:w="4470" w:type="dxa"/>
            <w:shd w:val="clear" w:color="auto" w:fill="auto"/>
            <w:vAlign w:val="center"/>
          </w:tcPr>
          <w:p>
            <w:pPr>
              <w:keepNext w:val="0"/>
              <w:keepLines w:val="0"/>
              <w:widowControl/>
              <w:suppressLineNumbers w:val="0"/>
              <w:jc w:val="left"/>
              <w:textAlignment w:val="center"/>
              <w:rPr>
                <w:rFonts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bidi="ar"/>
              </w:rPr>
              <w:t>点位电力接入及检测费</w:t>
            </w:r>
          </w:p>
        </w:tc>
        <w:tc>
          <w:tcPr>
            <w:tcW w:w="73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w:t>
            </w:r>
          </w:p>
        </w:tc>
        <w:tc>
          <w:tcPr>
            <w:tcW w:w="0" w:type="auto"/>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0" w:hRule="atLeast"/>
        </w:trPr>
        <w:tc>
          <w:tcPr>
            <w:tcW w:w="61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243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新建点位电力接入及检测费</w:t>
            </w:r>
          </w:p>
        </w:tc>
        <w:tc>
          <w:tcPr>
            <w:tcW w:w="4470" w:type="dxa"/>
            <w:shd w:val="clear" w:color="auto" w:fill="auto"/>
            <w:vAlign w:val="center"/>
          </w:tcPr>
          <w:p>
            <w:pPr>
              <w:keepNext w:val="0"/>
              <w:keepLines w:val="0"/>
              <w:widowControl/>
              <w:suppressLineNumbers w:val="0"/>
              <w:jc w:val="left"/>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bidi="ar"/>
              </w:rPr>
              <w:t>电力接入及检测费</w:t>
            </w:r>
          </w:p>
        </w:tc>
        <w:tc>
          <w:tcPr>
            <w:tcW w:w="73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w:t>
            </w:r>
          </w:p>
        </w:tc>
        <w:tc>
          <w:tcPr>
            <w:tcW w:w="0" w:type="auto"/>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61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2430" w:type="dxa"/>
            <w:shd w:val="clear" w:color="auto" w:fill="auto"/>
            <w:vAlign w:val="center"/>
          </w:tcPr>
          <w:p>
            <w:pPr>
              <w:keepNext w:val="0"/>
              <w:keepLines w:val="0"/>
              <w:widowControl/>
              <w:suppressLineNumbers w:val="0"/>
              <w:jc w:val="left"/>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bidi="ar"/>
              </w:rPr>
              <w:t>电缆施工费用1</w:t>
            </w:r>
          </w:p>
        </w:tc>
        <w:tc>
          <w:tcPr>
            <w:tcW w:w="4470" w:type="dxa"/>
            <w:shd w:val="clear" w:color="auto" w:fill="auto"/>
            <w:vAlign w:val="center"/>
          </w:tcPr>
          <w:p>
            <w:pPr>
              <w:keepNext w:val="0"/>
              <w:keepLines w:val="0"/>
              <w:widowControl/>
              <w:suppressLineNumbers w:val="0"/>
              <w:jc w:val="left"/>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bidi="ar"/>
              </w:rPr>
              <w:t>沿管道穿线含所需电源线RVV3*2.5、YJV3*4、YJV3*6施工费用</w:t>
            </w:r>
          </w:p>
        </w:tc>
        <w:tc>
          <w:tcPr>
            <w:tcW w:w="735" w:type="dxa"/>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bidi="ar"/>
              </w:rPr>
              <w:t>米</w:t>
            </w:r>
          </w:p>
        </w:tc>
        <w:tc>
          <w:tcPr>
            <w:tcW w:w="0" w:type="auto"/>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560" w:hRule="atLeast"/>
        </w:trPr>
        <w:tc>
          <w:tcPr>
            <w:tcW w:w="61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30" w:type="dxa"/>
            <w:shd w:val="clear" w:color="auto" w:fill="auto"/>
            <w:vAlign w:val="center"/>
          </w:tcPr>
          <w:p>
            <w:pPr>
              <w:keepNext w:val="0"/>
              <w:keepLines w:val="0"/>
              <w:widowControl/>
              <w:suppressLineNumbers w:val="0"/>
              <w:jc w:val="left"/>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bidi="ar"/>
              </w:rPr>
              <w:t>电缆施工费用2</w:t>
            </w:r>
          </w:p>
        </w:tc>
        <w:tc>
          <w:tcPr>
            <w:tcW w:w="4470" w:type="dxa"/>
            <w:shd w:val="clear" w:color="auto" w:fill="auto"/>
            <w:vAlign w:val="center"/>
          </w:tcPr>
          <w:p>
            <w:pPr>
              <w:keepNext w:val="0"/>
              <w:keepLines w:val="0"/>
              <w:widowControl/>
              <w:suppressLineNumbers w:val="0"/>
              <w:jc w:val="left"/>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bidi="ar"/>
              </w:rPr>
              <w:t>沿墙钉固含所需电源线RVV3*2.5、YJV3*4、YJV3*6费用、PVC穿线管、卡子等材料和施费用</w:t>
            </w:r>
          </w:p>
        </w:tc>
        <w:tc>
          <w:tcPr>
            <w:tcW w:w="735" w:type="dxa"/>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bidi="ar"/>
              </w:rPr>
              <w:t>米</w:t>
            </w:r>
          </w:p>
        </w:tc>
        <w:tc>
          <w:tcPr>
            <w:tcW w:w="0" w:type="auto"/>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0" w:hRule="atLeast"/>
        </w:trPr>
        <w:tc>
          <w:tcPr>
            <w:tcW w:w="61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2430" w:type="dxa"/>
            <w:shd w:val="clear" w:color="auto" w:fill="auto"/>
            <w:vAlign w:val="center"/>
          </w:tcPr>
          <w:p>
            <w:pPr>
              <w:keepNext w:val="0"/>
              <w:keepLines w:val="0"/>
              <w:widowControl/>
              <w:suppressLineNumbers w:val="0"/>
              <w:jc w:val="left"/>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bidi="ar"/>
              </w:rPr>
              <w:t>电缆施工费用3</w:t>
            </w:r>
          </w:p>
        </w:tc>
        <w:tc>
          <w:tcPr>
            <w:tcW w:w="4470" w:type="dxa"/>
            <w:shd w:val="clear" w:color="auto" w:fill="auto"/>
            <w:vAlign w:val="center"/>
          </w:tcPr>
          <w:p>
            <w:pPr>
              <w:keepNext w:val="0"/>
              <w:keepLines w:val="0"/>
              <w:widowControl/>
              <w:suppressLineNumbers w:val="0"/>
              <w:jc w:val="left"/>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bidi="ar"/>
              </w:rPr>
              <w:t>道路（大理石、油路花砖等）、绿化带等开挖、回填、PE穿线管、电源线RVV3*2.5、YJV3*4、YJV3*6等施工费用</w:t>
            </w:r>
          </w:p>
        </w:tc>
        <w:tc>
          <w:tcPr>
            <w:tcW w:w="735" w:type="dxa"/>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bidi="ar"/>
              </w:rPr>
              <w:t>米</w:t>
            </w:r>
          </w:p>
        </w:tc>
        <w:tc>
          <w:tcPr>
            <w:tcW w:w="0" w:type="auto"/>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360" w:hRule="atLeast"/>
        </w:trPr>
        <w:tc>
          <w:tcPr>
            <w:tcW w:w="7515" w:type="dxa"/>
            <w:gridSpan w:val="3"/>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三、新建平台部分</w:t>
            </w:r>
          </w:p>
        </w:tc>
        <w:tc>
          <w:tcPr>
            <w:tcW w:w="735" w:type="dxa"/>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0" w:type="auto"/>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0" w:hRule="atLeast"/>
        </w:trPr>
        <w:tc>
          <w:tcPr>
            <w:tcW w:w="61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0" w:type="auto"/>
            <w:shd w:val="clear" w:color="auto" w:fill="auto"/>
            <w:noWrap/>
            <w:vAlign w:val="center"/>
          </w:tcPr>
          <w:p>
            <w:pPr>
              <w:keepNext w:val="0"/>
              <w:keepLines w:val="0"/>
              <w:widowControl/>
              <w:suppressLineNumbers w:val="0"/>
              <w:jc w:val="left"/>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bidi="ar"/>
              </w:rPr>
              <w:t>48盘位云存储设备</w:t>
            </w:r>
          </w:p>
        </w:tc>
        <w:tc>
          <w:tcPr>
            <w:tcW w:w="4470" w:type="dxa"/>
            <w:shd w:val="clear" w:color="auto" w:fill="auto"/>
            <w:vAlign w:val="center"/>
          </w:tcPr>
          <w:p>
            <w:pPr>
              <w:keepNext w:val="0"/>
              <w:keepLines w:val="0"/>
              <w:widowControl/>
              <w:suppressLineNumbers w:val="0"/>
              <w:jc w:val="left"/>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bidi="ar"/>
              </w:rPr>
              <w:t>48盘位视频监控云存储节点：单控制器</w:t>
            </w:r>
            <w:r>
              <w:rPr>
                <w:rFonts w:hint="eastAsia" w:ascii="新宋体" w:hAnsi="新宋体" w:eastAsia="新宋体" w:cs="新宋体"/>
                <w:i w:val="0"/>
                <w:iCs w:val="0"/>
                <w:color w:val="000000"/>
                <w:kern w:val="0"/>
                <w:sz w:val="20"/>
                <w:szCs w:val="20"/>
                <w:u w:val="none"/>
                <w:lang w:val="en-US" w:eastAsia="zh-CN" w:bidi="ar"/>
              </w:rPr>
              <w:br w:type="textWrapping"/>
            </w:r>
            <w:r>
              <w:rPr>
                <w:rFonts w:hint="eastAsia" w:ascii="新宋体" w:hAnsi="新宋体" w:eastAsia="新宋体" w:cs="新宋体"/>
                <w:i w:val="0"/>
                <w:iCs w:val="0"/>
                <w:color w:val="000000"/>
                <w:kern w:val="0"/>
                <w:sz w:val="20"/>
                <w:szCs w:val="20"/>
                <w:u w:val="none"/>
                <w:lang w:val="en-US" w:eastAsia="zh-CN" w:bidi="ar"/>
              </w:rPr>
              <w:t>磁盘通道数：48</w:t>
            </w:r>
            <w:r>
              <w:rPr>
                <w:rFonts w:hint="eastAsia" w:ascii="新宋体" w:hAnsi="新宋体" w:eastAsia="新宋体" w:cs="新宋体"/>
                <w:i w:val="0"/>
                <w:iCs w:val="0"/>
                <w:color w:val="000000"/>
                <w:kern w:val="0"/>
                <w:sz w:val="20"/>
                <w:szCs w:val="20"/>
                <w:u w:val="none"/>
                <w:lang w:val="en-US" w:eastAsia="zh-CN" w:bidi="ar"/>
              </w:rPr>
              <w:br w:type="textWrapping"/>
            </w:r>
            <w:r>
              <w:rPr>
                <w:rFonts w:hint="eastAsia" w:ascii="新宋体" w:hAnsi="新宋体" w:eastAsia="新宋体" w:cs="新宋体"/>
                <w:i w:val="0"/>
                <w:iCs w:val="0"/>
                <w:color w:val="000000"/>
                <w:kern w:val="0"/>
                <w:sz w:val="20"/>
                <w:szCs w:val="20"/>
                <w:u w:val="none"/>
                <w:lang w:val="en-US" w:eastAsia="zh-CN" w:bidi="ar"/>
              </w:rPr>
              <w:t>电源模块：交流电源</w:t>
            </w:r>
            <w:r>
              <w:rPr>
                <w:rFonts w:hint="eastAsia" w:ascii="新宋体" w:hAnsi="新宋体" w:eastAsia="新宋体" w:cs="新宋体"/>
                <w:i w:val="0"/>
                <w:iCs w:val="0"/>
                <w:color w:val="000000"/>
                <w:kern w:val="0"/>
                <w:sz w:val="20"/>
                <w:szCs w:val="20"/>
                <w:u w:val="none"/>
                <w:lang w:val="en-US" w:eastAsia="zh-CN" w:bidi="ar"/>
              </w:rPr>
              <w:br w:type="textWrapping"/>
            </w:r>
            <w:r>
              <w:rPr>
                <w:rFonts w:hint="eastAsia" w:ascii="新宋体" w:hAnsi="新宋体" w:eastAsia="新宋体" w:cs="新宋体"/>
                <w:i w:val="0"/>
                <w:iCs w:val="0"/>
                <w:color w:val="000000"/>
                <w:kern w:val="0"/>
                <w:sz w:val="20"/>
                <w:szCs w:val="20"/>
                <w:u w:val="none"/>
                <w:lang w:val="en-US" w:eastAsia="zh-CN" w:bidi="ar"/>
              </w:rPr>
              <w:t>网络接口：5个千兆以太网接口</w:t>
            </w:r>
            <w:r>
              <w:rPr>
                <w:rFonts w:hint="eastAsia" w:ascii="新宋体" w:hAnsi="新宋体" w:eastAsia="新宋体" w:cs="新宋体"/>
                <w:i w:val="0"/>
                <w:iCs w:val="0"/>
                <w:color w:val="000000"/>
                <w:kern w:val="0"/>
                <w:sz w:val="20"/>
                <w:szCs w:val="20"/>
                <w:u w:val="none"/>
                <w:lang w:val="en-US" w:eastAsia="zh-CN" w:bidi="ar"/>
              </w:rPr>
              <w:br w:type="textWrapping"/>
            </w:r>
            <w:r>
              <w:rPr>
                <w:rFonts w:hint="eastAsia" w:ascii="新宋体" w:hAnsi="新宋体" w:eastAsia="新宋体" w:cs="新宋体"/>
                <w:i w:val="0"/>
                <w:iCs w:val="0"/>
                <w:color w:val="000000"/>
                <w:kern w:val="0"/>
                <w:sz w:val="20"/>
                <w:szCs w:val="20"/>
                <w:u w:val="none"/>
                <w:lang w:val="en-US" w:eastAsia="zh-CN" w:bidi="ar"/>
              </w:rPr>
              <w:t>性能：512路2M块直存、51路回放</w:t>
            </w:r>
            <w:r>
              <w:rPr>
                <w:rFonts w:hint="eastAsia" w:ascii="新宋体" w:hAnsi="新宋体" w:eastAsia="新宋体" w:cs="新宋体"/>
                <w:i w:val="0"/>
                <w:iCs w:val="0"/>
                <w:color w:val="000000"/>
                <w:kern w:val="0"/>
                <w:sz w:val="20"/>
                <w:szCs w:val="20"/>
                <w:u w:val="none"/>
                <w:lang w:val="en-US" w:eastAsia="zh-CN" w:bidi="ar"/>
              </w:rPr>
              <w:br w:type="textWrapping"/>
            </w:r>
            <w:r>
              <w:rPr>
                <w:rFonts w:hint="eastAsia" w:ascii="新宋体" w:hAnsi="新宋体" w:eastAsia="新宋体" w:cs="新宋体"/>
                <w:i w:val="0"/>
                <w:iCs w:val="0"/>
                <w:color w:val="000000"/>
                <w:kern w:val="0"/>
                <w:sz w:val="20"/>
                <w:szCs w:val="20"/>
                <w:u w:val="none"/>
                <w:lang w:val="en-US" w:eastAsia="zh-CN" w:bidi="ar"/>
              </w:rPr>
              <w:t>384路2M流直存，38路回放</w:t>
            </w:r>
            <w:r>
              <w:rPr>
                <w:rFonts w:hint="eastAsia" w:ascii="新宋体" w:hAnsi="新宋体" w:eastAsia="新宋体" w:cs="新宋体"/>
                <w:i w:val="0"/>
                <w:iCs w:val="0"/>
                <w:color w:val="000000"/>
                <w:kern w:val="0"/>
                <w:sz w:val="20"/>
                <w:szCs w:val="20"/>
                <w:u w:val="none"/>
                <w:lang w:val="en-US" w:eastAsia="zh-CN" w:bidi="ar"/>
              </w:rPr>
              <w:br w:type="textWrapping"/>
            </w:r>
            <w:r>
              <w:rPr>
                <w:rFonts w:hint="eastAsia" w:ascii="新宋体" w:hAnsi="新宋体" w:eastAsia="新宋体" w:cs="新宋体"/>
                <w:i w:val="0"/>
                <w:iCs w:val="0"/>
                <w:color w:val="000000"/>
                <w:kern w:val="0"/>
                <w:sz w:val="20"/>
                <w:szCs w:val="20"/>
                <w:u w:val="none"/>
                <w:lang w:val="en-US" w:eastAsia="zh-CN" w:bidi="ar"/>
              </w:rPr>
              <w:t xml:space="preserve"> 支持提供存储虚拟化管理功能，将所有存储节点空间合并成一个存储虚拟池，对外提供海量存储空间管理</w:t>
            </w:r>
            <w:r>
              <w:rPr>
                <w:rFonts w:hint="eastAsia" w:ascii="新宋体" w:hAnsi="新宋体" w:eastAsia="新宋体" w:cs="新宋体"/>
                <w:i w:val="0"/>
                <w:iCs w:val="0"/>
                <w:color w:val="000000"/>
                <w:kern w:val="0"/>
                <w:sz w:val="20"/>
                <w:szCs w:val="20"/>
                <w:u w:val="none"/>
                <w:lang w:val="en-US" w:eastAsia="zh-CN" w:bidi="ar"/>
              </w:rPr>
              <w:br w:type="textWrapping"/>
            </w:r>
            <w:r>
              <w:rPr>
                <w:rFonts w:hint="eastAsia" w:ascii="新宋体" w:hAnsi="新宋体" w:eastAsia="新宋体" w:cs="新宋体"/>
                <w:i w:val="0"/>
                <w:iCs w:val="0"/>
                <w:color w:val="000000"/>
                <w:kern w:val="0"/>
                <w:sz w:val="20"/>
                <w:szCs w:val="20"/>
                <w:u w:val="none"/>
                <w:lang w:val="en-US" w:eastAsia="zh-CN" w:bidi="ar"/>
              </w:rPr>
              <w:t>支持PCIe插槽、支持千兆GE接口卡和万兆10GE接口卡、Mini SAS HD卡(SAS 3.0)</w:t>
            </w:r>
            <w:r>
              <w:rPr>
                <w:rFonts w:hint="eastAsia" w:ascii="新宋体" w:hAnsi="新宋体" w:eastAsia="新宋体" w:cs="新宋体"/>
                <w:i w:val="0"/>
                <w:iCs w:val="0"/>
                <w:color w:val="000000"/>
                <w:kern w:val="0"/>
                <w:sz w:val="20"/>
                <w:szCs w:val="20"/>
                <w:u w:val="none"/>
                <w:lang w:val="en-US" w:eastAsia="zh-CN" w:bidi="ar"/>
              </w:rPr>
              <w:br w:type="textWrapping"/>
            </w:r>
            <w:r>
              <w:rPr>
                <w:rFonts w:hint="eastAsia" w:ascii="新宋体" w:hAnsi="新宋体" w:eastAsia="新宋体" w:cs="新宋体"/>
                <w:i w:val="0"/>
                <w:iCs w:val="0"/>
                <w:color w:val="000000"/>
                <w:kern w:val="0"/>
                <w:sz w:val="20"/>
                <w:szCs w:val="20"/>
                <w:u w:val="none"/>
                <w:lang w:val="en-US" w:eastAsia="zh-CN" w:bidi="ar"/>
              </w:rPr>
              <w:t>支持网络端口链路聚合、负载均衡</w:t>
            </w:r>
            <w:r>
              <w:rPr>
                <w:rFonts w:hint="eastAsia" w:ascii="新宋体" w:hAnsi="新宋体" w:eastAsia="新宋体" w:cs="新宋体"/>
                <w:i w:val="0"/>
                <w:iCs w:val="0"/>
                <w:color w:val="000000"/>
                <w:kern w:val="0"/>
                <w:sz w:val="20"/>
                <w:szCs w:val="20"/>
                <w:u w:val="none"/>
                <w:lang w:val="en-US" w:eastAsia="zh-CN" w:bidi="ar"/>
              </w:rPr>
              <w:br w:type="textWrapping"/>
            </w:r>
            <w:r>
              <w:rPr>
                <w:rFonts w:hint="eastAsia" w:ascii="新宋体" w:hAnsi="新宋体" w:eastAsia="新宋体" w:cs="新宋体"/>
                <w:i w:val="0"/>
                <w:iCs w:val="0"/>
                <w:color w:val="000000"/>
                <w:kern w:val="0"/>
                <w:sz w:val="20"/>
                <w:szCs w:val="20"/>
                <w:u w:val="none"/>
                <w:lang w:val="en-US" w:eastAsia="zh-CN" w:bidi="ar"/>
              </w:rPr>
              <w:t>支持标准ONVIF、GB/T28181等标准前端接入</w:t>
            </w:r>
            <w:r>
              <w:rPr>
                <w:rFonts w:hint="eastAsia" w:ascii="新宋体" w:hAnsi="新宋体" w:eastAsia="新宋体" w:cs="新宋体"/>
                <w:i w:val="0"/>
                <w:iCs w:val="0"/>
                <w:color w:val="000000"/>
                <w:kern w:val="0"/>
                <w:sz w:val="20"/>
                <w:szCs w:val="20"/>
                <w:u w:val="none"/>
                <w:lang w:val="en-US" w:eastAsia="zh-CN" w:bidi="ar"/>
              </w:rPr>
              <w:br w:type="textWrapping"/>
            </w:r>
            <w:r>
              <w:rPr>
                <w:rFonts w:hint="eastAsia" w:ascii="新宋体" w:hAnsi="新宋体" w:eastAsia="新宋体" w:cs="新宋体"/>
                <w:i w:val="0"/>
                <w:iCs w:val="0"/>
                <w:color w:val="000000"/>
                <w:kern w:val="0"/>
                <w:sz w:val="20"/>
                <w:szCs w:val="20"/>
                <w:u w:val="none"/>
                <w:lang w:val="en-US" w:eastAsia="zh-CN" w:bidi="ar"/>
              </w:rPr>
              <w:t>支持视频智能结构化数据存储</w:t>
            </w:r>
            <w:r>
              <w:rPr>
                <w:rFonts w:hint="eastAsia" w:ascii="新宋体" w:hAnsi="新宋体" w:eastAsia="新宋体" w:cs="新宋体"/>
                <w:i w:val="0"/>
                <w:iCs w:val="0"/>
                <w:color w:val="000000"/>
                <w:kern w:val="0"/>
                <w:sz w:val="20"/>
                <w:szCs w:val="20"/>
                <w:u w:val="none"/>
                <w:lang w:val="en-US" w:eastAsia="zh-CN" w:bidi="ar"/>
              </w:rPr>
              <w:br w:type="textWrapping"/>
            </w:r>
            <w:r>
              <w:rPr>
                <w:rFonts w:hint="eastAsia" w:ascii="新宋体" w:hAnsi="新宋体" w:eastAsia="新宋体" w:cs="新宋体"/>
                <w:i w:val="0"/>
                <w:iCs w:val="0"/>
                <w:color w:val="000000"/>
                <w:kern w:val="0"/>
                <w:sz w:val="20"/>
                <w:szCs w:val="20"/>
                <w:u w:val="none"/>
                <w:lang w:val="en-US" w:eastAsia="zh-CN" w:bidi="ar"/>
              </w:rPr>
              <w:t>支持裸数据块直存方式，无文件系统碎片，海量小文件存储性能无衰减</w:t>
            </w:r>
            <w:r>
              <w:rPr>
                <w:rFonts w:hint="eastAsia" w:ascii="新宋体" w:hAnsi="新宋体" w:eastAsia="新宋体" w:cs="新宋体"/>
                <w:i w:val="0"/>
                <w:iCs w:val="0"/>
                <w:color w:val="000000"/>
                <w:kern w:val="0"/>
                <w:sz w:val="20"/>
                <w:szCs w:val="20"/>
                <w:u w:val="none"/>
                <w:lang w:val="en-US" w:eastAsia="zh-CN" w:bidi="ar"/>
              </w:rPr>
              <w:br w:type="textWrapping"/>
            </w:r>
            <w:r>
              <w:rPr>
                <w:rFonts w:hint="eastAsia" w:ascii="新宋体" w:hAnsi="新宋体" w:eastAsia="新宋体" w:cs="新宋体"/>
                <w:i w:val="0"/>
                <w:iCs w:val="0"/>
                <w:color w:val="000000"/>
                <w:kern w:val="0"/>
                <w:sz w:val="20"/>
                <w:szCs w:val="20"/>
                <w:u w:val="none"/>
                <w:lang w:val="en-US" w:eastAsia="zh-CN" w:bidi="ar"/>
              </w:rPr>
              <w:t>支持数据离散，并发读写，支持视频秒级检索及回放，视频、图片极速下载</w:t>
            </w:r>
            <w:r>
              <w:rPr>
                <w:rFonts w:hint="eastAsia" w:ascii="新宋体" w:hAnsi="新宋体" w:eastAsia="新宋体" w:cs="新宋体"/>
                <w:i w:val="0"/>
                <w:iCs w:val="0"/>
                <w:color w:val="000000"/>
                <w:kern w:val="0"/>
                <w:sz w:val="20"/>
                <w:szCs w:val="20"/>
                <w:u w:val="none"/>
                <w:lang w:val="en-US" w:eastAsia="zh-CN" w:bidi="ar"/>
              </w:rPr>
              <w:br w:type="textWrapping"/>
            </w:r>
            <w:r>
              <w:rPr>
                <w:rFonts w:hint="eastAsia" w:ascii="新宋体" w:hAnsi="新宋体" w:eastAsia="新宋体" w:cs="新宋体"/>
                <w:i w:val="0"/>
                <w:iCs w:val="0"/>
                <w:color w:val="000000"/>
                <w:kern w:val="0"/>
                <w:sz w:val="20"/>
                <w:szCs w:val="20"/>
                <w:u w:val="none"/>
                <w:lang w:val="en-US" w:eastAsia="zh-CN" w:bidi="ar"/>
              </w:rPr>
              <w:t>支持云节点负载均衡、故障切换，解决单节点性能瓶颈问题及单节点故障问题，保证业务连续性</w:t>
            </w:r>
            <w:r>
              <w:rPr>
                <w:rFonts w:hint="eastAsia" w:ascii="新宋体" w:hAnsi="新宋体" w:eastAsia="新宋体" w:cs="新宋体"/>
                <w:i w:val="0"/>
                <w:iCs w:val="0"/>
                <w:color w:val="000000"/>
                <w:kern w:val="0"/>
                <w:sz w:val="20"/>
                <w:szCs w:val="20"/>
                <w:u w:val="none"/>
                <w:lang w:val="en-US" w:eastAsia="zh-CN" w:bidi="ar"/>
              </w:rPr>
              <w:br w:type="textWrapping"/>
            </w:r>
            <w:r>
              <w:rPr>
                <w:rFonts w:hint="eastAsia" w:ascii="新宋体" w:hAnsi="新宋体" w:eastAsia="新宋体" w:cs="新宋体"/>
                <w:i w:val="0"/>
                <w:iCs w:val="0"/>
                <w:color w:val="000000"/>
                <w:kern w:val="0"/>
                <w:sz w:val="20"/>
                <w:szCs w:val="20"/>
                <w:u w:val="none"/>
                <w:lang w:val="en-US" w:eastAsia="zh-CN" w:bidi="ar"/>
              </w:rPr>
              <w:t>支持云备份功能，实现云内数据备份和云间备份</w:t>
            </w:r>
            <w:r>
              <w:rPr>
                <w:rFonts w:hint="eastAsia" w:ascii="新宋体" w:hAnsi="新宋体" w:eastAsia="新宋体" w:cs="新宋体"/>
                <w:i w:val="0"/>
                <w:iCs w:val="0"/>
                <w:color w:val="000000"/>
                <w:kern w:val="0"/>
                <w:sz w:val="20"/>
                <w:szCs w:val="20"/>
                <w:u w:val="none"/>
                <w:lang w:val="en-US" w:eastAsia="zh-CN" w:bidi="ar"/>
              </w:rPr>
              <w:br w:type="textWrapping"/>
            </w:r>
            <w:r>
              <w:rPr>
                <w:rFonts w:hint="eastAsia" w:ascii="新宋体" w:hAnsi="新宋体" w:eastAsia="新宋体" w:cs="新宋体"/>
                <w:i w:val="0"/>
                <w:iCs w:val="0"/>
                <w:color w:val="000000"/>
                <w:kern w:val="0"/>
                <w:sz w:val="20"/>
                <w:szCs w:val="20"/>
                <w:u w:val="none"/>
                <w:lang w:val="en-US" w:eastAsia="zh-CN" w:bidi="ar"/>
              </w:rPr>
              <w:t>支持冗余电源，风扇，电池，支持磁盘、电源、风扇、电池的热插拔和在线更换</w:t>
            </w:r>
            <w:r>
              <w:rPr>
                <w:rFonts w:hint="eastAsia" w:ascii="新宋体" w:hAnsi="新宋体" w:eastAsia="新宋体" w:cs="新宋体"/>
                <w:i w:val="0"/>
                <w:iCs w:val="0"/>
                <w:color w:val="000000"/>
                <w:kern w:val="0"/>
                <w:sz w:val="20"/>
                <w:szCs w:val="20"/>
                <w:u w:val="none"/>
                <w:lang w:val="en-US" w:eastAsia="zh-CN" w:bidi="ar"/>
              </w:rPr>
              <w:br w:type="textWrapping"/>
            </w:r>
            <w:r>
              <w:rPr>
                <w:rFonts w:hint="eastAsia" w:ascii="新宋体" w:hAnsi="新宋体" w:eastAsia="新宋体" w:cs="新宋体"/>
                <w:i w:val="0"/>
                <w:iCs w:val="0"/>
                <w:color w:val="000000"/>
                <w:kern w:val="0"/>
                <w:sz w:val="20"/>
                <w:szCs w:val="20"/>
                <w:u w:val="none"/>
                <w:lang w:val="en-US" w:eastAsia="zh-CN" w:bidi="ar"/>
              </w:rPr>
              <w:t>支持数码管、指示灯、蜂鸣器告警、邮件告警、SNMP Trap、短信等告警方式对故障进行告警</w:t>
            </w:r>
            <w:r>
              <w:rPr>
                <w:rFonts w:hint="eastAsia" w:ascii="新宋体" w:hAnsi="新宋体" w:eastAsia="新宋体" w:cs="新宋体"/>
                <w:i w:val="0"/>
                <w:iCs w:val="0"/>
                <w:color w:val="000000"/>
                <w:kern w:val="0"/>
                <w:sz w:val="20"/>
                <w:szCs w:val="20"/>
                <w:u w:val="none"/>
                <w:lang w:val="en-US" w:eastAsia="zh-CN" w:bidi="ar"/>
              </w:rPr>
              <w:br w:type="textWrapping"/>
            </w:r>
            <w:r>
              <w:rPr>
                <w:rFonts w:hint="eastAsia" w:ascii="新宋体" w:hAnsi="新宋体" w:eastAsia="新宋体" w:cs="新宋体"/>
                <w:i w:val="0"/>
                <w:iCs w:val="0"/>
                <w:color w:val="000000"/>
                <w:kern w:val="0"/>
                <w:sz w:val="20"/>
                <w:szCs w:val="20"/>
                <w:u w:val="none"/>
                <w:lang w:val="en-US" w:eastAsia="zh-CN" w:bidi="ar"/>
              </w:rPr>
              <w:t>支持IP冲突告警、网口降速、电源故障、风扇故障、电池电量不足、电池故障等告警</w:t>
            </w:r>
            <w:r>
              <w:rPr>
                <w:rFonts w:hint="eastAsia" w:ascii="新宋体" w:hAnsi="新宋体" w:eastAsia="新宋体" w:cs="新宋体"/>
                <w:i w:val="0"/>
                <w:iCs w:val="0"/>
                <w:color w:val="000000"/>
                <w:kern w:val="0"/>
                <w:sz w:val="20"/>
                <w:szCs w:val="20"/>
                <w:u w:val="none"/>
                <w:lang w:val="en-US" w:eastAsia="zh-CN" w:bidi="ar"/>
              </w:rPr>
              <w:br w:type="textWrapping"/>
            </w:r>
            <w:r>
              <w:rPr>
                <w:rFonts w:hint="eastAsia" w:ascii="新宋体" w:hAnsi="新宋体" w:eastAsia="新宋体" w:cs="新宋体"/>
                <w:i w:val="0"/>
                <w:iCs w:val="0"/>
                <w:color w:val="000000"/>
                <w:kern w:val="0"/>
                <w:sz w:val="20"/>
                <w:szCs w:val="20"/>
                <w:u w:val="none"/>
                <w:lang w:val="en-US" w:eastAsia="zh-CN" w:bidi="ar"/>
              </w:rPr>
              <w:t>支持数据保险箱（掉电数据永久保护）</w:t>
            </w:r>
            <w:r>
              <w:rPr>
                <w:rFonts w:hint="eastAsia" w:ascii="新宋体" w:hAnsi="新宋体" w:eastAsia="新宋体" w:cs="新宋体"/>
                <w:i w:val="0"/>
                <w:iCs w:val="0"/>
                <w:color w:val="000000"/>
                <w:kern w:val="0"/>
                <w:sz w:val="20"/>
                <w:szCs w:val="20"/>
                <w:u w:val="none"/>
                <w:lang w:val="en-US" w:eastAsia="zh-CN" w:bidi="ar"/>
              </w:rPr>
              <w:br w:type="textWrapping"/>
            </w:r>
            <w:r>
              <w:rPr>
                <w:rFonts w:hint="eastAsia" w:ascii="新宋体" w:hAnsi="新宋体" w:eastAsia="新宋体" w:cs="新宋体"/>
                <w:i w:val="0"/>
                <w:iCs w:val="0"/>
                <w:color w:val="000000"/>
                <w:kern w:val="0"/>
                <w:sz w:val="20"/>
                <w:szCs w:val="20"/>
                <w:u w:val="none"/>
                <w:lang w:val="en-US" w:eastAsia="zh-CN" w:bidi="ar"/>
              </w:rPr>
              <w:t>支持JBOD、RAID 0、1、5、6、10、50，RAID阵列可即建即用</w:t>
            </w:r>
            <w:r>
              <w:rPr>
                <w:rFonts w:hint="eastAsia" w:ascii="新宋体" w:hAnsi="新宋体" w:eastAsia="新宋体" w:cs="新宋体"/>
                <w:i w:val="0"/>
                <w:iCs w:val="0"/>
                <w:color w:val="000000"/>
                <w:kern w:val="0"/>
                <w:sz w:val="20"/>
                <w:szCs w:val="20"/>
                <w:u w:val="none"/>
                <w:lang w:val="en-US" w:eastAsia="zh-CN" w:bidi="ar"/>
              </w:rPr>
              <w:br w:type="textWrapping"/>
            </w:r>
            <w:r>
              <w:rPr>
                <w:rFonts w:hint="eastAsia" w:ascii="新宋体" w:hAnsi="新宋体" w:eastAsia="新宋体" w:cs="新宋体"/>
                <w:i w:val="0"/>
                <w:iCs w:val="0"/>
                <w:color w:val="000000"/>
                <w:kern w:val="0"/>
                <w:sz w:val="20"/>
                <w:szCs w:val="20"/>
                <w:u w:val="none"/>
                <w:lang w:val="en-US" w:eastAsia="zh-CN" w:bidi="ar"/>
              </w:rPr>
              <w:t>支持SATA、SSD盘</w:t>
            </w:r>
            <w:r>
              <w:rPr>
                <w:rFonts w:hint="eastAsia" w:ascii="新宋体" w:hAnsi="新宋体" w:eastAsia="新宋体" w:cs="新宋体"/>
                <w:i w:val="0"/>
                <w:iCs w:val="0"/>
                <w:color w:val="000000"/>
                <w:kern w:val="0"/>
                <w:sz w:val="20"/>
                <w:szCs w:val="20"/>
                <w:u w:val="none"/>
                <w:lang w:val="en-US" w:eastAsia="zh-CN" w:bidi="ar"/>
              </w:rPr>
              <w:br w:type="textWrapping"/>
            </w:r>
            <w:r>
              <w:rPr>
                <w:rFonts w:hint="eastAsia" w:ascii="新宋体" w:hAnsi="新宋体" w:eastAsia="新宋体" w:cs="新宋体"/>
                <w:i w:val="0"/>
                <w:iCs w:val="0"/>
                <w:color w:val="000000"/>
                <w:kern w:val="0"/>
                <w:sz w:val="20"/>
                <w:szCs w:val="20"/>
                <w:u w:val="none"/>
                <w:lang w:val="en-US" w:eastAsia="zh-CN" w:bidi="ar"/>
              </w:rPr>
              <w:t>支持自动空白盘全局热备、专有热备</w:t>
            </w:r>
            <w:r>
              <w:rPr>
                <w:rFonts w:hint="eastAsia" w:ascii="新宋体" w:hAnsi="新宋体" w:eastAsia="新宋体" w:cs="新宋体"/>
                <w:i w:val="0"/>
                <w:iCs w:val="0"/>
                <w:color w:val="000000"/>
                <w:kern w:val="0"/>
                <w:sz w:val="20"/>
                <w:szCs w:val="20"/>
                <w:u w:val="none"/>
                <w:lang w:val="en-US" w:eastAsia="zh-CN" w:bidi="ar"/>
              </w:rPr>
              <w:br w:type="textWrapping"/>
            </w:r>
            <w:r>
              <w:rPr>
                <w:rFonts w:hint="eastAsia" w:ascii="新宋体" w:hAnsi="新宋体" w:eastAsia="新宋体" w:cs="新宋体"/>
                <w:i w:val="0"/>
                <w:iCs w:val="0"/>
                <w:color w:val="000000"/>
                <w:kern w:val="0"/>
                <w:sz w:val="20"/>
                <w:szCs w:val="20"/>
                <w:u w:val="none"/>
                <w:lang w:val="en-US" w:eastAsia="zh-CN" w:bidi="ar"/>
              </w:rPr>
              <w:t>支持RAID阵列磁盘进行定位，RAID阵列自动巡检</w:t>
            </w:r>
            <w:r>
              <w:rPr>
                <w:rFonts w:hint="eastAsia" w:ascii="新宋体" w:hAnsi="新宋体" w:eastAsia="新宋体" w:cs="新宋体"/>
                <w:i w:val="0"/>
                <w:iCs w:val="0"/>
                <w:color w:val="000000"/>
                <w:kern w:val="0"/>
                <w:sz w:val="20"/>
                <w:szCs w:val="20"/>
                <w:u w:val="none"/>
                <w:lang w:val="en-US" w:eastAsia="zh-CN" w:bidi="ar"/>
              </w:rPr>
              <w:br w:type="textWrapping"/>
            </w:r>
            <w:r>
              <w:rPr>
                <w:rFonts w:hint="eastAsia" w:ascii="新宋体" w:hAnsi="新宋体" w:eastAsia="新宋体" w:cs="新宋体"/>
                <w:i w:val="0"/>
                <w:iCs w:val="0"/>
                <w:color w:val="000000"/>
                <w:kern w:val="0"/>
                <w:sz w:val="20"/>
                <w:szCs w:val="20"/>
                <w:u w:val="none"/>
                <w:lang w:val="en-US" w:eastAsia="zh-CN" w:bidi="ar"/>
              </w:rPr>
              <w:t>支持RAID阵列重构重建、无感知重建、SMART检测预拷贝，RAID阵列可自动动态调整重建速度、重建/同步优先级</w:t>
            </w:r>
            <w:r>
              <w:rPr>
                <w:rFonts w:hint="eastAsia" w:ascii="新宋体" w:hAnsi="新宋体" w:eastAsia="新宋体" w:cs="新宋体"/>
                <w:i w:val="0"/>
                <w:iCs w:val="0"/>
                <w:color w:val="000000"/>
                <w:kern w:val="0"/>
                <w:sz w:val="20"/>
                <w:szCs w:val="20"/>
                <w:u w:val="none"/>
                <w:lang w:val="en-US" w:eastAsia="zh-CN" w:bidi="ar"/>
              </w:rPr>
              <w:br w:type="textWrapping"/>
            </w:r>
            <w:r>
              <w:rPr>
                <w:rFonts w:hint="eastAsia" w:ascii="新宋体" w:hAnsi="新宋体" w:eastAsia="新宋体" w:cs="新宋体"/>
                <w:i w:val="0"/>
                <w:iCs w:val="0"/>
                <w:color w:val="000000"/>
                <w:kern w:val="0"/>
                <w:sz w:val="20"/>
                <w:szCs w:val="20"/>
                <w:u w:val="none"/>
                <w:lang w:val="en-US" w:eastAsia="zh-CN" w:bidi="ar"/>
              </w:rPr>
              <w:t>支持RAID阵列磁盘坏块替换、多错误容忍、磁盘错误修复</w:t>
            </w:r>
            <w:r>
              <w:rPr>
                <w:rFonts w:hint="eastAsia" w:ascii="新宋体" w:hAnsi="新宋体" w:eastAsia="新宋体" w:cs="新宋体"/>
                <w:i w:val="0"/>
                <w:iCs w:val="0"/>
                <w:color w:val="000000"/>
                <w:kern w:val="0"/>
                <w:sz w:val="20"/>
                <w:szCs w:val="20"/>
                <w:u w:val="none"/>
                <w:lang w:val="en-US" w:eastAsia="zh-CN" w:bidi="ar"/>
              </w:rPr>
              <w:br w:type="textWrapping"/>
            </w:r>
            <w:r>
              <w:rPr>
                <w:rFonts w:hint="eastAsia" w:ascii="新宋体" w:hAnsi="新宋体" w:eastAsia="新宋体" w:cs="新宋体"/>
                <w:i w:val="0"/>
                <w:iCs w:val="0"/>
                <w:color w:val="000000"/>
                <w:kern w:val="0"/>
                <w:sz w:val="20"/>
                <w:szCs w:val="20"/>
                <w:u w:val="none"/>
                <w:lang w:val="en-US" w:eastAsia="zh-CN" w:bidi="ar"/>
              </w:rPr>
              <w:t>支持硬件过载保护机制</w:t>
            </w:r>
            <w:r>
              <w:rPr>
                <w:rFonts w:hint="eastAsia" w:ascii="新宋体" w:hAnsi="新宋体" w:eastAsia="新宋体" w:cs="新宋体"/>
                <w:i w:val="0"/>
                <w:iCs w:val="0"/>
                <w:color w:val="000000"/>
                <w:kern w:val="0"/>
                <w:sz w:val="20"/>
                <w:szCs w:val="20"/>
                <w:u w:val="none"/>
                <w:lang w:val="en-US" w:eastAsia="zh-CN" w:bidi="ar"/>
              </w:rPr>
              <w:br w:type="textWrapping"/>
            </w:r>
            <w:r>
              <w:rPr>
                <w:rFonts w:hint="eastAsia" w:ascii="新宋体" w:hAnsi="新宋体" w:eastAsia="新宋体" w:cs="新宋体"/>
                <w:i w:val="0"/>
                <w:iCs w:val="0"/>
                <w:color w:val="000000"/>
                <w:kern w:val="0"/>
                <w:sz w:val="20"/>
                <w:szCs w:val="20"/>
                <w:u w:val="none"/>
                <w:lang w:val="en-US" w:eastAsia="zh-CN" w:bidi="ar"/>
              </w:rPr>
              <w:t>支持风扇多级调速技术</w:t>
            </w:r>
            <w:r>
              <w:rPr>
                <w:rFonts w:hint="eastAsia" w:ascii="新宋体" w:hAnsi="新宋体" w:eastAsia="新宋体" w:cs="新宋体"/>
                <w:i w:val="0"/>
                <w:iCs w:val="0"/>
                <w:color w:val="000000"/>
                <w:kern w:val="0"/>
                <w:sz w:val="20"/>
                <w:szCs w:val="20"/>
                <w:u w:val="none"/>
                <w:lang w:val="en-US" w:eastAsia="zh-CN" w:bidi="ar"/>
              </w:rPr>
              <w:br w:type="textWrapping"/>
            </w:r>
            <w:r>
              <w:rPr>
                <w:rFonts w:hint="eastAsia" w:ascii="新宋体" w:hAnsi="新宋体" w:eastAsia="新宋体" w:cs="新宋体"/>
                <w:i w:val="0"/>
                <w:iCs w:val="0"/>
                <w:color w:val="000000"/>
                <w:kern w:val="0"/>
                <w:sz w:val="20"/>
                <w:szCs w:val="20"/>
                <w:u w:val="none"/>
                <w:lang w:val="en-US" w:eastAsia="zh-CN" w:bidi="ar"/>
              </w:rPr>
              <w:t>支持防尘、防震、防腐蚀</w:t>
            </w:r>
          </w:p>
        </w:tc>
        <w:tc>
          <w:tcPr>
            <w:tcW w:w="73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2" w:hRule="atLeast"/>
        </w:trPr>
        <w:tc>
          <w:tcPr>
            <w:tcW w:w="61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 </w:t>
            </w:r>
          </w:p>
        </w:tc>
        <w:tc>
          <w:tcPr>
            <w:tcW w:w="0" w:type="auto"/>
            <w:shd w:val="clear" w:color="auto" w:fill="auto"/>
            <w:noWrap/>
            <w:vAlign w:val="center"/>
          </w:tcPr>
          <w:p>
            <w:pPr>
              <w:keepNext w:val="0"/>
              <w:keepLines w:val="0"/>
              <w:widowControl/>
              <w:suppressLineNumbers w:val="0"/>
              <w:jc w:val="left"/>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bidi="ar"/>
              </w:rPr>
              <w:t>云存储硬盘(18TB*2)</w:t>
            </w:r>
          </w:p>
        </w:tc>
        <w:tc>
          <w:tcPr>
            <w:tcW w:w="0" w:type="auto"/>
            <w:shd w:val="clear" w:color="auto" w:fill="auto"/>
            <w:noWrap/>
            <w:vAlign w:val="center"/>
          </w:tcPr>
          <w:p>
            <w:pPr>
              <w:keepNext w:val="0"/>
              <w:keepLines w:val="0"/>
              <w:widowControl/>
              <w:suppressLineNumbers w:val="0"/>
              <w:jc w:val="left"/>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bidi="ar"/>
              </w:rPr>
              <w:t>监控级SATA硬盘：18TB*2</w:t>
            </w:r>
          </w:p>
        </w:tc>
        <w:tc>
          <w:tcPr>
            <w:tcW w:w="73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c>
          <w:tcPr>
            <w:tcW w:w="0" w:type="auto"/>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2" w:hRule="atLeast"/>
        </w:trPr>
        <w:tc>
          <w:tcPr>
            <w:tcW w:w="61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 </w:t>
            </w:r>
          </w:p>
        </w:tc>
        <w:tc>
          <w:tcPr>
            <w:tcW w:w="0" w:type="auto"/>
            <w:shd w:val="clear" w:color="auto" w:fill="auto"/>
            <w:noWrap/>
            <w:vAlign w:val="center"/>
          </w:tcPr>
          <w:p>
            <w:pPr>
              <w:keepNext w:val="0"/>
              <w:keepLines w:val="0"/>
              <w:widowControl/>
              <w:suppressLineNumbers w:val="0"/>
              <w:jc w:val="left"/>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bidi="ar"/>
              </w:rPr>
              <w:t>电池模块</w:t>
            </w:r>
          </w:p>
        </w:tc>
        <w:tc>
          <w:tcPr>
            <w:tcW w:w="0" w:type="auto"/>
            <w:shd w:val="clear" w:color="auto" w:fill="auto"/>
            <w:noWrap/>
            <w:vAlign w:val="center"/>
          </w:tcPr>
          <w:p>
            <w:pPr>
              <w:keepNext w:val="0"/>
              <w:keepLines w:val="0"/>
              <w:widowControl/>
              <w:suppressLineNumbers w:val="0"/>
              <w:jc w:val="left"/>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bidi="ar"/>
              </w:rPr>
              <w:t>电池模块</w:t>
            </w:r>
          </w:p>
        </w:tc>
        <w:tc>
          <w:tcPr>
            <w:tcW w:w="73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2" w:hRule="atLeast"/>
        </w:trPr>
        <w:tc>
          <w:tcPr>
            <w:tcW w:w="61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 </w:t>
            </w:r>
          </w:p>
        </w:tc>
        <w:tc>
          <w:tcPr>
            <w:tcW w:w="0" w:type="auto"/>
            <w:shd w:val="clear" w:color="auto" w:fill="auto"/>
            <w:noWrap/>
            <w:vAlign w:val="center"/>
          </w:tcPr>
          <w:p>
            <w:pPr>
              <w:keepNext w:val="0"/>
              <w:keepLines w:val="0"/>
              <w:widowControl/>
              <w:suppressLineNumbers w:val="0"/>
              <w:jc w:val="left"/>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bidi="ar"/>
              </w:rPr>
              <w:t>700W电源模块</w:t>
            </w:r>
          </w:p>
        </w:tc>
        <w:tc>
          <w:tcPr>
            <w:tcW w:w="0" w:type="auto"/>
            <w:shd w:val="clear" w:color="auto" w:fill="auto"/>
            <w:noWrap/>
            <w:vAlign w:val="center"/>
          </w:tcPr>
          <w:p>
            <w:pPr>
              <w:keepNext w:val="0"/>
              <w:keepLines w:val="0"/>
              <w:widowControl/>
              <w:suppressLineNumbers w:val="0"/>
              <w:jc w:val="left"/>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bidi="ar"/>
              </w:rPr>
              <w:t>700W电源模块</w:t>
            </w:r>
          </w:p>
        </w:tc>
        <w:tc>
          <w:tcPr>
            <w:tcW w:w="73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61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 </w:t>
            </w:r>
          </w:p>
        </w:tc>
        <w:tc>
          <w:tcPr>
            <w:tcW w:w="243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线缆辅材</w:t>
            </w:r>
          </w:p>
        </w:tc>
        <w:tc>
          <w:tcPr>
            <w:tcW w:w="447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含网线、水晶头、电源线、尾纤、信号线、标签、扎带等辅材</w:t>
            </w:r>
          </w:p>
        </w:tc>
        <w:tc>
          <w:tcPr>
            <w:tcW w:w="73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0" w:type="auto"/>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0" w:hRule="atLeast"/>
        </w:trPr>
        <w:tc>
          <w:tcPr>
            <w:tcW w:w="7515" w:type="dxa"/>
            <w:gridSpan w:val="3"/>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四、改造前端部分</w:t>
            </w:r>
          </w:p>
        </w:tc>
        <w:tc>
          <w:tcPr>
            <w:tcW w:w="735" w:type="dxa"/>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0" w:type="auto"/>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420" w:hRule="atLeast"/>
        </w:trPr>
        <w:tc>
          <w:tcPr>
            <w:tcW w:w="61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43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星光级枪机</w:t>
            </w:r>
          </w:p>
        </w:tc>
        <w:tc>
          <w:tcPr>
            <w:tcW w:w="4470" w:type="dxa"/>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 采用≥1/1.8″逐行扫描400万像素图像传感器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 具有≥1个RJ45接口、2路报警输入、1路报警输出，1路音频输入、1个TF卡插槽，1路音频输出，1路RS485接口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 焦距范围：4/6/8/12mm，定焦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 最低照度：彩色≤0.0005lx、黑白≤0.0001lx。</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 支持120dB光学宽动态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 支持H.265、H.264、MJPEG编码格式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 支持ONVIF、GB/T 28181、GA/T 1400等协议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 支持TF卡热插拔，最大支持≥256GB TF卡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 支持暖光补光灯，补光距离≥30m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 设备支持人脸检测抓拍，可支持不低于40张人脸并发检测，支持抓拍优选，自动筛选出抓拍质量最优的图片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 支持混行检测：支持机动车、非机动车、行人分类检测抓拍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 防护等级≥IP67，支持在不低于-30～60℃环境下正常工作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供电方式：DC12V(±25%)、POE；含抱杆支架，DC12V/25W电源适配器，托板和万向节</w:t>
            </w:r>
          </w:p>
        </w:tc>
        <w:tc>
          <w:tcPr>
            <w:tcW w:w="73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0" w:hRule="atLeast"/>
        </w:trPr>
        <w:tc>
          <w:tcPr>
            <w:tcW w:w="61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43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星光级枪机</w:t>
            </w:r>
          </w:p>
        </w:tc>
        <w:tc>
          <w:tcPr>
            <w:tcW w:w="4470" w:type="dxa"/>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 采用≥1/1.8″逐行扫描400万像素图像传感器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 具有≥1个RJ45接口、2路报警输入、1路报警输出，1路音频输入、1个TF卡插槽，1路音频输出，1路RS485接口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 焦距范围：2.8～12mm，电动变焦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 最低照度：彩色≤0.0005lx、黑白≤0.0001lx。</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 支持120dB光学宽动态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 支持H.265、H.264、MJPEG编码格式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 支持ONVIF、GB/T 28181、GA/T 1400等协议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 支持TF卡热插拔，最大支持≥256GB TF卡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 支持暖光补光灯，补光距离≥30m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 设备支持人脸检测抓拍，可支持不低于40张人脸并发检测，支持抓拍优选，自动筛选出抓拍质量最优的图片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 支持混行检测：支持机动车、非机动车、行人分类检测抓拍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 防护等级≥IP67，支持在不低于-30～60℃环境下正常工作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供电方式：DC12V(±25%)、POE；含抱杆支架，DC12V/25W电源适配器，托板和万向节</w:t>
            </w:r>
          </w:p>
        </w:tc>
        <w:tc>
          <w:tcPr>
            <w:tcW w:w="73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0" w:hRule="atLeast"/>
        </w:trPr>
        <w:tc>
          <w:tcPr>
            <w:tcW w:w="61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243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星光级球机</w:t>
            </w:r>
          </w:p>
        </w:tc>
        <w:tc>
          <w:tcPr>
            <w:tcW w:w="4470" w:type="dxa"/>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 采用≥1/1.8 ”逐行扫描400万像素CMOS图像传感器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 支持6-150mm电动变焦，不小于25倍光学变倍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 支持最低照度：彩色：≤0.001lx，黑白：≤0.0001lx</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 支持120dB光学宽动态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 支持接口：≥1个RJ45接口、≥1个BNC接口、≥2个报警输入接口、1个报警输出接口、≥1个RS485接口、≥1个音频输入接口、1个音频输出接口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6. 支持红外灯补光，红外补光灯可定时或自动开启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 内置1个SD插槽，支持SD卡热插拔，支持≥256GB SD卡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 支持人脸检测，越界检测、区域入侵、进入区域、离开区域，运动检测、遮挡检测、声音检测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 支持ONVIF、GB/T 28181、GA/T 1400等标准协议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 水平范围：360°，水平速度0.1°/s~240°/s；预置位速度≥240°/s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 垂直范围：-15°~90°，垂直速度：0.1°~160°/s；预置位速度≥200°/s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 支持不低于256个预置位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 供电方式：AC/DC24V±25%，支持过压过流保护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 功耗≤50W，，6KV防雷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15. 工作环境：–40°C ~ 65°C，≤95%RH（相对湿度，无冷凝）</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16. 防护等级不低于IP66</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含电源、球机安装支架（一个球机吊装杆或壁装杆 ），球机连接件</w:t>
            </w:r>
          </w:p>
        </w:tc>
        <w:tc>
          <w:tcPr>
            <w:tcW w:w="73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61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243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配套线缆</w:t>
            </w:r>
          </w:p>
        </w:tc>
        <w:tc>
          <w:tcPr>
            <w:tcW w:w="447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网线STP.CAT-5e、电源线RVV2*1.5及防护套管PVC，标签、扎带等</w:t>
            </w:r>
          </w:p>
        </w:tc>
        <w:tc>
          <w:tcPr>
            <w:tcW w:w="73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trPr>
        <w:tc>
          <w:tcPr>
            <w:tcW w:w="0" w:type="auto"/>
            <w:gridSpan w:val="3"/>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五、其他</w:t>
            </w:r>
          </w:p>
        </w:tc>
        <w:tc>
          <w:tcPr>
            <w:tcW w:w="0" w:type="auto"/>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0" w:type="auto"/>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0" w:hRule="atLeast"/>
        </w:trPr>
        <w:tc>
          <w:tcPr>
            <w:tcW w:w="61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43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链路费</w:t>
            </w:r>
          </w:p>
        </w:tc>
        <w:tc>
          <w:tcPr>
            <w:tcW w:w="447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每条每月400元，每年4800元计算</w:t>
            </w:r>
          </w:p>
        </w:tc>
        <w:tc>
          <w:tcPr>
            <w:tcW w:w="73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条</w:t>
            </w:r>
          </w:p>
        </w:tc>
        <w:tc>
          <w:tcPr>
            <w:tcW w:w="75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0" w:hRule="atLeast"/>
        </w:trPr>
        <w:tc>
          <w:tcPr>
            <w:tcW w:w="61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43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IDC主机托管</w:t>
            </w:r>
          </w:p>
        </w:tc>
        <w:tc>
          <w:tcPr>
            <w:tcW w:w="447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2个4U机位</w:t>
            </w:r>
          </w:p>
        </w:tc>
        <w:tc>
          <w:tcPr>
            <w:tcW w:w="73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0" w:type="auto"/>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243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施工集成服务</w:t>
            </w:r>
          </w:p>
        </w:tc>
        <w:tc>
          <w:tcPr>
            <w:tcW w:w="0" w:type="auto"/>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包含前端设备，平台设备，改成部分设备的运输、安装等</w:t>
            </w:r>
          </w:p>
        </w:tc>
        <w:tc>
          <w:tcPr>
            <w:tcW w:w="0" w:type="auto"/>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0" w:type="auto"/>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243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技术集成服务</w:t>
            </w:r>
          </w:p>
        </w:tc>
        <w:tc>
          <w:tcPr>
            <w:tcW w:w="447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包含摄像机调试，一机一档数据采集，平台设备数据调测等技术服务</w:t>
            </w:r>
          </w:p>
        </w:tc>
        <w:tc>
          <w:tcPr>
            <w:tcW w:w="0" w:type="auto"/>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bl>
    <w:p>
      <w:pPr>
        <w:rPr>
          <w:rFonts w:hint="eastAsia"/>
        </w:rPr>
      </w:pPr>
    </w:p>
    <w:p>
      <w:pPr>
        <w:rPr>
          <w:rFonts w:hint="eastAsia"/>
        </w:rPr>
      </w:pPr>
    </w:p>
    <w:p>
      <w:pPr>
        <w:spacing w:line="360" w:lineRule="auto"/>
        <w:ind w:firstLine="480" w:firstLineChars="200"/>
        <w:rPr>
          <w:rFonts w:ascii="仿宋" w:hAnsi="仿宋" w:eastAsia="仿宋" w:cs="仿宋"/>
          <w:sz w:val="24"/>
          <w:szCs w:val="32"/>
        </w:rPr>
      </w:pPr>
      <w:r>
        <w:rPr>
          <w:rFonts w:hint="eastAsia" w:ascii="仿宋" w:hAnsi="仿宋" w:eastAsia="仿宋" w:cs="仿宋"/>
          <w:sz w:val="24"/>
          <w:szCs w:val="32"/>
        </w:rPr>
        <w:t>标项4：振安街片区管委会项目</w:t>
      </w:r>
    </w:p>
    <w:tbl>
      <w:tblPr>
        <w:tblStyle w:val="21"/>
        <w:tblW w:w="893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96"/>
        <w:gridCol w:w="1353"/>
        <w:gridCol w:w="5359"/>
        <w:gridCol w:w="757"/>
        <w:gridCol w:w="7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设备名称</w:t>
            </w:r>
          </w:p>
        </w:tc>
        <w:tc>
          <w:tcPr>
            <w:tcW w:w="5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主要性能指标</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w:t>
            </w:r>
          </w:p>
        </w:tc>
        <w:tc>
          <w:tcPr>
            <w:tcW w:w="773"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740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一、新建前端部分</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9"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星光级枪机</w:t>
            </w:r>
          </w:p>
        </w:tc>
        <w:tc>
          <w:tcPr>
            <w:tcW w:w="535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 采用≥1/1.8″逐行扫描400万像素图像传感器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 具有≥1个RJ45接口、2路报警输入、1路报警输出，1路音频输入、1个TF卡插槽，1路音频输出，1路RS485接口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 焦距范围：4/6/8/12mm，定焦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 最低照度：彩色≤0.0005lx、黑白≤0.0001lx。</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 支持120dB光学宽动态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 支持H.265、H.264、MJPEG编码格式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 支持ONVIF、GB/T 28181、GA/T 1400等协议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 支持TF卡热插拔，最大支持≥256GB TF卡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 支持暖光补光灯，补光距离≥30m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 设备支持人脸检测抓拍，可支持不低于40张人脸并发检测，支持抓拍优选，自动筛选出抓拍质量最优的图片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 支持混行检测：支持机动车、非机动车、行人分类检测抓拍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 防护等级≥IP67，支持在不低于-30～60℃环境下正常工作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供电方式：DC12V(±25%)、POE；含抱杆支架，DC12V/25W电源适配器，托板和万向节</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9"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星光级枪机</w:t>
            </w:r>
          </w:p>
        </w:tc>
        <w:tc>
          <w:tcPr>
            <w:tcW w:w="535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 采用≥1/1.8″逐行扫描400万像素图像传感器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 具有≥1个RJ45接口、2路报警输入、1路报警输出，1路音频输入、1个TF卡插槽，1路音频输出，1路RS485接口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 焦距范围：2.8～12mm，电动变焦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 最低照度：彩色≤0.0005lx、黑白≤0.0001lx。</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 支持120dB光学宽动态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 支持H.265、H.264、MJPEG编码格式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 支持ONVIF、GB/T 28181、GA/T 1400等协议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 支持TF卡热插拔，最大支持≥256GB TF卡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 支持暖光补光灯，补光距离≥30m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 设备支持人脸检测抓拍，可支持不低于40张人脸并发检测，支持抓拍优选，自动筛选出抓拍质量最优的图片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 支持混行检测：支持机动车、非机动车、行人分类检测抓拍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 防护等级≥IP67，支持在不低于-30～60℃环境下正常工作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供电方式：DC12V(±25%)、POE；含抱杆支架，DC12V/25W电源适配器，托板和万向节</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56"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星光级球机</w:t>
            </w:r>
          </w:p>
        </w:tc>
        <w:tc>
          <w:tcPr>
            <w:tcW w:w="535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 采用≥1/1.8 ”逐行扫描400万像素CMOS图像传感器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 支持6-150mm电动变焦，不小于25倍光学变倍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 支持最低照度：彩色：≤0.001lx，黑白：≤0.0001lx</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 支持120dB光学宽动态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 支持接口：≥1个RJ45接口、≥1个BNC接口、≥2个报警输入接口、1个报警输出接口、≥1个RS485接口、≥1个音频输入接口、1个音频输出接口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6. 支持红外灯补光，红外补光灯可定时或自动开启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 内置1个SD插槽，支持SD卡热插拔，支持≥256GB SD卡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 支持人脸检测，越界检测、区域入侵、进入区域、离开区域，运动检测、遮挡检测、声音检测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 支持ONVIF、GB/T 28181、GA/T 1400等标准协议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 水平范围：360°，水平速度0.1°/s~240°/s；预置位速度≥240°/s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 垂直范围：-15°~90°，垂直速度：0.1°~160°/s；预置位速度≥200°/s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 支持不低于256个预置位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 供电方式：AC/DC24V±25%，支持过压过流保护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 功耗≤50W，，6KV防雷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15. 工作环境：–40°C ~ 65°C，≤95%RH（相对湿度，无冷凝）</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16. 防护等级不低于IP66</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含电源、球机安装支架（一个球机吊装杆或壁装杆 ），球机连接件</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7"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高空球机</w:t>
            </w:r>
          </w:p>
        </w:tc>
        <w:tc>
          <w:tcPr>
            <w:tcW w:w="535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 采用≥1/1.8 ”逐行扫描400万像素CMOS图像传感器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 支持6-190mm电动变焦，不小于30倍光学变倍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 支持最低照度：彩色：≤0.001lx，黑白：≤0.0001lx</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 支持120dB光学宽动态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 支持接口：≥1个RJ45接口、≥1个BNC接口、≥2个报警输入接口、1个报警输出接口、≥1个RS485接口、≥1个音频输入接口、1个音频输出接口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6. 支持红外灯补光，红外补光灯可定时或自动开启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 内置1个SD插槽，支持SD卡热插拔，支持≥256GB SD卡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 支持人脸检测，越界检测、区域入侵、进入区域、离开区域，运动检测、遮挡检测、声音检测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 支持ONVIF、GB/T 28181、GA/T 1400等标准协议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 水平范围：360°，水平速度0.1°/s~240°/s；预置位速度≥240°/s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 垂直范围：-15°~90°，垂直速度：0.1°~160°/s；预置位速度≥200°/s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 支持不低于256个预置位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 供电方式：AC/DC24V±25%，支持过压过流保护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 功耗≤50W，，6KV防雷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15. 工作环境：–40°C ~ 65°C，≤95%RH（相对湿度，无冷凝）</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16. 防护等级不低于IP66</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含电源、球机安装支架（一个球机吊装杆或壁装杆 ），球机连接件</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9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监控箱</w:t>
            </w:r>
          </w:p>
        </w:tc>
        <w:tc>
          <w:tcPr>
            <w:tcW w:w="535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设备箱具备防雨、防尘、通风散热、抗紫外线（耐老化）、防盗、防锈；箱体采用≥1.2mm镀锌板，箱体尺寸（含雨帽）≥430(宽)*535(高)*220(深)mm，≥380(宽)*500(高)*200(深)mm（不含雨帽）；箱体工作温度范围-40℃～85℃，工作湿度≤90%RH，工作电压范围AC75～AC280V，外壳防护等级≥IP65，机械碰撞防护等级≥IK08，盐雾测试≥120小时；箱体内部预置可移动托板；整机一体化设计，内部集成控制终端、空开、电源防雷器、5位五孔插座、1路补光灯AC220V远程可控端子、DC12V风扇、1路RS485接口、1路RS232接口、2路IO告警输出、3路干接点输入（1路预留给箱门，1路预留给防雷器）、1路DC12V和1路DC5C（预留给网络传输设备）；具有≥4路AC220V输出，支持独立每路电压、电流检测、远程控制、实时发送每路电压电流值到客户端显示，支持通过客户端实时监测设备输出是否断电，并在客户端界面提示告警；支持供电电压、电流、功率、电量监测，可通过客户端显示，当供电断开时，提示供电异常告警；可通过客户端软件显示设备的实时功率和累计用电电量和电费统计数值；具有检测过压、欠压、过流，支持过压、欠压、过流、低载联动关闭指定输出接口；支持手动开启学习接入设备的功率，在当前设备的功率基础上接入其他设备时，自动关闭供电输出，并且客户端提示非法取电告警；支持在不使用外部蓄电池情况下，通过客户端实时监测设备供电电源，并在客户端提示设备供电电源掉电告警；可通过客户端显示摄像机工作状态并设置定时/手动开启，当接入的摄像机断电或网络断开时，可通过客户端提示告警，支持≥8路外接摄像机状态检测，支持在客户端内实现外接摄像机视频图像播放；可通过WEB及客户端显示交换机工作状态，可设置定时/手动重启、重启次数和时间，当网络传输断开时，可自动进行重启网络传输设备电源；支持多路补光灯检测，能够区分补光灯白天异常亮起和晚上无法开启，支持补光灯功率自学习功能，可设置定时/手动开启电源，支持≥4个时间段的分时控制；支持箱内实时温度、湿度、防雷状态、风扇工作状态检测，支持风扇故障监测和告警，支持风扇单次运行时间统计和总运行时间统计；支持通过客户端显示箱门开关状态，可设置箱门布防撤防,超过设定时间可自动布防，布防状态下箱门开启，客户端提示告警；支持箱门打开后，联动球机转向监控箱位置录像，可配置开始球机转动时间和停留录像时长；支持通过WEB直接查看实时数据、配置IP地址、客户端地址、传输模式、进行远程固件升级,支持IP地址冲突提示、MAC地址冲突提示；支持设备一机一档信息记录，包含设备名称、编号、国标编码、安装时间、品牌、类型、安装时间、质保期、到期时间等；支持设置设备运维、网络运维、电力运维，并生成考核计费报表，支持设置考核标准、考核申诉；支持通过时间、品牌等条件对外接摄像机故障率、在线率以柱状图或折线图展示统计报表；支持自动派单和手动派单，工单记录故障产生时间、派单时间及修复时长等信息；支持设置各类告警的告警等级；支持设置不同告警的处理时效。</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9"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配套线缆</w:t>
            </w:r>
          </w:p>
        </w:tc>
        <w:tc>
          <w:tcPr>
            <w:tcW w:w="5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网线STP.CAT-5e、电源线RVV2*1.5及防护套管PVC，标签、扎带等</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7"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五金配件</w:t>
            </w:r>
          </w:p>
        </w:tc>
        <w:tc>
          <w:tcPr>
            <w:tcW w:w="5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螺丝、连接件、抱箍、钢丝绳、吊卡等　</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7"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金属立杆</w:t>
            </w:r>
          </w:p>
        </w:tc>
        <w:tc>
          <w:tcPr>
            <w:tcW w:w="5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直径165mm高3米/壁厚4.5mm（热镀锌，表面喷塑）</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7"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金属立杆</w:t>
            </w:r>
          </w:p>
        </w:tc>
        <w:tc>
          <w:tcPr>
            <w:tcW w:w="5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直径165mm高4米/壁厚4.5mm（热镀锌，表面喷塑）</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7"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金属立杆</w:t>
            </w:r>
          </w:p>
        </w:tc>
        <w:tc>
          <w:tcPr>
            <w:tcW w:w="5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直径165mm高6米/壁厚4.5mm（热镀锌，表面喷塑）</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7"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金属立杆</w:t>
            </w:r>
          </w:p>
        </w:tc>
        <w:tc>
          <w:tcPr>
            <w:tcW w:w="5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直径219mm高5米/壁厚5.5mm（热镀锌，表面喷塑）</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7"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金属立杆</w:t>
            </w:r>
          </w:p>
        </w:tc>
        <w:tc>
          <w:tcPr>
            <w:tcW w:w="5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直径219mm高6米/壁厚5.5mm（热镀锌，表面喷塑）</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7"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横臂</w:t>
            </w:r>
          </w:p>
        </w:tc>
        <w:tc>
          <w:tcPr>
            <w:tcW w:w="5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锥型杆，2米横臂：管径80/150（厚5.0mm）</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7"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横臂</w:t>
            </w:r>
          </w:p>
        </w:tc>
        <w:tc>
          <w:tcPr>
            <w:tcW w:w="5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锥型杆，3米横臂：管径80/150（厚3.0mm）</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7"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横臂</w:t>
            </w:r>
          </w:p>
        </w:tc>
        <w:tc>
          <w:tcPr>
            <w:tcW w:w="5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锥型杆，4米横臂：管径100/150（厚5.0mm）</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7"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横臂</w:t>
            </w:r>
          </w:p>
        </w:tc>
        <w:tc>
          <w:tcPr>
            <w:tcW w:w="5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锥型杆，5米横臂：管径100/180（厚5.0mm）</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7"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横臂</w:t>
            </w:r>
          </w:p>
        </w:tc>
        <w:tc>
          <w:tcPr>
            <w:tcW w:w="5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直杆，1米横臂：管径89（厚4.0mm）</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7"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横臂</w:t>
            </w:r>
          </w:p>
        </w:tc>
        <w:tc>
          <w:tcPr>
            <w:tcW w:w="5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直杆，2米横臂：管径89（厚4.0mm）</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7"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横臂</w:t>
            </w:r>
          </w:p>
        </w:tc>
        <w:tc>
          <w:tcPr>
            <w:tcW w:w="5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直杆，3米横臂：管径89（厚4.0mm）</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27"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横臂</w:t>
            </w:r>
          </w:p>
        </w:tc>
        <w:tc>
          <w:tcPr>
            <w:tcW w:w="5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直杆，4米横臂：管径89（厚4.0mm）</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7"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横臂</w:t>
            </w:r>
          </w:p>
        </w:tc>
        <w:tc>
          <w:tcPr>
            <w:tcW w:w="5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直杆，5米横臂：管径89（厚4.0mm）</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7"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抱箍支臂</w:t>
            </w:r>
          </w:p>
        </w:tc>
        <w:tc>
          <w:tcPr>
            <w:tcW w:w="5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直杆，1米，管径65（厚3.5mm）</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7"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抱箍支臂</w:t>
            </w:r>
          </w:p>
        </w:tc>
        <w:tc>
          <w:tcPr>
            <w:tcW w:w="5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直杆，2米，管径65（厚3.5mm）</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7"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抱箍支臂</w:t>
            </w:r>
          </w:p>
        </w:tc>
        <w:tc>
          <w:tcPr>
            <w:tcW w:w="5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直杆，3米，管径65（厚3.5mm）</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27"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墙装支臂</w:t>
            </w:r>
          </w:p>
        </w:tc>
        <w:tc>
          <w:tcPr>
            <w:tcW w:w="5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直杆，1米，管径65（厚3.5mm）</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7"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墙装支臂</w:t>
            </w:r>
          </w:p>
        </w:tc>
        <w:tc>
          <w:tcPr>
            <w:tcW w:w="5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直杆，2米，管径65（厚3.5mm）</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7"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制高点支架</w:t>
            </w:r>
          </w:p>
        </w:tc>
        <w:tc>
          <w:tcPr>
            <w:tcW w:w="5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9"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立杆底座</w:t>
            </w:r>
          </w:p>
        </w:tc>
        <w:tc>
          <w:tcPr>
            <w:tcW w:w="5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直径165基坑尺寸1000*1000*1100（地下埋深）、含预埋件、防雷接地</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9"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立杆底座</w:t>
            </w:r>
          </w:p>
        </w:tc>
        <w:tc>
          <w:tcPr>
            <w:tcW w:w="5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直径219基坑尺寸1200*1200*1600（地下埋深）、含预埋件、防雷接地</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7" w:hRule="atLeast"/>
        </w:trPr>
        <w:tc>
          <w:tcPr>
            <w:tcW w:w="740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二、电力部分</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9"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电网国家电表接入费</w:t>
            </w:r>
          </w:p>
        </w:tc>
        <w:tc>
          <w:tcPr>
            <w:tcW w:w="5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包含满足国家电网接入电表等相关配套的技术服务</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9"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利旧点位电力接入及检测费</w:t>
            </w:r>
          </w:p>
        </w:tc>
        <w:tc>
          <w:tcPr>
            <w:tcW w:w="5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bidi="ar"/>
              </w:rPr>
              <w:t>点位电力接入及检测费</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9"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新建点位电力接入及检测费</w:t>
            </w:r>
          </w:p>
        </w:tc>
        <w:tc>
          <w:tcPr>
            <w:tcW w:w="5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bidi="ar"/>
              </w:rPr>
              <w:t>电力接入及检测费</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9"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bidi="ar"/>
              </w:rPr>
              <w:t>电缆施工费用1</w:t>
            </w:r>
          </w:p>
        </w:tc>
        <w:tc>
          <w:tcPr>
            <w:tcW w:w="5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bidi="ar"/>
              </w:rPr>
              <w:t>沿管道穿线含所需电源线RVV3*2.5、YJV3*4、YJV3*6施工费用</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9"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bidi="ar"/>
              </w:rPr>
              <w:t>电缆施工费用2</w:t>
            </w:r>
          </w:p>
        </w:tc>
        <w:tc>
          <w:tcPr>
            <w:tcW w:w="5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bidi="ar"/>
              </w:rPr>
              <w:t>沿墙钉固含所需电源线RVV3*2.5、YJV3*4、YJV3*6费用、PVC穿线管、卡子等材料和施费用</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9"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bidi="ar"/>
              </w:rPr>
              <w:t>电缆施工费用3</w:t>
            </w:r>
          </w:p>
        </w:tc>
        <w:tc>
          <w:tcPr>
            <w:tcW w:w="5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bidi="ar"/>
              </w:rPr>
              <w:t>道路（大理石、油路花砖等）、绿化带等开挖、回填、PE穿线管、电源线RVV3*2.5、YJV3*4、YJV3*6等施工费用</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67" w:hRule="atLeast"/>
        </w:trPr>
        <w:tc>
          <w:tcPr>
            <w:tcW w:w="740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二、新建平台部分</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58"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bidi="ar"/>
              </w:rPr>
              <w:t>48盘位云存储设备</w:t>
            </w:r>
          </w:p>
        </w:tc>
        <w:tc>
          <w:tcPr>
            <w:tcW w:w="5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bidi="ar"/>
              </w:rPr>
              <w:t>48盘位视频监控云存储节点：单控制器</w:t>
            </w:r>
            <w:r>
              <w:rPr>
                <w:rFonts w:hint="eastAsia" w:ascii="新宋体" w:hAnsi="新宋体" w:eastAsia="新宋体" w:cs="新宋体"/>
                <w:i w:val="0"/>
                <w:iCs w:val="0"/>
                <w:color w:val="000000"/>
                <w:kern w:val="0"/>
                <w:sz w:val="20"/>
                <w:szCs w:val="20"/>
                <w:u w:val="none"/>
                <w:lang w:val="en-US" w:eastAsia="zh-CN" w:bidi="ar"/>
              </w:rPr>
              <w:br w:type="textWrapping"/>
            </w:r>
            <w:r>
              <w:rPr>
                <w:rFonts w:hint="eastAsia" w:ascii="新宋体" w:hAnsi="新宋体" w:eastAsia="新宋体" w:cs="新宋体"/>
                <w:i w:val="0"/>
                <w:iCs w:val="0"/>
                <w:color w:val="000000"/>
                <w:kern w:val="0"/>
                <w:sz w:val="20"/>
                <w:szCs w:val="20"/>
                <w:u w:val="none"/>
                <w:lang w:val="en-US" w:eastAsia="zh-CN" w:bidi="ar"/>
              </w:rPr>
              <w:t>磁盘通道数：48</w:t>
            </w:r>
            <w:r>
              <w:rPr>
                <w:rFonts w:hint="eastAsia" w:ascii="新宋体" w:hAnsi="新宋体" w:eastAsia="新宋体" w:cs="新宋体"/>
                <w:i w:val="0"/>
                <w:iCs w:val="0"/>
                <w:color w:val="000000"/>
                <w:kern w:val="0"/>
                <w:sz w:val="20"/>
                <w:szCs w:val="20"/>
                <w:u w:val="none"/>
                <w:lang w:val="en-US" w:eastAsia="zh-CN" w:bidi="ar"/>
              </w:rPr>
              <w:br w:type="textWrapping"/>
            </w:r>
            <w:r>
              <w:rPr>
                <w:rFonts w:hint="eastAsia" w:ascii="新宋体" w:hAnsi="新宋体" w:eastAsia="新宋体" w:cs="新宋体"/>
                <w:i w:val="0"/>
                <w:iCs w:val="0"/>
                <w:color w:val="000000"/>
                <w:kern w:val="0"/>
                <w:sz w:val="20"/>
                <w:szCs w:val="20"/>
                <w:u w:val="none"/>
                <w:lang w:val="en-US" w:eastAsia="zh-CN" w:bidi="ar"/>
              </w:rPr>
              <w:t>电源模块：交流电源</w:t>
            </w:r>
            <w:r>
              <w:rPr>
                <w:rFonts w:hint="eastAsia" w:ascii="新宋体" w:hAnsi="新宋体" w:eastAsia="新宋体" w:cs="新宋体"/>
                <w:i w:val="0"/>
                <w:iCs w:val="0"/>
                <w:color w:val="000000"/>
                <w:kern w:val="0"/>
                <w:sz w:val="20"/>
                <w:szCs w:val="20"/>
                <w:u w:val="none"/>
                <w:lang w:val="en-US" w:eastAsia="zh-CN" w:bidi="ar"/>
              </w:rPr>
              <w:br w:type="textWrapping"/>
            </w:r>
            <w:r>
              <w:rPr>
                <w:rFonts w:hint="eastAsia" w:ascii="新宋体" w:hAnsi="新宋体" w:eastAsia="新宋体" w:cs="新宋体"/>
                <w:i w:val="0"/>
                <w:iCs w:val="0"/>
                <w:color w:val="000000"/>
                <w:kern w:val="0"/>
                <w:sz w:val="20"/>
                <w:szCs w:val="20"/>
                <w:u w:val="none"/>
                <w:lang w:val="en-US" w:eastAsia="zh-CN" w:bidi="ar"/>
              </w:rPr>
              <w:t>网络接口：5个千兆以太网接口</w:t>
            </w:r>
            <w:r>
              <w:rPr>
                <w:rFonts w:hint="eastAsia" w:ascii="新宋体" w:hAnsi="新宋体" w:eastAsia="新宋体" w:cs="新宋体"/>
                <w:i w:val="0"/>
                <w:iCs w:val="0"/>
                <w:color w:val="000000"/>
                <w:kern w:val="0"/>
                <w:sz w:val="20"/>
                <w:szCs w:val="20"/>
                <w:u w:val="none"/>
                <w:lang w:val="en-US" w:eastAsia="zh-CN" w:bidi="ar"/>
              </w:rPr>
              <w:br w:type="textWrapping"/>
            </w:r>
            <w:r>
              <w:rPr>
                <w:rFonts w:hint="eastAsia" w:ascii="新宋体" w:hAnsi="新宋体" w:eastAsia="新宋体" w:cs="新宋体"/>
                <w:i w:val="0"/>
                <w:iCs w:val="0"/>
                <w:color w:val="000000"/>
                <w:kern w:val="0"/>
                <w:sz w:val="20"/>
                <w:szCs w:val="20"/>
                <w:u w:val="none"/>
                <w:lang w:val="en-US" w:eastAsia="zh-CN" w:bidi="ar"/>
              </w:rPr>
              <w:t>性能：512路2M块直存、51路回放</w:t>
            </w:r>
            <w:r>
              <w:rPr>
                <w:rFonts w:hint="eastAsia" w:ascii="新宋体" w:hAnsi="新宋体" w:eastAsia="新宋体" w:cs="新宋体"/>
                <w:i w:val="0"/>
                <w:iCs w:val="0"/>
                <w:color w:val="000000"/>
                <w:kern w:val="0"/>
                <w:sz w:val="20"/>
                <w:szCs w:val="20"/>
                <w:u w:val="none"/>
                <w:lang w:val="en-US" w:eastAsia="zh-CN" w:bidi="ar"/>
              </w:rPr>
              <w:br w:type="textWrapping"/>
            </w:r>
            <w:r>
              <w:rPr>
                <w:rFonts w:hint="eastAsia" w:ascii="新宋体" w:hAnsi="新宋体" w:eastAsia="新宋体" w:cs="新宋体"/>
                <w:i w:val="0"/>
                <w:iCs w:val="0"/>
                <w:color w:val="000000"/>
                <w:kern w:val="0"/>
                <w:sz w:val="20"/>
                <w:szCs w:val="20"/>
                <w:u w:val="none"/>
                <w:lang w:val="en-US" w:eastAsia="zh-CN" w:bidi="ar"/>
              </w:rPr>
              <w:t>384路2M流直存，38路回放</w:t>
            </w:r>
            <w:r>
              <w:rPr>
                <w:rFonts w:hint="eastAsia" w:ascii="新宋体" w:hAnsi="新宋体" w:eastAsia="新宋体" w:cs="新宋体"/>
                <w:i w:val="0"/>
                <w:iCs w:val="0"/>
                <w:color w:val="000000"/>
                <w:kern w:val="0"/>
                <w:sz w:val="20"/>
                <w:szCs w:val="20"/>
                <w:u w:val="none"/>
                <w:lang w:val="en-US" w:eastAsia="zh-CN" w:bidi="ar"/>
              </w:rPr>
              <w:br w:type="textWrapping"/>
            </w:r>
            <w:r>
              <w:rPr>
                <w:rFonts w:hint="eastAsia" w:ascii="新宋体" w:hAnsi="新宋体" w:eastAsia="新宋体" w:cs="新宋体"/>
                <w:i w:val="0"/>
                <w:iCs w:val="0"/>
                <w:color w:val="000000"/>
                <w:kern w:val="0"/>
                <w:sz w:val="20"/>
                <w:szCs w:val="20"/>
                <w:u w:val="none"/>
                <w:lang w:val="en-US" w:eastAsia="zh-CN" w:bidi="ar"/>
              </w:rPr>
              <w:t xml:space="preserve"> 支持提供存储虚拟化管理功能，将所有存储节点空间合并成一个存储虚拟池，对外提供海量存储空间管理</w:t>
            </w:r>
            <w:r>
              <w:rPr>
                <w:rFonts w:hint="eastAsia" w:ascii="新宋体" w:hAnsi="新宋体" w:eastAsia="新宋体" w:cs="新宋体"/>
                <w:i w:val="0"/>
                <w:iCs w:val="0"/>
                <w:color w:val="000000"/>
                <w:kern w:val="0"/>
                <w:sz w:val="20"/>
                <w:szCs w:val="20"/>
                <w:u w:val="none"/>
                <w:lang w:val="en-US" w:eastAsia="zh-CN" w:bidi="ar"/>
              </w:rPr>
              <w:br w:type="textWrapping"/>
            </w:r>
            <w:r>
              <w:rPr>
                <w:rFonts w:hint="eastAsia" w:ascii="新宋体" w:hAnsi="新宋体" w:eastAsia="新宋体" w:cs="新宋体"/>
                <w:i w:val="0"/>
                <w:iCs w:val="0"/>
                <w:color w:val="000000"/>
                <w:kern w:val="0"/>
                <w:sz w:val="20"/>
                <w:szCs w:val="20"/>
                <w:u w:val="none"/>
                <w:lang w:val="en-US" w:eastAsia="zh-CN" w:bidi="ar"/>
              </w:rPr>
              <w:t>支持PCIe插槽、支持千兆GE接口卡和万兆10GE接口卡、Mini SAS HD卡(SAS 3.0)</w:t>
            </w:r>
            <w:r>
              <w:rPr>
                <w:rFonts w:hint="eastAsia" w:ascii="新宋体" w:hAnsi="新宋体" w:eastAsia="新宋体" w:cs="新宋体"/>
                <w:i w:val="0"/>
                <w:iCs w:val="0"/>
                <w:color w:val="000000"/>
                <w:kern w:val="0"/>
                <w:sz w:val="20"/>
                <w:szCs w:val="20"/>
                <w:u w:val="none"/>
                <w:lang w:val="en-US" w:eastAsia="zh-CN" w:bidi="ar"/>
              </w:rPr>
              <w:br w:type="textWrapping"/>
            </w:r>
            <w:r>
              <w:rPr>
                <w:rFonts w:hint="eastAsia" w:ascii="新宋体" w:hAnsi="新宋体" w:eastAsia="新宋体" w:cs="新宋体"/>
                <w:i w:val="0"/>
                <w:iCs w:val="0"/>
                <w:color w:val="000000"/>
                <w:kern w:val="0"/>
                <w:sz w:val="20"/>
                <w:szCs w:val="20"/>
                <w:u w:val="none"/>
                <w:lang w:val="en-US" w:eastAsia="zh-CN" w:bidi="ar"/>
              </w:rPr>
              <w:t>支持网络端口链路聚合、负载均衡</w:t>
            </w:r>
            <w:r>
              <w:rPr>
                <w:rFonts w:hint="eastAsia" w:ascii="新宋体" w:hAnsi="新宋体" w:eastAsia="新宋体" w:cs="新宋体"/>
                <w:i w:val="0"/>
                <w:iCs w:val="0"/>
                <w:color w:val="000000"/>
                <w:kern w:val="0"/>
                <w:sz w:val="20"/>
                <w:szCs w:val="20"/>
                <w:u w:val="none"/>
                <w:lang w:val="en-US" w:eastAsia="zh-CN" w:bidi="ar"/>
              </w:rPr>
              <w:br w:type="textWrapping"/>
            </w:r>
            <w:r>
              <w:rPr>
                <w:rFonts w:hint="eastAsia" w:ascii="新宋体" w:hAnsi="新宋体" w:eastAsia="新宋体" w:cs="新宋体"/>
                <w:i w:val="0"/>
                <w:iCs w:val="0"/>
                <w:color w:val="000000"/>
                <w:kern w:val="0"/>
                <w:sz w:val="20"/>
                <w:szCs w:val="20"/>
                <w:u w:val="none"/>
                <w:lang w:val="en-US" w:eastAsia="zh-CN" w:bidi="ar"/>
              </w:rPr>
              <w:t>支持标准ONVIF、GB/T28181等标准前端接入</w:t>
            </w:r>
            <w:r>
              <w:rPr>
                <w:rFonts w:hint="eastAsia" w:ascii="新宋体" w:hAnsi="新宋体" w:eastAsia="新宋体" w:cs="新宋体"/>
                <w:i w:val="0"/>
                <w:iCs w:val="0"/>
                <w:color w:val="000000"/>
                <w:kern w:val="0"/>
                <w:sz w:val="20"/>
                <w:szCs w:val="20"/>
                <w:u w:val="none"/>
                <w:lang w:val="en-US" w:eastAsia="zh-CN" w:bidi="ar"/>
              </w:rPr>
              <w:br w:type="textWrapping"/>
            </w:r>
            <w:r>
              <w:rPr>
                <w:rFonts w:hint="eastAsia" w:ascii="新宋体" w:hAnsi="新宋体" w:eastAsia="新宋体" w:cs="新宋体"/>
                <w:i w:val="0"/>
                <w:iCs w:val="0"/>
                <w:color w:val="000000"/>
                <w:kern w:val="0"/>
                <w:sz w:val="20"/>
                <w:szCs w:val="20"/>
                <w:u w:val="none"/>
                <w:lang w:val="en-US" w:eastAsia="zh-CN" w:bidi="ar"/>
              </w:rPr>
              <w:t>支持视频智能结构化数据存储</w:t>
            </w:r>
            <w:r>
              <w:rPr>
                <w:rFonts w:hint="eastAsia" w:ascii="新宋体" w:hAnsi="新宋体" w:eastAsia="新宋体" w:cs="新宋体"/>
                <w:i w:val="0"/>
                <w:iCs w:val="0"/>
                <w:color w:val="000000"/>
                <w:kern w:val="0"/>
                <w:sz w:val="20"/>
                <w:szCs w:val="20"/>
                <w:u w:val="none"/>
                <w:lang w:val="en-US" w:eastAsia="zh-CN" w:bidi="ar"/>
              </w:rPr>
              <w:br w:type="textWrapping"/>
            </w:r>
            <w:r>
              <w:rPr>
                <w:rFonts w:hint="eastAsia" w:ascii="新宋体" w:hAnsi="新宋体" w:eastAsia="新宋体" w:cs="新宋体"/>
                <w:i w:val="0"/>
                <w:iCs w:val="0"/>
                <w:color w:val="000000"/>
                <w:kern w:val="0"/>
                <w:sz w:val="20"/>
                <w:szCs w:val="20"/>
                <w:u w:val="none"/>
                <w:lang w:val="en-US" w:eastAsia="zh-CN" w:bidi="ar"/>
              </w:rPr>
              <w:t>支持裸数据块直存方式，无文件系统碎片，海量小文件存储性能无衰减</w:t>
            </w:r>
            <w:r>
              <w:rPr>
                <w:rFonts w:hint="eastAsia" w:ascii="新宋体" w:hAnsi="新宋体" w:eastAsia="新宋体" w:cs="新宋体"/>
                <w:i w:val="0"/>
                <w:iCs w:val="0"/>
                <w:color w:val="000000"/>
                <w:kern w:val="0"/>
                <w:sz w:val="20"/>
                <w:szCs w:val="20"/>
                <w:u w:val="none"/>
                <w:lang w:val="en-US" w:eastAsia="zh-CN" w:bidi="ar"/>
              </w:rPr>
              <w:br w:type="textWrapping"/>
            </w:r>
            <w:r>
              <w:rPr>
                <w:rFonts w:hint="eastAsia" w:ascii="新宋体" w:hAnsi="新宋体" w:eastAsia="新宋体" w:cs="新宋体"/>
                <w:i w:val="0"/>
                <w:iCs w:val="0"/>
                <w:color w:val="000000"/>
                <w:kern w:val="0"/>
                <w:sz w:val="20"/>
                <w:szCs w:val="20"/>
                <w:u w:val="none"/>
                <w:lang w:val="en-US" w:eastAsia="zh-CN" w:bidi="ar"/>
              </w:rPr>
              <w:t>支持数据离散，并发读写，支持视频秒级检索及回放，视频、图片极速下载</w:t>
            </w:r>
            <w:r>
              <w:rPr>
                <w:rFonts w:hint="eastAsia" w:ascii="新宋体" w:hAnsi="新宋体" w:eastAsia="新宋体" w:cs="新宋体"/>
                <w:i w:val="0"/>
                <w:iCs w:val="0"/>
                <w:color w:val="000000"/>
                <w:kern w:val="0"/>
                <w:sz w:val="20"/>
                <w:szCs w:val="20"/>
                <w:u w:val="none"/>
                <w:lang w:val="en-US" w:eastAsia="zh-CN" w:bidi="ar"/>
              </w:rPr>
              <w:br w:type="textWrapping"/>
            </w:r>
            <w:r>
              <w:rPr>
                <w:rFonts w:hint="eastAsia" w:ascii="新宋体" w:hAnsi="新宋体" w:eastAsia="新宋体" w:cs="新宋体"/>
                <w:i w:val="0"/>
                <w:iCs w:val="0"/>
                <w:color w:val="000000"/>
                <w:kern w:val="0"/>
                <w:sz w:val="20"/>
                <w:szCs w:val="20"/>
                <w:u w:val="none"/>
                <w:lang w:val="en-US" w:eastAsia="zh-CN" w:bidi="ar"/>
              </w:rPr>
              <w:t>支持云节点负载均衡、故障切换，解决单节点性能瓶颈问题及单节点故障问题，保证业务连续性</w:t>
            </w:r>
            <w:r>
              <w:rPr>
                <w:rFonts w:hint="eastAsia" w:ascii="新宋体" w:hAnsi="新宋体" w:eastAsia="新宋体" w:cs="新宋体"/>
                <w:i w:val="0"/>
                <w:iCs w:val="0"/>
                <w:color w:val="000000"/>
                <w:kern w:val="0"/>
                <w:sz w:val="20"/>
                <w:szCs w:val="20"/>
                <w:u w:val="none"/>
                <w:lang w:val="en-US" w:eastAsia="zh-CN" w:bidi="ar"/>
              </w:rPr>
              <w:br w:type="textWrapping"/>
            </w:r>
            <w:r>
              <w:rPr>
                <w:rFonts w:hint="eastAsia" w:ascii="新宋体" w:hAnsi="新宋体" w:eastAsia="新宋体" w:cs="新宋体"/>
                <w:i w:val="0"/>
                <w:iCs w:val="0"/>
                <w:color w:val="000000"/>
                <w:kern w:val="0"/>
                <w:sz w:val="20"/>
                <w:szCs w:val="20"/>
                <w:u w:val="none"/>
                <w:lang w:val="en-US" w:eastAsia="zh-CN" w:bidi="ar"/>
              </w:rPr>
              <w:t>支持云备份功能，实现云内数据备份和云间备份</w:t>
            </w:r>
            <w:r>
              <w:rPr>
                <w:rFonts w:hint="eastAsia" w:ascii="新宋体" w:hAnsi="新宋体" w:eastAsia="新宋体" w:cs="新宋体"/>
                <w:i w:val="0"/>
                <w:iCs w:val="0"/>
                <w:color w:val="000000"/>
                <w:kern w:val="0"/>
                <w:sz w:val="20"/>
                <w:szCs w:val="20"/>
                <w:u w:val="none"/>
                <w:lang w:val="en-US" w:eastAsia="zh-CN" w:bidi="ar"/>
              </w:rPr>
              <w:br w:type="textWrapping"/>
            </w:r>
            <w:r>
              <w:rPr>
                <w:rFonts w:hint="eastAsia" w:ascii="新宋体" w:hAnsi="新宋体" w:eastAsia="新宋体" w:cs="新宋体"/>
                <w:i w:val="0"/>
                <w:iCs w:val="0"/>
                <w:color w:val="000000"/>
                <w:kern w:val="0"/>
                <w:sz w:val="20"/>
                <w:szCs w:val="20"/>
                <w:u w:val="none"/>
                <w:lang w:val="en-US" w:eastAsia="zh-CN" w:bidi="ar"/>
              </w:rPr>
              <w:t>支持冗余电源，风扇，电池，支持磁盘、电源、风扇、电池的热插拔和在线更换</w:t>
            </w:r>
            <w:r>
              <w:rPr>
                <w:rFonts w:hint="eastAsia" w:ascii="新宋体" w:hAnsi="新宋体" w:eastAsia="新宋体" w:cs="新宋体"/>
                <w:i w:val="0"/>
                <w:iCs w:val="0"/>
                <w:color w:val="000000"/>
                <w:kern w:val="0"/>
                <w:sz w:val="20"/>
                <w:szCs w:val="20"/>
                <w:u w:val="none"/>
                <w:lang w:val="en-US" w:eastAsia="zh-CN" w:bidi="ar"/>
              </w:rPr>
              <w:br w:type="textWrapping"/>
            </w:r>
            <w:r>
              <w:rPr>
                <w:rFonts w:hint="eastAsia" w:ascii="新宋体" w:hAnsi="新宋体" w:eastAsia="新宋体" w:cs="新宋体"/>
                <w:i w:val="0"/>
                <w:iCs w:val="0"/>
                <w:color w:val="000000"/>
                <w:kern w:val="0"/>
                <w:sz w:val="20"/>
                <w:szCs w:val="20"/>
                <w:u w:val="none"/>
                <w:lang w:val="en-US" w:eastAsia="zh-CN" w:bidi="ar"/>
              </w:rPr>
              <w:t>支持数码管、指示灯、蜂鸣器告警、邮件告警、SNMP Trap、短信等告警方式对故障进行告警</w:t>
            </w:r>
            <w:r>
              <w:rPr>
                <w:rFonts w:hint="eastAsia" w:ascii="新宋体" w:hAnsi="新宋体" w:eastAsia="新宋体" w:cs="新宋体"/>
                <w:i w:val="0"/>
                <w:iCs w:val="0"/>
                <w:color w:val="000000"/>
                <w:kern w:val="0"/>
                <w:sz w:val="20"/>
                <w:szCs w:val="20"/>
                <w:u w:val="none"/>
                <w:lang w:val="en-US" w:eastAsia="zh-CN" w:bidi="ar"/>
              </w:rPr>
              <w:br w:type="textWrapping"/>
            </w:r>
            <w:r>
              <w:rPr>
                <w:rFonts w:hint="eastAsia" w:ascii="新宋体" w:hAnsi="新宋体" w:eastAsia="新宋体" w:cs="新宋体"/>
                <w:i w:val="0"/>
                <w:iCs w:val="0"/>
                <w:color w:val="000000"/>
                <w:kern w:val="0"/>
                <w:sz w:val="20"/>
                <w:szCs w:val="20"/>
                <w:u w:val="none"/>
                <w:lang w:val="en-US" w:eastAsia="zh-CN" w:bidi="ar"/>
              </w:rPr>
              <w:t>支持IP冲突告警、网口降速、电源故障、风扇故障、电池电量不足、电池故障等告警</w:t>
            </w:r>
            <w:r>
              <w:rPr>
                <w:rFonts w:hint="eastAsia" w:ascii="新宋体" w:hAnsi="新宋体" w:eastAsia="新宋体" w:cs="新宋体"/>
                <w:i w:val="0"/>
                <w:iCs w:val="0"/>
                <w:color w:val="000000"/>
                <w:kern w:val="0"/>
                <w:sz w:val="20"/>
                <w:szCs w:val="20"/>
                <w:u w:val="none"/>
                <w:lang w:val="en-US" w:eastAsia="zh-CN" w:bidi="ar"/>
              </w:rPr>
              <w:br w:type="textWrapping"/>
            </w:r>
            <w:r>
              <w:rPr>
                <w:rFonts w:hint="eastAsia" w:ascii="新宋体" w:hAnsi="新宋体" w:eastAsia="新宋体" w:cs="新宋体"/>
                <w:i w:val="0"/>
                <w:iCs w:val="0"/>
                <w:color w:val="000000"/>
                <w:kern w:val="0"/>
                <w:sz w:val="20"/>
                <w:szCs w:val="20"/>
                <w:u w:val="none"/>
                <w:lang w:val="en-US" w:eastAsia="zh-CN" w:bidi="ar"/>
              </w:rPr>
              <w:t>支持数据保险箱（掉电数据永久保护）</w:t>
            </w:r>
            <w:r>
              <w:rPr>
                <w:rFonts w:hint="eastAsia" w:ascii="新宋体" w:hAnsi="新宋体" w:eastAsia="新宋体" w:cs="新宋体"/>
                <w:i w:val="0"/>
                <w:iCs w:val="0"/>
                <w:color w:val="000000"/>
                <w:kern w:val="0"/>
                <w:sz w:val="20"/>
                <w:szCs w:val="20"/>
                <w:u w:val="none"/>
                <w:lang w:val="en-US" w:eastAsia="zh-CN" w:bidi="ar"/>
              </w:rPr>
              <w:br w:type="textWrapping"/>
            </w:r>
            <w:r>
              <w:rPr>
                <w:rFonts w:hint="eastAsia" w:ascii="新宋体" w:hAnsi="新宋体" w:eastAsia="新宋体" w:cs="新宋体"/>
                <w:i w:val="0"/>
                <w:iCs w:val="0"/>
                <w:color w:val="000000"/>
                <w:kern w:val="0"/>
                <w:sz w:val="20"/>
                <w:szCs w:val="20"/>
                <w:u w:val="none"/>
                <w:lang w:val="en-US" w:eastAsia="zh-CN" w:bidi="ar"/>
              </w:rPr>
              <w:t>支持JBOD、RAID 0、1、5、6、10、50，RAID阵列可即建即用</w:t>
            </w:r>
            <w:r>
              <w:rPr>
                <w:rFonts w:hint="eastAsia" w:ascii="新宋体" w:hAnsi="新宋体" w:eastAsia="新宋体" w:cs="新宋体"/>
                <w:i w:val="0"/>
                <w:iCs w:val="0"/>
                <w:color w:val="000000"/>
                <w:kern w:val="0"/>
                <w:sz w:val="20"/>
                <w:szCs w:val="20"/>
                <w:u w:val="none"/>
                <w:lang w:val="en-US" w:eastAsia="zh-CN" w:bidi="ar"/>
              </w:rPr>
              <w:br w:type="textWrapping"/>
            </w:r>
            <w:r>
              <w:rPr>
                <w:rFonts w:hint="eastAsia" w:ascii="新宋体" w:hAnsi="新宋体" w:eastAsia="新宋体" w:cs="新宋体"/>
                <w:i w:val="0"/>
                <w:iCs w:val="0"/>
                <w:color w:val="000000"/>
                <w:kern w:val="0"/>
                <w:sz w:val="20"/>
                <w:szCs w:val="20"/>
                <w:u w:val="none"/>
                <w:lang w:val="en-US" w:eastAsia="zh-CN" w:bidi="ar"/>
              </w:rPr>
              <w:t>支持SATA、SSD盘</w:t>
            </w:r>
            <w:r>
              <w:rPr>
                <w:rFonts w:hint="eastAsia" w:ascii="新宋体" w:hAnsi="新宋体" w:eastAsia="新宋体" w:cs="新宋体"/>
                <w:i w:val="0"/>
                <w:iCs w:val="0"/>
                <w:color w:val="000000"/>
                <w:kern w:val="0"/>
                <w:sz w:val="20"/>
                <w:szCs w:val="20"/>
                <w:u w:val="none"/>
                <w:lang w:val="en-US" w:eastAsia="zh-CN" w:bidi="ar"/>
              </w:rPr>
              <w:br w:type="textWrapping"/>
            </w:r>
            <w:r>
              <w:rPr>
                <w:rFonts w:hint="eastAsia" w:ascii="新宋体" w:hAnsi="新宋体" w:eastAsia="新宋体" w:cs="新宋体"/>
                <w:i w:val="0"/>
                <w:iCs w:val="0"/>
                <w:color w:val="000000"/>
                <w:kern w:val="0"/>
                <w:sz w:val="20"/>
                <w:szCs w:val="20"/>
                <w:u w:val="none"/>
                <w:lang w:val="en-US" w:eastAsia="zh-CN" w:bidi="ar"/>
              </w:rPr>
              <w:t>支持自动空白盘全局热备、专有热备</w:t>
            </w:r>
            <w:r>
              <w:rPr>
                <w:rFonts w:hint="eastAsia" w:ascii="新宋体" w:hAnsi="新宋体" w:eastAsia="新宋体" w:cs="新宋体"/>
                <w:i w:val="0"/>
                <w:iCs w:val="0"/>
                <w:color w:val="000000"/>
                <w:kern w:val="0"/>
                <w:sz w:val="20"/>
                <w:szCs w:val="20"/>
                <w:u w:val="none"/>
                <w:lang w:val="en-US" w:eastAsia="zh-CN" w:bidi="ar"/>
              </w:rPr>
              <w:br w:type="textWrapping"/>
            </w:r>
            <w:r>
              <w:rPr>
                <w:rFonts w:hint="eastAsia" w:ascii="新宋体" w:hAnsi="新宋体" w:eastAsia="新宋体" w:cs="新宋体"/>
                <w:i w:val="0"/>
                <w:iCs w:val="0"/>
                <w:color w:val="000000"/>
                <w:kern w:val="0"/>
                <w:sz w:val="20"/>
                <w:szCs w:val="20"/>
                <w:u w:val="none"/>
                <w:lang w:val="en-US" w:eastAsia="zh-CN" w:bidi="ar"/>
              </w:rPr>
              <w:t>支持RAID阵列磁盘进行定位，RAID阵列自动巡检</w:t>
            </w:r>
            <w:r>
              <w:rPr>
                <w:rFonts w:hint="eastAsia" w:ascii="新宋体" w:hAnsi="新宋体" w:eastAsia="新宋体" w:cs="新宋体"/>
                <w:i w:val="0"/>
                <w:iCs w:val="0"/>
                <w:color w:val="000000"/>
                <w:kern w:val="0"/>
                <w:sz w:val="20"/>
                <w:szCs w:val="20"/>
                <w:u w:val="none"/>
                <w:lang w:val="en-US" w:eastAsia="zh-CN" w:bidi="ar"/>
              </w:rPr>
              <w:br w:type="textWrapping"/>
            </w:r>
            <w:r>
              <w:rPr>
                <w:rFonts w:hint="eastAsia" w:ascii="新宋体" w:hAnsi="新宋体" w:eastAsia="新宋体" w:cs="新宋体"/>
                <w:i w:val="0"/>
                <w:iCs w:val="0"/>
                <w:color w:val="000000"/>
                <w:kern w:val="0"/>
                <w:sz w:val="20"/>
                <w:szCs w:val="20"/>
                <w:u w:val="none"/>
                <w:lang w:val="en-US" w:eastAsia="zh-CN" w:bidi="ar"/>
              </w:rPr>
              <w:t>支持RAID阵列重构重建、无感知重建、SMART检测预拷贝，RAID阵列可自动动态调整重建速度、重建/同步优先级</w:t>
            </w:r>
            <w:r>
              <w:rPr>
                <w:rFonts w:hint="eastAsia" w:ascii="新宋体" w:hAnsi="新宋体" w:eastAsia="新宋体" w:cs="新宋体"/>
                <w:i w:val="0"/>
                <w:iCs w:val="0"/>
                <w:color w:val="000000"/>
                <w:kern w:val="0"/>
                <w:sz w:val="20"/>
                <w:szCs w:val="20"/>
                <w:u w:val="none"/>
                <w:lang w:val="en-US" w:eastAsia="zh-CN" w:bidi="ar"/>
              </w:rPr>
              <w:br w:type="textWrapping"/>
            </w:r>
            <w:r>
              <w:rPr>
                <w:rFonts w:hint="eastAsia" w:ascii="新宋体" w:hAnsi="新宋体" w:eastAsia="新宋体" w:cs="新宋体"/>
                <w:i w:val="0"/>
                <w:iCs w:val="0"/>
                <w:color w:val="000000"/>
                <w:kern w:val="0"/>
                <w:sz w:val="20"/>
                <w:szCs w:val="20"/>
                <w:u w:val="none"/>
                <w:lang w:val="en-US" w:eastAsia="zh-CN" w:bidi="ar"/>
              </w:rPr>
              <w:t>支持RAID阵列磁盘坏块替换、多错误容忍、磁盘错误修复</w:t>
            </w:r>
            <w:r>
              <w:rPr>
                <w:rFonts w:hint="eastAsia" w:ascii="新宋体" w:hAnsi="新宋体" w:eastAsia="新宋体" w:cs="新宋体"/>
                <w:i w:val="0"/>
                <w:iCs w:val="0"/>
                <w:color w:val="000000"/>
                <w:kern w:val="0"/>
                <w:sz w:val="20"/>
                <w:szCs w:val="20"/>
                <w:u w:val="none"/>
                <w:lang w:val="en-US" w:eastAsia="zh-CN" w:bidi="ar"/>
              </w:rPr>
              <w:br w:type="textWrapping"/>
            </w:r>
            <w:r>
              <w:rPr>
                <w:rFonts w:hint="eastAsia" w:ascii="新宋体" w:hAnsi="新宋体" w:eastAsia="新宋体" w:cs="新宋体"/>
                <w:i w:val="0"/>
                <w:iCs w:val="0"/>
                <w:color w:val="000000"/>
                <w:kern w:val="0"/>
                <w:sz w:val="20"/>
                <w:szCs w:val="20"/>
                <w:u w:val="none"/>
                <w:lang w:val="en-US" w:eastAsia="zh-CN" w:bidi="ar"/>
              </w:rPr>
              <w:t>支持硬件过载保护机制</w:t>
            </w:r>
            <w:r>
              <w:rPr>
                <w:rFonts w:hint="eastAsia" w:ascii="新宋体" w:hAnsi="新宋体" w:eastAsia="新宋体" w:cs="新宋体"/>
                <w:i w:val="0"/>
                <w:iCs w:val="0"/>
                <w:color w:val="000000"/>
                <w:kern w:val="0"/>
                <w:sz w:val="20"/>
                <w:szCs w:val="20"/>
                <w:u w:val="none"/>
                <w:lang w:val="en-US" w:eastAsia="zh-CN" w:bidi="ar"/>
              </w:rPr>
              <w:br w:type="textWrapping"/>
            </w:r>
            <w:r>
              <w:rPr>
                <w:rFonts w:hint="eastAsia" w:ascii="新宋体" w:hAnsi="新宋体" w:eastAsia="新宋体" w:cs="新宋体"/>
                <w:i w:val="0"/>
                <w:iCs w:val="0"/>
                <w:color w:val="000000"/>
                <w:kern w:val="0"/>
                <w:sz w:val="20"/>
                <w:szCs w:val="20"/>
                <w:u w:val="none"/>
                <w:lang w:val="en-US" w:eastAsia="zh-CN" w:bidi="ar"/>
              </w:rPr>
              <w:t>支持风扇多级调速技术</w:t>
            </w:r>
            <w:r>
              <w:rPr>
                <w:rFonts w:hint="eastAsia" w:ascii="新宋体" w:hAnsi="新宋体" w:eastAsia="新宋体" w:cs="新宋体"/>
                <w:i w:val="0"/>
                <w:iCs w:val="0"/>
                <w:color w:val="000000"/>
                <w:kern w:val="0"/>
                <w:sz w:val="20"/>
                <w:szCs w:val="20"/>
                <w:u w:val="none"/>
                <w:lang w:val="en-US" w:eastAsia="zh-CN" w:bidi="ar"/>
              </w:rPr>
              <w:br w:type="textWrapping"/>
            </w:r>
            <w:r>
              <w:rPr>
                <w:rFonts w:hint="eastAsia" w:ascii="新宋体" w:hAnsi="新宋体" w:eastAsia="新宋体" w:cs="新宋体"/>
                <w:i w:val="0"/>
                <w:iCs w:val="0"/>
                <w:color w:val="000000"/>
                <w:kern w:val="0"/>
                <w:sz w:val="20"/>
                <w:szCs w:val="20"/>
                <w:u w:val="none"/>
                <w:lang w:val="en-US" w:eastAsia="zh-CN" w:bidi="ar"/>
              </w:rPr>
              <w:t>支持防尘、防震、防腐蚀</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9"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 </w:t>
            </w: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bidi="ar"/>
              </w:rPr>
              <w:t>云存储硬盘(18TB*2)</w:t>
            </w:r>
          </w:p>
        </w:tc>
        <w:tc>
          <w:tcPr>
            <w:tcW w:w="53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bidi="ar"/>
              </w:rPr>
              <w:t>监控级SATA硬盘：18TB*2</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 </w:t>
            </w: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bidi="ar"/>
              </w:rPr>
              <w:t>电池模块</w:t>
            </w:r>
          </w:p>
        </w:tc>
        <w:tc>
          <w:tcPr>
            <w:tcW w:w="53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bidi="ar"/>
              </w:rPr>
              <w:t>电池模块</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 </w:t>
            </w: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bidi="ar"/>
              </w:rPr>
              <w:t>700W电源模块</w:t>
            </w:r>
          </w:p>
        </w:tc>
        <w:tc>
          <w:tcPr>
            <w:tcW w:w="53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bidi="ar"/>
              </w:rPr>
              <w:t>700W电源模块</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9"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 </w:t>
            </w: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线缆辅材</w:t>
            </w:r>
          </w:p>
        </w:tc>
        <w:tc>
          <w:tcPr>
            <w:tcW w:w="5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含网线、水晶头、电源线、尾纤、信号线、标签、扎带等辅材</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 w:hRule="atLeast"/>
        </w:trPr>
        <w:tc>
          <w:tcPr>
            <w:tcW w:w="740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三、改造前端部分</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9"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星光级枪机</w:t>
            </w:r>
          </w:p>
        </w:tc>
        <w:tc>
          <w:tcPr>
            <w:tcW w:w="535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 采用≥1/1.8″逐行扫描400万像素图像传感器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 具有≥1个RJ45接口、2路报警输入、1路报警输出，1路音频输入、1个TF卡插槽，1路音频输出，1路RS485接口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 焦距范围：4/6/8/12mm，定焦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 最低照度：彩色≤0.0005lx、黑白≤0.0001lx。</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 支持120dB光学宽动态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 支持H.265、H.264、MJPEG编码格式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 支持ONVIF、GB/T 28181、GA/T 1400等协议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 支持TF卡热插拔，最大支持≥256GB TF卡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 支持暖光补光灯，补光距离≥30m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 设备支持人脸检测抓拍，可支持不低于40张人脸并发检测，支持抓拍优选，自动筛选出抓拍质量最优的图片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 支持混行检测：支持机动车、非机动车、行人分类检测抓拍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 防护等级≥IP67，支持在不低于-30～60℃环境下正常工作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供电方式：DC12V(±25%)、POE；含抱杆支架，DC12V/25W电源适配器，托板和万向节</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9"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星光级枪机</w:t>
            </w:r>
          </w:p>
        </w:tc>
        <w:tc>
          <w:tcPr>
            <w:tcW w:w="535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 采用≥1/1.8″逐行扫描400万像素图像传感器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 具有≥1个RJ45接口、2路报警输入、1路报警输出，1路音频输入、1个TF卡插槽，1路音频输出，1路RS485接口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 焦距范围：2.8～12mm，电动变焦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 最低照度：彩色≤0.0005lx、黑白≤0.0001lx。</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 支持120dB光学宽动态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 支持H.265、H.264、MJPEG编码格式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 支持ONVIF、GB/T 28181、GA/T 1400等协议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 支持TF卡热插拔，最大支持≥256GB TF卡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 支持暖光补光灯，补光距离≥30m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 设备支持人脸检测抓拍，可支持不低于40张人脸并发检测，支持抓拍优选，自动筛选出抓拍质量最优的图片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 支持混行检测：支持机动车、非机动车、行人分类检测抓拍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 防护等级≥IP67，支持在不低于-30～60℃环境下正常工作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供电方式：DC12V(±25%)、POE；含抱杆支架，DC12V/25W电源适配器，托板和万向节</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67"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星光级球机</w:t>
            </w:r>
          </w:p>
        </w:tc>
        <w:tc>
          <w:tcPr>
            <w:tcW w:w="535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 采用≥1/1.8 ”逐行扫描400万像素CMOS图像传感器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 支持6-150mm电动变焦，不小于25倍光学变倍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 支持最低照度：彩色：≤0.001lx，黑白：≤0.0001lx</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 支持120dB光学宽动态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 支持接口：≥1个RJ45接口、≥1个BNC接口、≥2个报警输入接口、1个报警输出接口、≥1个RS485接口、≥1个音频输入接口、1个音频输出接口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6. 支持红外灯补光，红外补光灯可定时或自动开启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 内置1个SD插槽，支持SD卡热插拔，支持≥256GB SD卡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 支持人脸检测，越界检测、区域入侵、进入区域、离开区域，运动检测、遮挡检测、声音检测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 支持ONVIF、GB/T 28181、GA/T 1400等标准协议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 水平范围：360°，水平速度0.1°/s~240°/s；预置位速度≥240°/s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 垂直范围：-15°~90°，垂直速度：0.1°~160°/s；预置位速度≥200°/s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 支持不低于256个预置位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 供电方式：AC/DC24V±25%，支持过压过流保护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 功耗≤50W，，6KV防雷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15. 工作环境：–40°C ~ 65°C，≤95%RH（相对湿度，无冷凝）</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16. 防护等级不低于IP66</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含电源、球机安装支架（一个球机吊装杆或壁装杆 ），球机连接件</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9"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配套线缆</w:t>
            </w:r>
          </w:p>
        </w:tc>
        <w:tc>
          <w:tcPr>
            <w:tcW w:w="5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网线STP.CAT-5e、电源线RVV2*1.5及防护套管PVC，标签、扎带等</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五、其他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链路费</w:t>
            </w:r>
          </w:p>
        </w:tc>
        <w:tc>
          <w:tcPr>
            <w:tcW w:w="5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每条每月400元，每年4800元计算</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条</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IDC主机托管</w:t>
            </w:r>
          </w:p>
        </w:tc>
        <w:tc>
          <w:tcPr>
            <w:tcW w:w="5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2个4U机位</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施工集成服务</w:t>
            </w:r>
          </w:p>
        </w:tc>
        <w:tc>
          <w:tcPr>
            <w:tcW w:w="5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包含前端设备，平台设备，改成部分设备的运输、安装等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技术集成服务</w:t>
            </w:r>
          </w:p>
        </w:tc>
        <w:tc>
          <w:tcPr>
            <w:tcW w:w="5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包含摄像机调试，一机一档数据采集，平台设备数据调测等技术服务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bl>
    <w:p>
      <w:pPr>
        <w:pStyle w:val="2"/>
        <w:jc w:val="both"/>
        <w:rPr>
          <w:rFonts w:hint="eastAsia"/>
        </w:rPr>
      </w:pPr>
    </w:p>
    <w:p>
      <w:pPr>
        <w:spacing w:line="360" w:lineRule="auto"/>
        <w:ind w:firstLine="480" w:firstLineChars="200"/>
        <w:rPr>
          <w:rFonts w:ascii="仿宋" w:hAnsi="仿宋" w:eastAsia="仿宋" w:cs="仿宋"/>
          <w:sz w:val="24"/>
          <w:szCs w:val="32"/>
        </w:rPr>
      </w:pPr>
      <w:r>
        <w:rPr>
          <w:rFonts w:hint="eastAsia" w:ascii="仿宋" w:hAnsi="仿宋" w:eastAsia="仿宋" w:cs="仿宋"/>
          <w:sz w:val="24"/>
          <w:szCs w:val="32"/>
        </w:rPr>
        <w:t>标项5：榆树沟片区管委会项目</w:t>
      </w:r>
    </w:p>
    <w:p>
      <w:pPr>
        <w:pStyle w:val="2"/>
        <w:rPr>
          <w:rFonts w:hint="eastAsia"/>
        </w:rPr>
      </w:pPr>
    </w:p>
    <w:tbl>
      <w:tblPr>
        <w:tblStyle w:val="21"/>
        <w:tblW w:w="88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54"/>
        <w:gridCol w:w="1555"/>
        <w:gridCol w:w="4927"/>
        <w:gridCol w:w="734"/>
        <w:gridCol w:w="7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设备名称</w:t>
            </w:r>
          </w:p>
        </w:tc>
        <w:tc>
          <w:tcPr>
            <w:tcW w:w="4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主要性能指标</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w:t>
            </w:r>
          </w:p>
        </w:tc>
        <w:tc>
          <w:tcPr>
            <w:tcW w:w="750"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73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一、新建前端部分</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750" w:type="dxa"/>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星光级枪机</w:t>
            </w:r>
          </w:p>
        </w:tc>
        <w:tc>
          <w:tcPr>
            <w:tcW w:w="492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 采用≥1/1.8″逐行扫描400万像素图像传感器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 具有≥1个RJ45接口、2路报警输入、1路报警输出，1路音频输入、1个TF卡插槽，1路音频输出，1路RS485接口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 焦距范围：4/6/8/12mm，定焦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 最低照度：彩色≤0.0005lx、黑白≤0.0001lx。</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 支持120dB光学宽动态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 支持H.265、H.264、MJPEG编码格式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 支持ONVIF、GB/T 28181、GA/T 1400等协议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 支持TF卡热插拔，最大支持≥256GB TF卡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 支持暖光补光灯，补光距离≥30m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 设备支持人脸检测抓拍，可支持不低于40张人脸并发检测，支持抓拍优选，自动筛选出抓拍质量最优的图片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 支持混行检测：支持机动车、非机动车、行人分类检测抓拍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 防护等级≥IP67，支持在不低于-30～60℃环境下正常工作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供电方式：DC12V(±25%)、POE；含抱杆支架，DC12V/25W电源适配器，托板和万向节</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星光级枪机</w:t>
            </w:r>
          </w:p>
        </w:tc>
        <w:tc>
          <w:tcPr>
            <w:tcW w:w="492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 采用≥1/1.8″逐行扫描400万像素图像传感器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 具有≥1个RJ45接口、2路报警输入、1路报警输出，1路音频输入、1个TF卡插槽，1路音频输出，1路RS485接口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 焦距范围：2.8～12mm，电动变焦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 最低照度：彩色≤0.0005lx、黑白≤0.0001lx。</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 支持120dB光学宽动态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 支持H.265、H.264、MJPEG编码格式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 支持ONVIF、GB/T 28181、GA/T 1400等协议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 支持TF卡热插拔，最大支持≥256GB TF卡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 支持暖光补光灯，补光距离≥30m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 设备支持人脸检测抓拍，可支持不低于40张人脸并发检测，支持抓拍优选，自动筛选出抓拍质量最优的图片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 支持混行检测：支持机动车、非机动车、行人分类检测抓拍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 防护等级≥IP67，支持在不低于-30～60℃环境下正常工作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供电方式：DC12V(±25%)、POE；含抱杆支架，DC12V/25W电源适配器，托板和万向节</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星光级球机</w:t>
            </w:r>
          </w:p>
        </w:tc>
        <w:tc>
          <w:tcPr>
            <w:tcW w:w="492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 采用≥1/1.8 ”逐行扫描400万像素CMOS图像传感器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 支持6-150mm电动变焦，不小于25倍光学变倍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 支持最低照度：彩色：≤0.001lx，黑白：≤0.0001lx</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 支持120dB光学宽动态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 支持接口：≥1个RJ45接口、≥1个BNC接口、≥2个报警输入接口、1个报警输出接口、≥1个RS485接口、≥1个音频输入接口、1个音频输出接口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6. 支持红外灯补光，红外补光灯可定时或自动开启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 内置1个SD插槽，支持SD卡热插拔，支持≥256GB SD卡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 支持人脸检测，越界检测、区域入侵、进入区域、离开区域，运动检测、遮挡检测、声音检测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 支持ONVIF、GB/T 28181、GA/T 1400等标准协议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 水平范围：360°，水平速度0.1°/s~240°/s；预置位速度≥240°/s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 垂直范围：-15°~90°，垂直速度：0.1°~160°/s；预置位速度≥200°/s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 支持不低于256个预置位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 供电方式：AC/DC24V±25%，支持过压过流保护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 功耗≤50W，，6KV防雷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15. 工作环境：–40°C ~ 65°C，≤95%RH（相对湿度，无冷凝）</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16. 防护等级不低于IP66</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含电源、球机安装支架（一个球机吊装杆或壁装杆 ），球机连接件</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监控箱</w:t>
            </w:r>
          </w:p>
        </w:tc>
        <w:tc>
          <w:tcPr>
            <w:tcW w:w="492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设备箱具备防雨、防尘、通风散热、抗紫外线（耐老化）、防盗、防锈；箱体采用≥1.2mm镀锌板，箱体尺寸（含雨帽）≥430(宽)*535(高)*220(深)mm，≥380(宽)*500(高)*200(深)mm（不含雨帽）；箱体工作温度范围-40℃～85℃，工作湿度≤90%RH，工作电压范围AC75～AC280V，外壳防护等级≥IP65，机械碰撞防护等级≥IK08，盐雾测试≥120小时；箱体内部预置可移动托板；整机一体化设计，内部集成控制终端、空开、电源防雷器、5位五孔插座、1路补光灯AC220V远程可控端子、DC12V风扇、1路RS485接口、1路RS232接口、2路IO告警输出、3路干接点输入（1路预留给箱门，1路预留给防雷器）、1路DC12V和1路DC5C（预留给网络传输设备）；具有≥4路AC220V输出，支持独立每路电压、电流检测、远程控制、实时发送每路电压电流值到客户端显示，支持通过客户端实时监测设备输出是否断电，并在客户端界面提示告警；支持供电电压、电流、功率、电量监测，可通过客户端显示，当供电断开时，提示供电异常告警；可通过客户端软件显示设备的实时功率和累计用电电量和电费统计数值；具有检测过压、欠压、过流，支持过压、欠压、过流、低载联动关闭指定输出接口；支持手动开启学习接入设备的功率，在当前设备的功率基础上接入其他设备时，自动关闭供电输出，并且客户端提示非法取电告警；支持在不使用外部蓄电池情况下，通过客户端实时监测设备供电电源，并在客户端提示设备供电电源掉电告警；可通过客户端显示摄像机工作状态并设置定时/手动开启，当接入的摄像机断电或网络断开时，可通过客户端提示告警，支持≥8路外接摄像机状态检测，支持在客户端内实现外接摄像机视频图像播放；可通过WEB及客户端显示交换机工作状态，可设置定时/手动重启、重启次数和时间，当网络传输断开时，可自动进行重启网络传输设备电源；支持多路补光灯检测，能够区分补光灯白天异常亮起和晚上无法开启，支持补光灯功率自学习功能，可设置定时/手动开启电源，支持≥4个时间段的分时控制；支持箱内实时温度、湿度、防雷状态、风扇工作状态检测，支持风扇故障监测和告警，支持风扇单次运行时间统计和总运行时间统计；支持通过客户端显示箱门开关状态，可设置箱门布防撤防,超过设定时间可自动布防，布防状态下箱门开启，客户端提示告警；支持箱门打开后，联动球机转向监控箱位置录像，可配置开始球机转动时间和停留录像时长；支持通过WEB直接查看实时数据、配置IP地址、客户端地址、传输模式、进行远程固件升级,支持IP地址冲突提示、MAC地址冲突提示；支持设备一机一档信息记录，包含设备名称、编号、国标编码、安装时间、品牌、类型、安装时间、质保期、到期时间等；支持设置设备运维、网络运维、电力运维，并生成考核计费报表，支持设置考核标准、考核申诉；支持通过时间、品牌等条件对外接摄像机故障率、在线率以柱状图或折线图展示统计报表；支持自动派单和手动派单，工单记录故障产生时间、派单时间及修复时长等信息；支持设置各类告警的告警等级；支持设置不同告警的处理时效。</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配套线缆</w:t>
            </w:r>
          </w:p>
        </w:tc>
        <w:tc>
          <w:tcPr>
            <w:tcW w:w="4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网线STP.CAT-5e、电源线RVV2*1.5及防护套管PVC，标签、扎带等</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五金配件</w:t>
            </w:r>
          </w:p>
        </w:tc>
        <w:tc>
          <w:tcPr>
            <w:tcW w:w="4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螺丝、连接件、抱箍、钢丝绳、吊卡等　</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批</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金属立杆</w:t>
            </w:r>
          </w:p>
        </w:tc>
        <w:tc>
          <w:tcPr>
            <w:tcW w:w="4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直径165mm高3米/壁厚4.5mm（热镀锌，表面喷塑）</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金属立杆</w:t>
            </w:r>
          </w:p>
        </w:tc>
        <w:tc>
          <w:tcPr>
            <w:tcW w:w="4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直径165mm高4米/壁厚4.5mm（热镀锌，表面喷塑）</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金属立杆</w:t>
            </w:r>
          </w:p>
        </w:tc>
        <w:tc>
          <w:tcPr>
            <w:tcW w:w="4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直径165mm高5米/壁厚4.5mm（热镀锌，表面喷塑）</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金属立杆</w:t>
            </w:r>
          </w:p>
        </w:tc>
        <w:tc>
          <w:tcPr>
            <w:tcW w:w="4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直径165mm高6米/壁厚4.5mm（热镀锌，表面喷塑）</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金属立杆</w:t>
            </w:r>
          </w:p>
        </w:tc>
        <w:tc>
          <w:tcPr>
            <w:tcW w:w="4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直径219mm高6米/壁厚5.5mm（热镀锌，表面喷塑）</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横臂</w:t>
            </w:r>
          </w:p>
        </w:tc>
        <w:tc>
          <w:tcPr>
            <w:tcW w:w="4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锥型杆，1米横臂：管径80/150（厚3.0mm）</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横臂</w:t>
            </w:r>
          </w:p>
        </w:tc>
        <w:tc>
          <w:tcPr>
            <w:tcW w:w="4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锥型杆，2米横臂：管径80/150（厚5.0mm）</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横臂</w:t>
            </w:r>
          </w:p>
        </w:tc>
        <w:tc>
          <w:tcPr>
            <w:tcW w:w="4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锥型杆，3米横臂：管径80/150（厚3.0mm）</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横臂</w:t>
            </w:r>
          </w:p>
        </w:tc>
        <w:tc>
          <w:tcPr>
            <w:tcW w:w="4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锥型杆，4米横臂：管径100/150（厚5.0mm）</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横臂</w:t>
            </w:r>
          </w:p>
        </w:tc>
        <w:tc>
          <w:tcPr>
            <w:tcW w:w="4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直杆，1米横臂：管径89（厚4.0mm）</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横臂</w:t>
            </w:r>
          </w:p>
        </w:tc>
        <w:tc>
          <w:tcPr>
            <w:tcW w:w="4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直杆，2米横臂：管径89（厚4.0mm）</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横臂</w:t>
            </w:r>
          </w:p>
        </w:tc>
        <w:tc>
          <w:tcPr>
            <w:tcW w:w="4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直杆，3米横臂：管径89（厚4.0mm）</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20" w:hRule="atLeast"/>
        </w:trPr>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横臂</w:t>
            </w:r>
          </w:p>
        </w:tc>
        <w:tc>
          <w:tcPr>
            <w:tcW w:w="4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直杆，5米横臂：管径89（厚4.0mm）</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抱箍支臂</w:t>
            </w:r>
          </w:p>
        </w:tc>
        <w:tc>
          <w:tcPr>
            <w:tcW w:w="4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直杆，1米，管径65（厚3.5mm）</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抱箍支臂</w:t>
            </w:r>
          </w:p>
        </w:tc>
        <w:tc>
          <w:tcPr>
            <w:tcW w:w="4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直杆，2米，管径65（厚3.5mm）</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抱箍支臂</w:t>
            </w:r>
          </w:p>
        </w:tc>
        <w:tc>
          <w:tcPr>
            <w:tcW w:w="4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直杆，3米，管径65（厚3.5mm）</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抱箍支臂</w:t>
            </w:r>
          </w:p>
        </w:tc>
        <w:tc>
          <w:tcPr>
            <w:tcW w:w="4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直杆，4米，管径65（厚3.5mm）</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墙装支臂</w:t>
            </w:r>
          </w:p>
        </w:tc>
        <w:tc>
          <w:tcPr>
            <w:tcW w:w="4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直杆，1米，管径65（厚3.5mm）</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墙装支臂</w:t>
            </w:r>
          </w:p>
        </w:tc>
        <w:tc>
          <w:tcPr>
            <w:tcW w:w="4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直杆，3米，管径65（厚3.5mm）</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立杆底座</w:t>
            </w:r>
          </w:p>
        </w:tc>
        <w:tc>
          <w:tcPr>
            <w:tcW w:w="4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直径165基坑尺寸1000*1000*1100（地下埋深）、含预埋件、防雷接地</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立杆底座</w:t>
            </w:r>
          </w:p>
        </w:tc>
        <w:tc>
          <w:tcPr>
            <w:tcW w:w="4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直径219基坑尺寸1200*1200*1600（地下埋深）、含预埋件、防雷接地</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73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二、电力部分</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电网国家电表接入费</w:t>
            </w:r>
          </w:p>
        </w:tc>
        <w:tc>
          <w:tcPr>
            <w:tcW w:w="4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包含满足国家电网接入电表等相关配套的技术服务</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利旧点位电力接入及检测费</w:t>
            </w:r>
          </w:p>
        </w:tc>
        <w:tc>
          <w:tcPr>
            <w:tcW w:w="4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bidi="ar"/>
              </w:rPr>
              <w:t>点位电力接入及检测费</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新建点位电力接入及检测费</w:t>
            </w:r>
          </w:p>
        </w:tc>
        <w:tc>
          <w:tcPr>
            <w:tcW w:w="4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bidi="ar"/>
              </w:rPr>
              <w:t>电力接入及检测费</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bidi="ar"/>
              </w:rPr>
              <w:t>电缆施工费用1</w:t>
            </w:r>
          </w:p>
        </w:tc>
        <w:tc>
          <w:tcPr>
            <w:tcW w:w="4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bidi="ar"/>
              </w:rPr>
              <w:t>沿管道穿线含所需电源线RVV3*2.5、YJV3*4、YJV3*6施工费用</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bidi="ar"/>
              </w:rPr>
              <w:t>米</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bidi="ar"/>
              </w:rPr>
              <w:t>电缆施工费用2</w:t>
            </w:r>
          </w:p>
        </w:tc>
        <w:tc>
          <w:tcPr>
            <w:tcW w:w="4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bidi="ar"/>
              </w:rPr>
              <w:t>沿墙钉固含所需电源线RVV3*2.5、YJV3*4、YJV3*6费用、PVC穿线管、卡子等材料和施费用</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bidi="ar"/>
              </w:rPr>
              <w:t>米</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bidi="ar"/>
              </w:rPr>
              <w:t>电缆施工费用3</w:t>
            </w:r>
          </w:p>
        </w:tc>
        <w:tc>
          <w:tcPr>
            <w:tcW w:w="4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bidi="ar"/>
              </w:rPr>
              <w:t>道路（大理石、油路花砖等）、绿化带等开挖、回填、PE穿线管、电源线RVV3*2.5、YJV3*4、YJV3*6等施工费用</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bidi="ar"/>
              </w:rPr>
              <w:t>米</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73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三、新建平台部分</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bidi="ar"/>
              </w:rPr>
              <w:t>48盘位云存储设备</w:t>
            </w:r>
          </w:p>
        </w:tc>
        <w:tc>
          <w:tcPr>
            <w:tcW w:w="4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bidi="ar"/>
              </w:rPr>
              <w:t>48盘位视频监控云存储节点：单控制器</w:t>
            </w:r>
            <w:r>
              <w:rPr>
                <w:rFonts w:hint="eastAsia" w:ascii="新宋体" w:hAnsi="新宋体" w:eastAsia="新宋体" w:cs="新宋体"/>
                <w:i w:val="0"/>
                <w:iCs w:val="0"/>
                <w:color w:val="000000"/>
                <w:kern w:val="0"/>
                <w:sz w:val="20"/>
                <w:szCs w:val="20"/>
                <w:u w:val="none"/>
                <w:lang w:val="en-US" w:eastAsia="zh-CN" w:bidi="ar"/>
              </w:rPr>
              <w:br w:type="textWrapping"/>
            </w:r>
            <w:r>
              <w:rPr>
                <w:rFonts w:hint="eastAsia" w:ascii="新宋体" w:hAnsi="新宋体" w:eastAsia="新宋体" w:cs="新宋体"/>
                <w:i w:val="0"/>
                <w:iCs w:val="0"/>
                <w:color w:val="000000"/>
                <w:kern w:val="0"/>
                <w:sz w:val="20"/>
                <w:szCs w:val="20"/>
                <w:u w:val="none"/>
                <w:lang w:val="en-US" w:eastAsia="zh-CN" w:bidi="ar"/>
              </w:rPr>
              <w:t>磁盘通道数：48</w:t>
            </w:r>
            <w:r>
              <w:rPr>
                <w:rFonts w:hint="eastAsia" w:ascii="新宋体" w:hAnsi="新宋体" w:eastAsia="新宋体" w:cs="新宋体"/>
                <w:i w:val="0"/>
                <w:iCs w:val="0"/>
                <w:color w:val="000000"/>
                <w:kern w:val="0"/>
                <w:sz w:val="20"/>
                <w:szCs w:val="20"/>
                <w:u w:val="none"/>
                <w:lang w:val="en-US" w:eastAsia="zh-CN" w:bidi="ar"/>
              </w:rPr>
              <w:br w:type="textWrapping"/>
            </w:r>
            <w:r>
              <w:rPr>
                <w:rFonts w:hint="eastAsia" w:ascii="新宋体" w:hAnsi="新宋体" w:eastAsia="新宋体" w:cs="新宋体"/>
                <w:i w:val="0"/>
                <w:iCs w:val="0"/>
                <w:color w:val="000000"/>
                <w:kern w:val="0"/>
                <w:sz w:val="20"/>
                <w:szCs w:val="20"/>
                <w:u w:val="none"/>
                <w:lang w:val="en-US" w:eastAsia="zh-CN" w:bidi="ar"/>
              </w:rPr>
              <w:t>电源模块：交流电源</w:t>
            </w:r>
            <w:r>
              <w:rPr>
                <w:rFonts w:hint="eastAsia" w:ascii="新宋体" w:hAnsi="新宋体" w:eastAsia="新宋体" w:cs="新宋体"/>
                <w:i w:val="0"/>
                <w:iCs w:val="0"/>
                <w:color w:val="000000"/>
                <w:kern w:val="0"/>
                <w:sz w:val="20"/>
                <w:szCs w:val="20"/>
                <w:u w:val="none"/>
                <w:lang w:val="en-US" w:eastAsia="zh-CN" w:bidi="ar"/>
              </w:rPr>
              <w:br w:type="textWrapping"/>
            </w:r>
            <w:r>
              <w:rPr>
                <w:rFonts w:hint="eastAsia" w:ascii="新宋体" w:hAnsi="新宋体" w:eastAsia="新宋体" w:cs="新宋体"/>
                <w:i w:val="0"/>
                <w:iCs w:val="0"/>
                <w:color w:val="000000"/>
                <w:kern w:val="0"/>
                <w:sz w:val="20"/>
                <w:szCs w:val="20"/>
                <w:u w:val="none"/>
                <w:lang w:val="en-US" w:eastAsia="zh-CN" w:bidi="ar"/>
              </w:rPr>
              <w:t>网络接口：5个千兆以太网接口</w:t>
            </w:r>
            <w:r>
              <w:rPr>
                <w:rFonts w:hint="eastAsia" w:ascii="新宋体" w:hAnsi="新宋体" w:eastAsia="新宋体" w:cs="新宋体"/>
                <w:i w:val="0"/>
                <w:iCs w:val="0"/>
                <w:color w:val="000000"/>
                <w:kern w:val="0"/>
                <w:sz w:val="20"/>
                <w:szCs w:val="20"/>
                <w:u w:val="none"/>
                <w:lang w:val="en-US" w:eastAsia="zh-CN" w:bidi="ar"/>
              </w:rPr>
              <w:br w:type="textWrapping"/>
            </w:r>
            <w:r>
              <w:rPr>
                <w:rFonts w:hint="eastAsia" w:ascii="新宋体" w:hAnsi="新宋体" w:eastAsia="新宋体" w:cs="新宋体"/>
                <w:i w:val="0"/>
                <w:iCs w:val="0"/>
                <w:color w:val="000000"/>
                <w:kern w:val="0"/>
                <w:sz w:val="20"/>
                <w:szCs w:val="20"/>
                <w:u w:val="none"/>
                <w:lang w:val="en-US" w:eastAsia="zh-CN" w:bidi="ar"/>
              </w:rPr>
              <w:t>性能：512路2M块直存、51路回放</w:t>
            </w:r>
            <w:r>
              <w:rPr>
                <w:rFonts w:hint="eastAsia" w:ascii="新宋体" w:hAnsi="新宋体" w:eastAsia="新宋体" w:cs="新宋体"/>
                <w:i w:val="0"/>
                <w:iCs w:val="0"/>
                <w:color w:val="000000"/>
                <w:kern w:val="0"/>
                <w:sz w:val="20"/>
                <w:szCs w:val="20"/>
                <w:u w:val="none"/>
                <w:lang w:val="en-US" w:eastAsia="zh-CN" w:bidi="ar"/>
              </w:rPr>
              <w:br w:type="textWrapping"/>
            </w:r>
            <w:r>
              <w:rPr>
                <w:rFonts w:hint="eastAsia" w:ascii="新宋体" w:hAnsi="新宋体" w:eastAsia="新宋体" w:cs="新宋体"/>
                <w:i w:val="0"/>
                <w:iCs w:val="0"/>
                <w:color w:val="000000"/>
                <w:kern w:val="0"/>
                <w:sz w:val="20"/>
                <w:szCs w:val="20"/>
                <w:u w:val="none"/>
                <w:lang w:val="en-US" w:eastAsia="zh-CN" w:bidi="ar"/>
              </w:rPr>
              <w:t>384路2M流直存，38路回放</w:t>
            </w:r>
            <w:r>
              <w:rPr>
                <w:rFonts w:hint="eastAsia" w:ascii="新宋体" w:hAnsi="新宋体" w:eastAsia="新宋体" w:cs="新宋体"/>
                <w:i w:val="0"/>
                <w:iCs w:val="0"/>
                <w:color w:val="000000"/>
                <w:kern w:val="0"/>
                <w:sz w:val="20"/>
                <w:szCs w:val="20"/>
                <w:u w:val="none"/>
                <w:lang w:val="en-US" w:eastAsia="zh-CN" w:bidi="ar"/>
              </w:rPr>
              <w:br w:type="textWrapping"/>
            </w:r>
            <w:r>
              <w:rPr>
                <w:rFonts w:hint="eastAsia" w:ascii="新宋体" w:hAnsi="新宋体" w:eastAsia="新宋体" w:cs="新宋体"/>
                <w:i w:val="0"/>
                <w:iCs w:val="0"/>
                <w:color w:val="000000"/>
                <w:kern w:val="0"/>
                <w:sz w:val="20"/>
                <w:szCs w:val="20"/>
                <w:u w:val="none"/>
                <w:lang w:val="en-US" w:eastAsia="zh-CN" w:bidi="ar"/>
              </w:rPr>
              <w:t xml:space="preserve"> 支持提供存储虚拟化管理功能，将所有存储节点空间合并成一个存储虚拟池，对外提供海量存储空间管理</w:t>
            </w:r>
            <w:r>
              <w:rPr>
                <w:rFonts w:hint="eastAsia" w:ascii="新宋体" w:hAnsi="新宋体" w:eastAsia="新宋体" w:cs="新宋体"/>
                <w:i w:val="0"/>
                <w:iCs w:val="0"/>
                <w:color w:val="000000"/>
                <w:kern w:val="0"/>
                <w:sz w:val="20"/>
                <w:szCs w:val="20"/>
                <w:u w:val="none"/>
                <w:lang w:val="en-US" w:eastAsia="zh-CN" w:bidi="ar"/>
              </w:rPr>
              <w:br w:type="textWrapping"/>
            </w:r>
            <w:r>
              <w:rPr>
                <w:rFonts w:hint="eastAsia" w:ascii="新宋体" w:hAnsi="新宋体" w:eastAsia="新宋体" w:cs="新宋体"/>
                <w:i w:val="0"/>
                <w:iCs w:val="0"/>
                <w:color w:val="000000"/>
                <w:kern w:val="0"/>
                <w:sz w:val="20"/>
                <w:szCs w:val="20"/>
                <w:u w:val="none"/>
                <w:lang w:val="en-US" w:eastAsia="zh-CN" w:bidi="ar"/>
              </w:rPr>
              <w:t>支持PCIe插槽、支持千兆GE接口卡和万兆10GE接口卡、Mini SAS HD卡(SAS 3.0)</w:t>
            </w:r>
            <w:r>
              <w:rPr>
                <w:rFonts w:hint="eastAsia" w:ascii="新宋体" w:hAnsi="新宋体" w:eastAsia="新宋体" w:cs="新宋体"/>
                <w:i w:val="0"/>
                <w:iCs w:val="0"/>
                <w:color w:val="000000"/>
                <w:kern w:val="0"/>
                <w:sz w:val="20"/>
                <w:szCs w:val="20"/>
                <w:u w:val="none"/>
                <w:lang w:val="en-US" w:eastAsia="zh-CN" w:bidi="ar"/>
              </w:rPr>
              <w:br w:type="textWrapping"/>
            </w:r>
            <w:r>
              <w:rPr>
                <w:rFonts w:hint="eastAsia" w:ascii="新宋体" w:hAnsi="新宋体" w:eastAsia="新宋体" w:cs="新宋体"/>
                <w:i w:val="0"/>
                <w:iCs w:val="0"/>
                <w:color w:val="000000"/>
                <w:kern w:val="0"/>
                <w:sz w:val="20"/>
                <w:szCs w:val="20"/>
                <w:u w:val="none"/>
                <w:lang w:val="en-US" w:eastAsia="zh-CN" w:bidi="ar"/>
              </w:rPr>
              <w:t>支持网络端口链路聚合、负载均衡</w:t>
            </w:r>
            <w:r>
              <w:rPr>
                <w:rFonts w:hint="eastAsia" w:ascii="新宋体" w:hAnsi="新宋体" w:eastAsia="新宋体" w:cs="新宋体"/>
                <w:i w:val="0"/>
                <w:iCs w:val="0"/>
                <w:color w:val="000000"/>
                <w:kern w:val="0"/>
                <w:sz w:val="20"/>
                <w:szCs w:val="20"/>
                <w:u w:val="none"/>
                <w:lang w:val="en-US" w:eastAsia="zh-CN" w:bidi="ar"/>
              </w:rPr>
              <w:br w:type="textWrapping"/>
            </w:r>
            <w:r>
              <w:rPr>
                <w:rFonts w:hint="eastAsia" w:ascii="新宋体" w:hAnsi="新宋体" w:eastAsia="新宋体" w:cs="新宋体"/>
                <w:i w:val="0"/>
                <w:iCs w:val="0"/>
                <w:color w:val="000000"/>
                <w:kern w:val="0"/>
                <w:sz w:val="20"/>
                <w:szCs w:val="20"/>
                <w:u w:val="none"/>
                <w:lang w:val="en-US" w:eastAsia="zh-CN" w:bidi="ar"/>
              </w:rPr>
              <w:t>支持标准ONVIF、GB/T28181等标准前端接入</w:t>
            </w:r>
            <w:r>
              <w:rPr>
                <w:rFonts w:hint="eastAsia" w:ascii="新宋体" w:hAnsi="新宋体" w:eastAsia="新宋体" w:cs="新宋体"/>
                <w:i w:val="0"/>
                <w:iCs w:val="0"/>
                <w:color w:val="000000"/>
                <w:kern w:val="0"/>
                <w:sz w:val="20"/>
                <w:szCs w:val="20"/>
                <w:u w:val="none"/>
                <w:lang w:val="en-US" w:eastAsia="zh-CN" w:bidi="ar"/>
              </w:rPr>
              <w:br w:type="textWrapping"/>
            </w:r>
            <w:r>
              <w:rPr>
                <w:rFonts w:hint="eastAsia" w:ascii="新宋体" w:hAnsi="新宋体" w:eastAsia="新宋体" w:cs="新宋体"/>
                <w:i w:val="0"/>
                <w:iCs w:val="0"/>
                <w:color w:val="000000"/>
                <w:kern w:val="0"/>
                <w:sz w:val="20"/>
                <w:szCs w:val="20"/>
                <w:u w:val="none"/>
                <w:lang w:val="en-US" w:eastAsia="zh-CN" w:bidi="ar"/>
              </w:rPr>
              <w:t>支持视频智能结构化数据存储</w:t>
            </w:r>
            <w:r>
              <w:rPr>
                <w:rFonts w:hint="eastAsia" w:ascii="新宋体" w:hAnsi="新宋体" w:eastAsia="新宋体" w:cs="新宋体"/>
                <w:i w:val="0"/>
                <w:iCs w:val="0"/>
                <w:color w:val="000000"/>
                <w:kern w:val="0"/>
                <w:sz w:val="20"/>
                <w:szCs w:val="20"/>
                <w:u w:val="none"/>
                <w:lang w:val="en-US" w:eastAsia="zh-CN" w:bidi="ar"/>
              </w:rPr>
              <w:br w:type="textWrapping"/>
            </w:r>
            <w:r>
              <w:rPr>
                <w:rFonts w:hint="eastAsia" w:ascii="新宋体" w:hAnsi="新宋体" w:eastAsia="新宋体" w:cs="新宋体"/>
                <w:i w:val="0"/>
                <w:iCs w:val="0"/>
                <w:color w:val="000000"/>
                <w:kern w:val="0"/>
                <w:sz w:val="20"/>
                <w:szCs w:val="20"/>
                <w:u w:val="none"/>
                <w:lang w:val="en-US" w:eastAsia="zh-CN" w:bidi="ar"/>
              </w:rPr>
              <w:t>支持裸数据块直存方式，无文件系统碎片，海量小文件存储性能无衰减</w:t>
            </w:r>
            <w:r>
              <w:rPr>
                <w:rFonts w:hint="eastAsia" w:ascii="新宋体" w:hAnsi="新宋体" w:eastAsia="新宋体" w:cs="新宋体"/>
                <w:i w:val="0"/>
                <w:iCs w:val="0"/>
                <w:color w:val="000000"/>
                <w:kern w:val="0"/>
                <w:sz w:val="20"/>
                <w:szCs w:val="20"/>
                <w:u w:val="none"/>
                <w:lang w:val="en-US" w:eastAsia="zh-CN" w:bidi="ar"/>
              </w:rPr>
              <w:br w:type="textWrapping"/>
            </w:r>
            <w:r>
              <w:rPr>
                <w:rFonts w:hint="eastAsia" w:ascii="新宋体" w:hAnsi="新宋体" w:eastAsia="新宋体" w:cs="新宋体"/>
                <w:i w:val="0"/>
                <w:iCs w:val="0"/>
                <w:color w:val="000000"/>
                <w:kern w:val="0"/>
                <w:sz w:val="20"/>
                <w:szCs w:val="20"/>
                <w:u w:val="none"/>
                <w:lang w:val="en-US" w:eastAsia="zh-CN" w:bidi="ar"/>
              </w:rPr>
              <w:t>支持数据离散，并发读写，支持视频秒级检索及回放，视频、图片极速下载</w:t>
            </w:r>
            <w:r>
              <w:rPr>
                <w:rFonts w:hint="eastAsia" w:ascii="新宋体" w:hAnsi="新宋体" w:eastAsia="新宋体" w:cs="新宋体"/>
                <w:i w:val="0"/>
                <w:iCs w:val="0"/>
                <w:color w:val="000000"/>
                <w:kern w:val="0"/>
                <w:sz w:val="20"/>
                <w:szCs w:val="20"/>
                <w:u w:val="none"/>
                <w:lang w:val="en-US" w:eastAsia="zh-CN" w:bidi="ar"/>
              </w:rPr>
              <w:br w:type="textWrapping"/>
            </w:r>
            <w:r>
              <w:rPr>
                <w:rFonts w:hint="eastAsia" w:ascii="新宋体" w:hAnsi="新宋体" w:eastAsia="新宋体" w:cs="新宋体"/>
                <w:i w:val="0"/>
                <w:iCs w:val="0"/>
                <w:color w:val="000000"/>
                <w:kern w:val="0"/>
                <w:sz w:val="20"/>
                <w:szCs w:val="20"/>
                <w:u w:val="none"/>
                <w:lang w:val="en-US" w:eastAsia="zh-CN" w:bidi="ar"/>
              </w:rPr>
              <w:t>支持云节点负载均衡、故障切换，解决单节点性能瓶颈问题及单节点故障问题，保证业务连续性</w:t>
            </w:r>
            <w:r>
              <w:rPr>
                <w:rFonts w:hint="eastAsia" w:ascii="新宋体" w:hAnsi="新宋体" w:eastAsia="新宋体" w:cs="新宋体"/>
                <w:i w:val="0"/>
                <w:iCs w:val="0"/>
                <w:color w:val="000000"/>
                <w:kern w:val="0"/>
                <w:sz w:val="20"/>
                <w:szCs w:val="20"/>
                <w:u w:val="none"/>
                <w:lang w:val="en-US" w:eastAsia="zh-CN" w:bidi="ar"/>
              </w:rPr>
              <w:br w:type="textWrapping"/>
            </w:r>
            <w:r>
              <w:rPr>
                <w:rFonts w:hint="eastAsia" w:ascii="新宋体" w:hAnsi="新宋体" w:eastAsia="新宋体" w:cs="新宋体"/>
                <w:i w:val="0"/>
                <w:iCs w:val="0"/>
                <w:color w:val="000000"/>
                <w:kern w:val="0"/>
                <w:sz w:val="20"/>
                <w:szCs w:val="20"/>
                <w:u w:val="none"/>
                <w:lang w:val="en-US" w:eastAsia="zh-CN" w:bidi="ar"/>
              </w:rPr>
              <w:t>支持云备份功能，实现云内数据备份和云间备份</w:t>
            </w:r>
            <w:r>
              <w:rPr>
                <w:rFonts w:hint="eastAsia" w:ascii="新宋体" w:hAnsi="新宋体" w:eastAsia="新宋体" w:cs="新宋体"/>
                <w:i w:val="0"/>
                <w:iCs w:val="0"/>
                <w:color w:val="000000"/>
                <w:kern w:val="0"/>
                <w:sz w:val="20"/>
                <w:szCs w:val="20"/>
                <w:u w:val="none"/>
                <w:lang w:val="en-US" w:eastAsia="zh-CN" w:bidi="ar"/>
              </w:rPr>
              <w:br w:type="textWrapping"/>
            </w:r>
            <w:r>
              <w:rPr>
                <w:rFonts w:hint="eastAsia" w:ascii="新宋体" w:hAnsi="新宋体" w:eastAsia="新宋体" w:cs="新宋体"/>
                <w:i w:val="0"/>
                <w:iCs w:val="0"/>
                <w:color w:val="000000"/>
                <w:kern w:val="0"/>
                <w:sz w:val="20"/>
                <w:szCs w:val="20"/>
                <w:u w:val="none"/>
                <w:lang w:val="en-US" w:eastAsia="zh-CN" w:bidi="ar"/>
              </w:rPr>
              <w:t>支持冗余电源，风扇，电池，支持磁盘、电源、风扇、电池的热插拔和在线更换</w:t>
            </w:r>
            <w:r>
              <w:rPr>
                <w:rFonts w:hint="eastAsia" w:ascii="新宋体" w:hAnsi="新宋体" w:eastAsia="新宋体" w:cs="新宋体"/>
                <w:i w:val="0"/>
                <w:iCs w:val="0"/>
                <w:color w:val="000000"/>
                <w:kern w:val="0"/>
                <w:sz w:val="20"/>
                <w:szCs w:val="20"/>
                <w:u w:val="none"/>
                <w:lang w:val="en-US" w:eastAsia="zh-CN" w:bidi="ar"/>
              </w:rPr>
              <w:br w:type="textWrapping"/>
            </w:r>
            <w:r>
              <w:rPr>
                <w:rFonts w:hint="eastAsia" w:ascii="新宋体" w:hAnsi="新宋体" w:eastAsia="新宋体" w:cs="新宋体"/>
                <w:i w:val="0"/>
                <w:iCs w:val="0"/>
                <w:color w:val="000000"/>
                <w:kern w:val="0"/>
                <w:sz w:val="20"/>
                <w:szCs w:val="20"/>
                <w:u w:val="none"/>
                <w:lang w:val="en-US" w:eastAsia="zh-CN" w:bidi="ar"/>
              </w:rPr>
              <w:t>支持数码管、指示灯、蜂鸣器告警、邮件告警、SNMP Trap、短信等告警方式对故障进行告警</w:t>
            </w:r>
            <w:r>
              <w:rPr>
                <w:rFonts w:hint="eastAsia" w:ascii="新宋体" w:hAnsi="新宋体" w:eastAsia="新宋体" w:cs="新宋体"/>
                <w:i w:val="0"/>
                <w:iCs w:val="0"/>
                <w:color w:val="000000"/>
                <w:kern w:val="0"/>
                <w:sz w:val="20"/>
                <w:szCs w:val="20"/>
                <w:u w:val="none"/>
                <w:lang w:val="en-US" w:eastAsia="zh-CN" w:bidi="ar"/>
              </w:rPr>
              <w:br w:type="textWrapping"/>
            </w:r>
            <w:r>
              <w:rPr>
                <w:rFonts w:hint="eastAsia" w:ascii="新宋体" w:hAnsi="新宋体" w:eastAsia="新宋体" w:cs="新宋体"/>
                <w:i w:val="0"/>
                <w:iCs w:val="0"/>
                <w:color w:val="000000"/>
                <w:kern w:val="0"/>
                <w:sz w:val="20"/>
                <w:szCs w:val="20"/>
                <w:u w:val="none"/>
                <w:lang w:val="en-US" w:eastAsia="zh-CN" w:bidi="ar"/>
              </w:rPr>
              <w:t>支持IP冲突告警、网口降速、电源故障、风扇故障、电池电量不足、电池故障等告警</w:t>
            </w:r>
            <w:r>
              <w:rPr>
                <w:rFonts w:hint="eastAsia" w:ascii="新宋体" w:hAnsi="新宋体" w:eastAsia="新宋体" w:cs="新宋体"/>
                <w:i w:val="0"/>
                <w:iCs w:val="0"/>
                <w:color w:val="000000"/>
                <w:kern w:val="0"/>
                <w:sz w:val="20"/>
                <w:szCs w:val="20"/>
                <w:u w:val="none"/>
                <w:lang w:val="en-US" w:eastAsia="zh-CN" w:bidi="ar"/>
              </w:rPr>
              <w:br w:type="textWrapping"/>
            </w:r>
            <w:r>
              <w:rPr>
                <w:rFonts w:hint="eastAsia" w:ascii="新宋体" w:hAnsi="新宋体" w:eastAsia="新宋体" w:cs="新宋体"/>
                <w:i w:val="0"/>
                <w:iCs w:val="0"/>
                <w:color w:val="000000"/>
                <w:kern w:val="0"/>
                <w:sz w:val="20"/>
                <w:szCs w:val="20"/>
                <w:u w:val="none"/>
                <w:lang w:val="en-US" w:eastAsia="zh-CN" w:bidi="ar"/>
              </w:rPr>
              <w:t>支持数据保险箱（掉电数据永久保护）</w:t>
            </w:r>
            <w:r>
              <w:rPr>
                <w:rFonts w:hint="eastAsia" w:ascii="新宋体" w:hAnsi="新宋体" w:eastAsia="新宋体" w:cs="新宋体"/>
                <w:i w:val="0"/>
                <w:iCs w:val="0"/>
                <w:color w:val="000000"/>
                <w:kern w:val="0"/>
                <w:sz w:val="20"/>
                <w:szCs w:val="20"/>
                <w:u w:val="none"/>
                <w:lang w:val="en-US" w:eastAsia="zh-CN" w:bidi="ar"/>
              </w:rPr>
              <w:br w:type="textWrapping"/>
            </w:r>
            <w:r>
              <w:rPr>
                <w:rFonts w:hint="eastAsia" w:ascii="新宋体" w:hAnsi="新宋体" w:eastAsia="新宋体" w:cs="新宋体"/>
                <w:i w:val="0"/>
                <w:iCs w:val="0"/>
                <w:color w:val="000000"/>
                <w:kern w:val="0"/>
                <w:sz w:val="20"/>
                <w:szCs w:val="20"/>
                <w:u w:val="none"/>
                <w:lang w:val="en-US" w:eastAsia="zh-CN" w:bidi="ar"/>
              </w:rPr>
              <w:t>支持JBOD、RAID 0、1、5、6、10、50，RAID阵列可即建即用</w:t>
            </w:r>
            <w:r>
              <w:rPr>
                <w:rFonts w:hint="eastAsia" w:ascii="新宋体" w:hAnsi="新宋体" w:eastAsia="新宋体" w:cs="新宋体"/>
                <w:i w:val="0"/>
                <w:iCs w:val="0"/>
                <w:color w:val="000000"/>
                <w:kern w:val="0"/>
                <w:sz w:val="20"/>
                <w:szCs w:val="20"/>
                <w:u w:val="none"/>
                <w:lang w:val="en-US" w:eastAsia="zh-CN" w:bidi="ar"/>
              </w:rPr>
              <w:br w:type="textWrapping"/>
            </w:r>
            <w:r>
              <w:rPr>
                <w:rFonts w:hint="eastAsia" w:ascii="新宋体" w:hAnsi="新宋体" w:eastAsia="新宋体" w:cs="新宋体"/>
                <w:i w:val="0"/>
                <w:iCs w:val="0"/>
                <w:color w:val="000000"/>
                <w:kern w:val="0"/>
                <w:sz w:val="20"/>
                <w:szCs w:val="20"/>
                <w:u w:val="none"/>
                <w:lang w:val="en-US" w:eastAsia="zh-CN" w:bidi="ar"/>
              </w:rPr>
              <w:t>支持SATA、SSD盘</w:t>
            </w:r>
            <w:r>
              <w:rPr>
                <w:rFonts w:hint="eastAsia" w:ascii="新宋体" w:hAnsi="新宋体" w:eastAsia="新宋体" w:cs="新宋体"/>
                <w:i w:val="0"/>
                <w:iCs w:val="0"/>
                <w:color w:val="000000"/>
                <w:kern w:val="0"/>
                <w:sz w:val="20"/>
                <w:szCs w:val="20"/>
                <w:u w:val="none"/>
                <w:lang w:val="en-US" w:eastAsia="zh-CN" w:bidi="ar"/>
              </w:rPr>
              <w:br w:type="textWrapping"/>
            </w:r>
            <w:r>
              <w:rPr>
                <w:rFonts w:hint="eastAsia" w:ascii="新宋体" w:hAnsi="新宋体" w:eastAsia="新宋体" w:cs="新宋体"/>
                <w:i w:val="0"/>
                <w:iCs w:val="0"/>
                <w:color w:val="000000"/>
                <w:kern w:val="0"/>
                <w:sz w:val="20"/>
                <w:szCs w:val="20"/>
                <w:u w:val="none"/>
                <w:lang w:val="en-US" w:eastAsia="zh-CN" w:bidi="ar"/>
              </w:rPr>
              <w:t>支持自动空白盘全局热备、专有热备</w:t>
            </w:r>
            <w:r>
              <w:rPr>
                <w:rFonts w:hint="eastAsia" w:ascii="新宋体" w:hAnsi="新宋体" w:eastAsia="新宋体" w:cs="新宋体"/>
                <w:i w:val="0"/>
                <w:iCs w:val="0"/>
                <w:color w:val="000000"/>
                <w:kern w:val="0"/>
                <w:sz w:val="20"/>
                <w:szCs w:val="20"/>
                <w:u w:val="none"/>
                <w:lang w:val="en-US" w:eastAsia="zh-CN" w:bidi="ar"/>
              </w:rPr>
              <w:br w:type="textWrapping"/>
            </w:r>
            <w:r>
              <w:rPr>
                <w:rFonts w:hint="eastAsia" w:ascii="新宋体" w:hAnsi="新宋体" w:eastAsia="新宋体" w:cs="新宋体"/>
                <w:i w:val="0"/>
                <w:iCs w:val="0"/>
                <w:color w:val="000000"/>
                <w:kern w:val="0"/>
                <w:sz w:val="20"/>
                <w:szCs w:val="20"/>
                <w:u w:val="none"/>
                <w:lang w:val="en-US" w:eastAsia="zh-CN" w:bidi="ar"/>
              </w:rPr>
              <w:t>支持RAID阵列磁盘进行定位，RAID阵列自动巡检</w:t>
            </w:r>
            <w:r>
              <w:rPr>
                <w:rFonts w:hint="eastAsia" w:ascii="新宋体" w:hAnsi="新宋体" w:eastAsia="新宋体" w:cs="新宋体"/>
                <w:i w:val="0"/>
                <w:iCs w:val="0"/>
                <w:color w:val="000000"/>
                <w:kern w:val="0"/>
                <w:sz w:val="20"/>
                <w:szCs w:val="20"/>
                <w:u w:val="none"/>
                <w:lang w:val="en-US" w:eastAsia="zh-CN" w:bidi="ar"/>
              </w:rPr>
              <w:br w:type="textWrapping"/>
            </w:r>
            <w:r>
              <w:rPr>
                <w:rFonts w:hint="eastAsia" w:ascii="新宋体" w:hAnsi="新宋体" w:eastAsia="新宋体" w:cs="新宋体"/>
                <w:i w:val="0"/>
                <w:iCs w:val="0"/>
                <w:color w:val="000000"/>
                <w:kern w:val="0"/>
                <w:sz w:val="20"/>
                <w:szCs w:val="20"/>
                <w:u w:val="none"/>
                <w:lang w:val="en-US" w:eastAsia="zh-CN" w:bidi="ar"/>
              </w:rPr>
              <w:t>支持RAID阵列重构重建、无感知重建、SMART检测预拷贝，RAID阵列可自动动态调整重建速度、重建/同步优先级</w:t>
            </w:r>
            <w:r>
              <w:rPr>
                <w:rFonts w:hint="eastAsia" w:ascii="新宋体" w:hAnsi="新宋体" w:eastAsia="新宋体" w:cs="新宋体"/>
                <w:i w:val="0"/>
                <w:iCs w:val="0"/>
                <w:color w:val="000000"/>
                <w:kern w:val="0"/>
                <w:sz w:val="20"/>
                <w:szCs w:val="20"/>
                <w:u w:val="none"/>
                <w:lang w:val="en-US" w:eastAsia="zh-CN" w:bidi="ar"/>
              </w:rPr>
              <w:br w:type="textWrapping"/>
            </w:r>
            <w:r>
              <w:rPr>
                <w:rFonts w:hint="eastAsia" w:ascii="新宋体" w:hAnsi="新宋体" w:eastAsia="新宋体" w:cs="新宋体"/>
                <w:i w:val="0"/>
                <w:iCs w:val="0"/>
                <w:color w:val="000000"/>
                <w:kern w:val="0"/>
                <w:sz w:val="20"/>
                <w:szCs w:val="20"/>
                <w:u w:val="none"/>
                <w:lang w:val="en-US" w:eastAsia="zh-CN" w:bidi="ar"/>
              </w:rPr>
              <w:t>支持RAID阵列磁盘坏块替换、多错误容忍、磁盘错误修复</w:t>
            </w:r>
            <w:r>
              <w:rPr>
                <w:rFonts w:hint="eastAsia" w:ascii="新宋体" w:hAnsi="新宋体" w:eastAsia="新宋体" w:cs="新宋体"/>
                <w:i w:val="0"/>
                <w:iCs w:val="0"/>
                <w:color w:val="000000"/>
                <w:kern w:val="0"/>
                <w:sz w:val="20"/>
                <w:szCs w:val="20"/>
                <w:u w:val="none"/>
                <w:lang w:val="en-US" w:eastAsia="zh-CN" w:bidi="ar"/>
              </w:rPr>
              <w:br w:type="textWrapping"/>
            </w:r>
            <w:r>
              <w:rPr>
                <w:rFonts w:hint="eastAsia" w:ascii="新宋体" w:hAnsi="新宋体" w:eastAsia="新宋体" w:cs="新宋体"/>
                <w:i w:val="0"/>
                <w:iCs w:val="0"/>
                <w:color w:val="000000"/>
                <w:kern w:val="0"/>
                <w:sz w:val="20"/>
                <w:szCs w:val="20"/>
                <w:u w:val="none"/>
                <w:lang w:val="en-US" w:eastAsia="zh-CN" w:bidi="ar"/>
              </w:rPr>
              <w:t>支持硬件过载保护机制</w:t>
            </w:r>
            <w:r>
              <w:rPr>
                <w:rFonts w:hint="eastAsia" w:ascii="新宋体" w:hAnsi="新宋体" w:eastAsia="新宋体" w:cs="新宋体"/>
                <w:i w:val="0"/>
                <w:iCs w:val="0"/>
                <w:color w:val="000000"/>
                <w:kern w:val="0"/>
                <w:sz w:val="20"/>
                <w:szCs w:val="20"/>
                <w:u w:val="none"/>
                <w:lang w:val="en-US" w:eastAsia="zh-CN" w:bidi="ar"/>
              </w:rPr>
              <w:br w:type="textWrapping"/>
            </w:r>
            <w:r>
              <w:rPr>
                <w:rFonts w:hint="eastAsia" w:ascii="新宋体" w:hAnsi="新宋体" w:eastAsia="新宋体" w:cs="新宋体"/>
                <w:i w:val="0"/>
                <w:iCs w:val="0"/>
                <w:color w:val="000000"/>
                <w:kern w:val="0"/>
                <w:sz w:val="20"/>
                <w:szCs w:val="20"/>
                <w:u w:val="none"/>
                <w:lang w:val="en-US" w:eastAsia="zh-CN" w:bidi="ar"/>
              </w:rPr>
              <w:t>支持风扇多级调速技术</w:t>
            </w:r>
            <w:r>
              <w:rPr>
                <w:rFonts w:hint="eastAsia" w:ascii="新宋体" w:hAnsi="新宋体" w:eastAsia="新宋体" w:cs="新宋体"/>
                <w:i w:val="0"/>
                <w:iCs w:val="0"/>
                <w:color w:val="000000"/>
                <w:kern w:val="0"/>
                <w:sz w:val="20"/>
                <w:szCs w:val="20"/>
                <w:u w:val="none"/>
                <w:lang w:val="en-US" w:eastAsia="zh-CN" w:bidi="ar"/>
              </w:rPr>
              <w:br w:type="textWrapping"/>
            </w:r>
            <w:r>
              <w:rPr>
                <w:rFonts w:hint="eastAsia" w:ascii="新宋体" w:hAnsi="新宋体" w:eastAsia="新宋体" w:cs="新宋体"/>
                <w:i w:val="0"/>
                <w:iCs w:val="0"/>
                <w:color w:val="000000"/>
                <w:kern w:val="0"/>
                <w:sz w:val="20"/>
                <w:szCs w:val="20"/>
                <w:u w:val="none"/>
                <w:lang w:val="en-US" w:eastAsia="zh-CN" w:bidi="ar"/>
              </w:rPr>
              <w:t>支持防尘、防震、防腐蚀</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 </w:t>
            </w:r>
          </w:p>
        </w:tc>
        <w:tc>
          <w:tcPr>
            <w:tcW w:w="1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bidi="ar"/>
              </w:rPr>
              <w:t>云存储硬盘(18TB*2)</w:t>
            </w:r>
          </w:p>
        </w:tc>
        <w:tc>
          <w:tcPr>
            <w:tcW w:w="4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bidi="ar"/>
              </w:rPr>
              <w:t>监控级SATA硬盘：18TB*2</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trPr>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 </w:t>
            </w:r>
          </w:p>
        </w:tc>
        <w:tc>
          <w:tcPr>
            <w:tcW w:w="1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bidi="ar"/>
              </w:rPr>
              <w:t>电池模块</w:t>
            </w:r>
          </w:p>
        </w:tc>
        <w:tc>
          <w:tcPr>
            <w:tcW w:w="4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bidi="ar"/>
              </w:rPr>
              <w:t>电池模块</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trPr>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 </w:t>
            </w:r>
          </w:p>
        </w:tc>
        <w:tc>
          <w:tcPr>
            <w:tcW w:w="1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bidi="ar"/>
              </w:rPr>
              <w:t>700W电源模块</w:t>
            </w:r>
          </w:p>
        </w:tc>
        <w:tc>
          <w:tcPr>
            <w:tcW w:w="4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bidi="ar"/>
              </w:rPr>
              <w:t>700W电源模块</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 </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线缆辅材</w:t>
            </w:r>
          </w:p>
        </w:tc>
        <w:tc>
          <w:tcPr>
            <w:tcW w:w="4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含网线、水晶头、电源线、尾纤、信号线、标签、扎带等辅材</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40" w:hRule="atLeast"/>
        </w:trPr>
        <w:tc>
          <w:tcPr>
            <w:tcW w:w="73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四、改造前端部分</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750" w:type="dxa"/>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60" w:hRule="atLeast"/>
        </w:trPr>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星光级枪机</w:t>
            </w:r>
          </w:p>
        </w:tc>
        <w:tc>
          <w:tcPr>
            <w:tcW w:w="492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 采用≥1/1.8″逐行扫描400万像素图像传感器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 具有≥1个RJ45接口、2路报警输入、1路报警输出，1路音频输入、1个TF卡插槽，1路音频输出，1路RS485接口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 焦距范围：4/6/8/12mm，定焦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 最低照度：彩色≤0.0005lx、黑白≤0.0001lx。</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 支持120dB光学宽动态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 支持H.265、H.264、MJPEG编码格式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 支持ONVIF、GB/T 28181、GA/T 1400等协议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 支持TF卡热插拔，最大支持≥256GB TF卡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 支持暖光补光灯，补光距离≥30m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 设备支持人脸检测抓拍，可支持不低于40张人脸并发检测，支持抓拍优选，自动筛选出抓拍质量最优的图片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 支持混行检测：支持机动车、非机动车、行人分类检测抓拍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 防护等级≥IP67，支持在不低于-30～60℃环境下正常工作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供电方式：DC12V(±25%)、POE；含抱杆支架，DC12V/25W电源适配器，托板和万向节</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20" w:hRule="atLeast"/>
        </w:trPr>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星光级球机</w:t>
            </w:r>
          </w:p>
        </w:tc>
        <w:tc>
          <w:tcPr>
            <w:tcW w:w="492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 采用≥1/1.8 ”逐行扫描400万像素CMOS图像传感器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 支持6-150mm电动变焦，不小于25倍光学变倍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 支持最低照度：彩色：≤0.001lx，黑白：≤0.0001lx</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 支持120dB光学宽动态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 支持接口：≥1个RJ45接口、≥1个BNC接口、≥2个报警输入接口、1个报警输出接口、≥1个RS485接口、≥1个音频输入接口、1个音频输出接口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6. 支持红外灯补光，红外补光灯可定时或自动开启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 内置1个SD插槽，支持SD卡热插拔，支持≥256GB SD卡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 支持人脸检测，越界检测、区域入侵、进入区域、离开区域，运动检测、遮挡检测、声音检测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 支持ONVIF、GB/T 28181、GA/T 1400等标准协议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 水平范围：360°，水平速度0.1°/s~240°/s；预置位速度≥240°/s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 垂直范围：-15°~90°，垂直速度：0.1°~160°/s；预置位速度≥200°/s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 支持不低于256个预置位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 供电方式：AC/DC24V±25%，支持过压过流保护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 功耗≤50W，，6KV防雷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15. 工作环境：–40°C ~ 65°C，≤95%RH（相对湿度，无冷凝）</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16. 防护等级不低于IP66</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含电源、球机安装支架（一个球机吊装杆或壁装杆 ），球机连接件</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配套线缆</w:t>
            </w:r>
          </w:p>
        </w:tc>
        <w:tc>
          <w:tcPr>
            <w:tcW w:w="4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网线STP.CAT-5e、电源线RVV2*1.5及防护套管PVC，标签、扎带等</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33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五、其他</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链路费</w:t>
            </w:r>
          </w:p>
        </w:tc>
        <w:tc>
          <w:tcPr>
            <w:tcW w:w="4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每条每月400元，每年4800元计算</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条</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IDC主机托管</w:t>
            </w:r>
          </w:p>
        </w:tc>
        <w:tc>
          <w:tcPr>
            <w:tcW w:w="4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2个4U机位</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施工集成服务</w:t>
            </w:r>
          </w:p>
        </w:tc>
        <w:tc>
          <w:tcPr>
            <w:tcW w:w="4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包含前端设备，平台设备，改成部分设备的运输、安装等</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技术集成服务</w:t>
            </w:r>
          </w:p>
        </w:tc>
        <w:tc>
          <w:tcPr>
            <w:tcW w:w="4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包含摄像机调试，一机一档数据采集，平台设备数据调测等技术服务</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bl>
    <w:p>
      <w:pPr>
        <w:rPr>
          <w:rFonts w:hint="eastAsia"/>
        </w:rPr>
      </w:pPr>
    </w:p>
    <w:p>
      <w:pPr>
        <w:pStyle w:val="2"/>
        <w:rPr>
          <w:rFonts w:hint="eastAsia"/>
        </w:rPr>
      </w:pPr>
    </w:p>
    <w:p>
      <w:pPr>
        <w:spacing w:line="360" w:lineRule="auto"/>
        <w:ind w:firstLine="480" w:firstLineChars="200"/>
        <w:rPr>
          <w:rFonts w:ascii="仿宋" w:hAnsi="仿宋" w:eastAsia="仿宋" w:cs="仿宋"/>
          <w:sz w:val="24"/>
          <w:szCs w:val="32"/>
        </w:rPr>
      </w:pPr>
      <w:r>
        <w:rPr>
          <w:rFonts w:hint="eastAsia" w:ascii="仿宋" w:hAnsi="仿宋" w:eastAsia="仿宋" w:cs="仿宋"/>
          <w:sz w:val="24"/>
          <w:szCs w:val="32"/>
        </w:rPr>
        <w:t>标项6：七道湾片区管委会项目</w:t>
      </w:r>
    </w:p>
    <w:tbl>
      <w:tblPr>
        <w:tblStyle w:val="21"/>
        <w:tblW w:w="843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08"/>
        <w:gridCol w:w="2016"/>
        <w:gridCol w:w="4309"/>
        <w:gridCol w:w="702"/>
        <w:gridCol w:w="7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设备名称</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主要性能指标</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w:t>
            </w:r>
          </w:p>
        </w:tc>
        <w:tc>
          <w:tcPr>
            <w:tcW w:w="795"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80" w:hRule="atLeast"/>
        </w:trPr>
        <w:tc>
          <w:tcPr>
            <w:tcW w:w="69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一、新建前端部分</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2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星光级枪机</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 采用≥1/1.8″逐行扫描400万像素图像传感器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 具有≥1个RJ45接口、2路报警输入、1路报警输出，1路音频输入、1个TF卡插槽，1路音频输出，1路RS485接口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 焦距范围：4/6/8/12mm，定焦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 最低照度：彩色≤0.0005lx、黑白≤0.0001lx。</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 支持120dB光学宽动态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 支持H.265、H.264、MJPEG编码格式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 支持ONVIF、GB/T 28181、GA/T 1400等协议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 支持TF卡热插拔，最大支持≥256GB TF卡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 支持暖光补光灯，补光距离≥30m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 设备支持人脸检测抓拍，可支持不低于40张人脸并发检测，支持抓拍优选，自动筛选出抓拍质量最优的图片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 支持混行检测：支持机动车、非机动车、行人分类检测抓拍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 防护等级≥IP67，支持在不低于-30～60℃环境下正常工作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供电方式：DC12V(±25%)、POE；含抱杆支架，DC12V/25W电源适配器，托板和万向节</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星光级枪机</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 采用≥1/1.8″逐行扫描400万像素图像传感器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 具有≥1个RJ45接口、2路报警输入、1路报警输出，1路音频输入、1个TF卡插槽，1路音频输出，1路RS485接口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 焦距范围：2.8～12mm，电动变焦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 最低照度：彩色≤0.0005lx、黑白≤0.0001lx。</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 支持120dB光学宽动态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 支持H.265、H.264、MJPEG编码格式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 支持ONVIF、GB/T 28181、GA/T 1400等协议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 支持TF卡热插拔，最大支持≥256GB TF卡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 支持暖光补光灯，补光距离≥30m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 设备支持人脸检测抓拍，可支持不低于40张人脸并发检测，支持抓拍优选，自动筛选出抓拍质量最优的图片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 支持混行检测：支持机动车、非机动车、行人分类检测抓拍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 防护等级≥IP67，支持在不低于-30～60℃环境下正常工作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供电方式：DC12V(±25%)、POE；含抱杆支架，DC12V/25W电源适配器，托板和万向节</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星光级球机</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 采用≥1/1.8 ”逐行扫描400万像素CMOS图像传感器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 支持6-150mm电动变焦，不小于25倍光学变倍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 支持最低照度：彩色：≤0.001lx，黑白：≤0.0001lx</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 支持120dB光学宽动态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 支持接口：≥1个RJ45接口、≥1个BNC接口、≥2个报警输入接口、1个报警输出接口、≥1个RS485接口、≥1个音频输入接口、1个音频输出接口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6. 支持红外灯补光，红外补光灯可定时或自动开启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 内置1个SD插槽，支持SD卡热插拔，支持≥256GB SD卡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 支持人脸检测，越界检测、区域入侵、进入区域、离开区域，运动检测、遮挡检测、声音检测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 支持ONVIF、GB/T 28181、GA/T 1400等标准协议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 水平范围：360°，水平速度0.1°/s~240°/s；预置位速度≥240°/s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 垂直范围：-15°~90°，垂直速度：0.1°~160°/s；预置位速度≥200°/s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 支持不低于256个预置位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 供电方式：AC/DC24V±25%，支持过压过流保护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 功耗≤50W，，6KV防雷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15. 工作环境：–40°C ~ 65°C，≤95%RH（相对湿度，无冷凝）</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16. 防护等级不低于IP66</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含电源、球机安装支架（一个球机吊装杆或壁装杆 ），球机连接件</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高空球机</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 采用≥1/1.8 ”逐行扫描400万像素CMOS图像传感器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 支持6-190mm电动变焦，不小于30倍光学变倍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 支持最低照度：彩色：≤0.001lx，黑白：≤0.0001lx</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 支持120dB光学宽动态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 支持接口：≥1个RJ45接口、≥1个BNC接口、≥2个报警输入接口、1个报警输出接口、≥1个RS485接口、≥1个音频输入接口、1个音频输出接口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6. 支持红外灯补光，红外补光灯可定时或自动开启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 内置1个SD插槽，支持SD卡热插拔，支持≥256GB SD卡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 支持人脸检测，越界检测、区域入侵、进入区域、离开区域，运动检测、遮挡检测、声音检测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 支持ONVIF、GB/T 28181、GA/T 1400等标准协议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 水平范围：360°，水平速度0.1°/s~240°/s；预置位速度≥240°/s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 垂直范围：-15°~90°，垂直速度：0.1°~160°/s；预置位速度≥200°/s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 支持不低于256个预置位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 供电方式：AC/DC24V±25%，支持过压过流保护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 功耗≤50W，，6KV防雷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15. 工作环境：–40°C ~ 65°C，≤95%RH（相对湿度，无冷凝）</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16. 防护等级不低于IP66</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含电源、球机安装支架（一个球机吊装杆或壁装杆 ），球机连接件</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监控箱</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设备箱具备防雨、防尘、通风散热、抗紫外线（耐老化）、防盗、防锈；箱体采用≥1.2mm镀锌板，箱体尺寸（含雨帽）≥430(宽)*535(高)*220(深)mm，≥380(宽)*500(高)*200(深)mm（不含雨帽）；箱体工作温度范围-40℃～85℃，工作湿度≤90%RH，工作电压范围AC75～AC280V，外壳防护等级≥IP65，机械碰撞防护等级≥IK08，盐雾测试≥120小时；箱体内部预置可移动托板；整机一体化设计，内部集成控制终端、空开、电源防雷器、5位五孔插座、1路补光灯AC220V远程可控端子、DC12V风扇、1路RS485接口、1路RS232接口、2路IO告警输出、3路干接点输入（1路预留给箱门，1路预留给防雷器）、1路DC12V和1路DC5C（预留给网络传输设备）；具有≥4路AC220V输出，支持独立每路电压、电流检测、远程控制、实时发送每路电压电流值到客户端显示，支持通过客户端实时监测设备输出是否断电，并在客户端界面提示告警；支持供电电压、电流、功率、电量监测，可通过客户端显示，当供电断开时，提示供电异常告警；可通过客户端软件显示设备的实时功率和累计用电电量和电费统计数值；具有检测过压、欠压、过流，支持过压、欠压、过流、低载联动关闭指定输出接口；支持手动开启学习接入设备的功率，在当前设备的功率基础上接入其他设备时，自动关闭供电输出，并且客户端提示非法取电告警；支持在不使用外部蓄电池情况下，通过客户端实时监测设备供电电源，并在客户端提示设备供电电源掉电告警；可通过客户端显示摄像机工作状态并设置定时/手动开启，当接入的摄像机断电或网络断开时，可通过客户端提示告警，支持≥8路外接摄像机状态检测，支持在客户端内实现外接摄像机视频图像播放；可通过WEB及客户端显示交换机工作状态，可设置定时/手动重启、重启次数和时间，当网络传输断开时，可自动进行重启网络传输设备电源；支持多路补光灯检测，能够区分补光灯白天异常亮起和晚上无法开启，支持补光灯功率自学习功能，可设置定时/手动开启电源，支持≥4个时间段的分时控制；支持箱内实时温度、湿度、防雷状态、风扇工作状态检测，支持风扇故障监测和告警，支持风扇单次运行时间统计和总运行时间统计；支持通过客户端显示箱门开关状态，可设置箱门布防撤防,超过设定时间可自动布防，布防状态下箱门开启，客户端提示告警；支持箱门打开后，联动球机转向监控箱位置录像，可配置开始球机转动时间和停留录像时长；支持通过WEB直接查看实时数据、配置IP地址、客户端地址、传输模式、进行远程固件升级,支持IP地址冲突提示、MAC地址冲突提示；支持设备一机一档信息记录，包含设备名称、编号、国标编码、安装时间、品牌、类型、安装时间、质保期、到期时间等；支持设置设备运维、网络运维、电力运维，并生成考核计费报表，支持设置考核标准、考核申诉；支持通过时间、品牌等条件对外接摄像机故障率、在线率以柱状图或折线图展示统计报表；支持自动派单和手动派单，工单记录故障产生时间、派单时间及修复时长等信息；支持设置各类告警的告警等级；支持设置不同告警的处理时效。</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配套线缆</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网线STP.CAT-5e、电源线RVV2*1.5及防护套管PVC，标签、扎带等</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2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五金配件</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螺丝、连接件、抱箍、钢丝绳、吊卡等　</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金属立杆</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直径165mm高3米/壁厚4.5mm（热镀锌，表面喷塑）</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2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金属立杆</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直径165mm高4米/壁厚4.5mm（热镀锌，表面喷塑）</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2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金属立杆</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直径165mm高5米/壁厚4.5mm（热镀锌，表面喷塑）</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金属立杆</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直径165mm高6米/壁厚4.5mm（热镀锌，表面喷塑）</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2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横臂</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直杆，1米横臂：管径89（厚4.0mm）</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横臂</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直杆，2米横臂：管径89（厚4.0mm）</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横臂</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直杆，3米横臂：管径89（厚4.0mm）</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2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横臂</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直杆，4米横臂：管径89（厚4.0mm）</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横臂</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直杆，5米横臂：管径89（厚4.0mm）</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抱箍支臂</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直杆，1米，管径65（厚3.5mm）</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抱箍支臂</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直杆，2米，管径65（厚3.5mm）</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抱箍支臂</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直杆，3米，管径65（厚3.5mm）</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抱箍支臂</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直杆，4米，管径65（厚3.5mm）</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2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制高点支架</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立杆底座</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直径165基坑尺寸1000*1000*1100（地下埋深）、含预埋件、防雷接地</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20" w:hRule="atLeast"/>
        </w:trPr>
        <w:tc>
          <w:tcPr>
            <w:tcW w:w="69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二、电力部分</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电网国家电表接入费</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包含满足国家电网接入电表等相关配套的技术服务</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利旧点位电力接入及检测费</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bidi="ar"/>
              </w:rPr>
              <w:t>点位电力接入及检测费</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新建点位电力接入及检测费</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bidi="ar"/>
              </w:rPr>
              <w:t>电力接入及检测费</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bidi="ar"/>
              </w:rPr>
              <w:t>电缆施工费用1</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bidi="ar"/>
              </w:rPr>
              <w:t>沿管道穿线含所需电源线RVV3*2.5、YJV3*4、YJV3*6施工费用</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bidi="ar"/>
              </w:rPr>
              <w:t>电缆施工费用2</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bidi="ar"/>
              </w:rPr>
              <w:t>沿墙钉固含所需电源线RVV3*2.5、YJV3*4、YJV3*6费用、PVC穿线管、卡子等材料和施费用</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bidi="ar"/>
              </w:rPr>
              <w:t>电缆施工费用3</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bidi="ar"/>
              </w:rPr>
              <w:t>道路（大理石、油路花砖等）、绿化带等开挖、回填、PE穿线管、电源线RVV3*2.5、YJV3*4、YJV3*6等施工费用</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69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二、新建平台部分</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42"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bidi="ar"/>
              </w:rPr>
              <w:t>48盘位云存储设备</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bidi="ar"/>
              </w:rPr>
              <w:t>48盘位视频监控云存储节点：单控制器</w:t>
            </w:r>
            <w:r>
              <w:rPr>
                <w:rFonts w:hint="eastAsia" w:ascii="新宋体" w:hAnsi="新宋体" w:eastAsia="新宋体" w:cs="新宋体"/>
                <w:i w:val="0"/>
                <w:iCs w:val="0"/>
                <w:color w:val="000000"/>
                <w:kern w:val="0"/>
                <w:sz w:val="20"/>
                <w:szCs w:val="20"/>
                <w:u w:val="none"/>
                <w:lang w:val="en-US" w:eastAsia="zh-CN" w:bidi="ar"/>
              </w:rPr>
              <w:br w:type="textWrapping"/>
            </w:r>
            <w:r>
              <w:rPr>
                <w:rFonts w:hint="eastAsia" w:ascii="新宋体" w:hAnsi="新宋体" w:eastAsia="新宋体" w:cs="新宋体"/>
                <w:i w:val="0"/>
                <w:iCs w:val="0"/>
                <w:color w:val="000000"/>
                <w:kern w:val="0"/>
                <w:sz w:val="20"/>
                <w:szCs w:val="20"/>
                <w:u w:val="none"/>
                <w:lang w:val="en-US" w:eastAsia="zh-CN" w:bidi="ar"/>
              </w:rPr>
              <w:t>磁盘通道数：48</w:t>
            </w:r>
            <w:r>
              <w:rPr>
                <w:rFonts w:hint="eastAsia" w:ascii="新宋体" w:hAnsi="新宋体" w:eastAsia="新宋体" w:cs="新宋体"/>
                <w:i w:val="0"/>
                <w:iCs w:val="0"/>
                <w:color w:val="000000"/>
                <w:kern w:val="0"/>
                <w:sz w:val="20"/>
                <w:szCs w:val="20"/>
                <w:u w:val="none"/>
                <w:lang w:val="en-US" w:eastAsia="zh-CN" w:bidi="ar"/>
              </w:rPr>
              <w:br w:type="textWrapping"/>
            </w:r>
            <w:r>
              <w:rPr>
                <w:rFonts w:hint="eastAsia" w:ascii="新宋体" w:hAnsi="新宋体" w:eastAsia="新宋体" w:cs="新宋体"/>
                <w:i w:val="0"/>
                <w:iCs w:val="0"/>
                <w:color w:val="000000"/>
                <w:kern w:val="0"/>
                <w:sz w:val="20"/>
                <w:szCs w:val="20"/>
                <w:u w:val="none"/>
                <w:lang w:val="en-US" w:eastAsia="zh-CN" w:bidi="ar"/>
              </w:rPr>
              <w:t>电源模块：交流电源</w:t>
            </w:r>
            <w:r>
              <w:rPr>
                <w:rFonts w:hint="eastAsia" w:ascii="新宋体" w:hAnsi="新宋体" w:eastAsia="新宋体" w:cs="新宋体"/>
                <w:i w:val="0"/>
                <w:iCs w:val="0"/>
                <w:color w:val="000000"/>
                <w:kern w:val="0"/>
                <w:sz w:val="20"/>
                <w:szCs w:val="20"/>
                <w:u w:val="none"/>
                <w:lang w:val="en-US" w:eastAsia="zh-CN" w:bidi="ar"/>
              </w:rPr>
              <w:br w:type="textWrapping"/>
            </w:r>
            <w:r>
              <w:rPr>
                <w:rFonts w:hint="eastAsia" w:ascii="新宋体" w:hAnsi="新宋体" w:eastAsia="新宋体" w:cs="新宋体"/>
                <w:i w:val="0"/>
                <w:iCs w:val="0"/>
                <w:color w:val="000000"/>
                <w:kern w:val="0"/>
                <w:sz w:val="20"/>
                <w:szCs w:val="20"/>
                <w:u w:val="none"/>
                <w:lang w:val="en-US" w:eastAsia="zh-CN" w:bidi="ar"/>
              </w:rPr>
              <w:t>网络接口：5个千兆以太网接口</w:t>
            </w:r>
            <w:r>
              <w:rPr>
                <w:rFonts w:hint="eastAsia" w:ascii="新宋体" w:hAnsi="新宋体" w:eastAsia="新宋体" w:cs="新宋体"/>
                <w:i w:val="0"/>
                <w:iCs w:val="0"/>
                <w:color w:val="000000"/>
                <w:kern w:val="0"/>
                <w:sz w:val="20"/>
                <w:szCs w:val="20"/>
                <w:u w:val="none"/>
                <w:lang w:val="en-US" w:eastAsia="zh-CN" w:bidi="ar"/>
              </w:rPr>
              <w:br w:type="textWrapping"/>
            </w:r>
            <w:r>
              <w:rPr>
                <w:rFonts w:hint="eastAsia" w:ascii="新宋体" w:hAnsi="新宋体" w:eastAsia="新宋体" w:cs="新宋体"/>
                <w:i w:val="0"/>
                <w:iCs w:val="0"/>
                <w:color w:val="000000"/>
                <w:kern w:val="0"/>
                <w:sz w:val="20"/>
                <w:szCs w:val="20"/>
                <w:u w:val="none"/>
                <w:lang w:val="en-US" w:eastAsia="zh-CN" w:bidi="ar"/>
              </w:rPr>
              <w:t>性能：512路2M块直存、51路回放</w:t>
            </w:r>
            <w:r>
              <w:rPr>
                <w:rFonts w:hint="eastAsia" w:ascii="新宋体" w:hAnsi="新宋体" w:eastAsia="新宋体" w:cs="新宋体"/>
                <w:i w:val="0"/>
                <w:iCs w:val="0"/>
                <w:color w:val="000000"/>
                <w:kern w:val="0"/>
                <w:sz w:val="20"/>
                <w:szCs w:val="20"/>
                <w:u w:val="none"/>
                <w:lang w:val="en-US" w:eastAsia="zh-CN" w:bidi="ar"/>
              </w:rPr>
              <w:br w:type="textWrapping"/>
            </w:r>
            <w:r>
              <w:rPr>
                <w:rFonts w:hint="eastAsia" w:ascii="新宋体" w:hAnsi="新宋体" w:eastAsia="新宋体" w:cs="新宋体"/>
                <w:i w:val="0"/>
                <w:iCs w:val="0"/>
                <w:color w:val="000000"/>
                <w:kern w:val="0"/>
                <w:sz w:val="20"/>
                <w:szCs w:val="20"/>
                <w:u w:val="none"/>
                <w:lang w:val="en-US" w:eastAsia="zh-CN" w:bidi="ar"/>
              </w:rPr>
              <w:t>384路2M流直存，38路回放</w:t>
            </w:r>
            <w:r>
              <w:rPr>
                <w:rFonts w:hint="eastAsia" w:ascii="新宋体" w:hAnsi="新宋体" w:eastAsia="新宋体" w:cs="新宋体"/>
                <w:i w:val="0"/>
                <w:iCs w:val="0"/>
                <w:color w:val="000000"/>
                <w:kern w:val="0"/>
                <w:sz w:val="20"/>
                <w:szCs w:val="20"/>
                <w:u w:val="none"/>
                <w:lang w:val="en-US" w:eastAsia="zh-CN" w:bidi="ar"/>
              </w:rPr>
              <w:br w:type="textWrapping"/>
            </w:r>
            <w:r>
              <w:rPr>
                <w:rFonts w:hint="eastAsia" w:ascii="新宋体" w:hAnsi="新宋体" w:eastAsia="新宋体" w:cs="新宋体"/>
                <w:i w:val="0"/>
                <w:iCs w:val="0"/>
                <w:color w:val="000000"/>
                <w:kern w:val="0"/>
                <w:sz w:val="20"/>
                <w:szCs w:val="20"/>
                <w:u w:val="none"/>
                <w:lang w:val="en-US" w:eastAsia="zh-CN" w:bidi="ar"/>
              </w:rPr>
              <w:t xml:space="preserve"> 支持提供存储虚拟化管理功能，将所有存储节点空间合并成一个存储虚拟池，对外提供海量存储空间管理</w:t>
            </w:r>
            <w:r>
              <w:rPr>
                <w:rFonts w:hint="eastAsia" w:ascii="新宋体" w:hAnsi="新宋体" w:eastAsia="新宋体" w:cs="新宋体"/>
                <w:i w:val="0"/>
                <w:iCs w:val="0"/>
                <w:color w:val="000000"/>
                <w:kern w:val="0"/>
                <w:sz w:val="20"/>
                <w:szCs w:val="20"/>
                <w:u w:val="none"/>
                <w:lang w:val="en-US" w:eastAsia="zh-CN" w:bidi="ar"/>
              </w:rPr>
              <w:br w:type="textWrapping"/>
            </w:r>
            <w:r>
              <w:rPr>
                <w:rFonts w:hint="eastAsia" w:ascii="新宋体" w:hAnsi="新宋体" w:eastAsia="新宋体" w:cs="新宋体"/>
                <w:i w:val="0"/>
                <w:iCs w:val="0"/>
                <w:color w:val="000000"/>
                <w:kern w:val="0"/>
                <w:sz w:val="20"/>
                <w:szCs w:val="20"/>
                <w:u w:val="none"/>
                <w:lang w:val="en-US" w:eastAsia="zh-CN" w:bidi="ar"/>
              </w:rPr>
              <w:t>支持PCIe插槽、支持千兆GE接口卡和万兆10GE接口卡、Mini SAS HD卡(SAS 3.0)</w:t>
            </w:r>
            <w:r>
              <w:rPr>
                <w:rFonts w:hint="eastAsia" w:ascii="新宋体" w:hAnsi="新宋体" w:eastAsia="新宋体" w:cs="新宋体"/>
                <w:i w:val="0"/>
                <w:iCs w:val="0"/>
                <w:color w:val="000000"/>
                <w:kern w:val="0"/>
                <w:sz w:val="20"/>
                <w:szCs w:val="20"/>
                <w:u w:val="none"/>
                <w:lang w:val="en-US" w:eastAsia="zh-CN" w:bidi="ar"/>
              </w:rPr>
              <w:br w:type="textWrapping"/>
            </w:r>
            <w:r>
              <w:rPr>
                <w:rFonts w:hint="eastAsia" w:ascii="新宋体" w:hAnsi="新宋体" w:eastAsia="新宋体" w:cs="新宋体"/>
                <w:i w:val="0"/>
                <w:iCs w:val="0"/>
                <w:color w:val="000000"/>
                <w:kern w:val="0"/>
                <w:sz w:val="20"/>
                <w:szCs w:val="20"/>
                <w:u w:val="none"/>
                <w:lang w:val="en-US" w:eastAsia="zh-CN" w:bidi="ar"/>
              </w:rPr>
              <w:t>支持网络端口链路聚合、负载均衡</w:t>
            </w:r>
            <w:r>
              <w:rPr>
                <w:rFonts w:hint="eastAsia" w:ascii="新宋体" w:hAnsi="新宋体" w:eastAsia="新宋体" w:cs="新宋体"/>
                <w:i w:val="0"/>
                <w:iCs w:val="0"/>
                <w:color w:val="000000"/>
                <w:kern w:val="0"/>
                <w:sz w:val="20"/>
                <w:szCs w:val="20"/>
                <w:u w:val="none"/>
                <w:lang w:val="en-US" w:eastAsia="zh-CN" w:bidi="ar"/>
              </w:rPr>
              <w:br w:type="textWrapping"/>
            </w:r>
            <w:r>
              <w:rPr>
                <w:rFonts w:hint="eastAsia" w:ascii="新宋体" w:hAnsi="新宋体" w:eastAsia="新宋体" w:cs="新宋体"/>
                <w:i w:val="0"/>
                <w:iCs w:val="0"/>
                <w:color w:val="000000"/>
                <w:kern w:val="0"/>
                <w:sz w:val="20"/>
                <w:szCs w:val="20"/>
                <w:u w:val="none"/>
                <w:lang w:val="en-US" w:eastAsia="zh-CN" w:bidi="ar"/>
              </w:rPr>
              <w:t>支持标准ONVIF、GB/T28181等标准前端接入</w:t>
            </w:r>
            <w:r>
              <w:rPr>
                <w:rFonts w:hint="eastAsia" w:ascii="新宋体" w:hAnsi="新宋体" w:eastAsia="新宋体" w:cs="新宋体"/>
                <w:i w:val="0"/>
                <w:iCs w:val="0"/>
                <w:color w:val="000000"/>
                <w:kern w:val="0"/>
                <w:sz w:val="20"/>
                <w:szCs w:val="20"/>
                <w:u w:val="none"/>
                <w:lang w:val="en-US" w:eastAsia="zh-CN" w:bidi="ar"/>
              </w:rPr>
              <w:br w:type="textWrapping"/>
            </w:r>
            <w:r>
              <w:rPr>
                <w:rFonts w:hint="eastAsia" w:ascii="新宋体" w:hAnsi="新宋体" w:eastAsia="新宋体" w:cs="新宋体"/>
                <w:i w:val="0"/>
                <w:iCs w:val="0"/>
                <w:color w:val="000000"/>
                <w:kern w:val="0"/>
                <w:sz w:val="20"/>
                <w:szCs w:val="20"/>
                <w:u w:val="none"/>
                <w:lang w:val="en-US" w:eastAsia="zh-CN" w:bidi="ar"/>
              </w:rPr>
              <w:t>支持视频智能结构化数据存储</w:t>
            </w:r>
            <w:r>
              <w:rPr>
                <w:rFonts w:hint="eastAsia" w:ascii="新宋体" w:hAnsi="新宋体" w:eastAsia="新宋体" w:cs="新宋体"/>
                <w:i w:val="0"/>
                <w:iCs w:val="0"/>
                <w:color w:val="000000"/>
                <w:kern w:val="0"/>
                <w:sz w:val="20"/>
                <w:szCs w:val="20"/>
                <w:u w:val="none"/>
                <w:lang w:val="en-US" w:eastAsia="zh-CN" w:bidi="ar"/>
              </w:rPr>
              <w:br w:type="textWrapping"/>
            </w:r>
            <w:r>
              <w:rPr>
                <w:rFonts w:hint="eastAsia" w:ascii="新宋体" w:hAnsi="新宋体" w:eastAsia="新宋体" w:cs="新宋体"/>
                <w:i w:val="0"/>
                <w:iCs w:val="0"/>
                <w:color w:val="000000"/>
                <w:kern w:val="0"/>
                <w:sz w:val="20"/>
                <w:szCs w:val="20"/>
                <w:u w:val="none"/>
                <w:lang w:val="en-US" w:eastAsia="zh-CN" w:bidi="ar"/>
              </w:rPr>
              <w:t>支持裸数据块直存方式，无文件系统碎片，海量小文件存储性能无衰减</w:t>
            </w:r>
            <w:r>
              <w:rPr>
                <w:rFonts w:hint="eastAsia" w:ascii="新宋体" w:hAnsi="新宋体" w:eastAsia="新宋体" w:cs="新宋体"/>
                <w:i w:val="0"/>
                <w:iCs w:val="0"/>
                <w:color w:val="000000"/>
                <w:kern w:val="0"/>
                <w:sz w:val="20"/>
                <w:szCs w:val="20"/>
                <w:u w:val="none"/>
                <w:lang w:val="en-US" w:eastAsia="zh-CN" w:bidi="ar"/>
              </w:rPr>
              <w:br w:type="textWrapping"/>
            </w:r>
            <w:r>
              <w:rPr>
                <w:rFonts w:hint="eastAsia" w:ascii="新宋体" w:hAnsi="新宋体" w:eastAsia="新宋体" w:cs="新宋体"/>
                <w:i w:val="0"/>
                <w:iCs w:val="0"/>
                <w:color w:val="000000"/>
                <w:kern w:val="0"/>
                <w:sz w:val="20"/>
                <w:szCs w:val="20"/>
                <w:u w:val="none"/>
                <w:lang w:val="en-US" w:eastAsia="zh-CN" w:bidi="ar"/>
              </w:rPr>
              <w:t>支持数据离散，并发读写，支持视频秒级检索及回放，视频、图片极速下载</w:t>
            </w:r>
            <w:r>
              <w:rPr>
                <w:rFonts w:hint="eastAsia" w:ascii="新宋体" w:hAnsi="新宋体" w:eastAsia="新宋体" w:cs="新宋体"/>
                <w:i w:val="0"/>
                <w:iCs w:val="0"/>
                <w:color w:val="000000"/>
                <w:kern w:val="0"/>
                <w:sz w:val="20"/>
                <w:szCs w:val="20"/>
                <w:u w:val="none"/>
                <w:lang w:val="en-US" w:eastAsia="zh-CN" w:bidi="ar"/>
              </w:rPr>
              <w:br w:type="textWrapping"/>
            </w:r>
            <w:r>
              <w:rPr>
                <w:rFonts w:hint="eastAsia" w:ascii="新宋体" w:hAnsi="新宋体" w:eastAsia="新宋体" w:cs="新宋体"/>
                <w:i w:val="0"/>
                <w:iCs w:val="0"/>
                <w:color w:val="000000"/>
                <w:kern w:val="0"/>
                <w:sz w:val="20"/>
                <w:szCs w:val="20"/>
                <w:u w:val="none"/>
                <w:lang w:val="en-US" w:eastAsia="zh-CN" w:bidi="ar"/>
              </w:rPr>
              <w:t>支持云节点负载均衡、故障切换，解决单节点性能瓶颈问题及单节点故障问题，保证业务连续性</w:t>
            </w:r>
            <w:r>
              <w:rPr>
                <w:rFonts w:hint="eastAsia" w:ascii="新宋体" w:hAnsi="新宋体" w:eastAsia="新宋体" w:cs="新宋体"/>
                <w:i w:val="0"/>
                <w:iCs w:val="0"/>
                <w:color w:val="000000"/>
                <w:kern w:val="0"/>
                <w:sz w:val="20"/>
                <w:szCs w:val="20"/>
                <w:u w:val="none"/>
                <w:lang w:val="en-US" w:eastAsia="zh-CN" w:bidi="ar"/>
              </w:rPr>
              <w:br w:type="textWrapping"/>
            </w:r>
            <w:r>
              <w:rPr>
                <w:rFonts w:hint="eastAsia" w:ascii="新宋体" w:hAnsi="新宋体" w:eastAsia="新宋体" w:cs="新宋体"/>
                <w:i w:val="0"/>
                <w:iCs w:val="0"/>
                <w:color w:val="000000"/>
                <w:kern w:val="0"/>
                <w:sz w:val="20"/>
                <w:szCs w:val="20"/>
                <w:u w:val="none"/>
                <w:lang w:val="en-US" w:eastAsia="zh-CN" w:bidi="ar"/>
              </w:rPr>
              <w:t>支持云备份功能，实现云内数据备份和云间备份</w:t>
            </w:r>
            <w:r>
              <w:rPr>
                <w:rFonts w:hint="eastAsia" w:ascii="新宋体" w:hAnsi="新宋体" w:eastAsia="新宋体" w:cs="新宋体"/>
                <w:i w:val="0"/>
                <w:iCs w:val="0"/>
                <w:color w:val="000000"/>
                <w:kern w:val="0"/>
                <w:sz w:val="20"/>
                <w:szCs w:val="20"/>
                <w:u w:val="none"/>
                <w:lang w:val="en-US" w:eastAsia="zh-CN" w:bidi="ar"/>
              </w:rPr>
              <w:br w:type="textWrapping"/>
            </w:r>
            <w:r>
              <w:rPr>
                <w:rFonts w:hint="eastAsia" w:ascii="新宋体" w:hAnsi="新宋体" w:eastAsia="新宋体" w:cs="新宋体"/>
                <w:i w:val="0"/>
                <w:iCs w:val="0"/>
                <w:color w:val="000000"/>
                <w:kern w:val="0"/>
                <w:sz w:val="20"/>
                <w:szCs w:val="20"/>
                <w:u w:val="none"/>
                <w:lang w:val="en-US" w:eastAsia="zh-CN" w:bidi="ar"/>
              </w:rPr>
              <w:t>支持冗余电源，风扇，电池，支持磁盘、电源、风扇、电池的热插拔和在线更换</w:t>
            </w:r>
            <w:r>
              <w:rPr>
                <w:rFonts w:hint="eastAsia" w:ascii="新宋体" w:hAnsi="新宋体" w:eastAsia="新宋体" w:cs="新宋体"/>
                <w:i w:val="0"/>
                <w:iCs w:val="0"/>
                <w:color w:val="000000"/>
                <w:kern w:val="0"/>
                <w:sz w:val="20"/>
                <w:szCs w:val="20"/>
                <w:u w:val="none"/>
                <w:lang w:val="en-US" w:eastAsia="zh-CN" w:bidi="ar"/>
              </w:rPr>
              <w:br w:type="textWrapping"/>
            </w:r>
            <w:r>
              <w:rPr>
                <w:rFonts w:hint="eastAsia" w:ascii="新宋体" w:hAnsi="新宋体" w:eastAsia="新宋体" w:cs="新宋体"/>
                <w:i w:val="0"/>
                <w:iCs w:val="0"/>
                <w:color w:val="000000"/>
                <w:kern w:val="0"/>
                <w:sz w:val="20"/>
                <w:szCs w:val="20"/>
                <w:u w:val="none"/>
                <w:lang w:val="en-US" w:eastAsia="zh-CN" w:bidi="ar"/>
              </w:rPr>
              <w:t>支持数码管、指示灯、蜂鸣器告警、邮件告警、SNMP Trap、短信等告警方式对故障进行告警</w:t>
            </w:r>
            <w:r>
              <w:rPr>
                <w:rFonts w:hint="eastAsia" w:ascii="新宋体" w:hAnsi="新宋体" w:eastAsia="新宋体" w:cs="新宋体"/>
                <w:i w:val="0"/>
                <w:iCs w:val="0"/>
                <w:color w:val="000000"/>
                <w:kern w:val="0"/>
                <w:sz w:val="20"/>
                <w:szCs w:val="20"/>
                <w:u w:val="none"/>
                <w:lang w:val="en-US" w:eastAsia="zh-CN" w:bidi="ar"/>
              </w:rPr>
              <w:br w:type="textWrapping"/>
            </w:r>
            <w:r>
              <w:rPr>
                <w:rFonts w:hint="eastAsia" w:ascii="新宋体" w:hAnsi="新宋体" w:eastAsia="新宋体" w:cs="新宋体"/>
                <w:i w:val="0"/>
                <w:iCs w:val="0"/>
                <w:color w:val="000000"/>
                <w:kern w:val="0"/>
                <w:sz w:val="20"/>
                <w:szCs w:val="20"/>
                <w:u w:val="none"/>
                <w:lang w:val="en-US" w:eastAsia="zh-CN" w:bidi="ar"/>
              </w:rPr>
              <w:t>支持IP冲突告警、网口降速、电源故障、风扇故障、电池电量不足、电池故障等告警</w:t>
            </w:r>
            <w:r>
              <w:rPr>
                <w:rFonts w:hint="eastAsia" w:ascii="新宋体" w:hAnsi="新宋体" w:eastAsia="新宋体" w:cs="新宋体"/>
                <w:i w:val="0"/>
                <w:iCs w:val="0"/>
                <w:color w:val="000000"/>
                <w:kern w:val="0"/>
                <w:sz w:val="20"/>
                <w:szCs w:val="20"/>
                <w:u w:val="none"/>
                <w:lang w:val="en-US" w:eastAsia="zh-CN" w:bidi="ar"/>
              </w:rPr>
              <w:br w:type="textWrapping"/>
            </w:r>
            <w:r>
              <w:rPr>
                <w:rFonts w:hint="eastAsia" w:ascii="新宋体" w:hAnsi="新宋体" w:eastAsia="新宋体" w:cs="新宋体"/>
                <w:i w:val="0"/>
                <w:iCs w:val="0"/>
                <w:color w:val="000000"/>
                <w:kern w:val="0"/>
                <w:sz w:val="20"/>
                <w:szCs w:val="20"/>
                <w:u w:val="none"/>
                <w:lang w:val="en-US" w:eastAsia="zh-CN" w:bidi="ar"/>
              </w:rPr>
              <w:t>支持数据保险箱（掉电数据永久保护）</w:t>
            </w:r>
            <w:r>
              <w:rPr>
                <w:rFonts w:hint="eastAsia" w:ascii="新宋体" w:hAnsi="新宋体" w:eastAsia="新宋体" w:cs="新宋体"/>
                <w:i w:val="0"/>
                <w:iCs w:val="0"/>
                <w:color w:val="000000"/>
                <w:kern w:val="0"/>
                <w:sz w:val="20"/>
                <w:szCs w:val="20"/>
                <w:u w:val="none"/>
                <w:lang w:val="en-US" w:eastAsia="zh-CN" w:bidi="ar"/>
              </w:rPr>
              <w:br w:type="textWrapping"/>
            </w:r>
            <w:r>
              <w:rPr>
                <w:rFonts w:hint="eastAsia" w:ascii="新宋体" w:hAnsi="新宋体" w:eastAsia="新宋体" w:cs="新宋体"/>
                <w:i w:val="0"/>
                <w:iCs w:val="0"/>
                <w:color w:val="000000"/>
                <w:kern w:val="0"/>
                <w:sz w:val="20"/>
                <w:szCs w:val="20"/>
                <w:u w:val="none"/>
                <w:lang w:val="en-US" w:eastAsia="zh-CN" w:bidi="ar"/>
              </w:rPr>
              <w:t>支持JBOD、RAID 0、1、5、6、10、50，RAID阵列可即建即用</w:t>
            </w:r>
            <w:r>
              <w:rPr>
                <w:rFonts w:hint="eastAsia" w:ascii="新宋体" w:hAnsi="新宋体" w:eastAsia="新宋体" w:cs="新宋体"/>
                <w:i w:val="0"/>
                <w:iCs w:val="0"/>
                <w:color w:val="000000"/>
                <w:kern w:val="0"/>
                <w:sz w:val="20"/>
                <w:szCs w:val="20"/>
                <w:u w:val="none"/>
                <w:lang w:val="en-US" w:eastAsia="zh-CN" w:bidi="ar"/>
              </w:rPr>
              <w:br w:type="textWrapping"/>
            </w:r>
            <w:r>
              <w:rPr>
                <w:rFonts w:hint="eastAsia" w:ascii="新宋体" w:hAnsi="新宋体" w:eastAsia="新宋体" w:cs="新宋体"/>
                <w:i w:val="0"/>
                <w:iCs w:val="0"/>
                <w:color w:val="000000"/>
                <w:kern w:val="0"/>
                <w:sz w:val="20"/>
                <w:szCs w:val="20"/>
                <w:u w:val="none"/>
                <w:lang w:val="en-US" w:eastAsia="zh-CN" w:bidi="ar"/>
              </w:rPr>
              <w:t>支持SATA、SSD盘</w:t>
            </w:r>
            <w:r>
              <w:rPr>
                <w:rFonts w:hint="eastAsia" w:ascii="新宋体" w:hAnsi="新宋体" w:eastAsia="新宋体" w:cs="新宋体"/>
                <w:i w:val="0"/>
                <w:iCs w:val="0"/>
                <w:color w:val="000000"/>
                <w:kern w:val="0"/>
                <w:sz w:val="20"/>
                <w:szCs w:val="20"/>
                <w:u w:val="none"/>
                <w:lang w:val="en-US" w:eastAsia="zh-CN" w:bidi="ar"/>
              </w:rPr>
              <w:br w:type="textWrapping"/>
            </w:r>
            <w:r>
              <w:rPr>
                <w:rFonts w:hint="eastAsia" w:ascii="新宋体" w:hAnsi="新宋体" w:eastAsia="新宋体" w:cs="新宋体"/>
                <w:i w:val="0"/>
                <w:iCs w:val="0"/>
                <w:color w:val="000000"/>
                <w:kern w:val="0"/>
                <w:sz w:val="20"/>
                <w:szCs w:val="20"/>
                <w:u w:val="none"/>
                <w:lang w:val="en-US" w:eastAsia="zh-CN" w:bidi="ar"/>
              </w:rPr>
              <w:t>支持自动空白盘全局热备、专有热备</w:t>
            </w:r>
            <w:r>
              <w:rPr>
                <w:rFonts w:hint="eastAsia" w:ascii="新宋体" w:hAnsi="新宋体" w:eastAsia="新宋体" w:cs="新宋体"/>
                <w:i w:val="0"/>
                <w:iCs w:val="0"/>
                <w:color w:val="000000"/>
                <w:kern w:val="0"/>
                <w:sz w:val="20"/>
                <w:szCs w:val="20"/>
                <w:u w:val="none"/>
                <w:lang w:val="en-US" w:eastAsia="zh-CN" w:bidi="ar"/>
              </w:rPr>
              <w:br w:type="textWrapping"/>
            </w:r>
            <w:r>
              <w:rPr>
                <w:rFonts w:hint="eastAsia" w:ascii="新宋体" w:hAnsi="新宋体" w:eastAsia="新宋体" w:cs="新宋体"/>
                <w:i w:val="0"/>
                <w:iCs w:val="0"/>
                <w:color w:val="000000"/>
                <w:kern w:val="0"/>
                <w:sz w:val="20"/>
                <w:szCs w:val="20"/>
                <w:u w:val="none"/>
                <w:lang w:val="en-US" w:eastAsia="zh-CN" w:bidi="ar"/>
              </w:rPr>
              <w:t>支持RAID阵列磁盘进行定位，RAID阵列自动巡检</w:t>
            </w:r>
            <w:r>
              <w:rPr>
                <w:rFonts w:hint="eastAsia" w:ascii="新宋体" w:hAnsi="新宋体" w:eastAsia="新宋体" w:cs="新宋体"/>
                <w:i w:val="0"/>
                <w:iCs w:val="0"/>
                <w:color w:val="000000"/>
                <w:kern w:val="0"/>
                <w:sz w:val="20"/>
                <w:szCs w:val="20"/>
                <w:u w:val="none"/>
                <w:lang w:val="en-US" w:eastAsia="zh-CN" w:bidi="ar"/>
              </w:rPr>
              <w:br w:type="textWrapping"/>
            </w:r>
            <w:r>
              <w:rPr>
                <w:rFonts w:hint="eastAsia" w:ascii="新宋体" w:hAnsi="新宋体" w:eastAsia="新宋体" w:cs="新宋体"/>
                <w:i w:val="0"/>
                <w:iCs w:val="0"/>
                <w:color w:val="000000"/>
                <w:kern w:val="0"/>
                <w:sz w:val="20"/>
                <w:szCs w:val="20"/>
                <w:u w:val="none"/>
                <w:lang w:val="en-US" w:eastAsia="zh-CN" w:bidi="ar"/>
              </w:rPr>
              <w:t>支持RAID阵列重构重建、无感知重建、SMART检测预拷贝，RAID阵列可自动动态调整重建速度、重建/同步优先级</w:t>
            </w:r>
            <w:r>
              <w:rPr>
                <w:rFonts w:hint="eastAsia" w:ascii="新宋体" w:hAnsi="新宋体" w:eastAsia="新宋体" w:cs="新宋体"/>
                <w:i w:val="0"/>
                <w:iCs w:val="0"/>
                <w:color w:val="000000"/>
                <w:kern w:val="0"/>
                <w:sz w:val="20"/>
                <w:szCs w:val="20"/>
                <w:u w:val="none"/>
                <w:lang w:val="en-US" w:eastAsia="zh-CN" w:bidi="ar"/>
              </w:rPr>
              <w:br w:type="textWrapping"/>
            </w:r>
            <w:r>
              <w:rPr>
                <w:rFonts w:hint="eastAsia" w:ascii="新宋体" w:hAnsi="新宋体" w:eastAsia="新宋体" w:cs="新宋体"/>
                <w:i w:val="0"/>
                <w:iCs w:val="0"/>
                <w:color w:val="000000"/>
                <w:kern w:val="0"/>
                <w:sz w:val="20"/>
                <w:szCs w:val="20"/>
                <w:u w:val="none"/>
                <w:lang w:val="en-US" w:eastAsia="zh-CN" w:bidi="ar"/>
              </w:rPr>
              <w:t>支持RAID阵列磁盘坏块替换、多错误容忍、磁盘错误修复</w:t>
            </w:r>
            <w:r>
              <w:rPr>
                <w:rFonts w:hint="eastAsia" w:ascii="新宋体" w:hAnsi="新宋体" w:eastAsia="新宋体" w:cs="新宋体"/>
                <w:i w:val="0"/>
                <w:iCs w:val="0"/>
                <w:color w:val="000000"/>
                <w:kern w:val="0"/>
                <w:sz w:val="20"/>
                <w:szCs w:val="20"/>
                <w:u w:val="none"/>
                <w:lang w:val="en-US" w:eastAsia="zh-CN" w:bidi="ar"/>
              </w:rPr>
              <w:br w:type="textWrapping"/>
            </w:r>
            <w:r>
              <w:rPr>
                <w:rFonts w:hint="eastAsia" w:ascii="新宋体" w:hAnsi="新宋体" w:eastAsia="新宋体" w:cs="新宋体"/>
                <w:i w:val="0"/>
                <w:iCs w:val="0"/>
                <w:color w:val="000000"/>
                <w:kern w:val="0"/>
                <w:sz w:val="20"/>
                <w:szCs w:val="20"/>
                <w:u w:val="none"/>
                <w:lang w:val="en-US" w:eastAsia="zh-CN" w:bidi="ar"/>
              </w:rPr>
              <w:t>支持硬件过载保护机制</w:t>
            </w:r>
            <w:r>
              <w:rPr>
                <w:rFonts w:hint="eastAsia" w:ascii="新宋体" w:hAnsi="新宋体" w:eastAsia="新宋体" w:cs="新宋体"/>
                <w:i w:val="0"/>
                <w:iCs w:val="0"/>
                <w:color w:val="000000"/>
                <w:kern w:val="0"/>
                <w:sz w:val="20"/>
                <w:szCs w:val="20"/>
                <w:u w:val="none"/>
                <w:lang w:val="en-US" w:eastAsia="zh-CN" w:bidi="ar"/>
              </w:rPr>
              <w:br w:type="textWrapping"/>
            </w:r>
            <w:r>
              <w:rPr>
                <w:rFonts w:hint="eastAsia" w:ascii="新宋体" w:hAnsi="新宋体" w:eastAsia="新宋体" w:cs="新宋体"/>
                <w:i w:val="0"/>
                <w:iCs w:val="0"/>
                <w:color w:val="000000"/>
                <w:kern w:val="0"/>
                <w:sz w:val="20"/>
                <w:szCs w:val="20"/>
                <w:u w:val="none"/>
                <w:lang w:val="en-US" w:eastAsia="zh-CN" w:bidi="ar"/>
              </w:rPr>
              <w:t>支持风扇多级调速技术</w:t>
            </w:r>
            <w:r>
              <w:rPr>
                <w:rFonts w:hint="eastAsia" w:ascii="新宋体" w:hAnsi="新宋体" w:eastAsia="新宋体" w:cs="新宋体"/>
                <w:i w:val="0"/>
                <w:iCs w:val="0"/>
                <w:color w:val="000000"/>
                <w:kern w:val="0"/>
                <w:sz w:val="20"/>
                <w:szCs w:val="20"/>
                <w:u w:val="none"/>
                <w:lang w:val="en-US" w:eastAsia="zh-CN" w:bidi="ar"/>
              </w:rPr>
              <w:br w:type="textWrapping"/>
            </w:r>
            <w:r>
              <w:rPr>
                <w:rFonts w:hint="eastAsia" w:ascii="新宋体" w:hAnsi="新宋体" w:eastAsia="新宋体" w:cs="新宋体"/>
                <w:i w:val="0"/>
                <w:iCs w:val="0"/>
                <w:color w:val="000000"/>
                <w:kern w:val="0"/>
                <w:sz w:val="20"/>
                <w:szCs w:val="20"/>
                <w:u w:val="none"/>
                <w:lang w:val="en-US" w:eastAsia="zh-CN" w:bidi="ar"/>
              </w:rPr>
              <w:t>支持防尘、防震、防腐蚀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bidi="ar"/>
              </w:rPr>
              <w:t>云存储硬盘(18TB*2)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bidi="ar"/>
              </w:rPr>
              <w:t>监控级SATA硬盘：18TB*2</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42"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bidi="ar"/>
              </w:rPr>
              <w:t>电池模块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bidi="ar"/>
              </w:rPr>
              <w:t>电池模块</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bidi="ar"/>
              </w:rPr>
              <w:t>700W电源模块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bidi="ar"/>
              </w:rPr>
              <w:t>700W电源模块</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 </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线缆辅材</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含网线、水晶头、电源线、尾纤、信号线、标签、扎带等辅材</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69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三、改造前端部分</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8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星光级枪机</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 采用≥1/1.8″逐行扫描400万像素图像传感器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 具有≥1个RJ45接口、2路报警输入、1路报警输出，1路音频输入、1个TF卡插槽，1路音频输出，1路RS485接口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 焦距范围：4/6/8/12mm，定焦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 最低照度：彩色≤0.0005lx、黑白≤0.0001lx。</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 支持120dB光学宽动态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 支持H.265、H.264、MJPEG编码格式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 支持ONVIF、GB/T 28181、GA/T 1400等协议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 支持TF卡热插拔，最大支持≥256GB TF卡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 支持暖光补光灯，补光距离≥30m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 设备支持人脸检测抓拍，可支持不低于40张人脸并发检测，支持抓拍优选，自动筛选出抓拍质量最优的图片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 支持混行检测：支持机动车、非机动车、行人分类检测抓拍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 防护等级≥IP67，支持在不低于-30～60℃环境下正常工作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供电方式：DC12V(±25%)、POE；含抱杆支架，DC12V/25W电源适配器，托板和万向节</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星光级枪机</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 采用≥1/1.8″逐行扫描400万像素图像传感器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 具有≥1个RJ45接口、2路报警输入、1路报警输出，1路音频输入、1个TF卡插槽，1路音频输出，1路RS485接口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 焦距范围：2.8～12mm，电动变焦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 最低照度：彩色≤0.0005lx、黑白≤0.0001lx。</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 支持120dB光学宽动态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 支持H.265、H.264、MJPEG编码格式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 支持ONVIF、GB/T 28181、GA/T 1400等协议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 支持TF卡热插拔，最大支持≥256GB TF卡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 支持暖光补光灯，补光距离≥30m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 设备支持人脸检测抓拍，可支持不低于40张人脸并发检测，支持抓拍优选，自动筛选出抓拍质量最优的图片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 支持混行检测：支持机动车、非机动车、行人分类检测抓拍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 防护等级≥IP67，支持在不低于-30～60℃环境下正常工作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供电方式：DC12V(±25%)、POE；含抱杆支架，DC12V/25W电源适配器，托板和万向节</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星光级球机</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 采用≥1/1.8 ”逐行扫描400万像素CMOS图像传感器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 支持6-150mm电动变焦，不小于25倍光学变倍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 支持最低照度：彩色：≤0.001lx，黑白：≤0.0001lx</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 支持120dB光学宽动态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 支持接口：≥1个RJ45接口、≥1个BNC接口、≥2个报警输入接口、1个报警输出接口、≥1个RS485接口、≥1个音频输入接口、1个音频输出接口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6. 支持红外灯补光，红外补光灯可定时或自动开启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 内置1个SD插槽，支持SD卡热插拔，支持≥256GB SD卡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 支持人脸检测，越界检测、区域入侵、进入区域、离开区域，运动检测、遮挡检测、声音检测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 支持ONVIF、GB/T 28181、GA/T 1400等标准协议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 水平范围：360°，水平速度0.1°/s~240°/s；预置位速度≥240°/s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 垂直范围：-15°~90°，垂直速度：0.1°~160°/s；预置位速度≥200°/s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 支持不低于256个预置位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 供电方式：AC/DC24V±25%，支持过压过流保护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 功耗≤50W，，6KV防雷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15. 工作环境：–40°C ~ 65°C，≤95%RH（相对湿度，无冷凝）</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16. 防护等级不低于IP66</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含电源、球机安装支架（一个球机吊装杆或壁装杆 ），球机连接件</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8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配套线缆</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网线STP.CAT-5e、电源线RVV2*1.5及防护套管PVC，标签、扎带等</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4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五、其他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4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链路费</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每条每月400元，每年4800元计算</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条</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IDC主机托管</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3个4U机位</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施工集成服务</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包含前端设备，平台设备，改成部分设备的运输、安装等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技术集成服务</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包含摄像机调试，一机一档数据采集，平台设备数据调测等技术服务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bl>
    <w:p>
      <w:pPr>
        <w:pStyle w:val="2"/>
        <w:rPr>
          <w:rFonts w:hint="eastAsia"/>
        </w:rPr>
      </w:pPr>
    </w:p>
    <w:p>
      <w:pPr>
        <w:spacing w:line="360" w:lineRule="auto"/>
        <w:ind w:firstLine="480" w:firstLineChars="200"/>
        <w:rPr>
          <w:rFonts w:hint="eastAsia"/>
        </w:rPr>
      </w:pPr>
      <w:r>
        <w:rPr>
          <w:rFonts w:hint="eastAsia" w:ascii="仿宋" w:hAnsi="仿宋" w:eastAsia="仿宋" w:cs="仿宋"/>
          <w:sz w:val="24"/>
          <w:szCs w:val="32"/>
        </w:rPr>
        <w:t>标项7：</w:t>
      </w:r>
      <w:r>
        <w:rPr>
          <w:rFonts w:hint="eastAsia" w:ascii="仿宋" w:hAnsi="仿宋" w:eastAsia="仿宋" w:cs="仿宋"/>
          <w:sz w:val="24"/>
          <w:szCs w:val="32"/>
          <w:lang w:eastAsia="zh-Hans"/>
        </w:rPr>
        <w:t>河马泉片区管委会</w:t>
      </w:r>
      <w:r>
        <w:rPr>
          <w:rFonts w:hint="eastAsia" w:ascii="仿宋" w:hAnsi="仿宋" w:eastAsia="仿宋" w:cs="仿宋"/>
          <w:sz w:val="24"/>
          <w:szCs w:val="32"/>
        </w:rPr>
        <w:t>项目</w:t>
      </w:r>
    </w:p>
    <w:p>
      <w:pPr>
        <w:rPr>
          <w:rFonts w:hint="eastAsia"/>
        </w:rPr>
      </w:pPr>
    </w:p>
    <w:tbl>
      <w:tblPr>
        <w:tblStyle w:val="21"/>
        <w:tblW w:w="869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04"/>
        <w:gridCol w:w="1827"/>
        <w:gridCol w:w="4772"/>
        <w:gridCol w:w="740"/>
        <w:gridCol w:w="7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7"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设备名称</w:t>
            </w:r>
          </w:p>
        </w:tc>
        <w:tc>
          <w:tcPr>
            <w:tcW w:w="4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主要性能指标</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w:t>
            </w:r>
          </w:p>
        </w:tc>
        <w:tc>
          <w:tcPr>
            <w:tcW w:w="755"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720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一、新建前端部分</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79"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星光级枪机</w:t>
            </w:r>
          </w:p>
        </w:tc>
        <w:tc>
          <w:tcPr>
            <w:tcW w:w="477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 采用≥1/1.8″逐行扫描400万像素图像传感器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 具有≥1个RJ45接口、2路报警输入、1路报警输出，1路音频输入、1个TF卡插槽，1路音频输出，1路RS485接口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 焦距范围：4/6/8/12mm，定焦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 最低照度：彩色≤0.0005lx、黑白≤0.0001lx。</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 支持120dB光学宽动态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 支持H.265、H.264、MJPEG编码格式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 支持ONVIF、GB/T 28181、GA/T 1400等协议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 支持TF卡热插拔，最大支持≥256GB TF卡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 支持暖光补光灯，补光距离≥30m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 设备支持人脸检测抓拍，可支持不低于40张人脸并发检测，支持抓拍优选，自动筛选出抓拍质量最优的图片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 支持混行检测：支持机动车、非机动车、行人分类检测抓拍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 防护等级≥IP67，支持在不低于-30～60℃环境下正常工作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供电方式：DC12V(±25%)、POE；含抱杆支架，DC12V/25W电源适配器，托板和万向节</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95"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星光级枪机</w:t>
            </w:r>
          </w:p>
        </w:tc>
        <w:tc>
          <w:tcPr>
            <w:tcW w:w="477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 采用≥1/1.8″逐行扫描400万像素图像传感器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 具有≥1个RJ45接口、2路报警输入、1路报警输出，1路音频输入、1个TF卡插槽，1路音频输出，1路RS485接口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 焦距范围：2.8～12mm，电动变焦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 最低照度：彩色≤0.0005lx、黑白≤0.0001lx。</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 支持120dB光学宽动态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 支持H.265、H.264、MJPEG编码格式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 支持ONVIF、GB/T 28181、GA/T 1400等协议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 支持TF卡热插拔，最大支持≥256GB TF卡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 支持暖光补光灯，补光距离≥30m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 设备支持人脸检测抓拍，可支持不低于40张人脸并发检测，支持抓拍优选，自动筛选出抓拍质量最优的图片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 支持混行检测：支持机动车、非机动车、行人分类检测抓拍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 防护等级≥IP67，支持在不低于-30～60℃环境下正常工作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供电方式：DC12V(±25%)、POE；含抱杆支架，DC12V/25W电源适配器，托板和万向节</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69"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星光级球机</w:t>
            </w:r>
          </w:p>
        </w:tc>
        <w:tc>
          <w:tcPr>
            <w:tcW w:w="477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 采用≥1/1.8 ”逐行扫描400万像素CMOS图像传感器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 支持6-150mm电动变焦，不小于25倍光学变倍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 支持最低照度：彩色：≤0.001lx，黑白：≤0.0001lx</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 支持120dB光学宽动态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 支持接口：≥1个RJ45接口、≥1个BNC接口、≥2个报警输入接口、1个报警输出接口、≥1个RS485接口、≥1个音频输入接口、1个音频输出接口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6. 支持红外灯补光，红外补光灯可定时或自动开启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 内置1个SD插槽，支持SD卡热插拔，支持≥256GB SD卡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 支持人脸检测，越界检测、区域入侵、进入区域、离开区域，运动检测、遮挡检测、声音检测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 支持ONVIF、GB/T 28181、GA/T 1400等标准协议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 水平范围：360°，水平速度0.1°/s~240°/s；预置位速度≥240°/s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 垂直范围：-15°~90°，垂直速度：0.1°~160°/s；预置位速度≥200°/s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 支持不低于256个预置位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 供电方式：AC/DC24V±25%，支持过压过流保护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 功耗≤50W，，6KV防雷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15. 工作环境：–40°C ~ 65°C，≤95%RH（相对湿度，无冷凝）</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16. 防护等级不低于IP66</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含电源、球机安装支架（一个球机吊装杆或壁装杆 ），球机连接件</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4"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监控箱</w:t>
            </w:r>
          </w:p>
        </w:tc>
        <w:tc>
          <w:tcPr>
            <w:tcW w:w="477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设备箱具备防雨、防尘、通风散热、抗紫外线（耐老化）、防盗、防锈；箱体采用≥1.2mm镀锌板，箱体尺寸（含雨帽）≥430(宽)*535(高)*220(深)mm，≥380(宽)*500(高)*200(深)mm（不含雨帽）；箱体工作温度范围-40℃～85℃，工作湿度≤90%RH，工作电压范围AC75～AC280V，外壳防护等级≥IP65，机械碰撞防护等级≥IK08，盐雾测试≥120小时；箱体内部预置可移动托板；整机一体化设计，内部集成控制终端、空开、电源防雷器、5位五孔插座、1路补光灯AC220V远程可控端子、DC12V风扇、1路RS485接口、1路RS232接口、2路IO告警输出、3路干接点输入（1路预留给箱门，1路预留给防雷器）、1路DC12V和1路DC5C（预留给网络传输设备）；具有≥4路AC220V输出，支持独立每路电压、电流检测、远程控制、实时发送每路电压电流值到客户端显示，支持通过客户端实时监测设备输出是否断电，并在客户端界面提示告警；支持供电电压、电流、功率、电量监测，可通过客户端显示，当供电断开时，提示供电异常告警；可通过客户端软件显示设备的实时功率和累计用电电量和电费统计数值；具有检测过压、欠压、过流，支持过压、欠压、过流、低载联动关闭指定输出接口；支持手动开启学习接入设备的功率，在当前设备的功率基础上接入其他设备时，自动关闭供电输出，并且客户端提示非法取电告警；支持在不使用外部蓄电池情况下，通过客户端实时监测设备供电电源，并在客户端提示设备供电电源掉电告警；可通过客户端显示摄像机工作状态并设置定时/手动开启，当接入的摄像机断电或网络断开时，可通过客户端提示告警，支持≥8路外接摄像机状态检测，支持在客户端内实现外接摄像机视频图像播放；可通过WEB及客户端显示交换机工作状态，可设置定时/手动重启、重启次数和时间，当网络传输断开时，可自动进行重启网络传输设备电源；支持多路补光灯检测，能够区分补光灯白天异常亮起和晚上无法开启，支持补光灯功率自学习功能，可设置定时/手动开启电源，支持≥4个时间段的分时控制；支持箱内实时温度、湿度、防雷状态、风扇工作状态检测，支持风扇故障监测和告警，支持风扇单次运行时间统计和总运行时间统计；支持通过客户端显示箱门开关状态，可设置箱门布防撤防,超过设定时间可自动布防，布防状态下箱门开启，客户端提示告警；支持箱门打开后，联动球机转向监控箱位置录像，可配置开始球机转动时间和停留录像时长；支持通过WEB直接查看实时数据、配置IP地址、客户端地址、传输模式、进行远程固件升级,支持IP地址冲突提示、MAC地址冲突提示；支持设备一机一档信息记录，包含设备名称、编号、国标编码、安装时间、品牌、类型、安装时间、质保期、到期时间等；支持设置设备运维、网络运维、电力运维，并生成考核计费报表，支持设置考核标准、考核申诉；支持通过时间、品牌等条件对外接摄像机故障率、在线率以柱状图或折线图展示统计报表；支持自动派单和手动派单，工单记录故障产生时间、派单时间及修复时长等信息；支持设置各类告警的告警等级；支持设置不同告警的处理时效。</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7"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配套线缆</w:t>
            </w:r>
          </w:p>
        </w:tc>
        <w:tc>
          <w:tcPr>
            <w:tcW w:w="4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网线STP.CAT-5e、电源线RVV2*1.5及防护套管PVC，标签、扎带等</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2"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五金配件</w:t>
            </w:r>
          </w:p>
        </w:tc>
        <w:tc>
          <w:tcPr>
            <w:tcW w:w="4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螺丝、连接件、抱箍、钢丝绳、吊卡等　</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2"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抱箍支臂</w:t>
            </w:r>
          </w:p>
        </w:tc>
        <w:tc>
          <w:tcPr>
            <w:tcW w:w="4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直杆，1米，管径65（厚3.5mm）</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2"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抱箍支臂</w:t>
            </w:r>
          </w:p>
        </w:tc>
        <w:tc>
          <w:tcPr>
            <w:tcW w:w="4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直杆，2米，管径65（厚3.5mm）</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2"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抱箍支臂</w:t>
            </w:r>
          </w:p>
        </w:tc>
        <w:tc>
          <w:tcPr>
            <w:tcW w:w="4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直杆，3米，管径65（厚3.5mm）</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2" w:hRule="atLeast"/>
        </w:trPr>
        <w:tc>
          <w:tcPr>
            <w:tcW w:w="720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二、电力部分</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7"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电网国家电表接入费</w:t>
            </w:r>
          </w:p>
        </w:tc>
        <w:tc>
          <w:tcPr>
            <w:tcW w:w="4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包含满足国家电网接入电表等相关配套的技术服务</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7"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利旧点位电力接入及检测费</w:t>
            </w:r>
          </w:p>
        </w:tc>
        <w:tc>
          <w:tcPr>
            <w:tcW w:w="4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点位电力接入及检测费</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7"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新建点位电力接入及检测费</w:t>
            </w:r>
          </w:p>
        </w:tc>
        <w:tc>
          <w:tcPr>
            <w:tcW w:w="4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电力接入及检测费</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7"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bidi="ar"/>
              </w:rPr>
              <w:t>电缆施工费用1</w:t>
            </w:r>
          </w:p>
        </w:tc>
        <w:tc>
          <w:tcPr>
            <w:tcW w:w="4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bidi="ar"/>
              </w:rPr>
              <w:t>沿管道穿线含所需电源线RVV3*2.5、YJV3*4、YJV3*6施工费用</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7"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bidi="ar"/>
              </w:rPr>
              <w:t>电缆施工费用2</w:t>
            </w:r>
          </w:p>
        </w:tc>
        <w:tc>
          <w:tcPr>
            <w:tcW w:w="4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bidi="ar"/>
              </w:rPr>
              <w:t>沿墙钉固含所需电源线RVV3*2.5、YJV3*4、YJV3*6费用、PVC穿线管、卡子等材料和施费用</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5"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bidi="ar"/>
              </w:rPr>
              <w:t>电缆施工费用3</w:t>
            </w:r>
          </w:p>
        </w:tc>
        <w:tc>
          <w:tcPr>
            <w:tcW w:w="4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bidi="ar"/>
              </w:rPr>
              <w:t>道路（大理石、油路花砖等）、绿化带等开挖、回填、PE穿线管、电源线RVV3*2.5、YJV3*4、YJV3*6等施工费用</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3" w:hRule="atLeast"/>
        </w:trPr>
        <w:tc>
          <w:tcPr>
            <w:tcW w:w="720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三、改造前端部分</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星光级枪机</w:t>
            </w:r>
          </w:p>
        </w:tc>
        <w:tc>
          <w:tcPr>
            <w:tcW w:w="477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 采用≥1/1.8″逐行扫描400万像素图像传感器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 具有≥1个RJ45接口、2路报警输入、1路报警输出，1路音频输入、1个TF卡插槽，1路音频输出，1路RS485接口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 焦距范围：4/6/8/12mm，定焦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 最低照度：彩色≤0.0005lx、黑白≤0.0001lx。</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 支持120dB光学宽动态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 支持H.265、H.264、MJPEG编码格式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 支持ONVIF、GB/T 28181、GA/T 1400等协议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 支持TF卡热插拔，最大支持≥256GB TF卡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 支持暖光补光灯，补光距离≥30m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 设备支持人脸检测抓拍，可支持不低于40张人脸并发检测，支持抓拍优选，自动筛选出抓拍质量最优的图片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 支持混行检测：支持机动车、非机动车、行人分类检测抓拍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 防护等级≥IP67，支持在不低于-30～60℃环境下正常工作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供电方式：DC12V(±25%)、POE；含抱杆支架，DC12V/25W电源适配器，托板和万向节</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79"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星光级枪机</w:t>
            </w:r>
          </w:p>
        </w:tc>
        <w:tc>
          <w:tcPr>
            <w:tcW w:w="477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 采用≥1/1.8″逐行扫描400万像素图像传感器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 具有≥1个RJ45接口、2路报警输入、1路报警输出，1路音频输入、1个TF卡插槽，1路音频输出，1路RS485接口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 焦距范围：2.8～12mm，电动变焦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 最低照度：彩色≤0.0005lx、黑白≤0.0001lx。</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 支持120dB光学宽动态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 支持H.265、H.264、MJPEG编码格式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 支持ONVIF、GB/T 28181、GA/T 1400等协议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 支持TF卡热插拔，最大支持≥256GB TF卡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 支持暖光补光灯，补光距离≥30m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 设备支持人脸检测抓拍，可支持不低于40张人脸并发检测，支持抓拍优选，自动筛选出抓拍质量最优的图片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 支持混行检测：支持机动车、非机动车、行人分类检测抓拍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 防护等级≥IP67，支持在不低于-30～60℃环境下正常工作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供电方式：DC12V(±25%)、POE；含抱杆支架，DC12V/25W电源适配器，托板和万向节</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星光级球机</w:t>
            </w:r>
          </w:p>
        </w:tc>
        <w:tc>
          <w:tcPr>
            <w:tcW w:w="477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 采用≥1/1.8 ”逐行扫描400万像素CMOS图像传感器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 支持6-150mm电动变焦，不小于25倍光学变倍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 支持最低照度：彩色：≤0.001lx，黑白：≤0.0001lx</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 支持120dB光学宽动态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 支持接口：≥1个RJ45接口、≥1个BNC接口、≥2个报警输入接口、1个报警输出接口、≥1个RS485接口、≥1个音频输入接口、1个音频输出接口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6. 支持红外灯补光，红外补光灯可定时或自动开启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 内置1个SD插槽，支持SD卡热插拔，支持≥256GB SD卡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 支持人脸检测，越界检测、区域入侵、进入区域、离开区域，运动检测、遮挡检测、声音检测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 支持ONVIF、GB/T 28181、GA/T 1400等标准协议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 水平范围：360°，水平速度0.1°/s~240°/s；预置位速度≥240°/s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 垂直范围：-15°~90°，垂直速度：0.1°~160°/s；预置位速度≥200°/s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 支持不低于256个预置位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 供电方式：AC/DC24V±25%，支持过压过流保护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 功耗≤50W，，6KV防雷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15. 工作环境：–40°C ~ 65°C，≤95%RH（相对湿度，无冷凝）</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16. 防护等级不低于IP66</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含电源、球机安装支架（一个球机吊装杆或壁装杆 ），球机连接件</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7"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配套线缆</w:t>
            </w:r>
          </w:p>
        </w:tc>
        <w:tc>
          <w:tcPr>
            <w:tcW w:w="4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网线STP.CAT-5e、电源线RVV2*1.5及防护套管PVC，标签、扎带等</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四、其他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链路费</w:t>
            </w:r>
          </w:p>
        </w:tc>
        <w:tc>
          <w:tcPr>
            <w:tcW w:w="4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每条每月400元，每年4800元计算</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条</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施工集成服务</w:t>
            </w:r>
          </w:p>
        </w:tc>
        <w:tc>
          <w:tcPr>
            <w:tcW w:w="4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包含前端设备，平台设备，改成部分设备的运输、安装等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技术集成服务</w:t>
            </w:r>
          </w:p>
        </w:tc>
        <w:tc>
          <w:tcPr>
            <w:tcW w:w="4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包含摄像机调试，一机一档数据采集，平台设备数据调测等技术服务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bl>
    <w:p>
      <w:pPr>
        <w:pStyle w:val="2"/>
        <w:rPr>
          <w:rFonts w:hint="eastAsia"/>
        </w:rPr>
      </w:pPr>
    </w:p>
    <w:p>
      <w:pPr>
        <w:spacing w:line="360" w:lineRule="auto"/>
        <w:ind w:firstLine="480" w:firstLineChars="200"/>
        <w:rPr>
          <w:rFonts w:hint="eastAsia" w:ascii="仿宋" w:hAnsi="仿宋" w:eastAsia="仿宋" w:cs="仿宋"/>
          <w:sz w:val="24"/>
          <w:szCs w:val="32"/>
        </w:rPr>
      </w:pPr>
      <w:r>
        <w:rPr>
          <w:rFonts w:hint="eastAsia" w:ascii="仿宋" w:hAnsi="仿宋" w:eastAsia="仿宋" w:cs="仿宋"/>
          <w:sz w:val="24"/>
          <w:szCs w:val="32"/>
        </w:rPr>
        <w:t>标项8：华光街片区管委会项目</w:t>
      </w:r>
    </w:p>
    <w:p>
      <w:pPr>
        <w:pStyle w:val="2"/>
      </w:pPr>
    </w:p>
    <w:tbl>
      <w:tblPr>
        <w:tblStyle w:val="21"/>
        <w:tblW w:w="835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90"/>
        <w:gridCol w:w="1710"/>
        <w:gridCol w:w="4470"/>
        <w:gridCol w:w="735"/>
        <w:gridCol w:w="7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设备名称</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主要性能指标</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w:t>
            </w:r>
          </w:p>
        </w:tc>
        <w:tc>
          <w:tcPr>
            <w:tcW w:w="750"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8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一、新建前端部分</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星光级枪机</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 采用≥1/1.8″逐行扫描400万像素图像传感器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 具有≥1个RJ45接口、2路报警输入、1路报警输出，1路音频输入、1个TF卡插槽，1路音频输出，1路RS485接口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 焦距范围：4/6/8/12mm，定焦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 最低照度：彩色≤0.0005lx、黑白≤0.0001lx。</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 支持120dB光学宽动态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 支持H.265、H.264、MJPEG编码格式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 支持ONVIF、GB/T 28181、GA/T 1400等协议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 支持TF卡热插拔，最大支持≥256GB TF卡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 支持暖光补光灯，补光距离≥30m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 设备支持人脸检测抓拍，可支持不低于40张人脸并发检测，支持抓拍优选，自动筛选出抓拍质量最优的图片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 支持混行检测：支持机动车、非机动车、行人分类检测抓拍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 防护等级≥IP67，支持在不低于-30～60℃环境下正常工作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供电方式：DC12V(±25%)、POE；含抱杆支架，DC12V/25W电源适配器，托板和万向节</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星光级球机</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 采用≥1/1.8 ”逐行扫描400万像素CMOS图像传感器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 支持6-150mm电动变焦，不小于25倍光学变倍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 支持最低照度：彩色：≤0.001lx，黑白：≤0.0001lx</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 支持120dB光学宽动态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 支持接口：≥1个RJ45接口、≥1个BNC接口、≥2个报警输入接口、1个报警输出接口、≥1个RS485接口、≥1个音频输入接口、1个音频输出接口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6. 支持红外灯补光，红外补光灯可定时或自动开启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 内置1个SD插槽，支持SD卡热插拔，支持≥256GB SD卡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 支持人脸检测，越界检测、区域入侵、进入区域、离开区域，运动检测、遮挡检测、声音检测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 支持ONVIF、GB/T 28181、GA/T 1400等标准协议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 水平范围：360°，水平速度0.1°/s~240°/s；预置位速度≥240°/s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 垂直范围：-15°~90°，垂直速度：0.1°~160°/s；预置位速度≥200°/s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 支持不低于256个预置位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 供电方式：AC/DC24V±25%，支持过压过流保护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 功耗≤50W，，6KV防雷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15. 工作环境：–40°C ~ 65°C，≤95%RH（相对湿度，无冷凝）</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16. 防护等级不低于IP66</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含电源、球机安装支架（一个球机吊装杆或壁装杆 ），球机连接件</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高空球机</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 采用≥1/1.8 ”逐行扫描400万像素CMOS图像传感器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 支持6-190mm电动变焦，不小于30倍光学变倍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 支持最低照度：彩色：≤0.001lx，黑白：≤0.0001lx</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 支持120dB光学宽动态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 支持接口：≥1个RJ45接口、≥1个BNC接口、≥2个报警输入接口、1个报警输出接口、≥1个RS485接口、≥1个音频输入接口、1个音频输出接口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6. 支持红外灯补光，红外补光灯可定时或自动开启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 内置1个SD插槽，支持SD卡热插拔，支持≥256GB SD卡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 支持人脸检测，越界检测、区域入侵、进入区域、离开区域，运动检测、遮挡检测、声音检测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 支持ONVIF、GB/T 28181、GA/T 1400等标准协议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 水平范围：360°，水平速度0.1°/s~240°/s；预置位速度≥240°/s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 垂直范围：-15°~90°，垂直速度：0.1°~160°/s；预置位速度≥200°/s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 支持不低于256个预置位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 供电方式：AC/DC24V±25%，支持过压过流保护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 功耗≤50W，，6KV防雷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15. 工作环境：–40°C ~ 65°C，≤95%RH（相对湿度，无冷凝）</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16. 防护等级不低于IP66</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含电源、球机安装支架（一个球机吊装杆或壁装杆 ），球机连接件</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监控箱</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设备箱具备防雨、防尘、通风散热、抗紫外线（耐老化）、防盗、防锈；箱体采用≥1.2mm镀锌板，箱体尺寸（含雨帽）≥430(宽)*535(高)*220(深)mm，≥380(宽)*500(高)*200(深)mm（不含雨帽）；箱体工作温度范围-40℃～85℃，工作湿度≤90%RH，工作电压范围AC75～AC280V，外壳防护等级≥IP65，机械碰撞防护等级≥IK08，盐雾测试≥120小时；箱体内部预置可移动托板；整机一体化设计，内部集成控制终端、空开、电源防雷器、5位五孔插座、1路补光灯AC220V远程可控端子、DC12V风扇、1路RS485接口、1路RS232接口、2路IO告警输出、3路干接点输入（1路预留给箱门，1路预留给防雷器）、1路DC12V和1路DC5C（预留给网络传输设备）；具有≥4路AC220V输出，支持独立每路电压、电流检测、远程控制、实时发送每路电压电流值到客户端显示，支持通过客户端实时监测设备输出是否断电，并在客户端界面提示告警；支持供电电压、电流、功率、电量监测，可通过客户端显示，当供电断开时，提示供电异常告警；可通过客户端软件显示设备的实时功率和累计用电电量和电费统计数值；具有检测过压、欠压、过流，支持过压、欠压、过流、低载联动关闭指定输出接口；支持手动开启学习接入设备的功率，在当前设备的功率基础上接入其他设备时，自动关闭供电输出，并且客户端提示非法取电告警；支持在不使用外部蓄电池情况下，通过客户端实时监测设备供电电源，并在客户端提示设备供电电源掉电告警；可通过客户端显示摄像机工作状态并设置定时/手动开启，当接入的摄像机断电或网络断开时，可通过客户端提示告警，支持≥8路外接摄像机状态检测，支持在客户端内实现外接摄像机视频图像播放；可通过WEB及客户端显示交换机工作状态，可设置定时/手动重启、重启次数和时间，当网络传输断开时，可自动进行重启网络传输设备电源；支持多路补光灯检测，能够区分补光灯白天异常亮起和晚上无法开启，支持补光灯功率自学习功能，可设置定时/手动开启电源，支持≥4个时间段的分时控制；支持箱内实时温度、湿度、防雷状态、风扇工作状态检测，支持风扇故障监测和告警，支持风扇单次运行时间统计和总运行时间统计；支持通过客户端显示箱门开关状态，可设置箱门布防撤防,超过设定时间可自动布防，布防状态下箱门开启，客户端提示告警；支持箱门打开后，联动球机转向监控箱位置录像，可配置开始球机转动时间和停留录像时长；支持通过WEB直接查看实时数据、配置IP地址、客户端地址、传输模式、进行远程固件升级,支持IP地址冲突提示、MAC地址冲突提示；支持设备一机一档信息记录，包含设备名称、编号、国标编码、安装时间、品牌、类型、安装时间、质保期、到期时间等；支持设置设备运维、网络运维、电力运维，并生成考核计费报表，支持设置考核标准、考核申诉；支持通过时间、品牌等条件对外接摄像机故障率、在线率以柱状图或折线图展示统计报表；支持自动派单和手动派单，工单记录故障产生时间、派单时间及修复时长等信息；支持设置各类告警的告警等级；支持设置不同告警的处理时效。</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配套线缆</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网线STP.CAT-5e、电源线RVV2*1.5及防护套管PVC，标签、扎带等</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五金配件</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螺丝、连接件、抱箍、钢丝绳、吊卡等　</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金属立杆</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直径165mm高3米/壁厚4.5mm（热镀锌，表面喷塑）</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横臂</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直杆，1米横臂：管径89（厚4.0mm）</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横臂</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直杆，2米横臂：管径89（厚4.0mm）</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抱箍支臂</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直杆，1米，管径65（厚3.5mm）</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抱箍支臂</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直杆，2米，管径65（厚3.5mm）</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制高点支架</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立杆底座</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直径165基坑尺寸1000*1000*1100（地下埋深）、含预埋件、防雷接地</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8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二、电力部分</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电网国家电表接入费</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包含满足国家电网接入电表等相关配套的技术服务</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利旧点位电力接入及检测费</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点位电力接入及检测费</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新建点位电力接入及检测费</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电力接入及检测费</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bidi="ar"/>
              </w:rPr>
              <w:t>电缆施工费用1</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bidi="ar"/>
              </w:rPr>
              <w:t>沿管道穿线含所需电源线RVV3*2.5、YJV3*4、YJV3*6施工费用</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bidi="ar"/>
              </w:rPr>
              <w:t>电缆施工费用2</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bidi="ar"/>
              </w:rPr>
              <w:t>沿墙钉固含所需电源线RVV3*2.5、YJV3*4、YJV3*6费用、PVC穿线管、卡子等材料和施费用</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bidi="ar"/>
              </w:rPr>
              <w:t>电缆施工费用3</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bidi="ar"/>
              </w:rPr>
              <w:t>道路（大理石、油路花砖等）、绿化带等开挖、回填、PE穿线管、电源线RVV3*2.5、YJV3*4、YJV3*6等施工费用</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8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三、改造前端部分</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星光级枪机</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 采用≥1/1.8″逐行扫描400万像素图像传感器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 具有≥1个RJ45接口、2路报警输入、1路报警输出，1路音频输入、1个TF卡插槽，1路音频输出，1路RS485接口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 焦距范围：4/6/8/12mm，定焦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 最低照度：彩色≤0.0005lx、黑白≤0.0001lx。</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 支持120dB光学宽动态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 支持H.265、H.264、MJPEG编码格式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 支持ONVIF、GB/T 28181、GA/T 1400等协议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 支持TF卡热插拔，最大支持≥256GB TF卡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 支持暖光补光灯，补光距离≥30m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 设备支持人脸检测抓拍，可支持不低于40张人脸并发检测，支持抓拍优选，自动筛选出抓拍质量最优的图片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 支持混行检测：支持机动车、非机动车、行人分类检测抓拍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 防护等级≥IP67，支持在不低于-30～60℃环境下正常工作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供电方式：DC12V(±25%)、POE；含抱杆支架，DC12V/25W电源适配器，托板和万向节</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星光级枪机</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 采用≥1/1.8″逐行扫描400万像素图像传感器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 具有≥1个RJ45接口、2路报警输入、1路报警输出，1路音频输入、1个TF卡插槽，1路音频输出，1路RS485接口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 焦距范围：2.8～12mm，电动变焦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 最低照度：彩色≤0.0005lx、黑白≤0.0001lx。</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 支持120dB光学宽动态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 支持H.265、H.264、MJPEG编码格式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 支持ONVIF、GB/T 28181、GA/T 1400等协议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 支持TF卡热插拔，最大支持≥256GB TF卡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 支持暖光补光灯，补光距离≥30m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 设备支持人脸检测抓拍，可支持不低于40张人脸并发检测，支持抓拍优选，自动筛选出抓拍质量最优的图片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 支持混行检测：支持机动车、非机动车、行人分类检测抓拍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 防护等级≥IP67，支持在不低于-30～60℃环境下正常工作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供电方式：DC12V(±25%)、POE；含抱杆支架，DC12V/25W电源适配器，托板和万向节</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星光级球机</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 采用≥1/1.8 ”逐行扫描400万像素CMOS图像传感器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 支持6-150mm电动变焦，不小于25倍光学变倍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 支持最低照度：彩色：≤0.001lx，黑白：≤0.0001lx</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 支持120dB光学宽动态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 支持接口：≥1个RJ45接口、≥1个BNC接口、≥2个报警输入接口、1个报警输出接口、≥1个RS485接口、≥1个音频输入接口、1个音频输出接口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6. 支持红外灯补光，红外补光灯可定时或自动开启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 内置1个SD插槽，支持SD卡热插拔，支持≥256GB SD卡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 支持人脸检测，越界检测、区域入侵、进入区域、离开区域，运动检测、遮挡检测、声音检测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 支持ONVIF、GB/T 28181、GA/T 1400等标准协议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 水平范围：360°，水平速度0.1°/s~240°/s；预置位速度≥240°/s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 垂直范围：-15°~90°，垂直速度：0.1°~160°/s；预置位速度≥200°/s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 支持不低于256个预置位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 供电方式：AC/DC24V±25%，支持过压过流保护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 功耗≤50W，，6KV防雷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15. 工作环境：–40°C ~ 65°C，≤95%RH（相对湿度，无冷凝）</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16. 防护等级不低于IP66</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含电源、球机安装支架（一个球机吊装杆或壁装杆 ），球机连接件</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配套线缆</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网线STP.CAT-5e、电源线RVV2*1.5及防护套管PVC，标签、扎带等</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四、其他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链路费</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每条每月400元，每年4800元计算</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条</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施工集成服务</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包含前端设备，平台设备，改成部分设备的运输、安装等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技术集成服务</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包含摄像机调试，一机一档数据采集，平台设备数据调测等技术服务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bl>
    <w:p/>
    <w:p>
      <w:pPr>
        <w:pStyle w:val="2"/>
        <w:rPr>
          <w:rFonts w:hint="eastAsia"/>
        </w:rPr>
      </w:pPr>
    </w:p>
    <w:p>
      <w:pPr>
        <w:spacing w:line="360" w:lineRule="auto"/>
        <w:ind w:firstLine="480" w:firstLineChars="200"/>
        <w:rPr>
          <w:rFonts w:ascii="仿宋" w:hAnsi="仿宋" w:eastAsia="仿宋" w:cs="仿宋"/>
          <w:sz w:val="24"/>
          <w:szCs w:val="32"/>
        </w:rPr>
      </w:pPr>
      <w:r>
        <w:rPr>
          <w:rFonts w:hint="eastAsia" w:ascii="仿宋" w:hAnsi="仿宋" w:eastAsia="仿宋" w:cs="仿宋"/>
          <w:sz w:val="24"/>
          <w:szCs w:val="32"/>
        </w:rPr>
        <w:t>标项9：石人沟七篇管委会项目</w:t>
      </w:r>
    </w:p>
    <w:p>
      <w:pPr>
        <w:pStyle w:val="2"/>
        <w:rPr>
          <w:rFonts w:hint="eastAsia"/>
        </w:rPr>
      </w:pPr>
    </w:p>
    <w:tbl>
      <w:tblPr>
        <w:tblStyle w:val="21"/>
        <w:tblW w:w="82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55"/>
        <w:gridCol w:w="1410"/>
        <w:gridCol w:w="4470"/>
        <w:gridCol w:w="735"/>
        <w:gridCol w:w="7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设备名称</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主要性能指标</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w:t>
            </w:r>
          </w:p>
        </w:tc>
        <w:tc>
          <w:tcPr>
            <w:tcW w:w="750"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73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一、新建前端部分</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星光级枪机</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 采用≥1/1.8″逐行扫描400万像素图像传感器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 具有≥1个RJ45接口、2路报警输入、1路报警输出，1路音频输入、1个TF卡插槽，1路音频输出，1路RS485接口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 焦距范围：4/6/8/12mm，定焦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 最低照度：彩色≤0.0005lx、黑白≤0.0001lx。</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 支持120dB光学宽动态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 支持H.265、H.264、MJPEG编码格式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 支持ONVIF、GB/T 28181、GA/T 1400等协议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 支持TF卡热插拔，最大支持≥256GB TF卡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 支持暖光补光灯，补光距离≥30m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 设备支持人脸检测抓拍，可支持不低于40张人脸并发检测，支持抓拍优选，自动筛选出抓拍质量最优的图片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 支持混行检测：支持机动车、非机动车、行人分类检测抓拍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 防护等级≥IP67，支持在不低于-30～60℃环境下正常工作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供电方式：DC12V(±25%)、POE；含抱杆支架，DC12V/25W电源适配器，托板和万向节</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 </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星光级球机</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 采用≥1/1.8 ”逐行扫描400万像素CMOS图像传感器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 支持6-150mm电动变焦，不小于25倍光学变倍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 支持最低照度：彩色：≤0.001lx，黑白：≤0.0001lx</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 支持120dB光学宽动态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 支持接口：≥1个RJ45接口、≥1个BNC接口、≥2个报警输入接口、1个报警输出接口、≥1个RS485接口、≥1个音频输入接口、1个音频输出接口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6. 支持红外灯补光，红外补光灯可定时或自动开启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 内置1个SD插槽，支持SD卡热插拔，支持≥256GB SD卡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 支持人脸检测，越界检测、区域入侵、进入区域、离开区域，运动检测、遮挡检测、声音检测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 支持ONVIF、GB/T 28181、GA/T 1400等标准协议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 水平范围：360°，水平速度0.1°/s~240°/s；预置位速度≥240°/s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 垂直范围：-15°~90°，垂直速度：0.1°~160°/s；预置位速度≥200°/s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 支持不低于256个预置位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 供电方式：AC/DC24V±25%，支持过压过流保护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 功耗≤50W，，6KV防雷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15. 工作环境：–40°C ~ 65°C，≤95%RH（相对湿度，无冷凝）</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16. 防护等级不低于IP66</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含电源、球机安装支架（一个球机吊装杆或壁装杆 ），球机连接件</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 </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监控箱</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设备箱具备防雨、防尘、通风散热、抗紫外线（耐老化）、防盗、防锈；箱体采用≥1.2mm镀锌板，箱体尺寸（含雨帽）≥430(宽)*535(高)*220(深)mm，≥380(宽)*500(高)*200(深)mm（不含雨帽）；箱体工作温度范围-40℃～85℃，工作湿度≤90%RH，工作电压范围AC75～AC280V，外壳防护等级≥IP65，机械碰撞防护等级≥IK08，盐雾测试≥120小时；箱体内部预置可移动托板；整机一体化设计，内部集成控制终端、空开、电源防雷器、5位五孔插座、1路补光灯AC220V远程可控端子、DC12V风扇、1路RS485接口、1路RS232接口、2路IO告警输出、3路干接点输入（1路预留给箱门，1路预留给防雷器）、1路DC12V和1路DC5C（预留给网络传输设备）；具有≥4路AC220V输出，支持独立每路电压、电流检测、远程控制、实时发送每路电压电流值到客户端显示，支持通过客户端实时监测设备输出是否断电，并在客户端界面提示告警；支持供电电压、电流、功率、电量监测，可通过客户端显示，当供电断开时，提示供电异常告警；可通过客户端软件显示设备的实时功率和累计用电电量和电费统计数值；具有检测过压、欠压、过流，支持过压、欠压、过流、低载联动关闭指定输出接口；支持手动开启学习接入设备的功率，在当前设备的功率基础上接入其他设备时，自动关闭供电输出，并且客户端提示非法取电告警；支持在不使用外部蓄电池情况下，通过客户端实时监测设备供电电源，并在客户端提示设备供电电源掉电告警；可通过客户端显示摄像机工作状态并设置定时/手动开启，当接入的摄像机断电或网络断开时，可通过客户端提示告警，支持≥8路外接摄像机状态检测，支持在客户端内实现外接摄像机视频图像播放；可通过WEB及客户端显示交换机工作状态，可设置定时/手动重启、重启次数和时间，当网络传输断开时，可自动进行重启网络传输设备电源；支持多路补光灯检测，能够区分补光灯白天异常亮起和晚上无法开启，支持补光灯功率自学习功能，可设置定时/手动开启电源，支持≥4个时间段的分时控制；支持箱内实时温度、湿度、防雷状态、风扇工作状态检测，支持风扇故障监测和告警，支持风扇单次运行时间统计和总运行时间统计；支持通过客户端显示箱门开关状态，可设置箱门布防撤防,超过设定时间可自动布防，布防状态下箱门开启，客户端提示告警；支持箱门打开后，联动球机转向监控箱位置录像，可配置开始球机转动时间和停留录像时长；支持通过WEB直接查看实时数据、配置IP地址、客户端地址、传输模式、进行远程固件升级,支持IP地址冲突提示、MAC地址冲突提示；支持设备一机一档信息记录，包含设备名称、编号、国标编码、安装时间、品牌、类型、安装时间、质保期、到期时间等；支持设置设备运维、网络运维、电力运维，并生成考核计费报表，支持设置考核标准、考核申诉；支持通过时间、品牌等条件对外接摄像机故障率、在线率以柱状图或折线图展示统计报表；支持自动派单和手动派单，工单记录故障产生时间、派单时间及修复时长等信息；支持设置各类告警的告警等级；支持设置不同告警的处理时效。</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 </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配套线缆</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网线STP.CAT-5e、电源线RVV2*1.5及防护套管PVC，标签、扎带等</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 </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五金配件</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螺丝、连接件、抱箍、钢丝绳、吊卡等　</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 </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金属立杆</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直径165mm高6米/壁厚4.5mm（热镀锌，表面喷塑）</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 </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横臂</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直杆，3米横臂：管径89（厚4.0mm）</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 </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横臂</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直杆，4米横臂：管径89（厚4.0mm）</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 </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立杆底座</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直径165基坑尺寸1000*1000*1100（地下埋深）、含预埋件、防雷接地</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673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二、电力部分</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11 </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电网国家电表接入费</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包含满足国家电网接入电表等相关配套的技术服务</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12 </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新建点位电力接入及检测费</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电力接入及检测费</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13 </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bidi="ar"/>
              </w:rPr>
              <w:t>电缆施工费用2</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bidi="ar"/>
              </w:rPr>
              <w:t>沿墙钉固含所需电源线RVV3*2.5、YJV3*4、YJV3*6费用、PVC穿线管、卡子等材料和施费用</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14 </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bidi="ar"/>
              </w:rPr>
              <w:t>电缆施工费用3</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bidi="ar"/>
              </w:rPr>
              <w:t>道路（大理石、油路花砖等）、绿化带等开挖、回填、PE穿线管、电源线RVV3*2.5、YJV3*4、YJV3*6等施工费用</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73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三、改造前端部分</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星光级枪机</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 采用≥1/1.8″逐行扫描400万像素图像传感器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 具有≥1个RJ45接口、2路报警输入、1路报警输出，1路音频输入、1个TF卡插槽，1路音频输出，1路RS485接口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 焦距范围：4/6/8/12mm，定焦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 最低照度：彩色≤0.0005lx、黑白≤0.0001lx。</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 支持120dB光学宽动态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 支持H.265、H.264、MJPEG编码格式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 支持ONVIF、GB/T 28181、GA/T 1400等协议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 支持TF卡热插拔，最大支持≥256GB TF卡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 支持暖光补光灯，补光距离≥30m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 设备支持人脸检测抓拍，可支持不低于40张人脸并发检测，支持抓拍优选，自动筛选出抓拍质量最优的图片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 支持混行检测：支持机动车、非机动车、行人分类检测抓拍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 防护等级≥IP67，支持在不低于-30～60℃环境下正常工作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供电方式：DC12V(±25%)、POE；含抱杆支架，DC12V/25W电源适配器，托板和万向节</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星光级枪机</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 采用≥1/1.8″逐行扫描400万像素图像传感器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 具有≥1个RJ45接口、2路报警输入、1路报警输出，1路音频输入、1个TF卡插槽，1路音频输出，1路RS485接口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 焦距范围：2.8～12mm，电动变焦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 最低照度：彩色≤0.0005lx、黑白≤0.0001lx。</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 支持120dB光学宽动态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 支持H.265、H.264、MJPEG编码格式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 支持ONVIF、GB/T 28181、GA/T 1400等协议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 支持TF卡热插拔，最大支持≥256GB TF卡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 支持暖光补光灯，补光距离≥30m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 设备支持人脸检测抓拍，可支持不低于40张人脸并发检测，支持抓拍优选，自动筛选出抓拍质量最优的图片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 支持混行检测：支持机动车、非机动车、行人分类检测抓拍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 防护等级≥IP67，支持在不低于-30～60℃环境下正常工作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供电方式：DC12V(±25%)、POE；含抱杆支架，DC12V/25W电源适配器，托板和万向节</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星光级球机</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 采用≥1/1.8 ”逐行扫描400万像素CMOS图像传感器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 支持6-150mm电动变焦，不小于25倍光学变倍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 支持最低照度：彩色：≤0.001lx，黑白：≤0.0001lx</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 支持120dB光学宽动态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 支持接口：≥1个RJ45接口、≥1个BNC接口、≥2个报警输入接口、1个报警输出接口、≥1个RS485接口、≥1个音频输入接口、1个音频输出接口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6. 支持红外灯补光，红外补光灯可定时或自动开启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 内置1个SD插槽，支持SD卡热插拔，支持≥256GB SD卡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 支持人脸检测，越界检测、区域入侵、进入区域、离开区域，运动检测、遮挡检测、声音检测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 支持ONVIF、GB/T 28181、GA/T 1400等标准协议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 水平范围：360°，水平速度0.1°/s~240°/s；预置位速度≥240°/s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 垂直范围：-15°~90°，垂直速度：0.1°~160°/s；预置位速度≥200°/s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 支持不低于256个预置位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 供电方式：AC/DC24V±25%，支持过压过流保护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 功耗≤50W，，6KV防雷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15. 工作环境：–40°C ~ 65°C，≤95%RH（相对湿度，无冷凝）</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16. 防护等级不低于IP66</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含电源、球机安装支架（一个球机吊装杆或壁装杆 ），球机连接件</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配套线缆</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网线STP.CAT-5e、电源线RVV2*1.5及防护套管PVC，标签、扎带等</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四、其他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链路费</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每条每月400元，每年4800元计算</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条</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施工集成服务</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包含前端设备，平台设备，改成部分设备的运输、安装等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技术集成服务</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包含摄像机调试，一机一档数据采集，平台设备数据调测等技术服务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bl>
    <w:p>
      <w:pPr>
        <w:rPr>
          <w:rFonts w:hint="eastAsia"/>
        </w:rPr>
      </w:pPr>
    </w:p>
    <w:p>
      <w:pPr>
        <w:spacing w:line="360" w:lineRule="auto"/>
        <w:ind w:firstLine="480" w:firstLineChars="200"/>
        <w:rPr>
          <w:rFonts w:ascii="仿宋" w:hAnsi="仿宋" w:eastAsia="仿宋" w:cs="仿宋"/>
          <w:sz w:val="24"/>
          <w:szCs w:val="32"/>
        </w:rPr>
      </w:pPr>
      <w:r>
        <w:rPr>
          <w:rFonts w:hint="eastAsia" w:ascii="仿宋" w:hAnsi="仿宋" w:eastAsia="仿宋" w:cs="仿宋"/>
          <w:sz w:val="24"/>
          <w:szCs w:val="32"/>
        </w:rPr>
        <w:t>标项10：新民路片区管委会项目</w:t>
      </w:r>
    </w:p>
    <w:tbl>
      <w:tblPr>
        <w:tblStyle w:val="21"/>
        <w:tblW w:w="869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00"/>
        <w:gridCol w:w="1531"/>
        <w:gridCol w:w="4705"/>
        <w:gridCol w:w="773"/>
        <w:gridCol w:w="7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设备名称</w:t>
            </w:r>
          </w:p>
        </w:tc>
        <w:tc>
          <w:tcPr>
            <w:tcW w:w="4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主要性能指标</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w:t>
            </w:r>
          </w:p>
        </w:tc>
        <w:tc>
          <w:tcPr>
            <w:tcW w:w="789"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71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一、新建前端部分</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星光级枪机</w:t>
            </w:r>
          </w:p>
        </w:tc>
        <w:tc>
          <w:tcPr>
            <w:tcW w:w="470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 采用≥1/1.8″逐行扫描400万像素图像传感器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 具有≥1个RJ45接口、2路报警输入、1路报警输出，1路音频输入、1个TF卡插槽，1路音频输出，1路RS485接口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 焦距范围：4/6/8/12mm，定焦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 最低照度：彩色≤0.0005lx、黑白≤0.0001lx。</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 支持120dB光学宽动态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 支持H.265、H.264、MJPEG编码格式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 支持ONVIF、GB/T 28181、GA/T 1400等协议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 支持TF卡热插拔，最大支持≥256GB TF卡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 支持暖光补光灯，补光距离≥30m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 设备支持人脸检测抓拍，可支持不低于40张人脸并发检测，支持抓拍优选，自动筛选出抓拍质量最优的图片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 支持混行检测：支持机动车、非机动车、行人分类检测抓拍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 防护等级≥IP67，支持在不低于-30～60℃环境下正常工作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供电方式：DC12V(±25%)、POE；含抱杆支架，DC12V/25W电源适配器，托板和万向节</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星光级枪机</w:t>
            </w:r>
          </w:p>
        </w:tc>
        <w:tc>
          <w:tcPr>
            <w:tcW w:w="470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 采用≥1/1.8″逐行扫描400万像素图像传感器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 具有≥1个RJ45接口、2路报警输入、1路报警输出，1路音频输入、1个TF卡插槽，1路音频输出，1路RS485接口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 焦距范围：2.8～12mm，电动变焦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 最低照度：彩色≤0.0005lx、黑白≤0.0001lx。</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 支持120dB光学宽动态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 支持H.265、H.264、MJPEG编码格式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 支持ONVIF、GB/T 28181、GA/T 1400等协议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 支持TF卡热插拔，最大支持≥256GB TF卡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 支持暖光补光灯，补光距离≥30m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 设备支持人脸检测抓拍，可支持不低于40张人脸并发检测，支持抓拍优选，自动筛选出抓拍质量最优的图片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 支持混行检测：支持机动车、非机动车、行人分类检测抓拍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 防护等级≥IP67，支持在不低于-30～60℃环境下正常工作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供电方式：DC12V(±25%)、POE；含抱杆支架，DC12V/25W电源适配器，托板和万向节</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星光级球机</w:t>
            </w:r>
          </w:p>
        </w:tc>
        <w:tc>
          <w:tcPr>
            <w:tcW w:w="470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 采用≥1/1.8 ”逐行扫描400万像素CMOS图像传感器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 支持6-150mm电动变焦，不小于25倍光学变倍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 支持最低照度：彩色：≤0.001lx，黑白：≤0.0001lx</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 支持120dB光学宽动态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 支持接口：≥1个RJ45接口、≥1个BNC接口、≥2个报警输入接口、1个报警输出接口、≥1个RS485接口、≥1个音频输入接口、1个音频输出接口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6. 支持红外灯补光，红外补光灯可定时或自动开启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 内置1个SD插槽，支持SD卡热插拔，支持≥256GB SD卡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 支持人脸检测，越界检测、区域入侵、进入区域、离开区域，运动检测、遮挡检测、声音检测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 支持ONVIF、GB/T 28181、GA/T 1400等标准协议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 水平范围：360°，水平速度0.1°/s~240°/s；预置位速度≥240°/s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 垂直范围：-15°~90°，垂直速度：0.1°~160°/s；预置位速度≥200°/s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 支持不低于256个预置位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 供电方式：AC/DC24V±25%，支持过压过流保护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 功耗≤50W，，6KV防雷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15. 工作环境：–40°C ~ 65°C，≤95%RH（相对湿度，无冷凝）</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16. 防护等级不低于IP66</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含电源、球机安装支架（一个球机吊装杆或壁装杆 ），球机连接件</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监控箱</w:t>
            </w:r>
          </w:p>
        </w:tc>
        <w:tc>
          <w:tcPr>
            <w:tcW w:w="470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设备箱具备防雨、防尘、通风散热、抗紫外线（耐老化）、防盗、防锈；箱体采用≥1.2mm镀锌板，箱体尺寸（含雨帽）≥430(宽)*535(高)*220(深)mm，≥380(宽)*500(高)*200(深)mm（不含雨帽）；箱体工作温度范围-40℃～85℃，工作湿度≤90%RH，工作电压范围AC75～AC280V，外壳防护等级≥IP65，机械碰撞防护等级≥IK08，盐雾测试≥120小时；箱体内部预置可移动托板；整机一体化设计，内部集成控制终端、空开、电源防雷器、5位五孔插座、1路补光灯AC220V远程可控端子、DC12V风扇、1路RS485接口、1路RS232接口、2路IO告警输出、3路干接点输入（1路预留给箱门，1路预留给防雷器）、1路DC12V和1路DC5C（预留给网络传输设备）；具有≥4路AC220V输出，支持独立每路电压、电流检测、远程控制、实时发送每路电压电流值到客户端显示，支持通过客户端实时监测设备输出是否断电，并在客户端界面提示告警；支持供电电压、电流、功率、电量监测，可通过客户端显示，当供电断开时，提示供电异常告警；可通过客户端软件显示设备的实时功率和累计用电电量和电费统计数值；具有检测过压、欠压、过流，支持过压、欠压、过流、低载联动关闭指定输出接口；支持手动开启学习接入设备的功率，在当前设备的功率基础上接入其他设备时，自动关闭供电输出，并且客户端提示非法取电告警；支持在不使用外部蓄电池情况下，通过客户端实时监测设备供电电源，并在客户端提示设备供电电源掉电告警；可通过客户端显示摄像机工作状态并设置定时/手动开启，当接入的摄像机断电或网络断开时，可通过客户端提示告警，支持≥8路外接摄像机状态检测，支持在客户端内实现外接摄像机视频图像播放；可通过WEB及客户端显示交换机工作状态，可设置定时/手动重启、重启次数和时间，当网络传输断开时，可自动进行重启网络传输设备电源；支持多路补光灯检测，能够区分补光灯白天异常亮起和晚上无法开启，支持补光灯功率自学习功能，可设置定时/手动开启电源，支持≥4个时间段的分时控制；支持箱内实时温度、湿度、防雷状态、风扇工作状态检测，支持风扇故障监测和告警，支持风扇单次运行时间统计和总运行时间统计；支持通过客户端显示箱门开关状态，可设置箱门布防撤防,超过设定时间可自动布防，布防状态下箱门开启，客户端提示告警；支持箱门打开后，联动球机转向监控箱位置录像，可配置开始球机转动时间和停留录像时长；支持通过WEB直接查看实时数据、配置IP地址、客户端地址、传输模式、进行远程固件升级,支持IP地址冲突提示、MAC地址冲突提示；支持设备一机一档信息记录，包含设备名称、编号、国标编码、安装时间、品牌、类型、安装时间、质保期、到期时间等；支持设置设备运维、网络运维、电力运维，并生成考核计费报表，支持设置考核标准、考核申诉；支持通过时间、品牌等条件对外接摄像机故障率、在线率以柱状图或折线图展示统计报表；支持自动派单和手动派单，工单记录故障产生时间、派单时间及修复时长等信息；支持设置各类告警的告警等级；支持设置不同告警的处理时效。</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配套线缆</w:t>
            </w:r>
          </w:p>
        </w:tc>
        <w:tc>
          <w:tcPr>
            <w:tcW w:w="4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网线STP.CAT-5e、电源线RVV2*1.5及防护套管PVC，标签、扎带等</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五金配件</w:t>
            </w:r>
          </w:p>
        </w:tc>
        <w:tc>
          <w:tcPr>
            <w:tcW w:w="4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螺丝、连接件、抱箍、钢丝绳、吊卡等　</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金属立杆</w:t>
            </w:r>
          </w:p>
        </w:tc>
        <w:tc>
          <w:tcPr>
            <w:tcW w:w="4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直径165mm高4米/壁厚4.5mm（热镀锌，表面喷塑）</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金属立杆</w:t>
            </w:r>
          </w:p>
        </w:tc>
        <w:tc>
          <w:tcPr>
            <w:tcW w:w="4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直径165mm高6米/壁厚4.5mm（热镀锌，表面喷塑）</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金属立杆</w:t>
            </w:r>
          </w:p>
        </w:tc>
        <w:tc>
          <w:tcPr>
            <w:tcW w:w="4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直径219mm高6米/壁厚5.5mm（热镀锌，表面喷塑）</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横臂</w:t>
            </w:r>
          </w:p>
        </w:tc>
        <w:tc>
          <w:tcPr>
            <w:tcW w:w="4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锥型杆，1米横臂：管径80/150（厚3.0mm）</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横臂</w:t>
            </w:r>
          </w:p>
        </w:tc>
        <w:tc>
          <w:tcPr>
            <w:tcW w:w="4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锥型杆，2米横臂：管径80/150（厚5.0mm）</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2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横臂</w:t>
            </w:r>
          </w:p>
        </w:tc>
        <w:tc>
          <w:tcPr>
            <w:tcW w:w="4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锥型杆，3米横臂：管径80/150（厚3.0mm）</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横臂</w:t>
            </w:r>
          </w:p>
        </w:tc>
        <w:tc>
          <w:tcPr>
            <w:tcW w:w="4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直杆，2米横臂：管径89（厚4.0mm）</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横臂</w:t>
            </w:r>
          </w:p>
        </w:tc>
        <w:tc>
          <w:tcPr>
            <w:tcW w:w="4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直杆，3米横臂：管径89（厚4.0mm）</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抱箍支臂</w:t>
            </w:r>
          </w:p>
        </w:tc>
        <w:tc>
          <w:tcPr>
            <w:tcW w:w="4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直杆，1米，管径65（厚3.5mm）</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2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抱箍支臂</w:t>
            </w:r>
          </w:p>
        </w:tc>
        <w:tc>
          <w:tcPr>
            <w:tcW w:w="4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直杆，2米，管径65（厚3.5mm）</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抱箍支臂</w:t>
            </w:r>
          </w:p>
        </w:tc>
        <w:tc>
          <w:tcPr>
            <w:tcW w:w="4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直杆，3米，管径65（厚3.5mm）</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2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墙装支臂</w:t>
            </w:r>
          </w:p>
        </w:tc>
        <w:tc>
          <w:tcPr>
            <w:tcW w:w="4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直杆，1米，管径65（厚3.5mm）</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立杆底座</w:t>
            </w:r>
          </w:p>
        </w:tc>
        <w:tc>
          <w:tcPr>
            <w:tcW w:w="4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直径165基坑尺寸1000*1000*1100（地下埋深）、含预埋件、防雷接地</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立杆底座</w:t>
            </w:r>
          </w:p>
        </w:tc>
        <w:tc>
          <w:tcPr>
            <w:tcW w:w="4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直径219基坑尺寸1200*1200*1600（地下埋深）、含预埋件、防雷接地</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1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二、电力部分</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电网国家电表接入费</w:t>
            </w:r>
          </w:p>
        </w:tc>
        <w:tc>
          <w:tcPr>
            <w:tcW w:w="4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包含满足国家电网接入电表等相关配套的技术服务</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利旧点位电力接入及检测费</w:t>
            </w:r>
          </w:p>
        </w:tc>
        <w:tc>
          <w:tcPr>
            <w:tcW w:w="4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点位电力接入及检测费</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新建点位电力接入及检测费</w:t>
            </w:r>
          </w:p>
        </w:tc>
        <w:tc>
          <w:tcPr>
            <w:tcW w:w="4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电力接入及检测费</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bidi="ar"/>
              </w:rPr>
              <w:t>电缆施工费用2</w:t>
            </w:r>
          </w:p>
        </w:tc>
        <w:tc>
          <w:tcPr>
            <w:tcW w:w="4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bidi="ar"/>
              </w:rPr>
              <w:t>沿墙钉固含所需电源线RVV3*2.5、YJV3*4、YJV3*6费用、PVC穿线管、卡子等材料和施费用</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bidi="ar"/>
              </w:rPr>
              <w:t>电缆施工费用3</w:t>
            </w:r>
          </w:p>
        </w:tc>
        <w:tc>
          <w:tcPr>
            <w:tcW w:w="4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bidi="ar"/>
              </w:rPr>
              <w:t>道路（大理石、油路花砖等）、绿化带等开挖、回填、PE穿线管、电源线RVV3*2.5、YJV3*4、YJV3*6等施工费用</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71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三、新建平台部分</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bidi="ar"/>
              </w:rPr>
              <w:t>48盘位云存储设备</w:t>
            </w:r>
          </w:p>
        </w:tc>
        <w:tc>
          <w:tcPr>
            <w:tcW w:w="4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bidi="ar"/>
              </w:rPr>
              <w:t>48盘位视频监控云存储节点：单控制器</w:t>
            </w:r>
            <w:r>
              <w:rPr>
                <w:rFonts w:hint="eastAsia" w:ascii="新宋体" w:hAnsi="新宋体" w:eastAsia="新宋体" w:cs="新宋体"/>
                <w:i w:val="0"/>
                <w:iCs w:val="0"/>
                <w:color w:val="000000"/>
                <w:kern w:val="0"/>
                <w:sz w:val="20"/>
                <w:szCs w:val="20"/>
                <w:u w:val="none"/>
                <w:lang w:val="en-US" w:eastAsia="zh-CN" w:bidi="ar"/>
              </w:rPr>
              <w:br w:type="textWrapping"/>
            </w:r>
            <w:r>
              <w:rPr>
                <w:rFonts w:hint="eastAsia" w:ascii="新宋体" w:hAnsi="新宋体" w:eastAsia="新宋体" w:cs="新宋体"/>
                <w:i w:val="0"/>
                <w:iCs w:val="0"/>
                <w:color w:val="000000"/>
                <w:kern w:val="0"/>
                <w:sz w:val="20"/>
                <w:szCs w:val="20"/>
                <w:u w:val="none"/>
                <w:lang w:val="en-US" w:eastAsia="zh-CN" w:bidi="ar"/>
              </w:rPr>
              <w:t>磁盘通道数：48</w:t>
            </w:r>
            <w:r>
              <w:rPr>
                <w:rFonts w:hint="eastAsia" w:ascii="新宋体" w:hAnsi="新宋体" w:eastAsia="新宋体" w:cs="新宋体"/>
                <w:i w:val="0"/>
                <w:iCs w:val="0"/>
                <w:color w:val="000000"/>
                <w:kern w:val="0"/>
                <w:sz w:val="20"/>
                <w:szCs w:val="20"/>
                <w:u w:val="none"/>
                <w:lang w:val="en-US" w:eastAsia="zh-CN" w:bidi="ar"/>
              </w:rPr>
              <w:br w:type="textWrapping"/>
            </w:r>
            <w:r>
              <w:rPr>
                <w:rFonts w:hint="eastAsia" w:ascii="新宋体" w:hAnsi="新宋体" w:eastAsia="新宋体" w:cs="新宋体"/>
                <w:i w:val="0"/>
                <w:iCs w:val="0"/>
                <w:color w:val="000000"/>
                <w:kern w:val="0"/>
                <w:sz w:val="20"/>
                <w:szCs w:val="20"/>
                <w:u w:val="none"/>
                <w:lang w:val="en-US" w:eastAsia="zh-CN" w:bidi="ar"/>
              </w:rPr>
              <w:t>电源模块：交流电源</w:t>
            </w:r>
            <w:r>
              <w:rPr>
                <w:rFonts w:hint="eastAsia" w:ascii="新宋体" w:hAnsi="新宋体" w:eastAsia="新宋体" w:cs="新宋体"/>
                <w:i w:val="0"/>
                <w:iCs w:val="0"/>
                <w:color w:val="000000"/>
                <w:kern w:val="0"/>
                <w:sz w:val="20"/>
                <w:szCs w:val="20"/>
                <w:u w:val="none"/>
                <w:lang w:val="en-US" w:eastAsia="zh-CN" w:bidi="ar"/>
              </w:rPr>
              <w:br w:type="textWrapping"/>
            </w:r>
            <w:r>
              <w:rPr>
                <w:rFonts w:hint="eastAsia" w:ascii="新宋体" w:hAnsi="新宋体" w:eastAsia="新宋体" w:cs="新宋体"/>
                <w:i w:val="0"/>
                <w:iCs w:val="0"/>
                <w:color w:val="000000"/>
                <w:kern w:val="0"/>
                <w:sz w:val="20"/>
                <w:szCs w:val="20"/>
                <w:u w:val="none"/>
                <w:lang w:val="en-US" w:eastAsia="zh-CN" w:bidi="ar"/>
              </w:rPr>
              <w:t>网络接口：5个千兆以太网接口</w:t>
            </w:r>
            <w:r>
              <w:rPr>
                <w:rFonts w:hint="eastAsia" w:ascii="新宋体" w:hAnsi="新宋体" w:eastAsia="新宋体" w:cs="新宋体"/>
                <w:i w:val="0"/>
                <w:iCs w:val="0"/>
                <w:color w:val="000000"/>
                <w:kern w:val="0"/>
                <w:sz w:val="20"/>
                <w:szCs w:val="20"/>
                <w:u w:val="none"/>
                <w:lang w:val="en-US" w:eastAsia="zh-CN" w:bidi="ar"/>
              </w:rPr>
              <w:br w:type="textWrapping"/>
            </w:r>
            <w:r>
              <w:rPr>
                <w:rFonts w:hint="eastAsia" w:ascii="新宋体" w:hAnsi="新宋体" w:eastAsia="新宋体" w:cs="新宋体"/>
                <w:i w:val="0"/>
                <w:iCs w:val="0"/>
                <w:color w:val="000000"/>
                <w:kern w:val="0"/>
                <w:sz w:val="20"/>
                <w:szCs w:val="20"/>
                <w:u w:val="none"/>
                <w:lang w:val="en-US" w:eastAsia="zh-CN" w:bidi="ar"/>
              </w:rPr>
              <w:t>性能：512路2M块直存、51路回放</w:t>
            </w:r>
            <w:r>
              <w:rPr>
                <w:rFonts w:hint="eastAsia" w:ascii="新宋体" w:hAnsi="新宋体" w:eastAsia="新宋体" w:cs="新宋体"/>
                <w:i w:val="0"/>
                <w:iCs w:val="0"/>
                <w:color w:val="000000"/>
                <w:kern w:val="0"/>
                <w:sz w:val="20"/>
                <w:szCs w:val="20"/>
                <w:u w:val="none"/>
                <w:lang w:val="en-US" w:eastAsia="zh-CN" w:bidi="ar"/>
              </w:rPr>
              <w:br w:type="textWrapping"/>
            </w:r>
            <w:r>
              <w:rPr>
                <w:rFonts w:hint="eastAsia" w:ascii="新宋体" w:hAnsi="新宋体" w:eastAsia="新宋体" w:cs="新宋体"/>
                <w:i w:val="0"/>
                <w:iCs w:val="0"/>
                <w:color w:val="000000"/>
                <w:kern w:val="0"/>
                <w:sz w:val="20"/>
                <w:szCs w:val="20"/>
                <w:u w:val="none"/>
                <w:lang w:val="en-US" w:eastAsia="zh-CN" w:bidi="ar"/>
              </w:rPr>
              <w:t>384路2M流直存，38路回放</w:t>
            </w:r>
            <w:r>
              <w:rPr>
                <w:rFonts w:hint="eastAsia" w:ascii="新宋体" w:hAnsi="新宋体" w:eastAsia="新宋体" w:cs="新宋体"/>
                <w:i w:val="0"/>
                <w:iCs w:val="0"/>
                <w:color w:val="000000"/>
                <w:kern w:val="0"/>
                <w:sz w:val="20"/>
                <w:szCs w:val="20"/>
                <w:u w:val="none"/>
                <w:lang w:val="en-US" w:eastAsia="zh-CN" w:bidi="ar"/>
              </w:rPr>
              <w:br w:type="textWrapping"/>
            </w:r>
            <w:r>
              <w:rPr>
                <w:rFonts w:hint="eastAsia" w:ascii="新宋体" w:hAnsi="新宋体" w:eastAsia="新宋体" w:cs="新宋体"/>
                <w:i w:val="0"/>
                <w:iCs w:val="0"/>
                <w:color w:val="000000"/>
                <w:kern w:val="0"/>
                <w:sz w:val="20"/>
                <w:szCs w:val="20"/>
                <w:u w:val="none"/>
                <w:lang w:val="en-US" w:eastAsia="zh-CN" w:bidi="ar"/>
              </w:rPr>
              <w:t xml:space="preserve"> 支持提供存储虚拟化管理功能，将所有存储节点空间合并成一个存储虚拟池，对外提供海量存储空间管理</w:t>
            </w:r>
            <w:r>
              <w:rPr>
                <w:rFonts w:hint="eastAsia" w:ascii="新宋体" w:hAnsi="新宋体" w:eastAsia="新宋体" w:cs="新宋体"/>
                <w:i w:val="0"/>
                <w:iCs w:val="0"/>
                <w:color w:val="000000"/>
                <w:kern w:val="0"/>
                <w:sz w:val="20"/>
                <w:szCs w:val="20"/>
                <w:u w:val="none"/>
                <w:lang w:val="en-US" w:eastAsia="zh-CN" w:bidi="ar"/>
              </w:rPr>
              <w:br w:type="textWrapping"/>
            </w:r>
            <w:r>
              <w:rPr>
                <w:rFonts w:hint="eastAsia" w:ascii="新宋体" w:hAnsi="新宋体" w:eastAsia="新宋体" w:cs="新宋体"/>
                <w:i w:val="0"/>
                <w:iCs w:val="0"/>
                <w:color w:val="000000"/>
                <w:kern w:val="0"/>
                <w:sz w:val="20"/>
                <w:szCs w:val="20"/>
                <w:u w:val="none"/>
                <w:lang w:val="en-US" w:eastAsia="zh-CN" w:bidi="ar"/>
              </w:rPr>
              <w:t>支持PCIe插槽、支持千兆GE接口卡和万兆10GE接口卡、Mini SAS HD卡(SAS 3.0)</w:t>
            </w:r>
            <w:r>
              <w:rPr>
                <w:rFonts w:hint="eastAsia" w:ascii="新宋体" w:hAnsi="新宋体" w:eastAsia="新宋体" w:cs="新宋体"/>
                <w:i w:val="0"/>
                <w:iCs w:val="0"/>
                <w:color w:val="000000"/>
                <w:kern w:val="0"/>
                <w:sz w:val="20"/>
                <w:szCs w:val="20"/>
                <w:u w:val="none"/>
                <w:lang w:val="en-US" w:eastAsia="zh-CN" w:bidi="ar"/>
              </w:rPr>
              <w:br w:type="textWrapping"/>
            </w:r>
            <w:r>
              <w:rPr>
                <w:rFonts w:hint="eastAsia" w:ascii="新宋体" w:hAnsi="新宋体" w:eastAsia="新宋体" w:cs="新宋体"/>
                <w:i w:val="0"/>
                <w:iCs w:val="0"/>
                <w:color w:val="000000"/>
                <w:kern w:val="0"/>
                <w:sz w:val="20"/>
                <w:szCs w:val="20"/>
                <w:u w:val="none"/>
                <w:lang w:val="en-US" w:eastAsia="zh-CN" w:bidi="ar"/>
              </w:rPr>
              <w:t>支持网络端口链路聚合、负载均衡</w:t>
            </w:r>
            <w:r>
              <w:rPr>
                <w:rFonts w:hint="eastAsia" w:ascii="新宋体" w:hAnsi="新宋体" w:eastAsia="新宋体" w:cs="新宋体"/>
                <w:i w:val="0"/>
                <w:iCs w:val="0"/>
                <w:color w:val="000000"/>
                <w:kern w:val="0"/>
                <w:sz w:val="20"/>
                <w:szCs w:val="20"/>
                <w:u w:val="none"/>
                <w:lang w:val="en-US" w:eastAsia="zh-CN" w:bidi="ar"/>
              </w:rPr>
              <w:br w:type="textWrapping"/>
            </w:r>
            <w:r>
              <w:rPr>
                <w:rFonts w:hint="eastAsia" w:ascii="新宋体" w:hAnsi="新宋体" w:eastAsia="新宋体" w:cs="新宋体"/>
                <w:i w:val="0"/>
                <w:iCs w:val="0"/>
                <w:color w:val="000000"/>
                <w:kern w:val="0"/>
                <w:sz w:val="20"/>
                <w:szCs w:val="20"/>
                <w:u w:val="none"/>
                <w:lang w:val="en-US" w:eastAsia="zh-CN" w:bidi="ar"/>
              </w:rPr>
              <w:t>支持标准ONVIF、GB/T28181等标准前端接入</w:t>
            </w:r>
            <w:r>
              <w:rPr>
                <w:rFonts w:hint="eastAsia" w:ascii="新宋体" w:hAnsi="新宋体" w:eastAsia="新宋体" w:cs="新宋体"/>
                <w:i w:val="0"/>
                <w:iCs w:val="0"/>
                <w:color w:val="000000"/>
                <w:kern w:val="0"/>
                <w:sz w:val="20"/>
                <w:szCs w:val="20"/>
                <w:u w:val="none"/>
                <w:lang w:val="en-US" w:eastAsia="zh-CN" w:bidi="ar"/>
              </w:rPr>
              <w:br w:type="textWrapping"/>
            </w:r>
            <w:r>
              <w:rPr>
                <w:rFonts w:hint="eastAsia" w:ascii="新宋体" w:hAnsi="新宋体" w:eastAsia="新宋体" w:cs="新宋体"/>
                <w:i w:val="0"/>
                <w:iCs w:val="0"/>
                <w:color w:val="000000"/>
                <w:kern w:val="0"/>
                <w:sz w:val="20"/>
                <w:szCs w:val="20"/>
                <w:u w:val="none"/>
                <w:lang w:val="en-US" w:eastAsia="zh-CN" w:bidi="ar"/>
              </w:rPr>
              <w:t>支持视频智能结构化数据存储</w:t>
            </w:r>
            <w:r>
              <w:rPr>
                <w:rFonts w:hint="eastAsia" w:ascii="新宋体" w:hAnsi="新宋体" w:eastAsia="新宋体" w:cs="新宋体"/>
                <w:i w:val="0"/>
                <w:iCs w:val="0"/>
                <w:color w:val="000000"/>
                <w:kern w:val="0"/>
                <w:sz w:val="20"/>
                <w:szCs w:val="20"/>
                <w:u w:val="none"/>
                <w:lang w:val="en-US" w:eastAsia="zh-CN" w:bidi="ar"/>
              </w:rPr>
              <w:br w:type="textWrapping"/>
            </w:r>
            <w:r>
              <w:rPr>
                <w:rFonts w:hint="eastAsia" w:ascii="新宋体" w:hAnsi="新宋体" w:eastAsia="新宋体" w:cs="新宋体"/>
                <w:i w:val="0"/>
                <w:iCs w:val="0"/>
                <w:color w:val="000000"/>
                <w:kern w:val="0"/>
                <w:sz w:val="20"/>
                <w:szCs w:val="20"/>
                <w:u w:val="none"/>
                <w:lang w:val="en-US" w:eastAsia="zh-CN" w:bidi="ar"/>
              </w:rPr>
              <w:t>支持裸数据块直存方式，无文件系统碎片，海量小文件存储性能无衰减</w:t>
            </w:r>
            <w:r>
              <w:rPr>
                <w:rFonts w:hint="eastAsia" w:ascii="新宋体" w:hAnsi="新宋体" w:eastAsia="新宋体" w:cs="新宋体"/>
                <w:i w:val="0"/>
                <w:iCs w:val="0"/>
                <w:color w:val="000000"/>
                <w:kern w:val="0"/>
                <w:sz w:val="20"/>
                <w:szCs w:val="20"/>
                <w:u w:val="none"/>
                <w:lang w:val="en-US" w:eastAsia="zh-CN" w:bidi="ar"/>
              </w:rPr>
              <w:br w:type="textWrapping"/>
            </w:r>
            <w:r>
              <w:rPr>
                <w:rFonts w:hint="eastAsia" w:ascii="新宋体" w:hAnsi="新宋体" w:eastAsia="新宋体" w:cs="新宋体"/>
                <w:i w:val="0"/>
                <w:iCs w:val="0"/>
                <w:color w:val="000000"/>
                <w:kern w:val="0"/>
                <w:sz w:val="20"/>
                <w:szCs w:val="20"/>
                <w:u w:val="none"/>
                <w:lang w:val="en-US" w:eastAsia="zh-CN" w:bidi="ar"/>
              </w:rPr>
              <w:t>支持数据离散，并发读写，支持视频秒级检索及回放，视频、图片极速下载</w:t>
            </w:r>
            <w:r>
              <w:rPr>
                <w:rFonts w:hint="eastAsia" w:ascii="新宋体" w:hAnsi="新宋体" w:eastAsia="新宋体" w:cs="新宋体"/>
                <w:i w:val="0"/>
                <w:iCs w:val="0"/>
                <w:color w:val="000000"/>
                <w:kern w:val="0"/>
                <w:sz w:val="20"/>
                <w:szCs w:val="20"/>
                <w:u w:val="none"/>
                <w:lang w:val="en-US" w:eastAsia="zh-CN" w:bidi="ar"/>
              </w:rPr>
              <w:br w:type="textWrapping"/>
            </w:r>
            <w:r>
              <w:rPr>
                <w:rFonts w:hint="eastAsia" w:ascii="新宋体" w:hAnsi="新宋体" w:eastAsia="新宋体" w:cs="新宋体"/>
                <w:i w:val="0"/>
                <w:iCs w:val="0"/>
                <w:color w:val="000000"/>
                <w:kern w:val="0"/>
                <w:sz w:val="20"/>
                <w:szCs w:val="20"/>
                <w:u w:val="none"/>
                <w:lang w:val="en-US" w:eastAsia="zh-CN" w:bidi="ar"/>
              </w:rPr>
              <w:t>支持云节点负载均衡、故障切换，解决单节点性能瓶颈问题及单节点故障问题，保证业务连续性</w:t>
            </w:r>
            <w:r>
              <w:rPr>
                <w:rFonts w:hint="eastAsia" w:ascii="新宋体" w:hAnsi="新宋体" w:eastAsia="新宋体" w:cs="新宋体"/>
                <w:i w:val="0"/>
                <w:iCs w:val="0"/>
                <w:color w:val="000000"/>
                <w:kern w:val="0"/>
                <w:sz w:val="20"/>
                <w:szCs w:val="20"/>
                <w:u w:val="none"/>
                <w:lang w:val="en-US" w:eastAsia="zh-CN" w:bidi="ar"/>
              </w:rPr>
              <w:br w:type="textWrapping"/>
            </w:r>
            <w:r>
              <w:rPr>
                <w:rFonts w:hint="eastAsia" w:ascii="新宋体" w:hAnsi="新宋体" w:eastAsia="新宋体" w:cs="新宋体"/>
                <w:i w:val="0"/>
                <w:iCs w:val="0"/>
                <w:color w:val="000000"/>
                <w:kern w:val="0"/>
                <w:sz w:val="20"/>
                <w:szCs w:val="20"/>
                <w:u w:val="none"/>
                <w:lang w:val="en-US" w:eastAsia="zh-CN" w:bidi="ar"/>
              </w:rPr>
              <w:t>支持云备份功能，实现云内数据备份和云间备份</w:t>
            </w:r>
            <w:r>
              <w:rPr>
                <w:rFonts w:hint="eastAsia" w:ascii="新宋体" w:hAnsi="新宋体" w:eastAsia="新宋体" w:cs="新宋体"/>
                <w:i w:val="0"/>
                <w:iCs w:val="0"/>
                <w:color w:val="000000"/>
                <w:kern w:val="0"/>
                <w:sz w:val="20"/>
                <w:szCs w:val="20"/>
                <w:u w:val="none"/>
                <w:lang w:val="en-US" w:eastAsia="zh-CN" w:bidi="ar"/>
              </w:rPr>
              <w:br w:type="textWrapping"/>
            </w:r>
            <w:r>
              <w:rPr>
                <w:rFonts w:hint="eastAsia" w:ascii="新宋体" w:hAnsi="新宋体" w:eastAsia="新宋体" w:cs="新宋体"/>
                <w:i w:val="0"/>
                <w:iCs w:val="0"/>
                <w:color w:val="000000"/>
                <w:kern w:val="0"/>
                <w:sz w:val="20"/>
                <w:szCs w:val="20"/>
                <w:u w:val="none"/>
                <w:lang w:val="en-US" w:eastAsia="zh-CN" w:bidi="ar"/>
              </w:rPr>
              <w:t>支持冗余电源，风扇，电池，支持磁盘、电源、风扇、电池的热插拔和在线更换</w:t>
            </w:r>
            <w:r>
              <w:rPr>
                <w:rFonts w:hint="eastAsia" w:ascii="新宋体" w:hAnsi="新宋体" w:eastAsia="新宋体" w:cs="新宋体"/>
                <w:i w:val="0"/>
                <w:iCs w:val="0"/>
                <w:color w:val="000000"/>
                <w:kern w:val="0"/>
                <w:sz w:val="20"/>
                <w:szCs w:val="20"/>
                <w:u w:val="none"/>
                <w:lang w:val="en-US" w:eastAsia="zh-CN" w:bidi="ar"/>
              </w:rPr>
              <w:br w:type="textWrapping"/>
            </w:r>
            <w:r>
              <w:rPr>
                <w:rFonts w:hint="eastAsia" w:ascii="新宋体" w:hAnsi="新宋体" w:eastAsia="新宋体" w:cs="新宋体"/>
                <w:i w:val="0"/>
                <w:iCs w:val="0"/>
                <w:color w:val="000000"/>
                <w:kern w:val="0"/>
                <w:sz w:val="20"/>
                <w:szCs w:val="20"/>
                <w:u w:val="none"/>
                <w:lang w:val="en-US" w:eastAsia="zh-CN" w:bidi="ar"/>
              </w:rPr>
              <w:t>支持数码管、指示灯、蜂鸣器告警、邮件告警、SNMP Trap、短信等告警方式对故障进行告警</w:t>
            </w:r>
            <w:r>
              <w:rPr>
                <w:rFonts w:hint="eastAsia" w:ascii="新宋体" w:hAnsi="新宋体" w:eastAsia="新宋体" w:cs="新宋体"/>
                <w:i w:val="0"/>
                <w:iCs w:val="0"/>
                <w:color w:val="000000"/>
                <w:kern w:val="0"/>
                <w:sz w:val="20"/>
                <w:szCs w:val="20"/>
                <w:u w:val="none"/>
                <w:lang w:val="en-US" w:eastAsia="zh-CN" w:bidi="ar"/>
              </w:rPr>
              <w:br w:type="textWrapping"/>
            </w:r>
            <w:r>
              <w:rPr>
                <w:rFonts w:hint="eastAsia" w:ascii="新宋体" w:hAnsi="新宋体" w:eastAsia="新宋体" w:cs="新宋体"/>
                <w:i w:val="0"/>
                <w:iCs w:val="0"/>
                <w:color w:val="000000"/>
                <w:kern w:val="0"/>
                <w:sz w:val="20"/>
                <w:szCs w:val="20"/>
                <w:u w:val="none"/>
                <w:lang w:val="en-US" w:eastAsia="zh-CN" w:bidi="ar"/>
              </w:rPr>
              <w:t>支持IP冲突告警、网口降速、电源故障、风扇故障、电池电量不足、电池故障等告警</w:t>
            </w:r>
            <w:r>
              <w:rPr>
                <w:rFonts w:hint="eastAsia" w:ascii="新宋体" w:hAnsi="新宋体" w:eastAsia="新宋体" w:cs="新宋体"/>
                <w:i w:val="0"/>
                <w:iCs w:val="0"/>
                <w:color w:val="000000"/>
                <w:kern w:val="0"/>
                <w:sz w:val="20"/>
                <w:szCs w:val="20"/>
                <w:u w:val="none"/>
                <w:lang w:val="en-US" w:eastAsia="zh-CN" w:bidi="ar"/>
              </w:rPr>
              <w:br w:type="textWrapping"/>
            </w:r>
            <w:r>
              <w:rPr>
                <w:rFonts w:hint="eastAsia" w:ascii="新宋体" w:hAnsi="新宋体" w:eastAsia="新宋体" w:cs="新宋体"/>
                <w:i w:val="0"/>
                <w:iCs w:val="0"/>
                <w:color w:val="000000"/>
                <w:kern w:val="0"/>
                <w:sz w:val="20"/>
                <w:szCs w:val="20"/>
                <w:u w:val="none"/>
                <w:lang w:val="en-US" w:eastAsia="zh-CN" w:bidi="ar"/>
              </w:rPr>
              <w:t>支持数据保险箱（掉电数据永久保护）</w:t>
            </w:r>
            <w:r>
              <w:rPr>
                <w:rFonts w:hint="eastAsia" w:ascii="新宋体" w:hAnsi="新宋体" w:eastAsia="新宋体" w:cs="新宋体"/>
                <w:i w:val="0"/>
                <w:iCs w:val="0"/>
                <w:color w:val="000000"/>
                <w:kern w:val="0"/>
                <w:sz w:val="20"/>
                <w:szCs w:val="20"/>
                <w:u w:val="none"/>
                <w:lang w:val="en-US" w:eastAsia="zh-CN" w:bidi="ar"/>
              </w:rPr>
              <w:br w:type="textWrapping"/>
            </w:r>
            <w:r>
              <w:rPr>
                <w:rFonts w:hint="eastAsia" w:ascii="新宋体" w:hAnsi="新宋体" w:eastAsia="新宋体" w:cs="新宋体"/>
                <w:i w:val="0"/>
                <w:iCs w:val="0"/>
                <w:color w:val="000000"/>
                <w:kern w:val="0"/>
                <w:sz w:val="20"/>
                <w:szCs w:val="20"/>
                <w:u w:val="none"/>
                <w:lang w:val="en-US" w:eastAsia="zh-CN" w:bidi="ar"/>
              </w:rPr>
              <w:t>支持JBOD、RAID 0、1、5、6、10、50，RAID阵列可即建即用</w:t>
            </w:r>
            <w:r>
              <w:rPr>
                <w:rFonts w:hint="eastAsia" w:ascii="新宋体" w:hAnsi="新宋体" w:eastAsia="新宋体" w:cs="新宋体"/>
                <w:i w:val="0"/>
                <w:iCs w:val="0"/>
                <w:color w:val="000000"/>
                <w:kern w:val="0"/>
                <w:sz w:val="20"/>
                <w:szCs w:val="20"/>
                <w:u w:val="none"/>
                <w:lang w:val="en-US" w:eastAsia="zh-CN" w:bidi="ar"/>
              </w:rPr>
              <w:br w:type="textWrapping"/>
            </w:r>
            <w:r>
              <w:rPr>
                <w:rFonts w:hint="eastAsia" w:ascii="新宋体" w:hAnsi="新宋体" w:eastAsia="新宋体" w:cs="新宋体"/>
                <w:i w:val="0"/>
                <w:iCs w:val="0"/>
                <w:color w:val="000000"/>
                <w:kern w:val="0"/>
                <w:sz w:val="20"/>
                <w:szCs w:val="20"/>
                <w:u w:val="none"/>
                <w:lang w:val="en-US" w:eastAsia="zh-CN" w:bidi="ar"/>
              </w:rPr>
              <w:t>支持SATA、SSD盘</w:t>
            </w:r>
            <w:r>
              <w:rPr>
                <w:rFonts w:hint="eastAsia" w:ascii="新宋体" w:hAnsi="新宋体" w:eastAsia="新宋体" w:cs="新宋体"/>
                <w:i w:val="0"/>
                <w:iCs w:val="0"/>
                <w:color w:val="000000"/>
                <w:kern w:val="0"/>
                <w:sz w:val="20"/>
                <w:szCs w:val="20"/>
                <w:u w:val="none"/>
                <w:lang w:val="en-US" w:eastAsia="zh-CN" w:bidi="ar"/>
              </w:rPr>
              <w:br w:type="textWrapping"/>
            </w:r>
            <w:r>
              <w:rPr>
                <w:rFonts w:hint="eastAsia" w:ascii="新宋体" w:hAnsi="新宋体" w:eastAsia="新宋体" w:cs="新宋体"/>
                <w:i w:val="0"/>
                <w:iCs w:val="0"/>
                <w:color w:val="000000"/>
                <w:kern w:val="0"/>
                <w:sz w:val="20"/>
                <w:szCs w:val="20"/>
                <w:u w:val="none"/>
                <w:lang w:val="en-US" w:eastAsia="zh-CN" w:bidi="ar"/>
              </w:rPr>
              <w:t>支持自动空白盘全局热备、专有热备</w:t>
            </w:r>
            <w:r>
              <w:rPr>
                <w:rFonts w:hint="eastAsia" w:ascii="新宋体" w:hAnsi="新宋体" w:eastAsia="新宋体" w:cs="新宋体"/>
                <w:i w:val="0"/>
                <w:iCs w:val="0"/>
                <w:color w:val="000000"/>
                <w:kern w:val="0"/>
                <w:sz w:val="20"/>
                <w:szCs w:val="20"/>
                <w:u w:val="none"/>
                <w:lang w:val="en-US" w:eastAsia="zh-CN" w:bidi="ar"/>
              </w:rPr>
              <w:br w:type="textWrapping"/>
            </w:r>
            <w:r>
              <w:rPr>
                <w:rFonts w:hint="eastAsia" w:ascii="新宋体" w:hAnsi="新宋体" w:eastAsia="新宋体" w:cs="新宋体"/>
                <w:i w:val="0"/>
                <w:iCs w:val="0"/>
                <w:color w:val="000000"/>
                <w:kern w:val="0"/>
                <w:sz w:val="20"/>
                <w:szCs w:val="20"/>
                <w:u w:val="none"/>
                <w:lang w:val="en-US" w:eastAsia="zh-CN" w:bidi="ar"/>
              </w:rPr>
              <w:t>支持RAID阵列磁盘进行定位，RAID阵列自动巡检</w:t>
            </w:r>
            <w:r>
              <w:rPr>
                <w:rFonts w:hint="eastAsia" w:ascii="新宋体" w:hAnsi="新宋体" w:eastAsia="新宋体" w:cs="新宋体"/>
                <w:i w:val="0"/>
                <w:iCs w:val="0"/>
                <w:color w:val="000000"/>
                <w:kern w:val="0"/>
                <w:sz w:val="20"/>
                <w:szCs w:val="20"/>
                <w:u w:val="none"/>
                <w:lang w:val="en-US" w:eastAsia="zh-CN" w:bidi="ar"/>
              </w:rPr>
              <w:br w:type="textWrapping"/>
            </w:r>
            <w:r>
              <w:rPr>
                <w:rFonts w:hint="eastAsia" w:ascii="新宋体" w:hAnsi="新宋体" w:eastAsia="新宋体" w:cs="新宋体"/>
                <w:i w:val="0"/>
                <w:iCs w:val="0"/>
                <w:color w:val="000000"/>
                <w:kern w:val="0"/>
                <w:sz w:val="20"/>
                <w:szCs w:val="20"/>
                <w:u w:val="none"/>
                <w:lang w:val="en-US" w:eastAsia="zh-CN" w:bidi="ar"/>
              </w:rPr>
              <w:t>支持RAID阵列重构重建、无感知重建、SMART检测预拷贝，RAID阵列可自动动态调整重建速度、重建/同步优先级</w:t>
            </w:r>
            <w:r>
              <w:rPr>
                <w:rFonts w:hint="eastAsia" w:ascii="新宋体" w:hAnsi="新宋体" w:eastAsia="新宋体" w:cs="新宋体"/>
                <w:i w:val="0"/>
                <w:iCs w:val="0"/>
                <w:color w:val="000000"/>
                <w:kern w:val="0"/>
                <w:sz w:val="20"/>
                <w:szCs w:val="20"/>
                <w:u w:val="none"/>
                <w:lang w:val="en-US" w:eastAsia="zh-CN" w:bidi="ar"/>
              </w:rPr>
              <w:br w:type="textWrapping"/>
            </w:r>
            <w:r>
              <w:rPr>
                <w:rFonts w:hint="eastAsia" w:ascii="新宋体" w:hAnsi="新宋体" w:eastAsia="新宋体" w:cs="新宋体"/>
                <w:i w:val="0"/>
                <w:iCs w:val="0"/>
                <w:color w:val="000000"/>
                <w:kern w:val="0"/>
                <w:sz w:val="20"/>
                <w:szCs w:val="20"/>
                <w:u w:val="none"/>
                <w:lang w:val="en-US" w:eastAsia="zh-CN" w:bidi="ar"/>
              </w:rPr>
              <w:t>支持RAID阵列磁盘坏块替换、多错误容忍、磁盘错误修复</w:t>
            </w:r>
            <w:r>
              <w:rPr>
                <w:rFonts w:hint="eastAsia" w:ascii="新宋体" w:hAnsi="新宋体" w:eastAsia="新宋体" w:cs="新宋体"/>
                <w:i w:val="0"/>
                <w:iCs w:val="0"/>
                <w:color w:val="000000"/>
                <w:kern w:val="0"/>
                <w:sz w:val="20"/>
                <w:szCs w:val="20"/>
                <w:u w:val="none"/>
                <w:lang w:val="en-US" w:eastAsia="zh-CN" w:bidi="ar"/>
              </w:rPr>
              <w:br w:type="textWrapping"/>
            </w:r>
            <w:r>
              <w:rPr>
                <w:rFonts w:hint="eastAsia" w:ascii="新宋体" w:hAnsi="新宋体" w:eastAsia="新宋体" w:cs="新宋体"/>
                <w:i w:val="0"/>
                <w:iCs w:val="0"/>
                <w:color w:val="000000"/>
                <w:kern w:val="0"/>
                <w:sz w:val="20"/>
                <w:szCs w:val="20"/>
                <w:u w:val="none"/>
                <w:lang w:val="en-US" w:eastAsia="zh-CN" w:bidi="ar"/>
              </w:rPr>
              <w:t>支持硬件过载保护机制</w:t>
            </w:r>
            <w:r>
              <w:rPr>
                <w:rFonts w:hint="eastAsia" w:ascii="新宋体" w:hAnsi="新宋体" w:eastAsia="新宋体" w:cs="新宋体"/>
                <w:i w:val="0"/>
                <w:iCs w:val="0"/>
                <w:color w:val="000000"/>
                <w:kern w:val="0"/>
                <w:sz w:val="20"/>
                <w:szCs w:val="20"/>
                <w:u w:val="none"/>
                <w:lang w:val="en-US" w:eastAsia="zh-CN" w:bidi="ar"/>
              </w:rPr>
              <w:br w:type="textWrapping"/>
            </w:r>
            <w:r>
              <w:rPr>
                <w:rFonts w:hint="eastAsia" w:ascii="新宋体" w:hAnsi="新宋体" w:eastAsia="新宋体" w:cs="新宋体"/>
                <w:i w:val="0"/>
                <w:iCs w:val="0"/>
                <w:color w:val="000000"/>
                <w:kern w:val="0"/>
                <w:sz w:val="20"/>
                <w:szCs w:val="20"/>
                <w:u w:val="none"/>
                <w:lang w:val="en-US" w:eastAsia="zh-CN" w:bidi="ar"/>
              </w:rPr>
              <w:t>支持风扇多级调速技术</w:t>
            </w:r>
            <w:r>
              <w:rPr>
                <w:rFonts w:hint="eastAsia" w:ascii="新宋体" w:hAnsi="新宋体" w:eastAsia="新宋体" w:cs="新宋体"/>
                <w:i w:val="0"/>
                <w:iCs w:val="0"/>
                <w:color w:val="000000"/>
                <w:kern w:val="0"/>
                <w:sz w:val="20"/>
                <w:szCs w:val="20"/>
                <w:u w:val="none"/>
                <w:lang w:val="en-US" w:eastAsia="zh-CN" w:bidi="ar"/>
              </w:rPr>
              <w:br w:type="textWrapping"/>
            </w:r>
            <w:r>
              <w:rPr>
                <w:rFonts w:hint="eastAsia" w:ascii="新宋体" w:hAnsi="新宋体" w:eastAsia="新宋体" w:cs="新宋体"/>
                <w:i w:val="0"/>
                <w:iCs w:val="0"/>
                <w:color w:val="000000"/>
                <w:kern w:val="0"/>
                <w:sz w:val="20"/>
                <w:szCs w:val="20"/>
                <w:u w:val="none"/>
                <w:lang w:val="en-US" w:eastAsia="zh-CN" w:bidi="ar"/>
              </w:rPr>
              <w:t>支持防尘、防震、防腐蚀</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6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 </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bidi="ar"/>
              </w:rPr>
              <w:t>云存储硬盘(18TB*2)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bidi="ar"/>
              </w:rPr>
              <w:t>监控级SATA硬盘：18TB*2</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 </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bidi="ar"/>
              </w:rPr>
              <w:t>电池模块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bidi="ar"/>
              </w:rPr>
              <w:t>电池模块</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 </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bidi="ar"/>
              </w:rPr>
              <w:t>700W电源模块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bidi="ar"/>
              </w:rPr>
              <w:t>700W电源模块</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 </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线缆辅材</w:t>
            </w:r>
          </w:p>
        </w:tc>
        <w:tc>
          <w:tcPr>
            <w:tcW w:w="4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含网线、水晶头、电源线、尾纤、信号线、标签、扎带等辅材</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71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四、改造前端部分</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星光级枪机</w:t>
            </w:r>
          </w:p>
        </w:tc>
        <w:tc>
          <w:tcPr>
            <w:tcW w:w="470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 采用≥1/1.8″逐行扫描400万像素图像传感器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 具有≥1个RJ45接口、2路报警输入、1路报警输出，1路音频输入、1个TF卡插槽，1路音频输出，1路RS485接口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 焦距范围：4/6/8/12mm，定焦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 最低照度：彩色≤0.0005lx、黑白≤0.0001lx。</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 支持120dB光学宽动态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 支持H.265、H.264、MJPEG编码格式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 支持ONVIF、GB/T 28181、GA/T 1400等协议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 支持TF卡热插拔，最大支持≥256GB TF卡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 支持暖光补光灯，补光距离≥30m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 设备支持人脸检测抓拍，可支持不低于40张人脸并发检测，支持抓拍优选，自动筛选出抓拍质量最优的图片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 支持混行检测：支持机动车、非机动车、行人分类检测抓拍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 防护等级≥IP67，支持在不低于-30～60℃环境下正常工作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供电方式：DC12V(±25%)、POE；含抱杆支架，DC12V/25W电源适配器，托板和万向节</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星光级枪机</w:t>
            </w:r>
          </w:p>
        </w:tc>
        <w:tc>
          <w:tcPr>
            <w:tcW w:w="470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 采用≥1/1.8″逐行扫描400万像素图像传感器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 具有≥1个RJ45接口、2路报警输入、1路报警输出，1路音频输入、1个TF卡插槽，1路音频输出，1路RS485接口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 焦距范围：2.8～12mm，电动变焦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 最低照度：彩色≤0.0005lx、黑白≤0.0001lx。</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 支持120dB光学宽动态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 支持H.265、H.264、MJPEG编码格式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 支持ONVIF、GB/T 28181、GA/T 1400等协议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 支持TF卡热插拔，最大支持≥256GB TF卡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 支持暖光补光灯，补光距离≥30m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 设备支持人脸检测抓拍，可支持不低于40张人脸并发检测，支持抓拍优选，自动筛选出抓拍质量最优的图片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 支持混行检测：支持机动车、非机动车、行人分类检测抓拍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 防护等级≥IP67，支持在不低于-30～60℃环境下正常工作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供电方式：DC12V(±25%)、POE；含抱杆支架，DC12V/25W电源适配器，托板和万向节</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星光级球机</w:t>
            </w:r>
          </w:p>
        </w:tc>
        <w:tc>
          <w:tcPr>
            <w:tcW w:w="470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 采用≥1/1.8 ”逐行扫描400万像素CMOS图像传感器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 支持6-150mm电动变焦，不小于25倍光学变倍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 支持最低照度：彩色：≤0.001lx，黑白：≤0.0001lx</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 支持120dB光学宽动态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 支持接口：≥1个RJ45接口、≥1个BNC接口、≥2个报警输入接口、1个报警输出接口、≥1个RS485接口、≥1个音频输入接口、1个音频输出接口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6. 支持红外灯补光，红外补光灯可定时或自动开启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 内置1个SD插槽，支持SD卡热插拔，支持≥256GB SD卡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 支持人脸检测，越界检测、区域入侵、进入区域、离开区域，运动检测、遮挡检测、声音检测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 支持ONVIF、GB/T 28181、GA/T 1400等标准协议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 水平范围：360°，水平速度0.1°/s~240°/s；预置位速度≥240°/s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 垂直范围：-15°~90°，垂直速度：0.1°~160°/s；预置位速度≥200°/s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 支持不低于256个预置位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 供电方式：AC/DC24V±25%，支持过压过流保护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 功耗≤50W，，6KV防雷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15. 工作环境：–40°C ~ 65°C，≤95%RH（相对湿度，无冷凝）</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16. 防护等级不低于IP66</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含电源、球机安装支架（一个球机吊装杆或壁装杆 ），球机连接件</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配套线缆</w:t>
            </w:r>
          </w:p>
        </w:tc>
        <w:tc>
          <w:tcPr>
            <w:tcW w:w="4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网线STP.CAT-5e、电源线RVV2*1.5及防护套管PVC，标签、扎带等</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五、其他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链路费</w:t>
            </w:r>
          </w:p>
        </w:tc>
        <w:tc>
          <w:tcPr>
            <w:tcW w:w="4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每条每月400元，每年4800元计算</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条</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IDC主机托管</w:t>
            </w:r>
          </w:p>
        </w:tc>
        <w:tc>
          <w:tcPr>
            <w:tcW w:w="4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1个4U机位</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施工集成服务</w:t>
            </w:r>
          </w:p>
        </w:tc>
        <w:tc>
          <w:tcPr>
            <w:tcW w:w="4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包含前端设备，平台设备，改成部分设备的运输、安装等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技术集成服务</w:t>
            </w:r>
          </w:p>
        </w:tc>
        <w:tc>
          <w:tcPr>
            <w:tcW w:w="4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包含摄像机调试，一机一档数据采集，平台设备数据调测等技术服务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bl>
    <w:p>
      <w:pPr>
        <w:pStyle w:val="2"/>
        <w:jc w:val="both"/>
        <w:rPr>
          <w:rFonts w:hint="eastAsia"/>
        </w:rPr>
      </w:pPr>
    </w:p>
    <w:p>
      <w:pPr>
        <w:spacing w:line="360" w:lineRule="auto"/>
        <w:ind w:firstLine="480" w:firstLineChars="200"/>
        <w:rPr>
          <w:rFonts w:ascii="仿宋" w:hAnsi="仿宋" w:eastAsia="仿宋" w:cs="仿宋"/>
          <w:sz w:val="24"/>
          <w:szCs w:val="32"/>
        </w:rPr>
      </w:pPr>
      <w:r>
        <w:rPr>
          <w:rFonts w:hint="eastAsia" w:ascii="仿宋" w:hAnsi="仿宋" w:eastAsia="仿宋" w:cs="仿宋"/>
          <w:sz w:val="24"/>
          <w:szCs w:val="32"/>
        </w:rPr>
        <w:t>标项11：南湖南路片区管委会项目</w:t>
      </w:r>
    </w:p>
    <w:p>
      <w:pPr>
        <w:pStyle w:val="2"/>
        <w:jc w:val="both"/>
        <w:rPr>
          <w:rFonts w:hint="eastAsia"/>
        </w:rPr>
      </w:pPr>
    </w:p>
    <w:tbl>
      <w:tblPr>
        <w:tblStyle w:val="21"/>
        <w:tblW w:w="826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15"/>
        <w:gridCol w:w="1884"/>
        <w:gridCol w:w="4281"/>
        <w:gridCol w:w="735"/>
        <w:gridCol w:w="7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设备名称</w:t>
            </w:r>
          </w:p>
        </w:tc>
        <w:tc>
          <w:tcPr>
            <w:tcW w:w="4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主要性能指标</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w:t>
            </w:r>
          </w:p>
        </w:tc>
        <w:tc>
          <w:tcPr>
            <w:tcW w:w="750"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7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一、新建前端部分</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750" w:type="dxa"/>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星光级枪机</w:t>
            </w:r>
          </w:p>
        </w:tc>
        <w:tc>
          <w:tcPr>
            <w:tcW w:w="428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 采用≥1/1.8″逐行扫描400万像素图像传感器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 具有≥1个RJ45接口、2路报警输入、1路报警输出，1路音频输入、1个TF卡插槽，1路音频输出，1路RS485接口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 焦距范围：4/6/8/12mm，定焦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 最低照度：彩色≤0.0005lx、黑白≤0.0001lx。</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 支持120dB光学宽动态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 支持H.265、H.264、MJPEG编码格式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 支持ONVIF、GB/T 28181、GA/T 1400等协议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 支持TF卡热插拔，最大支持≥256GB TF卡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 支持暖光补光灯，补光距离≥30m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 设备支持人脸检测抓拍，可支持不低于40张人脸并发检测，支持抓拍优选，自动筛选出抓拍质量最优的图片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 支持混行检测：支持机动车、非机动车、行人分类检测抓拍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 防护等级≥IP67，支持在不低于-30～60℃环境下正常工作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供电方式：DC12V(±25%)、POE；含抱杆支架，DC12V/25W电源适配器，托板和万向节</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星光级枪机</w:t>
            </w:r>
          </w:p>
        </w:tc>
        <w:tc>
          <w:tcPr>
            <w:tcW w:w="428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 采用≥1/1.8″逐行扫描400万像素图像传感器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 具有≥1个RJ45接口、2路报警输入、1路报警输出，1路音频输入、1个TF卡插槽，1路音频输出，1路RS485接口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 焦距范围：2.8～12mm，电动变焦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 最低照度：彩色≤0.0005lx、黑白≤0.0001lx。</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 支持120dB光学宽动态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 支持H.265、H.264、MJPEG编码格式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 支持ONVIF、GB/T 28181、GA/T 1400等协议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 支持TF卡热插拔，最大支持≥256GB TF卡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 支持暖光补光灯，补光距离≥30m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 设备支持人脸检测抓拍，可支持不低于40张人脸并发检测，支持抓拍优选，自动筛选出抓拍质量最优的图片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 支持混行检测：支持机动车、非机动车、行人分类检测抓拍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 防护等级≥IP67，支持在不低于-30～60℃环境下正常工作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供电方式：DC12V(±25%)、POE；含抱杆支架，DC12V/25W电源适配器，托板和万向节</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星光级球机</w:t>
            </w:r>
          </w:p>
        </w:tc>
        <w:tc>
          <w:tcPr>
            <w:tcW w:w="428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 采用≥1/1.8 ”逐行扫描400万像素CMOS图像传感器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 支持6-150mm电动变焦，不小于25倍光学变倍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 支持最低照度：彩色：≤0.001lx，黑白：≤0.0001lx</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 支持120dB光学宽动态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 支持接口：≥1个RJ45接口、≥1个BNC接口、≥2个报警输入接口、1个报警输出接口、≥1个RS485接口、≥1个音频输入接口、1个音频输出接口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6. 支持红外灯补光，红外补光灯可定时或自动开启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 内置1个SD插槽，支持SD卡热插拔，支持≥256GB SD卡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 支持人脸检测，越界检测、区域入侵、进入区域、离开区域，运动检测、遮挡检测、声音检测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 支持ONVIF、GB/T 28181、GA/T 1400等标准协议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 水平范围：360°，水平速度0.1°/s~240°/s；预置位速度≥240°/s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 垂直范围：-15°~90°，垂直速度：0.1°~160°/s；预置位速度≥200°/s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 支持不低于256个预置位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 供电方式：AC/DC24V±25%，支持过压过流保护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 功耗≤50W，，6KV防雷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15. 工作环境：–40°C ~ 65°C，≤95%RH（相对湿度，无冷凝）</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16. 防护等级不低于IP66</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含电源、球机安装支架（一个球机吊装杆或壁装杆 ），球机连接件</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高空球机</w:t>
            </w:r>
          </w:p>
        </w:tc>
        <w:tc>
          <w:tcPr>
            <w:tcW w:w="428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 采用≥1/1.8 ”逐行扫描400万像素CMOS图像传感器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 支持6-190mm电动变焦，不小于30倍光学变倍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 支持最低照度：彩色：≤0.001lx，黑白：≤0.0001lx</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 支持120dB光学宽动态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 支持接口：≥1个RJ45接口、≥1个BNC接口、≥2个报警输入接口、1个报警输出接口、≥1个RS485接口、≥1个音频输入接口、1个音频输出接口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6. 支持红外灯补光，红外补光灯可定时或自动开启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 内置1个SD插槽，支持SD卡热插拔，支持≥256GB SD卡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 支持人脸检测，越界检测、区域入侵、进入区域、离开区域，运动检测、遮挡检测、声音检测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 支持ONVIF、GB/T 28181、GA/T 1400等标准协议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 水平范围：360°，水平速度0.1°/s~240°/s；预置位速度≥240°/s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 垂直范围：-15°~90°，垂直速度：0.1°~160°/s；预置位速度≥200°/s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 支持不低于256个预置位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 供电方式：AC/DC24V±25%，支持过压过流保护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 功耗≤50W，，6KV防雷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15. 工作环境：–40°C ~ 65°C，≤95%RH（相对湿度，无冷凝）</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16. 防护等级不低于IP66</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含电源、球机安装支架（一个球机吊装杆或壁装杆 ），球机连接件</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监控箱</w:t>
            </w:r>
          </w:p>
        </w:tc>
        <w:tc>
          <w:tcPr>
            <w:tcW w:w="428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设备箱具备防雨、防尘、通风散热、抗紫外线（耐老化）、防盗、防锈；箱体采用≥1.2mm镀锌板，箱体尺寸（含雨帽）≥430(宽)*535(高)*220(深)mm，≥380(宽)*500(高)*200(深)mm（不含雨帽）；箱体工作温度范围-40℃～85℃，工作湿度≤90%RH，工作电压范围AC75～AC280V，外壳防护等级≥IP65，机械碰撞防护等级≥IK08，盐雾测试≥120小时；箱体内部预置可移动托板；整机一体化设计，内部集成控制终端、空开、电源防雷器、5位五孔插座、1路补光灯AC220V远程可控端子、DC12V风扇、1路RS485接口、1路RS232接口、2路IO告警输出、3路干接点输入（1路预留给箱门，1路预留给防雷器）、1路DC12V和1路DC5C（预留给网络传输设备）；具有≥4路AC220V输出，支持独立每路电压、电流检测、远程控制、实时发送每路电压电流值到客户端显示，支持通过客户端实时监测设备输出是否断电，并在客户端界面提示告警；支持供电电压、电流、功率、电量监测，可通过客户端显示，当供电断开时，提示供电异常告警；可通过客户端软件显示设备的实时功率和累计用电电量和电费统计数值；具有检测过压、欠压、过流，支持过压、欠压、过流、低载联动关闭指定输出接口；支持手动开启学习接入设备的功率，在当前设备的功率基础上接入其他设备时，自动关闭供电输出，并且客户端提示非法取电告警；支持在不使用外部蓄电池情况下，通过客户端实时监测设备供电电源，并在客户端提示设备供电电源掉电告警；可通过客户端显示摄像机工作状态并设置定时/手动开启，当接入的摄像机断电或网络断开时，可通过客户端提示告警，支持≥8路外接摄像机状态检测，支持在客户端内实现外接摄像机视频图像播放；可通过WEB及客户端显示交换机工作状态，可设置定时/手动重启、重启次数和时间，当网络传输断开时，可自动进行重启网络传输设备电源；支持多路补光灯检测，能够区分补光灯白天异常亮起和晚上无法开启，支持补光灯功率自学习功能，可设置定时/手动开启电源，支持≥4个时间段的分时控制；支持箱内实时温度、湿度、防雷状态、风扇工作状态检测，支持风扇故障监测和告警，支持风扇单次运行时间统计和总运行时间统计；支持通过客户端显示箱门开关状态，可设置箱门布防撤防,超过设定时间可自动布防，布防状态下箱门开启，客户端提示告警；支持箱门打开后，联动球机转向监控箱位置录像，可配置开始球机转动时间和停留录像时长；支持通过WEB直接查看实时数据、配置IP地址、客户端地址、传输模式、进行远程固件升级,支持IP地址冲突提示、MAC地址冲突提示；支持设备一机一档信息记录，包含设备名称、编号、国标编码、安装时间、品牌、类型、安装时间、质保期、到期时间等；支持设置设备运维、网络运维、电力运维，并生成考核计费报表，支持设置考核标准、考核申诉；支持通过时间、品牌等条件对外接摄像机故障率、在线率以柱状图或折线图展示统计报表；支持自动派单和手动派单，工单记录故障产生时间、派单时间及修复时长等信息；支持设置各类告警的告警等级；支持设置不同告警的处理时效。</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配套线缆</w:t>
            </w:r>
          </w:p>
        </w:tc>
        <w:tc>
          <w:tcPr>
            <w:tcW w:w="4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网线STP.CAT-5e、电源线RVV2*1.5及防护套管PVC，标签、扎带等</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五金配件</w:t>
            </w:r>
          </w:p>
        </w:tc>
        <w:tc>
          <w:tcPr>
            <w:tcW w:w="4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螺丝、连接件、抱箍、钢丝绳、吊卡等　</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批</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金属立杆</w:t>
            </w:r>
          </w:p>
        </w:tc>
        <w:tc>
          <w:tcPr>
            <w:tcW w:w="4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直径165mm高5米/壁厚4.5mm（热镀锌，表面喷塑）</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横臂</w:t>
            </w:r>
          </w:p>
        </w:tc>
        <w:tc>
          <w:tcPr>
            <w:tcW w:w="4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直杆，3米横臂：管径89（厚4.0mm）</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抱箍支臂</w:t>
            </w:r>
          </w:p>
        </w:tc>
        <w:tc>
          <w:tcPr>
            <w:tcW w:w="4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直杆，1米，管径65（厚3.5mm）</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抱箍支臂</w:t>
            </w:r>
          </w:p>
        </w:tc>
        <w:tc>
          <w:tcPr>
            <w:tcW w:w="4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直杆，2米，管径65（厚3.5mm）</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墙装支臂</w:t>
            </w:r>
          </w:p>
        </w:tc>
        <w:tc>
          <w:tcPr>
            <w:tcW w:w="4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直杆，1米，管径65（厚3.5mm）</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墙装支臂</w:t>
            </w:r>
          </w:p>
        </w:tc>
        <w:tc>
          <w:tcPr>
            <w:tcW w:w="4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直杆，2米，管径65（厚3.5mm）</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墙装支臂</w:t>
            </w:r>
          </w:p>
        </w:tc>
        <w:tc>
          <w:tcPr>
            <w:tcW w:w="4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直杆，3米，管径65（厚3.5mm）</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制高点支架</w:t>
            </w:r>
          </w:p>
        </w:tc>
        <w:tc>
          <w:tcPr>
            <w:tcW w:w="4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立杆底座</w:t>
            </w:r>
          </w:p>
        </w:tc>
        <w:tc>
          <w:tcPr>
            <w:tcW w:w="4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直径165基坑尺寸1000*1000*1100（地下埋深）、含预埋件、防雷接地</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7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二、电力部分</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电网国家电表接入费</w:t>
            </w:r>
          </w:p>
        </w:tc>
        <w:tc>
          <w:tcPr>
            <w:tcW w:w="4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包含满足国家电网接入电表等相关配套的技术服务</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0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新建点位电力接入及检测费</w:t>
            </w:r>
          </w:p>
        </w:tc>
        <w:tc>
          <w:tcPr>
            <w:tcW w:w="4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电力接入及检测费</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bidi="ar"/>
              </w:rPr>
              <w:t>电缆施工费用1</w:t>
            </w:r>
          </w:p>
        </w:tc>
        <w:tc>
          <w:tcPr>
            <w:tcW w:w="4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bidi="ar"/>
              </w:rPr>
              <w:t>沿管道穿线含所需电源线RVV3*2.5、YJV3*4、YJV3*6施工费用</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bidi="ar"/>
              </w:rPr>
              <w:t>米</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bidi="ar"/>
              </w:rPr>
              <w:t>电缆施工费用2</w:t>
            </w:r>
          </w:p>
        </w:tc>
        <w:tc>
          <w:tcPr>
            <w:tcW w:w="4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bidi="ar"/>
              </w:rPr>
              <w:t>沿墙钉固含所需电源线RVV3*2.5、YJV3*4、YJV3*6费用、PVC穿线管、卡子等材料和施费用</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bidi="ar"/>
              </w:rPr>
              <w:t>米</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bidi="ar"/>
              </w:rPr>
              <w:t>电缆施工费用3</w:t>
            </w:r>
          </w:p>
        </w:tc>
        <w:tc>
          <w:tcPr>
            <w:tcW w:w="4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bidi="ar"/>
              </w:rPr>
              <w:t>道路（大理石、油路花砖等）、绿化带等开挖、回填、PE穿线管、电源线RVV3*2.5、YJV3*4、YJV3*6等施工费用</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bidi="ar"/>
              </w:rPr>
              <w:t>米</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67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三、新建平台部分</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750" w:type="dxa"/>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bidi="ar"/>
              </w:rPr>
              <w:t>48盘位云存储设备</w:t>
            </w:r>
          </w:p>
        </w:tc>
        <w:tc>
          <w:tcPr>
            <w:tcW w:w="4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bidi="ar"/>
              </w:rPr>
              <w:t>48盘位视频监控云存储节点：单控制器</w:t>
            </w:r>
            <w:r>
              <w:rPr>
                <w:rFonts w:hint="eastAsia" w:ascii="新宋体" w:hAnsi="新宋体" w:eastAsia="新宋体" w:cs="新宋体"/>
                <w:i w:val="0"/>
                <w:iCs w:val="0"/>
                <w:color w:val="000000"/>
                <w:kern w:val="0"/>
                <w:sz w:val="20"/>
                <w:szCs w:val="20"/>
                <w:u w:val="none"/>
                <w:lang w:val="en-US" w:eastAsia="zh-CN" w:bidi="ar"/>
              </w:rPr>
              <w:br w:type="textWrapping"/>
            </w:r>
            <w:r>
              <w:rPr>
                <w:rFonts w:hint="eastAsia" w:ascii="新宋体" w:hAnsi="新宋体" w:eastAsia="新宋体" w:cs="新宋体"/>
                <w:i w:val="0"/>
                <w:iCs w:val="0"/>
                <w:color w:val="000000"/>
                <w:kern w:val="0"/>
                <w:sz w:val="20"/>
                <w:szCs w:val="20"/>
                <w:u w:val="none"/>
                <w:lang w:val="en-US" w:eastAsia="zh-CN" w:bidi="ar"/>
              </w:rPr>
              <w:t>磁盘通道数：48</w:t>
            </w:r>
            <w:r>
              <w:rPr>
                <w:rFonts w:hint="eastAsia" w:ascii="新宋体" w:hAnsi="新宋体" w:eastAsia="新宋体" w:cs="新宋体"/>
                <w:i w:val="0"/>
                <w:iCs w:val="0"/>
                <w:color w:val="000000"/>
                <w:kern w:val="0"/>
                <w:sz w:val="20"/>
                <w:szCs w:val="20"/>
                <w:u w:val="none"/>
                <w:lang w:val="en-US" w:eastAsia="zh-CN" w:bidi="ar"/>
              </w:rPr>
              <w:br w:type="textWrapping"/>
            </w:r>
            <w:r>
              <w:rPr>
                <w:rFonts w:hint="eastAsia" w:ascii="新宋体" w:hAnsi="新宋体" w:eastAsia="新宋体" w:cs="新宋体"/>
                <w:i w:val="0"/>
                <w:iCs w:val="0"/>
                <w:color w:val="000000"/>
                <w:kern w:val="0"/>
                <w:sz w:val="20"/>
                <w:szCs w:val="20"/>
                <w:u w:val="none"/>
                <w:lang w:val="en-US" w:eastAsia="zh-CN" w:bidi="ar"/>
              </w:rPr>
              <w:t>电源模块：交流电源</w:t>
            </w:r>
            <w:r>
              <w:rPr>
                <w:rFonts w:hint="eastAsia" w:ascii="新宋体" w:hAnsi="新宋体" w:eastAsia="新宋体" w:cs="新宋体"/>
                <w:i w:val="0"/>
                <w:iCs w:val="0"/>
                <w:color w:val="000000"/>
                <w:kern w:val="0"/>
                <w:sz w:val="20"/>
                <w:szCs w:val="20"/>
                <w:u w:val="none"/>
                <w:lang w:val="en-US" w:eastAsia="zh-CN" w:bidi="ar"/>
              </w:rPr>
              <w:br w:type="textWrapping"/>
            </w:r>
            <w:r>
              <w:rPr>
                <w:rFonts w:hint="eastAsia" w:ascii="新宋体" w:hAnsi="新宋体" w:eastAsia="新宋体" w:cs="新宋体"/>
                <w:i w:val="0"/>
                <w:iCs w:val="0"/>
                <w:color w:val="000000"/>
                <w:kern w:val="0"/>
                <w:sz w:val="20"/>
                <w:szCs w:val="20"/>
                <w:u w:val="none"/>
                <w:lang w:val="en-US" w:eastAsia="zh-CN" w:bidi="ar"/>
              </w:rPr>
              <w:t>网络接口：5个千兆以太网接口</w:t>
            </w:r>
            <w:r>
              <w:rPr>
                <w:rFonts w:hint="eastAsia" w:ascii="新宋体" w:hAnsi="新宋体" w:eastAsia="新宋体" w:cs="新宋体"/>
                <w:i w:val="0"/>
                <w:iCs w:val="0"/>
                <w:color w:val="000000"/>
                <w:kern w:val="0"/>
                <w:sz w:val="20"/>
                <w:szCs w:val="20"/>
                <w:u w:val="none"/>
                <w:lang w:val="en-US" w:eastAsia="zh-CN" w:bidi="ar"/>
              </w:rPr>
              <w:br w:type="textWrapping"/>
            </w:r>
            <w:r>
              <w:rPr>
                <w:rFonts w:hint="eastAsia" w:ascii="新宋体" w:hAnsi="新宋体" w:eastAsia="新宋体" w:cs="新宋体"/>
                <w:i w:val="0"/>
                <w:iCs w:val="0"/>
                <w:color w:val="000000"/>
                <w:kern w:val="0"/>
                <w:sz w:val="20"/>
                <w:szCs w:val="20"/>
                <w:u w:val="none"/>
                <w:lang w:val="en-US" w:eastAsia="zh-CN" w:bidi="ar"/>
              </w:rPr>
              <w:t>性能：512路2M块直存、51路回放</w:t>
            </w:r>
            <w:r>
              <w:rPr>
                <w:rFonts w:hint="eastAsia" w:ascii="新宋体" w:hAnsi="新宋体" w:eastAsia="新宋体" w:cs="新宋体"/>
                <w:i w:val="0"/>
                <w:iCs w:val="0"/>
                <w:color w:val="000000"/>
                <w:kern w:val="0"/>
                <w:sz w:val="20"/>
                <w:szCs w:val="20"/>
                <w:u w:val="none"/>
                <w:lang w:val="en-US" w:eastAsia="zh-CN" w:bidi="ar"/>
              </w:rPr>
              <w:br w:type="textWrapping"/>
            </w:r>
            <w:r>
              <w:rPr>
                <w:rFonts w:hint="eastAsia" w:ascii="新宋体" w:hAnsi="新宋体" w:eastAsia="新宋体" w:cs="新宋体"/>
                <w:i w:val="0"/>
                <w:iCs w:val="0"/>
                <w:color w:val="000000"/>
                <w:kern w:val="0"/>
                <w:sz w:val="20"/>
                <w:szCs w:val="20"/>
                <w:u w:val="none"/>
                <w:lang w:val="en-US" w:eastAsia="zh-CN" w:bidi="ar"/>
              </w:rPr>
              <w:t>384路2M流直存，38路回放</w:t>
            </w:r>
            <w:r>
              <w:rPr>
                <w:rFonts w:hint="eastAsia" w:ascii="新宋体" w:hAnsi="新宋体" w:eastAsia="新宋体" w:cs="新宋体"/>
                <w:i w:val="0"/>
                <w:iCs w:val="0"/>
                <w:color w:val="000000"/>
                <w:kern w:val="0"/>
                <w:sz w:val="20"/>
                <w:szCs w:val="20"/>
                <w:u w:val="none"/>
                <w:lang w:val="en-US" w:eastAsia="zh-CN" w:bidi="ar"/>
              </w:rPr>
              <w:br w:type="textWrapping"/>
            </w:r>
            <w:r>
              <w:rPr>
                <w:rFonts w:hint="eastAsia" w:ascii="新宋体" w:hAnsi="新宋体" w:eastAsia="新宋体" w:cs="新宋体"/>
                <w:i w:val="0"/>
                <w:iCs w:val="0"/>
                <w:color w:val="000000"/>
                <w:kern w:val="0"/>
                <w:sz w:val="20"/>
                <w:szCs w:val="20"/>
                <w:u w:val="none"/>
                <w:lang w:val="en-US" w:eastAsia="zh-CN" w:bidi="ar"/>
              </w:rPr>
              <w:t xml:space="preserve"> 支持提供存储虚拟化管理功能，将所有存储节点空间合并成一个存储虚拟池，对外提供海量存储空间管理</w:t>
            </w:r>
            <w:r>
              <w:rPr>
                <w:rFonts w:hint="eastAsia" w:ascii="新宋体" w:hAnsi="新宋体" w:eastAsia="新宋体" w:cs="新宋体"/>
                <w:i w:val="0"/>
                <w:iCs w:val="0"/>
                <w:color w:val="000000"/>
                <w:kern w:val="0"/>
                <w:sz w:val="20"/>
                <w:szCs w:val="20"/>
                <w:u w:val="none"/>
                <w:lang w:val="en-US" w:eastAsia="zh-CN" w:bidi="ar"/>
              </w:rPr>
              <w:br w:type="textWrapping"/>
            </w:r>
            <w:r>
              <w:rPr>
                <w:rFonts w:hint="eastAsia" w:ascii="新宋体" w:hAnsi="新宋体" w:eastAsia="新宋体" w:cs="新宋体"/>
                <w:i w:val="0"/>
                <w:iCs w:val="0"/>
                <w:color w:val="000000"/>
                <w:kern w:val="0"/>
                <w:sz w:val="20"/>
                <w:szCs w:val="20"/>
                <w:u w:val="none"/>
                <w:lang w:val="en-US" w:eastAsia="zh-CN" w:bidi="ar"/>
              </w:rPr>
              <w:t>支持PCIe插槽、支持千兆GE接口卡和万兆10GE接口卡、Mini SAS HD卡(SAS 3.0)</w:t>
            </w:r>
            <w:r>
              <w:rPr>
                <w:rFonts w:hint="eastAsia" w:ascii="新宋体" w:hAnsi="新宋体" w:eastAsia="新宋体" w:cs="新宋体"/>
                <w:i w:val="0"/>
                <w:iCs w:val="0"/>
                <w:color w:val="000000"/>
                <w:kern w:val="0"/>
                <w:sz w:val="20"/>
                <w:szCs w:val="20"/>
                <w:u w:val="none"/>
                <w:lang w:val="en-US" w:eastAsia="zh-CN" w:bidi="ar"/>
              </w:rPr>
              <w:br w:type="textWrapping"/>
            </w:r>
            <w:r>
              <w:rPr>
                <w:rFonts w:hint="eastAsia" w:ascii="新宋体" w:hAnsi="新宋体" w:eastAsia="新宋体" w:cs="新宋体"/>
                <w:i w:val="0"/>
                <w:iCs w:val="0"/>
                <w:color w:val="000000"/>
                <w:kern w:val="0"/>
                <w:sz w:val="20"/>
                <w:szCs w:val="20"/>
                <w:u w:val="none"/>
                <w:lang w:val="en-US" w:eastAsia="zh-CN" w:bidi="ar"/>
              </w:rPr>
              <w:t>支持网络端口链路聚合、负载均衡</w:t>
            </w:r>
            <w:r>
              <w:rPr>
                <w:rFonts w:hint="eastAsia" w:ascii="新宋体" w:hAnsi="新宋体" w:eastAsia="新宋体" w:cs="新宋体"/>
                <w:i w:val="0"/>
                <w:iCs w:val="0"/>
                <w:color w:val="000000"/>
                <w:kern w:val="0"/>
                <w:sz w:val="20"/>
                <w:szCs w:val="20"/>
                <w:u w:val="none"/>
                <w:lang w:val="en-US" w:eastAsia="zh-CN" w:bidi="ar"/>
              </w:rPr>
              <w:br w:type="textWrapping"/>
            </w:r>
            <w:r>
              <w:rPr>
                <w:rFonts w:hint="eastAsia" w:ascii="新宋体" w:hAnsi="新宋体" w:eastAsia="新宋体" w:cs="新宋体"/>
                <w:i w:val="0"/>
                <w:iCs w:val="0"/>
                <w:color w:val="000000"/>
                <w:kern w:val="0"/>
                <w:sz w:val="20"/>
                <w:szCs w:val="20"/>
                <w:u w:val="none"/>
                <w:lang w:val="en-US" w:eastAsia="zh-CN" w:bidi="ar"/>
              </w:rPr>
              <w:t>支持标准ONVIF、GB/T28181等标准前端接入</w:t>
            </w:r>
            <w:r>
              <w:rPr>
                <w:rFonts w:hint="eastAsia" w:ascii="新宋体" w:hAnsi="新宋体" w:eastAsia="新宋体" w:cs="新宋体"/>
                <w:i w:val="0"/>
                <w:iCs w:val="0"/>
                <w:color w:val="000000"/>
                <w:kern w:val="0"/>
                <w:sz w:val="20"/>
                <w:szCs w:val="20"/>
                <w:u w:val="none"/>
                <w:lang w:val="en-US" w:eastAsia="zh-CN" w:bidi="ar"/>
              </w:rPr>
              <w:br w:type="textWrapping"/>
            </w:r>
            <w:r>
              <w:rPr>
                <w:rFonts w:hint="eastAsia" w:ascii="新宋体" w:hAnsi="新宋体" w:eastAsia="新宋体" w:cs="新宋体"/>
                <w:i w:val="0"/>
                <w:iCs w:val="0"/>
                <w:color w:val="000000"/>
                <w:kern w:val="0"/>
                <w:sz w:val="20"/>
                <w:szCs w:val="20"/>
                <w:u w:val="none"/>
                <w:lang w:val="en-US" w:eastAsia="zh-CN" w:bidi="ar"/>
              </w:rPr>
              <w:t>支持视频智能结构化数据存储</w:t>
            </w:r>
            <w:r>
              <w:rPr>
                <w:rFonts w:hint="eastAsia" w:ascii="新宋体" w:hAnsi="新宋体" w:eastAsia="新宋体" w:cs="新宋体"/>
                <w:i w:val="0"/>
                <w:iCs w:val="0"/>
                <w:color w:val="000000"/>
                <w:kern w:val="0"/>
                <w:sz w:val="20"/>
                <w:szCs w:val="20"/>
                <w:u w:val="none"/>
                <w:lang w:val="en-US" w:eastAsia="zh-CN" w:bidi="ar"/>
              </w:rPr>
              <w:br w:type="textWrapping"/>
            </w:r>
            <w:r>
              <w:rPr>
                <w:rFonts w:hint="eastAsia" w:ascii="新宋体" w:hAnsi="新宋体" w:eastAsia="新宋体" w:cs="新宋体"/>
                <w:i w:val="0"/>
                <w:iCs w:val="0"/>
                <w:color w:val="000000"/>
                <w:kern w:val="0"/>
                <w:sz w:val="20"/>
                <w:szCs w:val="20"/>
                <w:u w:val="none"/>
                <w:lang w:val="en-US" w:eastAsia="zh-CN" w:bidi="ar"/>
              </w:rPr>
              <w:t>支持裸数据块直存方式，无文件系统碎片，海量小文件存储性能无衰减</w:t>
            </w:r>
            <w:r>
              <w:rPr>
                <w:rFonts w:hint="eastAsia" w:ascii="新宋体" w:hAnsi="新宋体" w:eastAsia="新宋体" w:cs="新宋体"/>
                <w:i w:val="0"/>
                <w:iCs w:val="0"/>
                <w:color w:val="000000"/>
                <w:kern w:val="0"/>
                <w:sz w:val="20"/>
                <w:szCs w:val="20"/>
                <w:u w:val="none"/>
                <w:lang w:val="en-US" w:eastAsia="zh-CN" w:bidi="ar"/>
              </w:rPr>
              <w:br w:type="textWrapping"/>
            </w:r>
            <w:r>
              <w:rPr>
                <w:rFonts w:hint="eastAsia" w:ascii="新宋体" w:hAnsi="新宋体" w:eastAsia="新宋体" w:cs="新宋体"/>
                <w:i w:val="0"/>
                <w:iCs w:val="0"/>
                <w:color w:val="000000"/>
                <w:kern w:val="0"/>
                <w:sz w:val="20"/>
                <w:szCs w:val="20"/>
                <w:u w:val="none"/>
                <w:lang w:val="en-US" w:eastAsia="zh-CN" w:bidi="ar"/>
              </w:rPr>
              <w:t>支持数据离散，并发读写，支持视频秒级检索及回放，视频、图片极速下载</w:t>
            </w:r>
            <w:r>
              <w:rPr>
                <w:rFonts w:hint="eastAsia" w:ascii="新宋体" w:hAnsi="新宋体" w:eastAsia="新宋体" w:cs="新宋体"/>
                <w:i w:val="0"/>
                <w:iCs w:val="0"/>
                <w:color w:val="000000"/>
                <w:kern w:val="0"/>
                <w:sz w:val="20"/>
                <w:szCs w:val="20"/>
                <w:u w:val="none"/>
                <w:lang w:val="en-US" w:eastAsia="zh-CN" w:bidi="ar"/>
              </w:rPr>
              <w:br w:type="textWrapping"/>
            </w:r>
            <w:r>
              <w:rPr>
                <w:rFonts w:hint="eastAsia" w:ascii="新宋体" w:hAnsi="新宋体" w:eastAsia="新宋体" w:cs="新宋体"/>
                <w:i w:val="0"/>
                <w:iCs w:val="0"/>
                <w:color w:val="000000"/>
                <w:kern w:val="0"/>
                <w:sz w:val="20"/>
                <w:szCs w:val="20"/>
                <w:u w:val="none"/>
                <w:lang w:val="en-US" w:eastAsia="zh-CN" w:bidi="ar"/>
              </w:rPr>
              <w:t>支持云节点负载均衡、故障切换，解决单节点性能瓶颈问题及单节点故障问题，保证业务连续性</w:t>
            </w:r>
            <w:r>
              <w:rPr>
                <w:rFonts w:hint="eastAsia" w:ascii="新宋体" w:hAnsi="新宋体" w:eastAsia="新宋体" w:cs="新宋体"/>
                <w:i w:val="0"/>
                <w:iCs w:val="0"/>
                <w:color w:val="000000"/>
                <w:kern w:val="0"/>
                <w:sz w:val="20"/>
                <w:szCs w:val="20"/>
                <w:u w:val="none"/>
                <w:lang w:val="en-US" w:eastAsia="zh-CN" w:bidi="ar"/>
              </w:rPr>
              <w:br w:type="textWrapping"/>
            </w:r>
            <w:r>
              <w:rPr>
                <w:rFonts w:hint="eastAsia" w:ascii="新宋体" w:hAnsi="新宋体" w:eastAsia="新宋体" w:cs="新宋体"/>
                <w:i w:val="0"/>
                <w:iCs w:val="0"/>
                <w:color w:val="000000"/>
                <w:kern w:val="0"/>
                <w:sz w:val="20"/>
                <w:szCs w:val="20"/>
                <w:u w:val="none"/>
                <w:lang w:val="en-US" w:eastAsia="zh-CN" w:bidi="ar"/>
              </w:rPr>
              <w:t>支持云备份功能，实现云内数据备份和云间备份</w:t>
            </w:r>
            <w:r>
              <w:rPr>
                <w:rFonts w:hint="eastAsia" w:ascii="新宋体" w:hAnsi="新宋体" w:eastAsia="新宋体" w:cs="新宋体"/>
                <w:i w:val="0"/>
                <w:iCs w:val="0"/>
                <w:color w:val="000000"/>
                <w:kern w:val="0"/>
                <w:sz w:val="20"/>
                <w:szCs w:val="20"/>
                <w:u w:val="none"/>
                <w:lang w:val="en-US" w:eastAsia="zh-CN" w:bidi="ar"/>
              </w:rPr>
              <w:br w:type="textWrapping"/>
            </w:r>
            <w:r>
              <w:rPr>
                <w:rFonts w:hint="eastAsia" w:ascii="新宋体" w:hAnsi="新宋体" w:eastAsia="新宋体" w:cs="新宋体"/>
                <w:i w:val="0"/>
                <w:iCs w:val="0"/>
                <w:color w:val="000000"/>
                <w:kern w:val="0"/>
                <w:sz w:val="20"/>
                <w:szCs w:val="20"/>
                <w:u w:val="none"/>
                <w:lang w:val="en-US" w:eastAsia="zh-CN" w:bidi="ar"/>
              </w:rPr>
              <w:t>支持冗余电源，风扇，电池，支持磁盘、电源、风扇、电池的热插拔和在线更换</w:t>
            </w:r>
            <w:r>
              <w:rPr>
                <w:rFonts w:hint="eastAsia" w:ascii="新宋体" w:hAnsi="新宋体" w:eastAsia="新宋体" w:cs="新宋体"/>
                <w:i w:val="0"/>
                <w:iCs w:val="0"/>
                <w:color w:val="000000"/>
                <w:kern w:val="0"/>
                <w:sz w:val="20"/>
                <w:szCs w:val="20"/>
                <w:u w:val="none"/>
                <w:lang w:val="en-US" w:eastAsia="zh-CN" w:bidi="ar"/>
              </w:rPr>
              <w:br w:type="textWrapping"/>
            </w:r>
            <w:r>
              <w:rPr>
                <w:rFonts w:hint="eastAsia" w:ascii="新宋体" w:hAnsi="新宋体" w:eastAsia="新宋体" w:cs="新宋体"/>
                <w:i w:val="0"/>
                <w:iCs w:val="0"/>
                <w:color w:val="000000"/>
                <w:kern w:val="0"/>
                <w:sz w:val="20"/>
                <w:szCs w:val="20"/>
                <w:u w:val="none"/>
                <w:lang w:val="en-US" w:eastAsia="zh-CN" w:bidi="ar"/>
              </w:rPr>
              <w:t>支持数码管、指示灯、蜂鸣器告警、邮件告警、SNMP Trap、短信等告警方式对故障进行告警</w:t>
            </w:r>
            <w:r>
              <w:rPr>
                <w:rFonts w:hint="eastAsia" w:ascii="新宋体" w:hAnsi="新宋体" w:eastAsia="新宋体" w:cs="新宋体"/>
                <w:i w:val="0"/>
                <w:iCs w:val="0"/>
                <w:color w:val="000000"/>
                <w:kern w:val="0"/>
                <w:sz w:val="20"/>
                <w:szCs w:val="20"/>
                <w:u w:val="none"/>
                <w:lang w:val="en-US" w:eastAsia="zh-CN" w:bidi="ar"/>
              </w:rPr>
              <w:br w:type="textWrapping"/>
            </w:r>
            <w:r>
              <w:rPr>
                <w:rFonts w:hint="eastAsia" w:ascii="新宋体" w:hAnsi="新宋体" w:eastAsia="新宋体" w:cs="新宋体"/>
                <w:i w:val="0"/>
                <w:iCs w:val="0"/>
                <w:color w:val="000000"/>
                <w:kern w:val="0"/>
                <w:sz w:val="20"/>
                <w:szCs w:val="20"/>
                <w:u w:val="none"/>
                <w:lang w:val="en-US" w:eastAsia="zh-CN" w:bidi="ar"/>
              </w:rPr>
              <w:t>支持IP冲突告警、网口降速、电源故障、风扇故障、电池电量不足、电池故障等告警</w:t>
            </w:r>
            <w:r>
              <w:rPr>
                <w:rFonts w:hint="eastAsia" w:ascii="新宋体" w:hAnsi="新宋体" w:eastAsia="新宋体" w:cs="新宋体"/>
                <w:i w:val="0"/>
                <w:iCs w:val="0"/>
                <w:color w:val="000000"/>
                <w:kern w:val="0"/>
                <w:sz w:val="20"/>
                <w:szCs w:val="20"/>
                <w:u w:val="none"/>
                <w:lang w:val="en-US" w:eastAsia="zh-CN" w:bidi="ar"/>
              </w:rPr>
              <w:br w:type="textWrapping"/>
            </w:r>
            <w:r>
              <w:rPr>
                <w:rFonts w:hint="eastAsia" w:ascii="新宋体" w:hAnsi="新宋体" w:eastAsia="新宋体" w:cs="新宋体"/>
                <w:i w:val="0"/>
                <w:iCs w:val="0"/>
                <w:color w:val="000000"/>
                <w:kern w:val="0"/>
                <w:sz w:val="20"/>
                <w:szCs w:val="20"/>
                <w:u w:val="none"/>
                <w:lang w:val="en-US" w:eastAsia="zh-CN" w:bidi="ar"/>
              </w:rPr>
              <w:t>支持数据保险箱（掉电数据永久保护）</w:t>
            </w:r>
            <w:r>
              <w:rPr>
                <w:rFonts w:hint="eastAsia" w:ascii="新宋体" w:hAnsi="新宋体" w:eastAsia="新宋体" w:cs="新宋体"/>
                <w:i w:val="0"/>
                <w:iCs w:val="0"/>
                <w:color w:val="000000"/>
                <w:kern w:val="0"/>
                <w:sz w:val="20"/>
                <w:szCs w:val="20"/>
                <w:u w:val="none"/>
                <w:lang w:val="en-US" w:eastAsia="zh-CN" w:bidi="ar"/>
              </w:rPr>
              <w:br w:type="textWrapping"/>
            </w:r>
            <w:r>
              <w:rPr>
                <w:rFonts w:hint="eastAsia" w:ascii="新宋体" w:hAnsi="新宋体" w:eastAsia="新宋体" w:cs="新宋体"/>
                <w:i w:val="0"/>
                <w:iCs w:val="0"/>
                <w:color w:val="000000"/>
                <w:kern w:val="0"/>
                <w:sz w:val="20"/>
                <w:szCs w:val="20"/>
                <w:u w:val="none"/>
                <w:lang w:val="en-US" w:eastAsia="zh-CN" w:bidi="ar"/>
              </w:rPr>
              <w:t>支持JBOD、RAID 0、1、5、6、10、50，RAID阵列可即建即用</w:t>
            </w:r>
            <w:r>
              <w:rPr>
                <w:rFonts w:hint="eastAsia" w:ascii="新宋体" w:hAnsi="新宋体" w:eastAsia="新宋体" w:cs="新宋体"/>
                <w:i w:val="0"/>
                <w:iCs w:val="0"/>
                <w:color w:val="000000"/>
                <w:kern w:val="0"/>
                <w:sz w:val="20"/>
                <w:szCs w:val="20"/>
                <w:u w:val="none"/>
                <w:lang w:val="en-US" w:eastAsia="zh-CN" w:bidi="ar"/>
              </w:rPr>
              <w:br w:type="textWrapping"/>
            </w:r>
            <w:r>
              <w:rPr>
                <w:rFonts w:hint="eastAsia" w:ascii="新宋体" w:hAnsi="新宋体" w:eastAsia="新宋体" w:cs="新宋体"/>
                <w:i w:val="0"/>
                <w:iCs w:val="0"/>
                <w:color w:val="000000"/>
                <w:kern w:val="0"/>
                <w:sz w:val="20"/>
                <w:szCs w:val="20"/>
                <w:u w:val="none"/>
                <w:lang w:val="en-US" w:eastAsia="zh-CN" w:bidi="ar"/>
              </w:rPr>
              <w:t>支持SATA、SSD盘</w:t>
            </w:r>
            <w:r>
              <w:rPr>
                <w:rFonts w:hint="eastAsia" w:ascii="新宋体" w:hAnsi="新宋体" w:eastAsia="新宋体" w:cs="新宋体"/>
                <w:i w:val="0"/>
                <w:iCs w:val="0"/>
                <w:color w:val="000000"/>
                <w:kern w:val="0"/>
                <w:sz w:val="20"/>
                <w:szCs w:val="20"/>
                <w:u w:val="none"/>
                <w:lang w:val="en-US" w:eastAsia="zh-CN" w:bidi="ar"/>
              </w:rPr>
              <w:br w:type="textWrapping"/>
            </w:r>
            <w:r>
              <w:rPr>
                <w:rFonts w:hint="eastAsia" w:ascii="新宋体" w:hAnsi="新宋体" w:eastAsia="新宋体" w:cs="新宋体"/>
                <w:i w:val="0"/>
                <w:iCs w:val="0"/>
                <w:color w:val="000000"/>
                <w:kern w:val="0"/>
                <w:sz w:val="20"/>
                <w:szCs w:val="20"/>
                <w:u w:val="none"/>
                <w:lang w:val="en-US" w:eastAsia="zh-CN" w:bidi="ar"/>
              </w:rPr>
              <w:t>支持自动空白盘全局热备、专有热备</w:t>
            </w:r>
            <w:r>
              <w:rPr>
                <w:rFonts w:hint="eastAsia" w:ascii="新宋体" w:hAnsi="新宋体" w:eastAsia="新宋体" w:cs="新宋体"/>
                <w:i w:val="0"/>
                <w:iCs w:val="0"/>
                <w:color w:val="000000"/>
                <w:kern w:val="0"/>
                <w:sz w:val="20"/>
                <w:szCs w:val="20"/>
                <w:u w:val="none"/>
                <w:lang w:val="en-US" w:eastAsia="zh-CN" w:bidi="ar"/>
              </w:rPr>
              <w:br w:type="textWrapping"/>
            </w:r>
            <w:r>
              <w:rPr>
                <w:rFonts w:hint="eastAsia" w:ascii="新宋体" w:hAnsi="新宋体" w:eastAsia="新宋体" w:cs="新宋体"/>
                <w:i w:val="0"/>
                <w:iCs w:val="0"/>
                <w:color w:val="000000"/>
                <w:kern w:val="0"/>
                <w:sz w:val="20"/>
                <w:szCs w:val="20"/>
                <w:u w:val="none"/>
                <w:lang w:val="en-US" w:eastAsia="zh-CN" w:bidi="ar"/>
              </w:rPr>
              <w:t>支持RAID阵列磁盘进行定位，RAID阵列自动巡检</w:t>
            </w:r>
            <w:r>
              <w:rPr>
                <w:rFonts w:hint="eastAsia" w:ascii="新宋体" w:hAnsi="新宋体" w:eastAsia="新宋体" w:cs="新宋体"/>
                <w:i w:val="0"/>
                <w:iCs w:val="0"/>
                <w:color w:val="000000"/>
                <w:kern w:val="0"/>
                <w:sz w:val="20"/>
                <w:szCs w:val="20"/>
                <w:u w:val="none"/>
                <w:lang w:val="en-US" w:eastAsia="zh-CN" w:bidi="ar"/>
              </w:rPr>
              <w:br w:type="textWrapping"/>
            </w:r>
            <w:r>
              <w:rPr>
                <w:rFonts w:hint="eastAsia" w:ascii="新宋体" w:hAnsi="新宋体" w:eastAsia="新宋体" w:cs="新宋体"/>
                <w:i w:val="0"/>
                <w:iCs w:val="0"/>
                <w:color w:val="000000"/>
                <w:kern w:val="0"/>
                <w:sz w:val="20"/>
                <w:szCs w:val="20"/>
                <w:u w:val="none"/>
                <w:lang w:val="en-US" w:eastAsia="zh-CN" w:bidi="ar"/>
              </w:rPr>
              <w:t>支持RAID阵列重构重建、无感知重建、SMART检测预拷贝，RAID阵列可自动动态调整重建速度、重建/同步优先级</w:t>
            </w:r>
            <w:r>
              <w:rPr>
                <w:rFonts w:hint="eastAsia" w:ascii="新宋体" w:hAnsi="新宋体" w:eastAsia="新宋体" w:cs="新宋体"/>
                <w:i w:val="0"/>
                <w:iCs w:val="0"/>
                <w:color w:val="000000"/>
                <w:kern w:val="0"/>
                <w:sz w:val="20"/>
                <w:szCs w:val="20"/>
                <w:u w:val="none"/>
                <w:lang w:val="en-US" w:eastAsia="zh-CN" w:bidi="ar"/>
              </w:rPr>
              <w:br w:type="textWrapping"/>
            </w:r>
            <w:r>
              <w:rPr>
                <w:rFonts w:hint="eastAsia" w:ascii="新宋体" w:hAnsi="新宋体" w:eastAsia="新宋体" w:cs="新宋体"/>
                <w:i w:val="0"/>
                <w:iCs w:val="0"/>
                <w:color w:val="000000"/>
                <w:kern w:val="0"/>
                <w:sz w:val="20"/>
                <w:szCs w:val="20"/>
                <w:u w:val="none"/>
                <w:lang w:val="en-US" w:eastAsia="zh-CN" w:bidi="ar"/>
              </w:rPr>
              <w:t>支持RAID阵列磁盘坏块替换、多错误容忍、磁盘错误修复</w:t>
            </w:r>
            <w:r>
              <w:rPr>
                <w:rFonts w:hint="eastAsia" w:ascii="新宋体" w:hAnsi="新宋体" w:eastAsia="新宋体" w:cs="新宋体"/>
                <w:i w:val="0"/>
                <w:iCs w:val="0"/>
                <w:color w:val="000000"/>
                <w:kern w:val="0"/>
                <w:sz w:val="20"/>
                <w:szCs w:val="20"/>
                <w:u w:val="none"/>
                <w:lang w:val="en-US" w:eastAsia="zh-CN" w:bidi="ar"/>
              </w:rPr>
              <w:br w:type="textWrapping"/>
            </w:r>
            <w:r>
              <w:rPr>
                <w:rFonts w:hint="eastAsia" w:ascii="新宋体" w:hAnsi="新宋体" w:eastAsia="新宋体" w:cs="新宋体"/>
                <w:i w:val="0"/>
                <w:iCs w:val="0"/>
                <w:color w:val="000000"/>
                <w:kern w:val="0"/>
                <w:sz w:val="20"/>
                <w:szCs w:val="20"/>
                <w:u w:val="none"/>
                <w:lang w:val="en-US" w:eastAsia="zh-CN" w:bidi="ar"/>
              </w:rPr>
              <w:t>支持硬件过载保护机制</w:t>
            </w:r>
            <w:r>
              <w:rPr>
                <w:rFonts w:hint="eastAsia" w:ascii="新宋体" w:hAnsi="新宋体" w:eastAsia="新宋体" w:cs="新宋体"/>
                <w:i w:val="0"/>
                <w:iCs w:val="0"/>
                <w:color w:val="000000"/>
                <w:kern w:val="0"/>
                <w:sz w:val="20"/>
                <w:szCs w:val="20"/>
                <w:u w:val="none"/>
                <w:lang w:val="en-US" w:eastAsia="zh-CN" w:bidi="ar"/>
              </w:rPr>
              <w:br w:type="textWrapping"/>
            </w:r>
            <w:r>
              <w:rPr>
                <w:rFonts w:hint="eastAsia" w:ascii="新宋体" w:hAnsi="新宋体" w:eastAsia="新宋体" w:cs="新宋体"/>
                <w:i w:val="0"/>
                <w:iCs w:val="0"/>
                <w:color w:val="000000"/>
                <w:kern w:val="0"/>
                <w:sz w:val="20"/>
                <w:szCs w:val="20"/>
                <w:u w:val="none"/>
                <w:lang w:val="en-US" w:eastAsia="zh-CN" w:bidi="ar"/>
              </w:rPr>
              <w:t>支持风扇多级调速技术</w:t>
            </w:r>
            <w:r>
              <w:rPr>
                <w:rFonts w:hint="eastAsia" w:ascii="新宋体" w:hAnsi="新宋体" w:eastAsia="新宋体" w:cs="新宋体"/>
                <w:i w:val="0"/>
                <w:iCs w:val="0"/>
                <w:color w:val="000000"/>
                <w:kern w:val="0"/>
                <w:sz w:val="20"/>
                <w:szCs w:val="20"/>
                <w:u w:val="none"/>
                <w:lang w:val="en-US" w:eastAsia="zh-CN" w:bidi="ar"/>
              </w:rPr>
              <w:br w:type="textWrapping"/>
            </w:r>
            <w:r>
              <w:rPr>
                <w:rFonts w:hint="eastAsia" w:ascii="新宋体" w:hAnsi="新宋体" w:eastAsia="新宋体" w:cs="新宋体"/>
                <w:i w:val="0"/>
                <w:iCs w:val="0"/>
                <w:color w:val="000000"/>
                <w:kern w:val="0"/>
                <w:sz w:val="20"/>
                <w:szCs w:val="20"/>
                <w:u w:val="none"/>
                <w:lang w:val="en-US" w:eastAsia="zh-CN" w:bidi="ar"/>
              </w:rPr>
              <w:t>支持防尘、防震、防腐蚀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 </w:t>
            </w: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bidi="ar"/>
              </w:rPr>
              <w:t>云存储硬盘(18TB*2)</w:t>
            </w:r>
          </w:p>
        </w:tc>
        <w:tc>
          <w:tcPr>
            <w:tcW w:w="4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bidi="ar"/>
              </w:rPr>
              <w:t>监控级SATA硬盘：18TB*2</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 </w:t>
            </w: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bidi="ar"/>
              </w:rPr>
              <w:t>电池模块</w:t>
            </w:r>
          </w:p>
        </w:tc>
        <w:tc>
          <w:tcPr>
            <w:tcW w:w="4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bidi="ar"/>
              </w:rPr>
              <w:t>电池模块</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 </w:t>
            </w: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bidi="ar"/>
              </w:rPr>
              <w:t>700W电源模块</w:t>
            </w:r>
          </w:p>
        </w:tc>
        <w:tc>
          <w:tcPr>
            <w:tcW w:w="4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bidi="ar"/>
              </w:rPr>
              <w:t>700W电源模块</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 </w:t>
            </w: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线缆辅材</w:t>
            </w:r>
          </w:p>
        </w:tc>
        <w:tc>
          <w:tcPr>
            <w:tcW w:w="4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含网线、水晶头、电源线、尾纤、信号线、标签、扎带等辅材</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67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四、改造前端部分</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750" w:type="dxa"/>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星光级枪机</w:t>
            </w:r>
          </w:p>
        </w:tc>
        <w:tc>
          <w:tcPr>
            <w:tcW w:w="428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 采用≥1/1.8″逐行扫描400万像素图像传感器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 具有≥1个RJ45接口、2路报警输入、1路报警输出，1路音频输入、1个TF卡插槽，1路音频输出，1路RS485接口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 焦距范围：4/6/8/12mm，定焦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 最低照度：彩色≤0.0005lx、黑白≤0.0001lx。</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 支持120dB光学宽动态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 支持H.265、H.264、MJPEG编码格式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 支持ONVIF、GB/T 28181、GA/T 1400等协议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 支持TF卡热插拔，最大支持≥256GB TF卡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 支持暖光补光灯，补光距离≥30m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 设备支持人脸检测抓拍，可支持不低于40张人脸并发检测，支持抓拍优选，自动筛选出抓拍质量最优的图片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 支持混行检测：支持机动车、非机动车、行人分类检测抓拍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 防护等级≥IP67，支持在不低于-30～60℃环境下正常工作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供电方式：DC12V(±25%)、POE；含抱杆支架，DC12V/25W电源适配器，托板和万向节</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星光级枪机</w:t>
            </w:r>
          </w:p>
        </w:tc>
        <w:tc>
          <w:tcPr>
            <w:tcW w:w="428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 采用≥1/1.8″逐行扫描400万像素图像传感器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 具有≥1个RJ45接口、2路报警输入、1路报警输出，1路音频输入、1个TF卡插槽，1路音频输出，1路RS485接口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 焦距范围：2.8～12mm，电动变焦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 最低照度：彩色≤0.0005lx、黑白≤0.0001lx。</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 支持120dB光学宽动态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 支持H.265、H.264、MJPEG编码格式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 支持ONVIF、GB/T 28181、GA/T 1400等协议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 支持TF卡热插拔，最大支持≥256GB TF卡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 支持暖光补光灯，补光距离≥30m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 设备支持人脸检测抓拍，可支持不低于40张人脸并发检测，支持抓拍优选，自动筛选出抓拍质量最优的图片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 支持混行检测：支持机动车、非机动车、行人分类检测抓拍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 防护等级≥IP67，支持在不低于-30～60℃环境下正常工作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供电方式：DC12V(±25%)、POE；含抱杆支架，DC12V/25W电源适配器，托板和万向节</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星光级球机</w:t>
            </w:r>
          </w:p>
        </w:tc>
        <w:tc>
          <w:tcPr>
            <w:tcW w:w="428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 采用≥1/1.8 ”逐行扫描400万像素CMOS图像传感器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 支持6-150mm电动变焦，不小于25倍光学变倍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 支持最低照度：彩色：≤0.001lx，黑白：≤0.0001lx</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 支持120dB光学宽动态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 支持接口：≥1个RJ45接口、≥1个BNC接口、≥2个报警输入接口、1个报警输出接口、≥1个RS485接口、≥1个音频输入接口、1个音频输出接口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6. 支持红外灯补光，红外补光灯可定时或自动开启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 内置1个SD插槽，支持SD卡热插拔，支持≥256GB SD卡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 支持人脸检测，越界检测、区域入侵、进入区域、离开区域，运动检测、遮挡检测、声音检测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 支持ONVIF、GB/T 28181、GA/T 1400等标准协议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 水平范围：360°，水平速度0.1°/s~240°/s；预置位速度≥240°/s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 垂直范围：-15°~90°，垂直速度：0.1°~160°/s；预置位速度≥200°/s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 支持不低于256个预置位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 供电方式：AC/DC24V±25%，支持过压过流保护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 功耗≤50W，，6KV防雷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15. 工作环境：–40°C ~ 65°C，≤95%RH（相对湿度，无冷凝）</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16. 防护等级不低于IP66</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含电源、球机安装支架（一个球机吊装杆或壁装杆 ），球机连接件</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配套线缆</w:t>
            </w:r>
          </w:p>
        </w:tc>
        <w:tc>
          <w:tcPr>
            <w:tcW w:w="4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网线STP.CAT-5e、电源线RVV2*1.5及防护套管PVC，标签、扎带等</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78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五、其他</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链路费</w:t>
            </w:r>
          </w:p>
        </w:tc>
        <w:tc>
          <w:tcPr>
            <w:tcW w:w="4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每条每月400元，每年4800元计算</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条</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IDC主机托管</w:t>
            </w:r>
          </w:p>
        </w:tc>
        <w:tc>
          <w:tcPr>
            <w:tcW w:w="4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1个4U机位</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施工集成服务</w:t>
            </w:r>
          </w:p>
        </w:tc>
        <w:tc>
          <w:tcPr>
            <w:tcW w:w="4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包含前端设备，平台设备，改成部分设备的运输、安装等</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技术集成服务</w:t>
            </w:r>
          </w:p>
        </w:tc>
        <w:tc>
          <w:tcPr>
            <w:tcW w:w="4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包含摄像机调试，一机一档数据采集，平台设备数据调测等技术服务</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bl>
    <w:p>
      <w:pPr>
        <w:rPr>
          <w:rFonts w:hint="eastAsia"/>
        </w:rPr>
      </w:pPr>
    </w:p>
    <w:p>
      <w:pPr>
        <w:spacing w:line="360" w:lineRule="auto"/>
        <w:ind w:firstLine="480" w:firstLineChars="200"/>
        <w:rPr>
          <w:rFonts w:ascii="仿宋" w:hAnsi="仿宋" w:eastAsia="仿宋" w:cs="仿宋"/>
          <w:sz w:val="24"/>
          <w:szCs w:val="32"/>
        </w:rPr>
      </w:pPr>
      <w:r>
        <w:rPr>
          <w:rFonts w:hint="eastAsia" w:ascii="仿宋" w:hAnsi="仿宋" w:eastAsia="仿宋" w:cs="仿宋"/>
          <w:sz w:val="24"/>
          <w:szCs w:val="32"/>
        </w:rPr>
        <w:t>标项12：六道湾片区管委会项目</w:t>
      </w:r>
    </w:p>
    <w:p>
      <w:pPr>
        <w:pStyle w:val="2"/>
        <w:jc w:val="both"/>
        <w:rPr>
          <w:rFonts w:hint="eastAsia"/>
        </w:rPr>
      </w:pPr>
    </w:p>
    <w:tbl>
      <w:tblPr>
        <w:tblStyle w:val="21"/>
        <w:tblW w:w="883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74"/>
        <w:gridCol w:w="2016"/>
        <w:gridCol w:w="4466"/>
        <w:gridCol w:w="794"/>
        <w:gridCol w:w="8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设备名称</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主要性能指标</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w:t>
            </w:r>
          </w:p>
        </w:tc>
        <w:tc>
          <w:tcPr>
            <w:tcW w:w="885"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71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一、新建前端部分</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星光级枪机</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 采用≥1/1.8″逐行扫描400万像素图像传感器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 具有≥1个RJ45接口、2路报警输入、1路报警输出，1路音频输入、1个TF卡插槽，1路音频输出，1路RS485接口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 焦距范围：4/6/8/12mm，定焦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 最低照度：彩色≤0.0005lx、黑白≤0.0001lx。</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 支持120dB光学宽动态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 支持H.265、H.264、MJPEG编码格式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 支持ONVIF、GB/T 28181、GA/T 1400等协议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 支持TF卡热插拔，最大支持≥256GB TF卡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 支持暖光补光灯，补光距离≥30m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 设备支持人脸检测抓拍，可支持不低于40张人脸并发检测，支持抓拍优选，自动筛选出抓拍质量最优的图片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 支持混行检测：支持机动车、非机动车、行人分类检测抓拍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 防护等级≥IP67，支持在不低于-30～60℃环境下正常工作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供电方式：DC12V(±25%)、POE；含抱杆支架，DC12V/25W电源适配器，托板和万向节</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星光级枪机</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 采用≥1/1.8″逐行扫描400万像素图像传感器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 具有≥1个RJ45接口、2路报警输入、1路报警输出，1路音频输入、1个TF卡插槽，1路音频输出，1路RS485接口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 焦距范围：2.8～12mm，电动变焦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 最低照度：彩色≤0.0005lx、黑白≤0.0001lx。</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 支持120dB光学宽动态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 支持H.265、H.264、MJPEG编码格式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 支持ONVIF、GB/T 28181、GA/T 1400等协议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 支持TF卡热插拔，最大支持≥256GB TF卡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 支持暖光补光灯，补光距离≥30m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 设备支持人脸检测抓拍，可支持不低于40张人脸并发检测，支持抓拍优选，自动筛选出抓拍质量最优的图片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 支持混行检测：支持机动车、非机动车、行人分类检测抓拍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 防护等级≥IP67，支持在不低于-30～60℃环境下正常工作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供电方式：DC12V(±25%)、POE；含抱杆支架，DC12V/25W电源适配器，托板和万向节</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星光级球机</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 采用≥1/1.8 ”逐行扫描400万像素CMOS图像传感器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 支持6-150mm电动变焦，不小于25倍光学变倍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 支持最低照度：彩色：≤0.001lx，黑白：≤0.0001lx</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 支持120dB光学宽动态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 支持接口：≥1个RJ45接口、≥1个BNC接口、≥2个报警输入接口、1个报警输出接口、≥1个RS485接口、≥1个音频输入接口、1个音频输出接口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6. 支持红外灯补光，红外补光灯可定时或自动开启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 内置1个SD插槽，支持SD卡热插拔，支持≥256GB SD卡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 支持人脸检测，越界检测、区域入侵、进入区域、离开区域，运动检测、遮挡检测、声音检测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 支持ONVIF、GB/T 28181、GA/T 1400等标准协议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 水平范围：360°，水平速度0.1°/s~240°/s；预置位速度≥240°/s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 垂直范围：-15°~90°，垂直速度：0.1°~160°/s；预置位速度≥200°/s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 支持不低于256个预置位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 供电方式：AC/DC24V±25%，支持过压过流保护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 功耗≤50W，，6KV防雷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15. 工作环境：–40°C ~ 65°C，≤95%RH（相对湿度，无冷凝）</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16. 防护等级不低于IP66</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含电源、球机安装支架（一个球机吊装杆或壁装杆 ），球机连接件</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高空球机</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 采用≥1/1.8 ”逐行扫描400万像素CMOS图像传感器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 支持6-190mm电动变焦，不小于30倍光学变倍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 支持最低照度：彩色：≤0.001lx，黑白：≤0.0001lx</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 支持120dB光学宽动态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 支持接口：≥1个RJ45接口、≥1个BNC接口、≥2个报警输入接口、1个报警输出接口、≥1个RS485接口、≥1个音频输入接口、1个音频输出接口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6. 支持红外灯补光，红外补光灯可定时或自动开启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 内置1个SD插槽，支持SD卡热插拔，支持≥256GB SD卡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 支持人脸检测，越界检测、区域入侵、进入区域、离开区域，运动检测、遮挡检测、声音检测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 支持ONVIF、GB/T 28181、GA/T 1400等标准协议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 水平范围：360°，水平速度0.1°/s~240°/s；预置位速度≥240°/s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 垂直范围：-15°~90°，垂直速度：0.1°~160°/s；预置位速度≥200°/s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 支持不低于256个预置位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 供电方式：AC/DC24V±25%，支持过压过流保护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 功耗≤50W，，6KV防雷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15. 工作环境：–40°C ~ 65°C，≤95%RH（相对湿度，无冷凝）</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16. 防护等级不低于IP66</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含电源、球机安装支架（一个球机吊装杆或壁装杆 ），球机连接件</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监控箱</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设备箱具备防雨、防尘、通风散热、抗紫外线（耐老化）、防盗、防锈；箱体采用≥1.2mm镀锌板，箱体尺寸（含雨帽）≥430(宽)*535(高)*220(深)mm，≥380(宽)*500(高)*200(深)mm（不含雨帽）；箱体工作温度范围-40℃～85℃，工作湿度≤90%RH，工作电压范围AC75～AC280V，外壳防护等级≥IP65，机械碰撞防护等级≥IK08，盐雾测试≥120小时；箱体内部预置可移动托板；整机一体化设计，内部集成控制终端、空开、电源防雷器、5位五孔插座、1路补光灯AC220V远程可控端子、DC12V风扇、1路RS485接口、1路RS232接口、2路IO告警输出、3路干接点输入（1路预留给箱门，1路预留给防雷器）、1路DC12V和1路DC5C（预留给网络传输设备）；具有≥4路AC220V输出，支持独立每路电压、电流检测、远程控制、实时发送每路电压电流值到客户端显示，支持通过客户端实时监测设备输出是否断电，并在客户端界面提示告警；支持供电电压、电流、功率、电量监测，可通过客户端显示，当供电断开时，提示供电异常告警；可通过客户端软件显示设备的实时功率和累计用电电量和电费统计数值；具有检测过压、欠压、过流，支持过压、欠压、过流、低载联动关闭指定输出接口；支持手动开启学习接入设备的功率，在当前设备的功率基础上接入其他设备时，自动关闭供电输出，并且客户端提示非法取电告警；支持在不使用外部蓄电池情况下，通过客户端实时监测设备供电电源，并在客户端提示设备供电电源掉电告警；可通过客户端显示摄像机工作状态并设置定时/手动开启，当接入的摄像机断电或网络断开时，可通过客户端提示告警，支持≥8路外接摄像机状态检测，支持在客户端内实现外接摄像机视频图像播放；可通过WEB及客户端显示交换机工作状态，可设置定时/手动重启、重启次数和时间，当网络传输断开时，可自动进行重启网络传输设备电源；支持多路补光灯检测，能够区分补光灯白天异常亮起和晚上无法开启，支持补光灯功率自学习功能，可设置定时/手动开启电源，支持≥4个时间段的分时控制；支持箱内实时温度、湿度、防雷状态、风扇工作状态检测，支持风扇故障监测和告警，支持风扇单次运行时间统计和总运行时间统计；支持通过客户端显示箱门开关状态，可设置箱门布防撤防,超过设定时间可自动布防，布防状态下箱门开启，客户端提示告警；支持箱门打开后，联动球机转向监控箱位置录像，可配置开始球机转动时间和停留录像时长；支持通过WEB直接查看实时数据、配置IP地址、客户端地址、传输模式、进行远程固件升级,支持IP地址冲突提示、MAC地址冲突提示；支持设备一机一档信息记录，包含设备名称、编号、国标编码、安装时间、品牌、类型、安装时间、质保期、到期时间等；支持设置设备运维、网络运维、电力运维，并生成考核计费报表，支持设置考核标准、考核申诉；支持通过时间、品牌等条件对外接摄像机故障率、在线率以柱状图或折线图展示统计报表；支持自动派单和手动派单，工单记录故障产生时间、派单时间及修复时长等信息；支持设置各类告警的告警等级；支持设置不同告警的处理时效。</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配套线缆</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网线STP.CAT-5e、电源线RVV2*1.5及防护套管PVC，标签、扎带等</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五金配件</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螺丝、连接件、抱箍、钢丝绳、吊卡等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金属立杆</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直径165mm高5米/壁厚4.5mm（热镀锌，表面喷塑）</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金属立杆</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直径165mm高6米/壁厚4.5mm（热镀锌，表面喷塑）</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横臂</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锥型杆，3米横臂：管径80/150（厚3.0mm）</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横臂</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直杆，2米横臂：管径89（厚4.0mm）</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抱箍支臂</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直杆，1米，管径65（厚3.5mm）</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墙装支臂</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直杆，1米，管径65（厚3.5mm）</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墙装支臂</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直杆，2米，管径65（厚3.5mm）</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制高点支架</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立杆底座</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直径165基坑尺寸1000*1000*1100（地下埋深）、含预埋件、防雷接地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71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二、电力部分</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电网国家电表接入费</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包含满足国家电网接入电表等相关配套的技术服务</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利旧点位电力接入及检测费</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点位电力接入及检测费</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新建点位电力接入及检测费</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电力接入及检测费</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bidi="ar"/>
              </w:rPr>
              <w:t>电缆施工费用2</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bidi="ar"/>
              </w:rPr>
              <w:t>沿墙钉固含所需电源线RVV3*2.5、YJV3*4、YJV3*6费用、PVC穿线管、卡子等材料和施费用</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bidi="ar"/>
              </w:rPr>
              <w:t>电缆施工费用3</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bidi="ar"/>
              </w:rPr>
              <w:t>道路（大理石、油路花砖等）、绿化带等开挖、回填、PE穿线管、电源线RVV3*2.5、YJV3*4、YJV3*6等施工费用</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71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二、新建平台部分</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bidi="ar"/>
              </w:rPr>
              <w:t>48盘位云存储设备</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bidi="ar"/>
              </w:rPr>
              <w:t>48盘位视频监控云存储节点：单控制器</w:t>
            </w:r>
            <w:r>
              <w:rPr>
                <w:rFonts w:hint="eastAsia" w:ascii="新宋体" w:hAnsi="新宋体" w:eastAsia="新宋体" w:cs="新宋体"/>
                <w:i w:val="0"/>
                <w:iCs w:val="0"/>
                <w:color w:val="000000"/>
                <w:kern w:val="0"/>
                <w:sz w:val="20"/>
                <w:szCs w:val="20"/>
                <w:u w:val="none"/>
                <w:lang w:val="en-US" w:eastAsia="zh-CN" w:bidi="ar"/>
              </w:rPr>
              <w:br w:type="textWrapping"/>
            </w:r>
            <w:r>
              <w:rPr>
                <w:rFonts w:hint="eastAsia" w:ascii="新宋体" w:hAnsi="新宋体" w:eastAsia="新宋体" w:cs="新宋体"/>
                <w:i w:val="0"/>
                <w:iCs w:val="0"/>
                <w:color w:val="000000"/>
                <w:kern w:val="0"/>
                <w:sz w:val="20"/>
                <w:szCs w:val="20"/>
                <w:u w:val="none"/>
                <w:lang w:val="en-US" w:eastAsia="zh-CN" w:bidi="ar"/>
              </w:rPr>
              <w:t>磁盘通道数：48</w:t>
            </w:r>
            <w:r>
              <w:rPr>
                <w:rFonts w:hint="eastAsia" w:ascii="新宋体" w:hAnsi="新宋体" w:eastAsia="新宋体" w:cs="新宋体"/>
                <w:i w:val="0"/>
                <w:iCs w:val="0"/>
                <w:color w:val="000000"/>
                <w:kern w:val="0"/>
                <w:sz w:val="20"/>
                <w:szCs w:val="20"/>
                <w:u w:val="none"/>
                <w:lang w:val="en-US" w:eastAsia="zh-CN" w:bidi="ar"/>
              </w:rPr>
              <w:br w:type="textWrapping"/>
            </w:r>
            <w:r>
              <w:rPr>
                <w:rFonts w:hint="eastAsia" w:ascii="新宋体" w:hAnsi="新宋体" w:eastAsia="新宋体" w:cs="新宋体"/>
                <w:i w:val="0"/>
                <w:iCs w:val="0"/>
                <w:color w:val="000000"/>
                <w:kern w:val="0"/>
                <w:sz w:val="20"/>
                <w:szCs w:val="20"/>
                <w:u w:val="none"/>
                <w:lang w:val="en-US" w:eastAsia="zh-CN" w:bidi="ar"/>
              </w:rPr>
              <w:t>电源模块：交流电源</w:t>
            </w:r>
            <w:r>
              <w:rPr>
                <w:rFonts w:hint="eastAsia" w:ascii="新宋体" w:hAnsi="新宋体" w:eastAsia="新宋体" w:cs="新宋体"/>
                <w:i w:val="0"/>
                <w:iCs w:val="0"/>
                <w:color w:val="000000"/>
                <w:kern w:val="0"/>
                <w:sz w:val="20"/>
                <w:szCs w:val="20"/>
                <w:u w:val="none"/>
                <w:lang w:val="en-US" w:eastAsia="zh-CN" w:bidi="ar"/>
              </w:rPr>
              <w:br w:type="textWrapping"/>
            </w:r>
            <w:r>
              <w:rPr>
                <w:rFonts w:hint="eastAsia" w:ascii="新宋体" w:hAnsi="新宋体" w:eastAsia="新宋体" w:cs="新宋体"/>
                <w:i w:val="0"/>
                <w:iCs w:val="0"/>
                <w:color w:val="000000"/>
                <w:kern w:val="0"/>
                <w:sz w:val="20"/>
                <w:szCs w:val="20"/>
                <w:u w:val="none"/>
                <w:lang w:val="en-US" w:eastAsia="zh-CN" w:bidi="ar"/>
              </w:rPr>
              <w:t>网络接口：5个千兆以太网接口</w:t>
            </w:r>
            <w:r>
              <w:rPr>
                <w:rFonts w:hint="eastAsia" w:ascii="新宋体" w:hAnsi="新宋体" w:eastAsia="新宋体" w:cs="新宋体"/>
                <w:i w:val="0"/>
                <w:iCs w:val="0"/>
                <w:color w:val="000000"/>
                <w:kern w:val="0"/>
                <w:sz w:val="20"/>
                <w:szCs w:val="20"/>
                <w:u w:val="none"/>
                <w:lang w:val="en-US" w:eastAsia="zh-CN" w:bidi="ar"/>
              </w:rPr>
              <w:br w:type="textWrapping"/>
            </w:r>
            <w:r>
              <w:rPr>
                <w:rFonts w:hint="eastAsia" w:ascii="新宋体" w:hAnsi="新宋体" w:eastAsia="新宋体" w:cs="新宋体"/>
                <w:i w:val="0"/>
                <w:iCs w:val="0"/>
                <w:color w:val="000000"/>
                <w:kern w:val="0"/>
                <w:sz w:val="20"/>
                <w:szCs w:val="20"/>
                <w:u w:val="none"/>
                <w:lang w:val="en-US" w:eastAsia="zh-CN" w:bidi="ar"/>
              </w:rPr>
              <w:t>性能：512路2M块直存、51路回放</w:t>
            </w:r>
            <w:r>
              <w:rPr>
                <w:rFonts w:hint="eastAsia" w:ascii="新宋体" w:hAnsi="新宋体" w:eastAsia="新宋体" w:cs="新宋体"/>
                <w:i w:val="0"/>
                <w:iCs w:val="0"/>
                <w:color w:val="000000"/>
                <w:kern w:val="0"/>
                <w:sz w:val="20"/>
                <w:szCs w:val="20"/>
                <w:u w:val="none"/>
                <w:lang w:val="en-US" w:eastAsia="zh-CN" w:bidi="ar"/>
              </w:rPr>
              <w:br w:type="textWrapping"/>
            </w:r>
            <w:r>
              <w:rPr>
                <w:rFonts w:hint="eastAsia" w:ascii="新宋体" w:hAnsi="新宋体" w:eastAsia="新宋体" w:cs="新宋体"/>
                <w:i w:val="0"/>
                <w:iCs w:val="0"/>
                <w:color w:val="000000"/>
                <w:kern w:val="0"/>
                <w:sz w:val="20"/>
                <w:szCs w:val="20"/>
                <w:u w:val="none"/>
                <w:lang w:val="en-US" w:eastAsia="zh-CN" w:bidi="ar"/>
              </w:rPr>
              <w:t>384路2M流直存，38路回放</w:t>
            </w:r>
            <w:r>
              <w:rPr>
                <w:rFonts w:hint="eastAsia" w:ascii="新宋体" w:hAnsi="新宋体" w:eastAsia="新宋体" w:cs="新宋体"/>
                <w:i w:val="0"/>
                <w:iCs w:val="0"/>
                <w:color w:val="000000"/>
                <w:kern w:val="0"/>
                <w:sz w:val="20"/>
                <w:szCs w:val="20"/>
                <w:u w:val="none"/>
                <w:lang w:val="en-US" w:eastAsia="zh-CN" w:bidi="ar"/>
              </w:rPr>
              <w:br w:type="textWrapping"/>
            </w:r>
            <w:r>
              <w:rPr>
                <w:rFonts w:hint="eastAsia" w:ascii="新宋体" w:hAnsi="新宋体" w:eastAsia="新宋体" w:cs="新宋体"/>
                <w:i w:val="0"/>
                <w:iCs w:val="0"/>
                <w:color w:val="000000"/>
                <w:kern w:val="0"/>
                <w:sz w:val="20"/>
                <w:szCs w:val="20"/>
                <w:u w:val="none"/>
                <w:lang w:val="en-US" w:eastAsia="zh-CN" w:bidi="ar"/>
              </w:rPr>
              <w:t xml:space="preserve"> 支持提供存储虚拟化管理功能，将所有存储节点空间合并成一个存储虚拟池，对外提供海量存储空间管理</w:t>
            </w:r>
            <w:r>
              <w:rPr>
                <w:rFonts w:hint="eastAsia" w:ascii="新宋体" w:hAnsi="新宋体" w:eastAsia="新宋体" w:cs="新宋体"/>
                <w:i w:val="0"/>
                <w:iCs w:val="0"/>
                <w:color w:val="000000"/>
                <w:kern w:val="0"/>
                <w:sz w:val="20"/>
                <w:szCs w:val="20"/>
                <w:u w:val="none"/>
                <w:lang w:val="en-US" w:eastAsia="zh-CN" w:bidi="ar"/>
              </w:rPr>
              <w:br w:type="textWrapping"/>
            </w:r>
            <w:r>
              <w:rPr>
                <w:rFonts w:hint="eastAsia" w:ascii="新宋体" w:hAnsi="新宋体" w:eastAsia="新宋体" w:cs="新宋体"/>
                <w:i w:val="0"/>
                <w:iCs w:val="0"/>
                <w:color w:val="000000"/>
                <w:kern w:val="0"/>
                <w:sz w:val="20"/>
                <w:szCs w:val="20"/>
                <w:u w:val="none"/>
                <w:lang w:val="en-US" w:eastAsia="zh-CN" w:bidi="ar"/>
              </w:rPr>
              <w:t>支持PCIe插槽、支持千兆GE接口卡和万兆10GE接口卡、Mini SAS HD卡(SAS 3.0)</w:t>
            </w:r>
            <w:r>
              <w:rPr>
                <w:rFonts w:hint="eastAsia" w:ascii="新宋体" w:hAnsi="新宋体" w:eastAsia="新宋体" w:cs="新宋体"/>
                <w:i w:val="0"/>
                <w:iCs w:val="0"/>
                <w:color w:val="000000"/>
                <w:kern w:val="0"/>
                <w:sz w:val="20"/>
                <w:szCs w:val="20"/>
                <w:u w:val="none"/>
                <w:lang w:val="en-US" w:eastAsia="zh-CN" w:bidi="ar"/>
              </w:rPr>
              <w:br w:type="textWrapping"/>
            </w:r>
            <w:r>
              <w:rPr>
                <w:rFonts w:hint="eastAsia" w:ascii="新宋体" w:hAnsi="新宋体" w:eastAsia="新宋体" w:cs="新宋体"/>
                <w:i w:val="0"/>
                <w:iCs w:val="0"/>
                <w:color w:val="000000"/>
                <w:kern w:val="0"/>
                <w:sz w:val="20"/>
                <w:szCs w:val="20"/>
                <w:u w:val="none"/>
                <w:lang w:val="en-US" w:eastAsia="zh-CN" w:bidi="ar"/>
              </w:rPr>
              <w:t>支持网络端口链路聚合、负载均衡</w:t>
            </w:r>
            <w:r>
              <w:rPr>
                <w:rFonts w:hint="eastAsia" w:ascii="新宋体" w:hAnsi="新宋体" w:eastAsia="新宋体" w:cs="新宋体"/>
                <w:i w:val="0"/>
                <w:iCs w:val="0"/>
                <w:color w:val="000000"/>
                <w:kern w:val="0"/>
                <w:sz w:val="20"/>
                <w:szCs w:val="20"/>
                <w:u w:val="none"/>
                <w:lang w:val="en-US" w:eastAsia="zh-CN" w:bidi="ar"/>
              </w:rPr>
              <w:br w:type="textWrapping"/>
            </w:r>
            <w:r>
              <w:rPr>
                <w:rFonts w:hint="eastAsia" w:ascii="新宋体" w:hAnsi="新宋体" w:eastAsia="新宋体" w:cs="新宋体"/>
                <w:i w:val="0"/>
                <w:iCs w:val="0"/>
                <w:color w:val="000000"/>
                <w:kern w:val="0"/>
                <w:sz w:val="20"/>
                <w:szCs w:val="20"/>
                <w:u w:val="none"/>
                <w:lang w:val="en-US" w:eastAsia="zh-CN" w:bidi="ar"/>
              </w:rPr>
              <w:t>支持标准ONVIF、GB/T28181等标准前端接入</w:t>
            </w:r>
            <w:r>
              <w:rPr>
                <w:rFonts w:hint="eastAsia" w:ascii="新宋体" w:hAnsi="新宋体" w:eastAsia="新宋体" w:cs="新宋体"/>
                <w:i w:val="0"/>
                <w:iCs w:val="0"/>
                <w:color w:val="000000"/>
                <w:kern w:val="0"/>
                <w:sz w:val="20"/>
                <w:szCs w:val="20"/>
                <w:u w:val="none"/>
                <w:lang w:val="en-US" w:eastAsia="zh-CN" w:bidi="ar"/>
              </w:rPr>
              <w:br w:type="textWrapping"/>
            </w:r>
            <w:r>
              <w:rPr>
                <w:rFonts w:hint="eastAsia" w:ascii="新宋体" w:hAnsi="新宋体" w:eastAsia="新宋体" w:cs="新宋体"/>
                <w:i w:val="0"/>
                <w:iCs w:val="0"/>
                <w:color w:val="000000"/>
                <w:kern w:val="0"/>
                <w:sz w:val="20"/>
                <w:szCs w:val="20"/>
                <w:u w:val="none"/>
                <w:lang w:val="en-US" w:eastAsia="zh-CN" w:bidi="ar"/>
              </w:rPr>
              <w:t>支持视频智能结构化数据存储</w:t>
            </w:r>
            <w:r>
              <w:rPr>
                <w:rFonts w:hint="eastAsia" w:ascii="新宋体" w:hAnsi="新宋体" w:eastAsia="新宋体" w:cs="新宋体"/>
                <w:i w:val="0"/>
                <w:iCs w:val="0"/>
                <w:color w:val="000000"/>
                <w:kern w:val="0"/>
                <w:sz w:val="20"/>
                <w:szCs w:val="20"/>
                <w:u w:val="none"/>
                <w:lang w:val="en-US" w:eastAsia="zh-CN" w:bidi="ar"/>
              </w:rPr>
              <w:br w:type="textWrapping"/>
            </w:r>
            <w:r>
              <w:rPr>
                <w:rFonts w:hint="eastAsia" w:ascii="新宋体" w:hAnsi="新宋体" w:eastAsia="新宋体" w:cs="新宋体"/>
                <w:i w:val="0"/>
                <w:iCs w:val="0"/>
                <w:color w:val="000000"/>
                <w:kern w:val="0"/>
                <w:sz w:val="20"/>
                <w:szCs w:val="20"/>
                <w:u w:val="none"/>
                <w:lang w:val="en-US" w:eastAsia="zh-CN" w:bidi="ar"/>
              </w:rPr>
              <w:t>支持裸数据块直存方式，无文件系统碎片，海量小文件存储性能无衰减</w:t>
            </w:r>
            <w:r>
              <w:rPr>
                <w:rFonts w:hint="eastAsia" w:ascii="新宋体" w:hAnsi="新宋体" w:eastAsia="新宋体" w:cs="新宋体"/>
                <w:i w:val="0"/>
                <w:iCs w:val="0"/>
                <w:color w:val="000000"/>
                <w:kern w:val="0"/>
                <w:sz w:val="20"/>
                <w:szCs w:val="20"/>
                <w:u w:val="none"/>
                <w:lang w:val="en-US" w:eastAsia="zh-CN" w:bidi="ar"/>
              </w:rPr>
              <w:br w:type="textWrapping"/>
            </w:r>
            <w:r>
              <w:rPr>
                <w:rFonts w:hint="eastAsia" w:ascii="新宋体" w:hAnsi="新宋体" w:eastAsia="新宋体" w:cs="新宋体"/>
                <w:i w:val="0"/>
                <w:iCs w:val="0"/>
                <w:color w:val="000000"/>
                <w:kern w:val="0"/>
                <w:sz w:val="20"/>
                <w:szCs w:val="20"/>
                <w:u w:val="none"/>
                <w:lang w:val="en-US" w:eastAsia="zh-CN" w:bidi="ar"/>
              </w:rPr>
              <w:t>支持数据离散，并发读写，支持视频秒级检索及回放，视频、图片极速下载</w:t>
            </w:r>
            <w:r>
              <w:rPr>
                <w:rFonts w:hint="eastAsia" w:ascii="新宋体" w:hAnsi="新宋体" w:eastAsia="新宋体" w:cs="新宋体"/>
                <w:i w:val="0"/>
                <w:iCs w:val="0"/>
                <w:color w:val="000000"/>
                <w:kern w:val="0"/>
                <w:sz w:val="20"/>
                <w:szCs w:val="20"/>
                <w:u w:val="none"/>
                <w:lang w:val="en-US" w:eastAsia="zh-CN" w:bidi="ar"/>
              </w:rPr>
              <w:br w:type="textWrapping"/>
            </w:r>
            <w:r>
              <w:rPr>
                <w:rFonts w:hint="eastAsia" w:ascii="新宋体" w:hAnsi="新宋体" w:eastAsia="新宋体" w:cs="新宋体"/>
                <w:i w:val="0"/>
                <w:iCs w:val="0"/>
                <w:color w:val="000000"/>
                <w:kern w:val="0"/>
                <w:sz w:val="20"/>
                <w:szCs w:val="20"/>
                <w:u w:val="none"/>
                <w:lang w:val="en-US" w:eastAsia="zh-CN" w:bidi="ar"/>
              </w:rPr>
              <w:t>支持云节点负载均衡、故障切换，解决单节点性能瓶颈问题及单节点故障问题，保证业务连续性</w:t>
            </w:r>
            <w:r>
              <w:rPr>
                <w:rFonts w:hint="eastAsia" w:ascii="新宋体" w:hAnsi="新宋体" w:eastAsia="新宋体" w:cs="新宋体"/>
                <w:i w:val="0"/>
                <w:iCs w:val="0"/>
                <w:color w:val="000000"/>
                <w:kern w:val="0"/>
                <w:sz w:val="20"/>
                <w:szCs w:val="20"/>
                <w:u w:val="none"/>
                <w:lang w:val="en-US" w:eastAsia="zh-CN" w:bidi="ar"/>
              </w:rPr>
              <w:br w:type="textWrapping"/>
            </w:r>
            <w:r>
              <w:rPr>
                <w:rFonts w:hint="eastAsia" w:ascii="新宋体" w:hAnsi="新宋体" w:eastAsia="新宋体" w:cs="新宋体"/>
                <w:i w:val="0"/>
                <w:iCs w:val="0"/>
                <w:color w:val="000000"/>
                <w:kern w:val="0"/>
                <w:sz w:val="20"/>
                <w:szCs w:val="20"/>
                <w:u w:val="none"/>
                <w:lang w:val="en-US" w:eastAsia="zh-CN" w:bidi="ar"/>
              </w:rPr>
              <w:t>支持云备份功能，实现云内数据备份和云间备份</w:t>
            </w:r>
            <w:r>
              <w:rPr>
                <w:rFonts w:hint="eastAsia" w:ascii="新宋体" w:hAnsi="新宋体" w:eastAsia="新宋体" w:cs="新宋体"/>
                <w:i w:val="0"/>
                <w:iCs w:val="0"/>
                <w:color w:val="000000"/>
                <w:kern w:val="0"/>
                <w:sz w:val="20"/>
                <w:szCs w:val="20"/>
                <w:u w:val="none"/>
                <w:lang w:val="en-US" w:eastAsia="zh-CN" w:bidi="ar"/>
              </w:rPr>
              <w:br w:type="textWrapping"/>
            </w:r>
            <w:r>
              <w:rPr>
                <w:rFonts w:hint="eastAsia" w:ascii="新宋体" w:hAnsi="新宋体" w:eastAsia="新宋体" w:cs="新宋体"/>
                <w:i w:val="0"/>
                <w:iCs w:val="0"/>
                <w:color w:val="000000"/>
                <w:kern w:val="0"/>
                <w:sz w:val="20"/>
                <w:szCs w:val="20"/>
                <w:u w:val="none"/>
                <w:lang w:val="en-US" w:eastAsia="zh-CN" w:bidi="ar"/>
              </w:rPr>
              <w:t>支持冗余电源，风扇，电池，支持磁盘、电源、风扇、电池的热插拔和在线更换</w:t>
            </w:r>
            <w:r>
              <w:rPr>
                <w:rFonts w:hint="eastAsia" w:ascii="新宋体" w:hAnsi="新宋体" w:eastAsia="新宋体" w:cs="新宋体"/>
                <w:i w:val="0"/>
                <w:iCs w:val="0"/>
                <w:color w:val="000000"/>
                <w:kern w:val="0"/>
                <w:sz w:val="20"/>
                <w:szCs w:val="20"/>
                <w:u w:val="none"/>
                <w:lang w:val="en-US" w:eastAsia="zh-CN" w:bidi="ar"/>
              </w:rPr>
              <w:br w:type="textWrapping"/>
            </w:r>
            <w:r>
              <w:rPr>
                <w:rFonts w:hint="eastAsia" w:ascii="新宋体" w:hAnsi="新宋体" w:eastAsia="新宋体" w:cs="新宋体"/>
                <w:i w:val="0"/>
                <w:iCs w:val="0"/>
                <w:color w:val="000000"/>
                <w:kern w:val="0"/>
                <w:sz w:val="20"/>
                <w:szCs w:val="20"/>
                <w:u w:val="none"/>
                <w:lang w:val="en-US" w:eastAsia="zh-CN" w:bidi="ar"/>
              </w:rPr>
              <w:t>支持数码管、指示灯、蜂鸣器告警、邮件告警、SNMP Trap、短信等告警方式对故障进行告警</w:t>
            </w:r>
            <w:r>
              <w:rPr>
                <w:rFonts w:hint="eastAsia" w:ascii="新宋体" w:hAnsi="新宋体" w:eastAsia="新宋体" w:cs="新宋体"/>
                <w:i w:val="0"/>
                <w:iCs w:val="0"/>
                <w:color w:val="000000"/>
                <w:kern w:val="0"/>
                <w:sz w:val="20"/>
                <w:szCs w:val="20"/>
                <w:u w:val="none"/>
                <w:lang w:val="en-US" w:eastAsia="zh-CN" w:bidi="ar"/>
              </w:rPr>
              <w:br w:type="textWrapping"/>
            </w:r>
            <w:r>
              <w:rPr>
                <w:rFonts w:hint="eastAsia" w:ascii="新宋体" w:hAnsi="新宋体" w:eastAsia="新宋体" w:cs="新宋体"/>
                <w:i w:val="0"/>
                <w:iCs w:val="0"/>
                <w:color w:val="000000"/>
                <w:kern w:val="0"/>
                <w:sz w:val="20"/>
                <w:szCs w:val="20"/>
                <w:u w:val="none"/>
                <w:lang w:val="en-US" w:eastAsia="zh-CN" w:bidi="ar"/>
              </w:rPr>
              <w:t>支持IP冲突告警、网口降速、电源故障、风扇故障、电池电量不足、电池故障等告警</w:t>
            </w:r>
            <w:r>
              <w:rPr>
                <w:rFonts w:hint="eastAsia" w:ascii="新宋体" w:hAnsi="新宋体" w:eastAsia="新宋体" w:cs="新宋体"/>
                <w:i w:val="0"/>
                <w:iCs w:val="0"/>
                <w:color w:val="000000"/>
                <w:kern w:val="0"/>
                <w:sz w:val="20"/>
                <w:szCs w:val="20"/>
                <w:u w:val="none"/>
                <w:lang w:val="en-US" w:eastAsia="zh-CN" w:bidi="ar"/>
              </w:rPr>
              <w:br w:type="textWrapping"/>
            </w:r>
            <w:r>
              <w:rPr>
                <w:rFonts w:hint="eastAsia" w:ascii="新宋体" w:hAnsi="新宋体" w:eastAsia="新宋体" w:cs="新宋体"/>
                <w:i w:val="0"/>
                <w:iCs w:val="0"/>
                <w:color w:val="000000"/>
                <w:kern w:val="0"/>
                <w:sz w:val="20"/>
                <w:szCs w:val="20"/>
                <w:u w:val="none"/>
                <w:lang w:val="en-US" w:eastAsia="zh-CN" w:bidi="ar"/>
              </w:rPr>
              <w:t>支持数据保险箱（掉电数据永久保护）</w:t>
            </w:r>
            <w:r>
              <w:rPr>
                <w:rFonts w:hint="eastAsia" w:ascii="新宋体" w:hAnsi="新宋体" w:eastAsia="新宋体" w:cs="新宋体"/>
                <w:i w:val="0"/>
                <w:iCs w:val="0"/>
                <w:color w:val="000000"/>
                <w:kern w:val="0"/>
                <w:sz w:val="20"/>
                <w:szCs w:val="20"/>
                <w:u w:val="none"/>
                <w:lang w:val="en-US" w:eastAsia="zh-CN" w:bidi="ar"/>
              </w:rPr>
              <w:br w:type="textWrapping"/>
            </w:r>
            <w:r>
              <w:rPr>
                <w:rFonts w:hint="eastAsia" w:ascii="新宋体" w:hAnsi="新宋体" w:eastAsia="新宋体" w:cs="新宋体"/>
                <w:i w:val="0"/>
                <w:iCs w:val="0"/>
                <w:color w:val="000000"/>
                <w:kern w:val="0"/>
                <w:sz w:val="20"/>
                <w:szCs w:val="20"/>
                <w:u w:val="none"/>
                <w:lang w:val="en-US" w:eastAsia="zh-CN" w:bidi="ar"/>
              </w:rPr>
              <w:t>支持JBOD、RAID 0、1、5、6、10、50，RAID阵列可即建即用</w:t>
            </w:r>
            <w:r>
              <w:rPr>
                <w:rFonts w:hint="eastAsia" w:ascii="新宋体" w:hAnsi="新宋体" w:eastAsia="新宋体" w:cs="新宋体"/>
                <w:i w:val="0"/>
                <w:iCs w:val="0"/>
                <w:color w:val="000000"/>
                <w:kern w:val="0"/>
                <w:sz w:val="20"/>
                <w:szCs w:val="20"/>
                <w:u w:val="none"/>
                <w:lang w:val="en-US" w:eastAsia="zh-CN" w:bidi="ar"/>
              </w:rPr>
              <w:br w:type="textWrapping"/>
            </w:r>
            <w:r>
              <w:rPr>
                <w:rFonts w:hint="eastAsia" w:ascii="新宋体" w:hAnsi="新宋体" w:eastAsia="新宋体" w:cs="新宋体"/>
                <w:i w:val="0"/>
                <w:iCs w:val="0"/>
                <w:color w:val="000000"/>
                <w:kern w:val="0"/>
                <w:sz w:val="20"/>
                <w:szCs w:val="20"/>
                <w:u w:val="none"/>
                <w:lang w:val="en-US" w:eastAsia="zh-CN" w:bidi="ar"/>
              </w:rPr>
              <w:t>支持SATA、SSD盘</w:t>
            </w:r>
            <w:r>
              <w:rPr>
                <w:rFonts w:hint="eastAsia" w:ascii="新宋体" w:hAnsi="新宋体" w:eastAsia="新宋体" w:cs="新宋体"/>
                <w:i w:val="0"/>
                <w:iCs w:val="0"/>
                <w:color w:val="000000"/>
                <w:kern w:val="0"/>
                <w:sz w:val="20"/>
                <w:szCs w:val="20"/>
                <w:u w:val="none"/>
                <w:lang w:val="en-US" w:eastAsia="zh-CN" w:bidi="ar"/>
              </w:rPr>
              <w:br w:type="textWrapping"/>
            </w:r>
            <w:r>
              <w:rPr>
                <w:rFonts w:hint="eastAsia" w:ascii="新宋体" w:hAnsi="新宋体" w:eastAsia="新宋体" w:cs="新宋体"/>
                <w:i w:val="0"/>
                <w:iCs w:val="0"/>
                <w:color w:val="000000"/>
                <w:kern w:val="0"/>
                <w:sz w:val="20"/>
                <w:szCs w:val="20"/>
                <w:u w:val="none"/>
                <w:lang w:val="en-US" w:eastAsia="zh-CN" w:bidi="ar"/>
              </w:rPr>
              <w:t>支持自动空白盘全局热备、专有热备</w:t>
            </w:r>
            <w:r>
              <w:rPr>
                <w:rFonts w:hint="eastAsia" w:ascii="新宋体" w:hAnsi="新宋体" w:eastAsia="新宋体" w:cs="新宋体"/>
                <w:i w:val="0"/>
                <w:iCs w:val="0"/>
                <w:color w:val="000000"/>
                <w:kern w:val="0"/>
                <w:sz w:val="20"/>
                <w:szCs w:val="20"/>
                <w:u w:val="none"/>
                <w:lang w:val="en-US" w:eastAsia="zh-CN" w:bidi="ar"/>
              </w:rPr>
              <w:br w:type="textWrapping"/>
            </w:r>
            <w:r>
              <w:rPr>
                <w:rFonts w:hint="eastAsia" w:ascii="新宋体" w:hAnsi="新宋体" w:eastAsia="新宋体" w:cs="新宋体"/>
                <w:i w:val="0"/>
                <w:iCs w:val="0"/>
                <w:color w:val="000000"/>
                <w:kern w:val="0"/>
                <w:sz w:val="20"/>
                <w:szCs w:val="20"/>
                <w:u w:val="none"/>
                <w:lang w:val="en-US" w:eastAsia="zh-CN" w:bidi="ar"/>
              </w:rPr>
              <w:t>支持RAID阵列磁盘进行定位，RAID阵列自动巡检</w:t>
            </w:r>
            <w:r>
              <w:rPr>
                <w:rFonts w:hint="eastAsia" w:ascii="新宋体" w:hAnsi="新宋体" w:eastAsia="新宋体" w:cs="新宋体"/>
                <w:i w:val="0"/>
                <w:iCs w:val="0"/>
                <w:color w:val="000000"/>
                <w:kern w:val="0"/>
                <w:sz w:val="20"/>
                <w:szCs w:val="20"/>
                <w:u w:val="none"/>
                <w:lang w:val="en-US" w:eastAsia="zh-CN" w:bidi="ar"/>
              </w:rPr>
              <w:br w:type="textWrapping"/>
            </w:r>
            <w:r>
              <w:rPr>
                <w:rFonts w:hint="eastAsia" w:ascii="新宋体" w:hAnsi="新宋体" w:eastAsia="新宋体" w:cs="新宋体"/>
                <w:i w:val="0"/>
                <w:iCs w:val="0"/>
                <w:color w:val="000000"/>
                <w:kern w:val="0"/>
                <w:sz w:val="20"/>
                <w:szCs w:val="20"/>
                <w:u w:val="none"/>
                <w:lang w:val="en-US" w:eastAsia="zh-CN" w:bidi="ar"/>
              </w:rPr>
              <w:t>支持RAID阵列重构重建、无感知重建、SMART检测预拷贝，RAID阵列可自动动态调整重建速度、重建/同步优先级</w:t>
            </w:r>
            <w:r>
              <w:rPr>
                <w:rFonts w:hint="eastAsia" w:ascii="新宋体" w:hAnsi="新宋体" w:eastAsia="新宋体" w:cs="新宋体"/>
                <w:i w:val="0"/>
                <w:iCs w:val="0"/>
                <w:color w:val="000000"/>
                <w:kern w:val="0"/>
                <w:sz w:val="20"/>
                <w:szCs w:val="20"/>
                <w:u w:val="none"/>
                <w:lang w:val="en-US" w:eastAsia="zh-CN" w:bidi="ar"/>
              </w:rPr>
              <w:br w:type="textWrapping"/>
            </w:r>
            <w:r>
              <w:rPr>
                <w:rFonts w:hint="eastAsia" w:ascii="新宋体" w:hAnsi="新宋体" w:eastAsia="新宋体" w:cs="新宋体"/>
                <w:i w:val="0"/>
                <w:iCs w:val="0"/>
                <w:color w:val="000000"/>
                <w:kern w:val="0"/>
                <w:sz w:val="20"/>
                <w:szCs w:val="20"/>
                <w:u w:val="none"/>
                <w:lang w:val="en-US" w:eastAsia="zh-CN" w:bidi="ar"/>
              </w:rPr>
              <w:t>支持RAID阵列磁盘坏块替换、多错误容忍、磁盘错误修复</w:t>
            </w:r>
            <w:r>
              <w:rPr>
                <w:rFonts w:hint="eastAsia" w:ascii="新宋体" w:hAnsi="新宋体" w:eastAsia="新宋体" w:cs="新宋体"/>
                <w:i w:val="0"/>
                <w:iCs w:val="0"/>
                <w:color w:val="000000"/>
                <w:kern w:val="0"/>
                <w:sz w:val="20"/>
                <w:szCs w:val="20"/>
                <w:u w:val="none"/>
                <w:lang w:val="en-US" w:eastAsia="zh-CN" w:bidi="ar"/>
              </w:rPr>
              <w:br w:type="textWrapping"/>
            </w:r>
            <w:r>
              <w:rPr>
                <w:rFonts w:hint="eastAsia" w:ascii="新宋体" w:hAnsi="新宋体" w:eastAsia="新宋体" w:cs="新宋体"/>
                <w:i w:val="0"/>
                <w:iCs w:val="0"/>
                <w:color w:val="000000"/>
                <w:kern w:val="0"/>
                <w:sz w:val="20"/>
                <w:szCs w:val="20"/>
                <w:u w:val="none"/>
                <w:lang w:val="en-US" w:eastAsia="zh-CN" w:bidi="ar"/>
              </w:rPr>
              <w:t>支持硬件过载保护机制</w:t>
            </w:r>
            <w:r>
              <w:rPr>
                <w:rFonts w:hint="eastAsia" w:ascii="新宋体" w:hAnsi="新宋体" w:eastAsia="新宋体" w:cs="新宋体"/>
                <w:i w:val="0"/>
                <w:iCs w:val="0"/>
                <w:color w:val="000000"/>
                <w:kern w:val="0"/>
                <w:sz w:val="20"/>
                <w:szCs w:val="20"/>
                <w:u w:val="none"/>
                <w:lang w:val="en-US" w:eastAsia="zh-CN" w:bidi="ar"/>
              </w:rPr>
              <w:br w:type="textWrapping"/>
            </w:r>
            <w:r>
              <w:rPr>
                <w:rFonts w:hint="eastAsia" w:ascii="新宋体" w:hAnsi="新宋体" w:eastAsia="新宋体" w:cs="新宋体"/>
                <w:i w:val="0"/>
                <w:iCs w:val="0"/>
                <w:color w:val="000000"/>
                <w:kern w:val="0"/>
                <w:sz w:val="20"/>
                <w:szCs w:val="20"/>
                <w:u w:val="none"/>
                <w:lang w:val="en-US" w:eastAsia="zh-CN" w:bidi="ar"/>
              </w:rPr>
              <w:t>支持风扇多级调速技术</w:t>
            </w:r>
            <w:r>
              <w:rPr>
                <w:rFonts w:hint="eastAsia" w:ascii="新宋体" w:hAnsi="新宋体" w:eastAsia="新宋体" w:cs="新宋体"/>
                <w:i w:val="0"/>
                <w:iCs w:val="0"/>
                <w:color w:val="000000"/>
                <w:kern w:val="0"/>
                <w:sz w:val="20"/>
                <w:szCs w:val="20"/>
                <w:u w:val="none"/>
                <w:lang w:val="en-US" w:eastAsia="zh-CN" w:bidi="ar"/>
              </w:rPr>
              <w:br w:type="textWrapping"/>
            </w:r>
            <w:r>
              <w:rPr>
                <w:rFonts w:hint="eastAsia" w:ascii="新宋体" w:hAnsi="新宋体" w:eastAsia="新宋体" w:cs="新宋体"/>
                <w:i w:val="0"/>
                <w:iCs w:val="0"/>
                <w:color w:val="000000"/>
                <w:kern w:val="0"/>
                <w:sz w:val="20"/>
                <w:szCs w:val="20"/>
                <w:u w:val="none"/>
                <w:lang w:val="en-US" w:eastAsia="zh-CN" w:bidi="ar"/>
              </w:rPr>
              <w:t>支持防尘、防震、防腐蚀</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bidi="ar"/>
              </w:rPr>
              <w:t>云存储硬盘(18TB*2)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bidi="ar"/>
              </w:rPr>
              <w:t>监控级SATA硬盘：18TB*2</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bidi="ar"/>
              </w:rPr>
              <w:t>电池模块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bidi="ar"/>
              </w:rPr>
              <w:t>电池模块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bidi="ar"/>
              </w:rPr>
              <w:t>700W电源模块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bidi="ar"/>
              </w:rPr>
              <w:t>700W电源模块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 </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线缆辅材</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含网线、水晶头、电源线、尾纤、信号线、标签、扎带等辅材</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71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三、改造前端部分</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星光级枪机</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 采用≥1/1.8″逐行扫描400万像素图像传感器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 具有≥1个RJ45接口、2路报警输入、1路报警输出，1路音频输入、1个TF卡插槽，1路音频输出，1路RS485接口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 焦距范围：4/6/8/12mm，定焦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 最低照度：彩色≤0.0005lx、黑白≤0.0001lx。</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 支持120dB光学宽动态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 支持H.265、H.264、MJPEG编码格式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 支持ONVIF、GB/T 28181、GA/T 1400等协议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 支持TF卡热插拔，最大支持≥256GB TF卡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 支持暖光补光灯，补光距离≥30m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 设备支持人脸检测抓拍，可支持不低于40张人脸并发检测，支持抓拍优选，自动筛选出抓拍质量最优的图片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 支持混行检测：支持机动车、非机动车、行人分类检测抓拍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 防护等级≥IP67，支持在不低于-30～60℃环境下正常工作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供电方式：DC12V(±25%)、POE；含抱杆支架，DC12V/25W电源适配器，托板和万向节</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星光级枪机</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 采用≥1/1.8″逐行扫描400万像素图像传感器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 具有≥1个RJ45接口、2路报警输入、1路报警输出，1路音频输入、1个TF卡插槽，1路音频输出，1路RS485接口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 焦距范围：2.8～12mm，电动变焦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 最低照度：彩色≤0.0005lx、黑白≤0.0001lx。</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 支持120dB光学宽动态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 支持H.265、H.264、MJPEG编码格式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 支持ONVIF、GB/T 28181、GA/T 1400等协议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 支持TF卡热插拔，最大支持≥256GB TF卡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 支持暖光补光灯，补光距离≥30m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 设备支持人脸检测抓拍，可支持不低于40张人脸并发检测，支持抓拍优选，自动筛选出抓拍质量最优的图片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 支持混行检测：支持机动车、非机动车、行人分类检测抓拍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 防护等级≥IP67，支持在不低于-30～60℃环境下正常工作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供电方式：DC12V(±25%)、POE；含抱杆支架，DC12V/25W电源适配器，托板和万向节</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星光级球机</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 采用≥1/1.8 ”逐行扫描400万像素CMOS图像传感器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 支持6-150mm电动变焦，不小于25倍光学变倍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 支持最低照度：彩色：≤0.001lx，黑白：≤0.0001lx</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 支持120dB光学宽动态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 支持接口：≥1个RJ45接口、≥1个BNC接口、≥2个报警输入接口、1个报警输出接口、≥1个RS485接口、≥1个音频输入接口、1个音频输出接口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6. 支持红外灯补光，红外补光灯可定时或自动开启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 内置1个SD插槽，支持SD卡热插拔，支持≥256GB SD卡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 支持人脸检测，越界检测、区域入侵、进入区域、离开区域，运动检测、遮挡检测、声音检测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 支持ONVIF、GB/T 28181、GA/T 1400等标准协议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 水平范围：360°，水平速度0.1°/s~240°/s；预置位速度≥240°/s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 垂直范围：-15°~90°，垂直速度：0.1°~160°/s；预置位速度≥200°/s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 支持不低于256个预置位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 供电方式：AC/DC24V±25%，支持过压过流保护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 功耗≤50W，，6KV防雷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15. 工作环境：–40°C ~ 65°C，≤95%RH（相对湿度，无冷凝）</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16. 防护等级不低于IP66</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含电源、球机安装支架（一个球机吊装杆或壁装杆 ），球机连接件</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配套线缆</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网线STP.CAT-5e、电源线RVV2*1.5及防护套管PVC，标签、扎带等</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五、其他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链路费</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每条每月400元，每年4800元计算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IDC主机托管</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1个4U机位</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施工集成服务</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包含前端设备，平台设备，改成部分设备的运输、安装等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技术集成服务</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包含摄像机调试，一机一档数据采集，平台设备数据调测等技术服务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bl>
    <w:p>
      <w:pPr>
        <w:rPr>
          <w:rFonts w:hint="eastAsia"/>
        </w:rPr>
      </w:pPr>
    </w:p>
    <w:p>
      <w:pPr>
        <w:pStyle w:val="2"/>
        <w:rPr>
          <w:rFonts w:hint="eastAsia"/>
        </w:rPr>
      </w:pPr>
    </w:p>
    <w:p>
      <w:pPr>
        <w:spacing w:line="360" w:lineRule="auto"/>
        <w:ind w:firstLine="480" w:firstLineChars="200"/>
        <w:rPr>
          <w:rFonts w:hint="eastAsia" w:ascii="仿宋" w:hAnsi="仿宋" w:eastAsia="仿宋" w:cs="仿宋"/>
          <w:sz w:val="24"/>
          <w:szCs w:val="32"/>
        </w:rPr>
      </w:pPr>
      <w:r>
        <w:rPr>
          <w:rFonts w:hint="eastAsia" w:ascii="仿宋" w:hAnsi="仿宋" w:eastAsia="仿宋" w:cs="仿宋"/>
          <w:sz w:val="24"/>
          <w:szCs w:val="32"/>
        </w:rPr>
        <w:t>标项13：八道湾片区管委会项目</w:t>
      </w:r>
    </w:p>
    <w:p>
      <w:pPr>
        <w:pStyle w:val="2"/>
        <w:jc w:val="both"/>
      </w:pPr>
    </w:p>
    <w:tbl>
      <w:tblPr>
        <w:tblStyle w:val="21"/>
        <w:tblW w:w="796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19"/>
        <w:gridCol w:w="2016"/>
        <w:gridCol w:w="3951"/>
        <w:gridCol w:w="629"/>
        <w:gridCol w:w="7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设备名称</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主要性能指标</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w:t>
            </w:r>
          </w:p>
        </w:tc>
        <w:tc>
          <w:tcPr>
            <w:tcW w:w="750"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4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一、新建前端部分</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星光级枪机</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 采用≥1/1.8″逐行扫描400万像素图像传感器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 具有≥1个RJ45接口、2路报警输入、1路报警输出，1路音频输入、1个TF卡插槽，1路音频输出，1路RS485接口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 焦距范围：4/6/8/12mm，定焦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 最低照度：彩色≤0.0005lx、黑白≤0.0001lx。</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 支持120dB光学宽动态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 支持H.265、H.264、MJPEG编码格式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 支持ONVIF、GB/T 28181、GA/T 1400等协议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 支持TF卡热插拔，最大支持≥256GB TF卡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 支持暖光补光灯，补光距离≥30m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 设备支持人脸检测抓拍，可支持不低于40张人脸并发检测，支持抓拍优选，自动筛选出抓拍质量最优的图片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 支持混行检测：支持机动车、非机动车、行人分类检测抓拍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 防护等级≥IP67，支持在不低于-30～60℃环境下正常工作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供电方式：DC12V(±25%)、POE；含抱杆支架，DC12V/25W电源适配器，托板和万向节</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星光级枪机</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 采用≥1/1.8″逐行扫描400万像素图像传感器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 具有≥1个RJ45接口、2路报警输入、1路报警输出，1路音频输入、1个TF卡插槽，1路音频输出，1路RS485接口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 焦距范围：2.8～12mm，电动变焦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 最低照度：彩色≤0.0005lx、黑白≤0.0001lx。</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 支持120dB光学宽动态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 支持H.265、H.264、MJPEG编码格式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 支持ONVIF、GB/T 28181、GA/T 1400等协议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 支持TF卡热插拔，最大支持≥256GB TF卡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 支持暖光补光灯，补光距离≥30m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 设备支持人脸检测抓拍，可支持不低于40张人脸并发检测，支持抓拍优选，自动筛选出抓拍质量最优的图片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 支持混行检测：支持机动车、非机动车、行人分类检测抓拍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 防护等级≥IP67，支持在不低于-30～60℃环境下正常工作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供电方式：DC12V(±25%)、POE；含抱杆支架，DC12V/25W电源适配器，托板和万向节</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星光级球机</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 采用≥1/1.8 ”逐行扫描400万像素CMOS图像传感器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 支持6-150mm电动变焦，不小于25倍光学变倍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 支持最低照度：彩色：≤0.001lx，黑白：≤0.0001lx</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 支持120dB光学宽动态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 支持接口：≥1个RJ45接口、≥1个BNC接口、≥2个报警输入接口、1个报警输出接口、≥1个RS485接口、≥1个音频输入接口、1个音频输出接口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6. 支持红外灯补光，红外补光灯可定时或自动开启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 内置1个SD插槽，支持SD卡热插拔，支持≥256GB SD卡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 支持人脸检测，越界检测、区域入侵、进入区域、离开区域，运动检测、遮挡检测、声音检测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 支持ONVIF、GB/T 28181、GA/T 1400等标准协议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 水平范围：360°，水平速度0.1°/s~240°/s；预置位速度≥240°/s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 垂直范围：-15°~90°，垂直速度：0.1°~160°/s；预置位速度≥200°/s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 支持不低于256个预置位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 供电方式：AC/DC24V±25%，支持过压过流保护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 功耗≤50W，，6KV防雷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15. 工作环境：–40°C ~ 65°C，≤95%RH（相对湿度，无冷凝）</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16. 防护等级不低于IP66</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含电源、球机安装支架（一个球机吊装杆或壁装杆 ），球机连接件</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监控箱</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设备箱具备防雨、防尘、通风散热、抗紫外线（耐老化）、防盗、防锈；箱体采用≥1.2mm镀锌板，箱体尺寸（含雨帽）≥430(宽)*535(高)*220(深)mm，≥380(宽)*500(高)*200(深)mm（不含雨帽）；箱体工作温度范围-40℃～85℃，工作湿度≤90%RH，工作电压范围AC75～AC280V，外壳防护等级≥IP65，机械碰撞防护等级≥IK08，盐雾测试≥120小时；箱体内部预置可移动托板；整机一体化设计，内部集成控制终端、空开、电源防雷器、5位五孔插座、1路补光灯AC220V远程可控端子、DC12V风扇、1路RS485接口、1路RS232接口、2路IO告警输出、3路干接点输入（1路预留给箱门，1路预留给防雷器）、1路DC12V和1路DC5C（预留给网络传输设备）；具有≥4路AC220V输出，支持独立每路电压、电流检测、远程控制、实时发送每路电压电流值到客户端显示，支持通过客户端实时监测设备输出是否断电，并在客户端界面提示告警；支持供电电压、电流、功率、电量监测，可通过客户端显示，当供电断开时，提示供电异常告警；可通过客户端软件显示设备的实时功率和累计用电电量和电费统计数值；具有检测过压、欠压、过流，支持过压、欠压、过流、低载联动关闭指定输出接口；支持手动开启学习接入设备的功率，在当前设备的功率基础上接入其他设备时，自动关闭供电输出，并且客户端提示非法取电告警；支持在不使用外部蓄电池情况下，通过客户端实时监测设备供电电源，并在客户端提示设备供电电源掉电告警；可通过客户端显示摄像机工作状态并设置定时/手动开启，当接入的摄像机断电或网络断开时，可通过客户端提示告警，支持≥8路外接摄像机状态检测，支持在客户端内实现外接摄像机视频图像播放；可通过WEB及客户端显示交换机工作状态，可设置定时/手动重启、重启次数和时间，当网络传输断开时，可自动进行重启网络传输设备电源；支持多路补光灯检测，能够区分补光灯白天异常亮起和晚上无法开启，支持补光灯功率自学习功能，可设置定时/手动开启电源，支持≥4个时间段的分时控制；支持箱内实时温度、湿度、防雷状态、风扇工作状态检测，支持风扇故障监测和告警，支持风扇单次运行时间统计和总运行时间统计；支持通过客户端显示箱门开关状态，可设置箱门布防撤防,超过设定时间可自动布防，布防状态下箱门开启，客户端提示告警；支持箱门打开后，联动球机转向监控箱位置录像，可配置开始球机转动时间和停留录像时长；支持通过WEB直接查看实时数据、配置IP地址、客户端地址、传输模式、进行远程固件升级,支持IP地址冲突提示、MAC地址冲突提示；支持设备一机一档信息记录，包含设备名称、编号、国标编码、安装时间、品牌、类型、安装时间、质保期、到期时间等；支持设置设备运维、网络运维、电力运维，并生成考核计费报表，支持设置考核标准、考核申诉；支持通过时间、品牌等条件对外接摄像机故障率、在线率以柱状图或折线图展示统计报表；支持自动派单和手动派单，工单记录故障产生时间、派单时间及修复时长等信息；支持设置各类告警的告警等级；支持设置不同告警的处理时效。</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配套线缆</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网线STP.CAT-5e、电源线RVV2*1.5及防护套管PVC，标签、扎带等</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五金配件</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螺丝、连接件、抱箍、钢丝绳、吊卡等　</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金属立杆</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直径165mm高3米/壁厚4.5mm（热镀锌，表面喷塑）</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金属立杆</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直径165mm高4米/壁厚4.5mm（热镀锌，表面喷塑）</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金属立杆</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直径165mm高6米/壁厚4.5mm（热镀锌，表面喷塑）</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金属立杆</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直径219mm高4米/壁厚5.5mm（热镀锌，表面喷塑）</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金属立杆</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直径219mm高6米/壁厚5.5mm（热镀锌，表面喷塑）</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横臂</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锥型杆，1米横臂：管径80/150（厚3.0mm）</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横臂</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锥型杆，2米横臂：管径80/150（厚5.0mm）</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横臂</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锥型杆，3米横臂：管径80/150（厚3.0mm）</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横臂</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锥型杆，4米横臂：管径100/150（厚5.0mm）</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横臂</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直杆，1米横臂：管径89（厚4.0mm）</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横臂</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直杆，2米横臂：管径89（厚4.0mm）</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横臂</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直杆，3米横臂：管径89（厚4.0mm）</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横臂</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直杆，4米横臂：管径89（厚4.0mm）</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抱箍支臂</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直杆，1米，管径65（厚3.5mm）</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抱箍支臂</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直杆，2米，管径65（厚3.5mm）</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抱箍支臂</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直杆，3米，管径65（厚3.5mm）</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立杆底座</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直径165基坑尺寸1000*1000*1100（地下埋深）、含预埋件、防雷接地</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立杆底座</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直径219基坑尺寸1200*1200*1600（地下埋深）、含预埋件、防雷接地</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4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二、电力部分</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新建点位电力接入及检测费</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电力接入及检测费</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bidi="ar"/>
              </w:rPr>
              <w:t>电缆施工费用1</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bidi="ar"/>
              </w:rPr>
              <w:t>沿管道穿线含所需电源线RVV3*2.5、YJV3*4、YJV3*6施工费用</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bidi="ar"/>
              </w:rPr>
              <w:t>电缆施工费用2</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bidi="ar"/>
              </w:rPr>
              <w:t>沿墙钉固含所需电源线RVV3*2.5、YJV3*4、YJV3*6费用、PVC穿线管、卡子等材料和施费用</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bidi="ar"/>
              </w:rPr>
              <w:t>电缆施工费用3</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bidi="ar"/>
              </w:rPr>
              <w:t>道路（大理石、油路花砖等）、绿化带等开挖、回填、PE穿线管、电源线RVV3*2.5、YJV3*4、YJV3*6等施工费用</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20" w:hRule="atLeast"/>
        </w:trPr>
        <w:tc>
          <w:tcPr>
            <w:tcW w:w="64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三、新建平台部分</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bidi="ar"/>
              </w:rPr>
              <w:t>48盘位云存储设备</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bidi="ar"/>
              </w:rPr>
              <w:t>48盘位视频监控云存储节点：单控制器</w:t>
            </w:r>
            <w:r>
              <w:rPr>
                <w:rFonts w:hint="eastAsia" w:ascii="新宋体" w:hAnsi="新宋体" w:eastAsia="新宋体" w:cs="新宋体"/>
                <w:i w:val="0"/>
                <w:iCs w:val="0"/>
                <w:color w:val="000000"/>
                <w:kern w:val="0"/>
                <w:sz w:val="20"/>
                <w:szCs w:val="20"/>
                <w:u w:val="none"/>
                <w:lang w:val="en-US" w:eastAsia="zh-CN" w:bidi="ar"/>
              </w:rPr>
              <w:br w:type="textWrapping"/>
            </w:r>
            <w:r>
              <w:rPr>
                <w:rFonts w:hint="eastAsia" w:ascii="新宋体" w:hAnsi="新宋体" w:eastAsia="新宋体" w:cs="新宋体"/>
                <w:i w:val="0"/>
                <w:iCs w:val="0"/>
                <w:color w:val="000000"/>
                <w:kern w:val="0"/>
                <w:sz w:val="20"/>
                <w:szCs w:val="20"/>
                <w:u w:val="none"/>
                <w:lang w:val="en-US" w:eastAsia="zh-CN" w:bidi="ar"/>
              </w:rPr>
              <w:t>磁盘通道数：48</w:t>
            </w:r>
            <w:r>
              <w:rPr>
                <w:rFonts w:hint="eastAsia" w:ascii="新宋体" w:hAnsi="新宋体" w:eastAsia="新宋体" w:cs="新宋体"/>
                <w:i w:val="0"/>
                <w:iCs w:val="0"/>
                <w:color w:val="000000"/>
                <w:kern w:val="0"/>
                <w:sz w:val="20"/>
                <w:szCs w:val="20"/>
                <w:u w:val="none"/>
                <w:lang w:val="en-US" w:eastAsia="zh-CN" w:bidi="ar"/>
              </w:rPr>
              <w:br w:type="textWrapping"/>
            </w:r>
            <w:r>
              <w:rPr>
                <w:rFonts w:hint="eastAsia" w:ascii="新宋体" w:hAnsi="新宋体" w:eastAsia="新宋体" w:cs="新宋体"/>
                <w:i w:val="0"/>
                <w:iCs w:val="0"/>
                <w:color w:val="000000"/>
                <w:kern w:val="0"/>
                <w:sz w:val="20"/>
                <w:szCs w:val="20"/>
                <w:u w:val="none"/>
                <w:lang w:val="en-US" w:eastAsia="zh-CN" w:bidi="ar"/>
              </w:rPr>
              <w:t>电源模块：交流电源</w:t>
            </w:r>
            <w:r>
              <w:rPr>
                <w:rFonts w:hint="eastAsia" w:ascii="新宋体" w:hAnsi="新宋体" w:eastAsia="新宋体" w:cs="新宋体"/>
                <w:i w:val="0"/>
                <w:iCs w:val="0"/>
                <w:color w:val="000000"/>
                <w:kern w:val="0"/>
                <w:sz w:val="20"/>
                <w:szCs w:val="20"/>
                <w:u w:val="none"/>
                <w:lang w:val="en-US" w:eastAsia="zh-CN" w:bidi="ar"/>
              </w:rPr>
              <w:br w:type="textWrapping"/>
            </w:r>
            <w:r>
              <w:rPr>
                <w:rFonts w:hint="eastAsia" w:ascii="新宋体" w:hAnsi="新宋体" w:eastAsia="新宋体" w:cs="新宋体"/>
                <w:i w:val="0"/>
                <w:iCs w:val="0"/>
                <w:color w:val="000000"/>
                <w:kern w:val="0"/>
                <w:sz w:val="20"/>
                <w:szCs w:val="20"/>
                <w:u w:val="none"/>
                <w:lang w:val="en-US" w:eastAsia="zh-CN" w:bidi="ar"/>
              </w:rPr>
              <w:t>网络接口：5个千兆以太网接口</w:t>
            </w:r>
            <w:r>
              <w:rPr>
                <w:rFonts w:hint="eastAsia" w:ascii="新宋体" w:hAnsi="新宋体" w:eastAsia="新宋体" w:cs="新宋体"/>
                <w:i w:val="0"/>
                <w:iCs w:val="0"/>
                <w:color w:val="000000"/>
                <w:kern w:val="0"/>
                <w:sz w:val="20"/>
                <w:szCs w:val="20"/>
                <w:u w:val="none"/>
                <w:lang w:val="en-US" w:eastAsia="zh-CN" w:bidi="ar"/>
              </w:rPr>
              <w:br w:type="textWrapping"/>
            </w:r>
            <w:r>
              <w:rPr>
                <w:rFonts w:hint="eastAsia" w:ascii="新宋体" w:hAnsi="新宋体" w:eastAsia="新宋体" w:cs="新宋体"/>
                <w:i w:val="0"/>
                <w:iCs w:val="0"/>
                <w:color w:val="000000"/>
                <w:kern w:val="0"/>
                <w:sz w:val="20"/>
                <w:szCs w:val="20"/>
                <w:u w:val="none"/>
                <w:lang w:val="en-US" w:eastAsia="zh-CN" w:bidi="ar"/>
              </w:rPr>
              <w:t>性能：512路2M块直存、51路回放</w:t>
            </w:r>
            <w:r>
              <w:rPr>
                <w:rFonts w:hint="eastAsia" w:ascii="新宋体" w:hAnsi="新宋体" w:eastAsia="新宋体" w:cs="新宋体"/>
                <w:i w:val="0"/>
                <w:iCs w:val="0"/>
                <w:color w:val="000000"/>
                <w:kern w:val="0"/>
                <w:sz w:val="20"/>
                <w:szCs w:val="20"/>
                <w:u w:val="none"/>
                <w:lang w:val="en-US" w:eastAsia="zh-CN" w:bidi="ar"/>
              </w:rPr>
              <w:br w:type="textWrapping"/>
            </w:r>
            <w:r>
              <w:rPr>
                <w:rFonts w:hint="eastAsia" w:ascii="新宋体" w:hAnsi="新宋体" w:eastAsia="新宋体" w:cs="新宋体"/>
                <w:i w:val="0"/>
                <w:iCs w:val="0"/>
                <w:color w:val="000000"/>
                <w:kern w:val="0"/>
                <w:sz w:val="20"/>
                <w:szCs w:val="20"/>
                <w:u w:val="none"/>
                <w:lang w:val="en-US" w:eastAsia="zh-CN" w:bidi="ar"/>
              </w:rPr>
              <w:t>384路2M流直存，38路回放</w:t>
            </w:r>
            <w:r>
              <w:rPr>
                <w:rFonts w:hint="eastAsia" w:ascii="新宋体" w:hAnsi="新宋体" w:eastAsia="新宋体" w:cs="新宋体"/>
                <w:i w:val="0"/>
                <w:iCs w:val="0"/>
                <w:color w:val="000000"/>
                <w:kern w:val="0"/>
                <w:sz w:val="20"/>
                <w:szCs w:val="20"/>
                <w:u w:val="none"/>
                <w:lang w:val="en-US" w:eastAsia="zh-CN" w:bidi="ar"/>
              </w:rPr>
              <w:br w:type="textWrapping"/>
            </w:r>
            <w:r>
              <w:rPr>
                <w:rFonts w:hint="eastAsia" w:ascii="新宋体" w:hAnsi="新宋体" w:eastAsia="新宋体" w:cs="新宋体"/>
                <w:i w:val="0"/>
                <w:iCs w:val="0"/>
                <w:color w:val="000000"/>
                <w:kern w:val="0"/>
                <w:sz w:val="20"/>
                <w:szCs w:val="20"/>
                <w:u w:val="none"/>
                <w:lang w:val="en-US" w:eastAsia="zh-CN" w:bidi="ar"/>
              </w:rPr>
              <w:t xml:space="preserve"> 支持提供存储虚拟化管理功能，将所有存储节点空间合并成一个存储虚拟池，对外提供海量存储空间管理</w:t>
            </w:r>
            <w:r>
              <w:rPr>
                <w:rFonts w:hint="eastAsia" w:ascii="新宋体" w:hAnsi="新宋体" w:eastAsia="新宋体" w:cs="新宋体"/>
                <w:i w:val="0"/>
                <w:iCs w:val="0"/>
                <w:color w:val="000000"/>
                <w:kern w:val="0"/>
                <w:sz w:val="20"/>
                <w:szCs w:val="20"/>
                <w:u w:val="none"/>
                <w:lang w:val="en-US" w:eastAsia="zh-CN" w:bidi="ar"/>
              </w:rPr>
              <w:br w:type="textWrapping"/>
            </w:r>
            <w:r>
              <w:rPr>
                <w:rFonts w:hint="eastAsia" w:ascii="新宋体" w:hAnsi="新宋体" w:eastAsia="新宋体" w:cs="新宋体"/>
                <w:i w:val="0"/>
                <w:iCs w:val="0"/>
                <w:color w:val="000000"/>
                <w:kern w:val="0"/>
                <w:sz w:val="20"/>
                <w:szCs w:val="20"/>
                <w:u w:val="none"/>
                <w:lang w:val="en-US" w:eastAsia="zh-CN" w:bidi="ar"/>
              </w:rPr>
              <w:t>支持PCIe插槽、支持千兆GE接口卡和万兆10GE接口卡、Mini SAS HD卡(SAS 3.0)</w:t>
            </w:r>
            <w:r>
              <w:rPr>
                <w:rFonts w:hint="eastAsia" w:ascii="新宋体" w:hAnsi="新宋体" w:eastAsia="新宋体" w:cs="新宋体"/>
                <w:i w:val="0"/>
                <w:iCs w:val="0"/>
                <w:color w:val="000000"/>
                <w:kern w:val="0"/>
                <w:sz w:val="20"/>
                <w:szCs w:val="20"/>
                <w:u w:val="none"/>
                <w:lang w:val="en-US" w:eastAsia="zh-CN" w:bidi="ar"/>
              </w:rPr>
              <w:br w:type="textWrapping"/>
            </w:r>
            <w:r>
              <w:rPr>
                <w:rFonts w:hint="eastAsia" w:ascii="新宋体" w:hAnsi="新宋体" w:eastAsia="新宋体" w:cs="新宋体"/>
                <w:i w:val="0"/>
                <w:iCs w:val="0"/>
                <w:color w:val="000000"/>
                <w:kern w:val="0"/>
                <w:sz w:val="20"/>
                <w:szCs w:val="20"/>
                <w:u w:val="none"/>
                <w:lang w:val="en-US" w:eastAsia="zh-CN" w:bidi="ar"/>
              </w:rPr>
              <w:t>支持网络端口链路聚合、负载均衡</w:t>
            </w:r>
            <w:r>
              <w:rPr>
                <w:rFonts w:hint="eastAsia" w:ascii="新宋体" w:hAnsi="新宋体" w:eastAsia="新宋体" w:cs="新宋体"/>
                <w:i w:val="0"/>
                <w:iCs w:val="0"/>
                <w:color w:val="000000"/>
                <w:kern w:val="0"/>
                <w:sz w:val="20"/>
                <w:szCs w:val="20"/>
                <w:u w:val="none"/>
                <w:lang w:val="en-US" w:eastAsia="zh-CN" w:bidi="ar"/>
              </w:rPr>
              <w:br w:type="textWrapping"/>
            </w:r>
            <w:r>
              <w:rPr>
                <w:rFonts w:hint="eastAsia" w:ascii="新宋体" w:hAnsi="新宋体" w:eastAsia="新宋体" w:cs="新宋体"/>
                <w:i w:val="0"/>
                <w:iCs w:val="0"/>
                <w:color w:val="000000"/>
                <w:kern w:val="0"/>
                <w:sz w:val="20"/>
                <w:szCs w:val="20"/>
                <w:u w:val="none"/>
                <w:lang w:val="en-US" w:eastAsia="zh-CN" w:bidi="ar"/>
              </w:rPr>
              <w:t>支持标准ONVIF、GB/T28181等标准前端接入</w:t>
            </w:r>
            <w:r>
              <w:rPr>
                <w:rFonts w:hint="eastAsia" w:ascii="新宋体" w:hAnsi="新宋体" w:eastAsia="新宋体" w:cs="新宋体"/>
                <w:i w:val="0"/>
                <w:iCs w:val="0"/>
                <w:color w:val="000000"/>
                <w:kern w:val="0"/>
                <w:sz w:val="20"/>
                <w:szCs w:val="20"/>
                <w:u w:val="none"/>
                <w:lang w:val="en-US" w:eastAsia="zh-CN" w:bidi="ar"/>
              </w:rPr>
              <w:br w:type="textWrapping"/>
            </w:r>
            <w:r>
              <w:rPr>
                <w:rFonts w:hint="eastAsia" w:ascii="新宋体" w:hAnsi="新宋体" w:eastAsia="新宋体" w:cs="新宋体"/>
                <w:i w:val="0"/>
                <w:iCs w:val="0"/>
                <w:color w:val="000000"/>
                <w:kern w:val="0"/>
                <w:sz w:val="20"/>
                <w:szCs w:val="20"/>
                <w:u w:val="none"/>
                <w:lang w:val="en-US" w:eastAsia="zh-CN" w:bidi="ar"/>
              </w:rPr>
              <w:t>支持视频智能结构化数据存储</w:t>
            </w:r>
            <w:r>
              <w:rPr>
                <w:rFonts w:hint="eastAsia" w:ascii="新宋体" w:hAnsi="新宋体" w:eastAsia="新宋体" w:cs="新宋体"/>
                <w:i w:val="0"/>
                <w:iCs w:val="0"/>
                <w:color w:val="000000"/>
                <w:kern w:val="0"/>
                <w:sz w:val="20"/>
                <w:szCs w:val="20"/>
                <w:u w:val="none"/>
                <w:lang w:val="en-US" w:eastAsia="zh-CN" w:bidi="ar"/>
              </w:rPr>
              <w:br w:type="textWrapping"/>
            </w:r>
            <w:r>
              <w:rPr>
                <w:rFonts w:hint="eastAsia" w:ascii="新宋体" w:hAnsi="新宋体" w:eastAsia="新宋体" w:cs="新宋体"/>
                <w:i w:val="0"/>
                <w:iCs w:val="0"/>
                <w:color w:val="000000"/>
                <w:kern w:val="0"/>
                <w:sz w:val="20"/>
                <w:szCs w:val="20"/>
                <w:u w:val="none"/>
                <w:lang w:val="en-US" w:eastAsia="zh-CN" w:bidi="ar"/>
              </w:rPr>
              <w:t>支持裸数据块直存方式，无文件系统碎片，海量小文件存储性能无衰减</w:t>
            </w:r>
            <w:r>
              <w:rPr>
                <w:rFonts w:hint="eastAsia" w:ascii="新宋体" w:hAnsi="新宋体" w:eastAsia="新宋体" w:cs="新宋体"/>
                <w:i w:val="0"/>
                <w:iCs w:val="0"/>
                <w:color w:val="000000"/>
                <w:kern w:val="0"/>
                <w:sz w:val="20"/>
                <w:szCs w:val="20"/>
                <w:u w:val="none"/>
                <w:lang w:val="en-US" w:eastAsia="zh-CN" w:bidi="ar"/>
              </w:rPr>
              <w:br w:type="textWrapping"/>
            </w:r>
            <w:r>
              <w:rPr>
                <w:rFonts w:hint="eastAsia" w:ascii="新宋体" w:hAnsi="新宋体" w:eastAsia="新宋体" w:cs="新宋体"/>
                <w:i w:val="0"/>
                <w:iCs w:val="0"/>
                <w:color w:val="000000"/>
                <w:kern w:val="0"/>
                <w:sz w:val="20"/>
                <w:szCs w:val="20"/>
                <w:u w:val="none"/>
                <w:lang w:val="en-US" w:eastAsia="zh-CN" w:bidi="ar"/>
              </w:rPr>
              <w:t>支持数据离散，并发读写，支持视频秒级检索及回放，视频、图片极速下载</w:t>
            </w:r>
            <w:r>
              <w:rPr>
                <w:rFonts w:hint="eastAsia" w:ascii="新宋体" w:hAnsi="新宋体" w:eastAsia="新宋体" w:cs="新宋体"/>
                <w:i w:val="0"/>
                <w:iCs w:val="0"/>
                <w:color w:val="000000"/>
                <w:kern w:val="0"/>
                <w:sz w:val="20"/>
                <w:szCs w:val="20"/>
                <w:u w:val="none"/>
                <w:lang w:val="en-US" w:eastAsia="zh-CN" w:bidi="ar"/>
              </w:rPr>
              <w:br w:type="textWrapping"/>
            </w:r>
            <w:r>
              <w:rPr>
                <w:rFonts w:hint="eastAsia" w:ascii="新宋体" w:hAnsi="新宋体" w:eastAsia="新宋体" w:cs="新宋体"/>
                <w:i w:val="0"/>
                <w:iCs w:val="0"/>
                <w:color w:val="000000"/>
                <w:kern w:val="0"/>
                <w:sz w:val="20"/>
                <w:szCs w:val="20"/>
                <w:u w:val="none"/>
                <w:lang w:val="en-US" w:eastAsia="zh-CN" w:bidi="ar"/>
              </w:rPr>
              <w:t>支持云节点负载均衡、故障切换，解决单节点性能瓶颈问题及单节点故障问题，保证业务连续性</w:t>
            </w:r>
            <w:r>
              <w:rPr>
                <w:rFonts w:hint="eastAsia" w:ascii="新宋体" w:hAnsi="新宋体" w:eastAsia="新宋体" w:cs="新宋体"/>
                <w:i w:val="0"/>
                <w:iCs w:val="0"/>
                <w:color w:val="000000"/>
                <w:kern w:val="0"/>
                <w:sz w:val="20"/>
                <w:szCs w:val="20"/>
                <w:u w:val="none"/>
                <w:lang w:val="en-US" w:eastAsia="zh-CN" w:bidi="ar"/>
              </w:rPr>
              <w:br w:type="textWrapping"/>
            </w:r>
            <w:r>
              <w:rPr>
                <w:rFonts w:hint="eastAsia" w:ascii="新宋体" w:hAnsi="新宋体" w:eastAsia="新宋体" w:cs="新宋体"/>
                <w:i w:val="0"/>
                <w:iCs w:val="0"/>
                <w:color w:val="000000"/>
                <w:kern w:val="0"/>
                <w:sz w:val="20"/>
                <w:szCs w:val="20"/>
                <w:u w:val="none"/>
                <w:lang w:val="en-US" w:eastAsia="zh-CN" w:bidi="ar"/>
              </w:rPr>
              <w:t>支持云备份功能，实现云内数据备份和云间备份</w:t>
            </w:r>
            <w:r>
              <w:rPr>
                <w:rFonts w:hint="eastAsia" w:ascii="新宋体" w:hAnsi="新宋体" w:eastAsia="新宋体" w:cs="新宋体"/>
                <w:i w:val="0"/>
                <w:iCs w:val="0"/>
                <w:color w:val="000000"/>
                <w:kern w:val="0"/>
                <w:sz w:val="20"/>
                <w:szCs w:val="20"/>
                <w:u w:val="none"/>
                <w:lang w:val="en-US" w:eastAsia="zh-CN" w:bidi="ar"/>
              </w:rPr>
              <w:br w:type="textWrapping"/>
            </w:r>
            <w:r>
              <w:rPr>
                <w:rFonts w:hint="eastAsia" w:ascii="新宋体" w:hAnsi="新宋体" w:eastAsia="新宋体" w:cs="新宋体"/>
                <w:i w:val="0"/>
                <w:iCs w:val="0"/>
                <w:color w:val="000000"/>
                <w:kern w:val="0"/>
                <w:sz w:val="20"/>
                <w:szCs w:val="20"/>
                <w:u w:val="none"/>
                <w:lang w:val="en-US" w:eastAsia="zh-CN" w:bidi="ar"/>
              </w:rPr>
              <w:t>支持冗余电源，风扇，电池，支持磁盘、电源、风扇、电池的热插拔和在线更换</w:t>
            </w:r>
            <w:r>
              <w:rPr>
                <w:rFonts w:hint="eastAsia" w:ascii="新宋体" w:hAnsi="新宋体" w:eastAsia="新宋体" w:cs="新宋体"/>
                <w:i w:val="0"/>
                <w:iCs w:val="0"/>
                <w:color w:val="000000"/>
                <w:kern w:val="0"/>
                <w:sz w:val="20"/>
                <w:szCs w:val="20"/>
                <w:u w:val="none"/>
                <w:lang w:val="en-US" w:eastAsia="zh-CN" w:bidi="ar"/>
              </w:rPr>
              <w:br w:type="textWrapping"/>
            </w:r>
            <w:r>
              <w:rPr>
                <w:rFonts w:hint="eastAsia" w:ascii="新宋体" w:hAnsi="新宋体" w:eastAsia="新宋体" w:cs="新宋体"/>
                <w:i w:val="0"/>
                <w:iCs w:val="0"/>
                <w:color w:val="000000"/>
                <w:kern w:val="0"/>
                <w:sz w:val="20"/>
                <w:szCs w:val="20"/>
                <w:u w:val="none"/>
                <w:lang w:val="en-US" w:eastAsia="zh-CN" w:bidi="ar"/>
              </w:rPr>
              <w:t>支持数码管、指示灯、蜂鸣器告警、邮件告警、SNMP Trap、短信等告警方式对故障进行告警</w:t>
            </w:r>
            <w:r>
              <w:rPr>
                <w:rFonts w:hint="eastAsia" w:ascii="新宋体" w:hAnsi="新宋体" w:eastAsia="新宋体" w:cs="新宋体"/>
                <w:i w:val="0"/>
                <w:iCs w:val="0"/>
                <w:color w:val="000000"/>
                <w:kern w:val="0"/>
                <w:sz w:val="20"/>
                <w:szCs w:val="20"/>
                <w:u w:val="none"/>
                <w:lang w:val="en-US" w:eastAsia="zh-CN" w:bidi="ar"/>
              </w:rPr>
              <w:br w:type="textWrapping"/>
            </w:r>
            <w:r>
              <w:rPr>
                <w:rFonts w:hint="eastAsia" w:ascii="新宋体" w:hAnsi="新宋体" w:eastAsia="新宋体" w:cs="新宋体"/>
                <w:i w:val="0"/>
                <w:iCs w:val="0"/>
                <w:color w:val="000000"/>
                <w:kern w:val="0"/>
                <w:sz w:val="20"/>
                <w:szCs w:val="20"/>
                <w:u w:val="none"/>
                <w:lang w:val="en-US" w:eastAsia="zh-CN" w:bidi="ar"/>
              </w:rPr>
              <w:t>支持IP冲突告警、网口降速、电源故障、风扇故障、电池电量不足、电池故障等告警</w:t>
            </w:r>
            <w:r>
              <w:rPr>
                <w:rFonts w:hint="eastAsia" w:ascii="新宋体" w:hAnsi="新宋体" w:eastAsia="新宋体" w:cs="新宋体"/>
                <w:i w:val="0"/>
                <w:iCs w:val="0"/>
                <w:color w:val="000000"/>
                <w:kern w:val="0"/>
                <w:sz w:val="20"/>
                <w:szCs w:val="20"/>
                <w:u w:val="none"/>
                <w:lang w:val="en-US" w:eastAsia="zh-CN" w:bidi="ar"/>
              </w:rPr>
              <w:br w:type="textWrapping"/>
            </w:r>
            <w:r>
              <w:rPr>
                <w:rFonts w:hint="eastAsia" w:ascii="新宋体" w:hAnsi="新宋体" w:eastAsia="新宋体" w:cs="新宋体"/>
                <w:i w:val="0"/>
                <w:iCs w:val="0"/>
                <w:color w:val="000000"/>
                <w:kern w:val="0"/>
                <w:sz w:val="20"/>
                <w:szCs w:val="20"/>
                <w:u w:val="none"/>
                <w:lang w:val="en-US" w:eastAsia="zh-CN" w:bidi="ar"/>
              </w:rPr>
              <w:t>支持数据保险箱（掉电数据永久保护）</w:t>
            </w:r>
            <w:r>
              <w:rPr>
                <w:rFonts w:hint="eastAsia" w:ascii="新宋体" w:hAnsi="新宋体" w:eastAsia="新宋体" w:cs="新宋体"/>
                <w:i w:val="0"/>
                <w:iCs w:val="0"/>
                <w:color w:val="000000"/>
                <w:kern w:val="0"/>
                <w:sz w:val="20"/>
                <w:szCs w:val="20"/>
                <w:u w:val="none"/>
                <w:lang w:val="en-US" w:eastAsia="zh-CN" w:bidi="ar"/>
              </w:rPr>
              <w:br w:type="textWrapping"/>
            </w:r>
            <w:r>
              <w:rPr>
                <w:rFonts w:hint="eastAsia" w:ascii="新宋体" w:hAnsi="新宋体" w:eastAsia="新宋体" w:cs="新宋体"/>
                <w:i w:val="0"/>
                <w:iCs w:val="0"/>
                <w:color w:val="000000"/>
                <w:kern w:val="0"/>
                <w:sz w:val="20"/>
                <w:szCs w:val="20"/>
                <w:u w:val="none"/>
                <w:lang w:val="en-US" w:eastAsia="zh-CN" w:bidi="ar"/>
              </w:rPr>
              <w:t>支持JBOD、RAID 0、1、5、6、10、50，RAID阵列可即建即用</w:t>
            </w:r>
            <w:r>
              <w:rPr>
                <w:rFonts w:hint="eastAsia" w:ascii="新宋体" w:hAnsi="新宋体" w:eastAsia="新宋体" w:cs="新宋体"/>
                <w:i w:val="0"/>
                <w:iCs w:val="0"/>
                <w:color w:val="000000"/>
                <w:kern w:val="0"/>
                <w:sz w:val="20"/>
                <w:szCs w:val="20"/>
                <w:u w:val="none"/>
                <w:lang w:val="en-US" w:eastAsia="zh-CN" w:bidi="ar"/>
              </w:rPr>
              <w:br w:type="textWrapping"/>
            </w:r>
            <w:r>
              <w:rPr>
                <w:rFonts w:hint="eastAsia" w:ascii="新宋体" w:hAnsi="新宋体" w:eastAsia="新宋体" w:cs="新宋体"/>
                <w:i w:val="0"/>
                <w:iCs w:val="0"/>
                <w:color w:val="000000"/>
                <w:kern w:val="0"/>
                <w:sz w:val="20"/>
                <w:szCs w:val="20"/>
                <w:u w:val="none"/>
                <w:lang w:val="en-US" w:eastAsia="zh-CN" w:bidi="ar"/>
              </w:rPr>
              <w:t>支持SATA、SSD盘</w:t>
            </w:r>
            <w:r>
              <w:rPr>
                <w:rFonts w:hint="eastAsia" w:ascii="新宋体" w:hAnsi="新宋体" w:eastAsia="新宋体" w:cs="新宋体"/>
                <w:i w:val="0"/>
                <w:iCs w:val="0"/>
                <w:color w:val="000000"/>
                <w:kern w:val="0"/>
                <w:sz w:val="20"/>
                <w:szCs w:val="20"/>
                <w:u w:val="none"/>
                <w:lang w:val="en-US" w:eastAsia="zh-CN" w:bidi="ar"/>
              </w:rPr>
              <w:br w:type="textWrapping"/>
            </w:r>
            <w:r>
              <w:rPr>
                <w:rFonts w:hint="eastAsia" w:ascii="新宋体" w:hAnsi="新宋体" w:eastAsia="新宋体" w:cs="新宋体"/>
                <w:i w:val="0"/>
                <w:iCs w:val="0"/>
                <w:color w:val="000000"/>
                <w:kern w:val="0"/>
                <w:sz w:val="20"/>
                <w:szCs w:val="20"/>
                <w:u w:val="none"/>
                <w:lang w:val="en-US" w:eastAsia="zh-CN" w:bidi="ar"/>
              </w:rPr>
              <w:t>支持自动空白盘全局热备、专有热备</w:t>
            </w:r>
            <w:r>
              <w:rPr>
                <w:rFonts w:hint="eastAsia" w:ascii="新宋体" w:hAnsi="新宋体" w:eastAsia="新宋体" w:cs="新宋体"/>
                <w:i w:val="0"/>
                <w:iCs w:val="0"/>
                <w:color w:val="000000"/>
                <w:kern w:val="0"/>
                <w:sz w:val="20"/>
                <w:szCs w:val="20"/>
                <w:u w:val="none"/>
                <w:lang w:val="en-US" w:eastAsia="zh-CN" w:bidi="ar"/>
              </w:rPr>
              <w:br w:type="textWrapping"/>
            </w:r>
            <w:r>
              <w:rPr>
                <w:rFonts w:hint="eastAsia" w:ascii="新宋体" w:hAnsi="新宋体" w:eastAsia="新宋体" w:cs="新宋体"/>
                <w:i w:val="0"/>
                <w:iCs w:val="0"/>
                <w:color w:val="000000"/>
                <w:kern w:val="0"/>
                <w:sz w:val="20"/>
                <w:szCs w:val="20"/>
                <w:u w:val="none"/>
                <w:lang w:val="en-US" w:eastAsia="zh-CN" w:bidi="ar"/>
              </w:rPr>
              <w:t>支持RAID阵列磁盘进行定位，RAID阵列自动巡检</w:t>
            </w:r>
            <w:r>
              <w:rPr>
                <w:rFonts w:hint="eastAsia" w:ascii="新宋体" w:hAnsi="新宋体" w:eastAsia="新宋体" w:cs="新宋体"/>
                <w:i w:val="0"/>
                <w:iCs w:val="0"/>
                <w:color w:val="000000"/>
                <w:kern w:val="0"/>
                <w:sz w:val="20"/>
                <w:szCs w:val="20"/>
                <w:u w:val="none"/>
                <w:lang w:val="en-US" w:eastAsia="zh-CN" w:bidi="ar"/>
              </w:rPr>
              <w:br w:type="textWrapping"/>
            </w:r>
            <w:r>
              <w:rPr>
                <w:rFonts w:hint="eastAsia" w:ascii="新宋体" w:hAnsi="新宋体" w:eastAsia="新宋体" w:cs="新宋体"/>
                <w:i w:val="0"/>
                <w:iCs w:val="0"/>
                <w:color w:val="000000"/>
                <w:kern w:val="0"/>
                <w:sz w:val="20"/>
                <w:szCs w:val="20"/>
                <w:u w:val="none"/>
                <w:lang w:val="en-US" w:eastAsia="zh-CN" w:bidi="ar"/>
              </w:rPr>
              <w:t>支持RAID阵列重构重建、无感知重建、SMART检测预拷贝，RAID阵列可自动动态调整重建速度、重建/同步优先级</w:t>
            </w:r>
            <w:r>
              <w:rPr>
                <w:rFonts w:hint="eastAsia" w:ascii="新宋体" w:hAnsi="新宋体" w:eastAsia="新宋体" w:cs="新宋体"/>
                <w:i w:val="0"/>
                <w:iCs w:val="0"/>
                <w:color w:val="000000"/>
                <w:kern w:val="0"/>
                <w:sz w:val="20"/>
                <w:szCs w:val="20"/>
                <w:u w:val="none"/>
                <w:lang w:val="en-US" w:eastAsia="zh-CN" w:bidi="ar"/>
              </w:rPr>
              <w:br w:type="textWrapping"/>
            </w:r>
            <w:r>
              <w:rPr>
                <w:rFonts w:hint="eastAsia" w:ascii="新宋体" w:hAnsi="新宋体" w:eastAsia="新宋体" w:cs="新宋体"/>
                <w:i w:val="0"/>
                <w:iCs w:val="0"/>
                <w:color w:val="000000"/>
                <w:kern w:val="0"/>
                <w:sz w:val="20"/>
                <w:szCs w:val="20"/>
                <w:u w:val="none"/>
                <w:lang w:val="en-US" w:eastAsia="zh-CN" w:bidi="ar"/>
              </w:rPr>
              <w:t>支持RAID阵列磁盘坏块替换、多错误容忍、磁盘错误修复</w:t>
            </w:r>
            <w:r>
              <w:rPr>
                <w:rFonts w:hint="eastAsia" w:ascii="新宋体" w:hAnsi="新宋体" w:eastAsia="新宋体" w:cs="新宋体"/>
                <w:i w:val="0"/>
                <w:iCs w:val="0"/>
                <w:color w:val="000000"/>
                <w:kern w:val="0"/>
                <w:sz w:val="20"/>
                <w:szCs w:val="20"/>
                <w:u w:val="none"/>
                <w:lang w:val="en-US" w:eastAsia="zh-CN" w:bidi="ar"/>
              </w:rPr>
              <w:br w:type="textWrapping"/>
            </w:r>
            <w:r>
              <w:rPr>
                <w:rFonts w:hint="eastAsia" w:ascii="新宋体" w:hAnsi="新宋体" w:eastAsia="新宋体" w:cs="新宋体"/>
                <w:i w:val="0"/>
                <w:iCs w:val="0"/>
                <w:color w:val="000000"/>
                <w:kern w:val="0"/>
                <w:sz w:val="20"/>
                <w:szCs w:val="20"/>
                <w:u w:val="none"/>
                <w:lang w:val="en-US" w:eastAsia="zh-CN" w:bidi="ar"/>
              </w:rPr>
              <w:t>支持硬件过载保护机制</w:t>
            </w:r>
            <w:r>
              <w:rPr>
                <w:rFonts w:hint="eastAsia" w:ascii="新宋体" w:hAnsi="新宋体" w:eastAsia="新宋体" w:cs="新宋体"/>
                <w:i w:val="0"/>
                <w:iCs w:val="0"/>
                <w:color w:val="000000"/>
                <w:kern w:val="0"/>
                <w:sz w:val="20"/>
                <w:szCs w:val="20"/>
                <w:u w:val="none"/>
                <w:lang w:val="en-US" w:eastAsia="zh-CN" w:bidi="ar"/>
              </w:rPr>
              <w:br w:type="textWrapping"/>
            </w:r>
            <w:r>
              <w:rPr>
                <w:rFonts w:hint="eastAsia" w:ascii="新宋体" w:hAnsi="新宋体" w:eastAsia="新宋体" w:cs="新宋体"/>
                <w:i w:val="0"/>
                <w:iCs w:val="0"/>
                <w:color w:val="000000"/>
                <w:kern w:val="0"/>
                <w:sz w:val="20"/>
                <w:szCs w:val="20"/>
                <w:u w:val="none"/>
                <w:lang w:val="en-US" w:eastAsia="zh-CN" w:bidi="ar"/>
              </w:rPr>
              <w:t>支持风扇多级调速技术</w:t>
            </w:r>
            <w:r>
              <w:rPr>
                <w:rFonts w:hint="eastAsia" w:ascii="新宋体" w:hAnsi="新宋体" w:eastAsia="新宋体" w:cs="新宋体"/>
                <w:i w:val="0"/>
                <w:iCs w:val="0"/>
                <w:color w:val="000000"/>
                <w:kern w:val="0"/>
                <w:sz w:val="20"/>
                <w:szCs w:val="20"/>
                <w:u w:val="none"/>
                <w:lang w:val="en-US" w:eastAsia="zh-CN" w:bidi="ar"/>
              </w:rPr>
              <w:br w:type="textWrapping"/>
            </w:r>
            <w:r>
              <w:rPr>
                <w:rFonts w:hint="eastAsia" w:ascii="新宋体" w:hAnsi="新宋体" w:eastAsia="新宋体" w:cs="新宋体"/>
                <w:i w:val="0"/>
                <w:iCs w:val="0"/>
                <w:color w:val="000000"/>
                <w:kern w:val="0"/>
                <w:sz w:val="20"/>
                <w:szCs w:val="20"/>
                <w:u w:val="none"/>
                <w:lang w:val="en-US" w:eastAsia="zh-CN" w:bidi="ar"/>
              </w:rPr>
              <w:t>支持防尘、防震、防腐蚀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bidi="ar"/>
              </w:rPr>
              <w:t>云存储硬盘(18TB*2)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bidi="ar"/>
              </w:rPr>
              <w:t>监控级SATA硬盘：18TB*2</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bidi="ar"/>
              </w:rPr>
              <w:t>电池模块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bidi="ar"/>
              </w:rPr>
              <w:t>电池模块</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42"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bidi="ar"/>
              </w:rPr>
              <w:t>700W电源模块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bidi="ar"/>
              </w:rPr>
              <w:t>700W电源模块</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 </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线缆辅材</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含网线、水晶头、电源线、尾纤、信号线、标签、扎带等辅材</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4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四、改造前端部分</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星光级枪机</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 采用≥1/1.8″逐行扫描400万像素图像传感器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 具有≥1个RJ45接口、2路报警输入、1路报警输出，1路音频输入、1个TF卡插槽，1路音频输出，1路RS485接口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 焦距范围：4/6/8/12mm，定焦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 最低照度：彩色≤0.0005lx、黑白≤0.0001lx。</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 支持120dB光学宽动态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 支持H.265、H.264、MJPEG编码格式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 支持ONVIF、GB/T 28181、GA/T 1400等协议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 支持TF卡热插拔，最大支持≥256GB TF卡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 支持暖光补光灯，补光距离≥30m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 设备支持人脸检测抓拍，可支持不低于40张人脸并发检测，支持抓拍优选，自动筛选出抓拍质量最优的图片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 支持混行检测：支持机动车、非机动车、行人分类检测抓拍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 防护等级≥IP67，支持在不低于-30～60℃环境下正常工作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供电方式：DC12V(±25%)、POE；含抱杆支架，DC12V/25W电源适配器，托板和万向节</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星光级球机</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 采用≥1/1.8 ”逐行扫描400万像素CMOS图像传感器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 支持6-150mm电动变焦，不小于25倍光学变倍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 支持最低照度：彩色：≤0.001lx，黑白：≤0.0001lx</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 支持120dB光学宽动态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 支持接口：≥1个RJ45接口、≥1个BNC接口、≥2个报警输入接口、1个报警输出接口、≥1个RS485接口、≥1个音频输入接口、1个音频输出接口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6. 支持红外灯补光，红外补光灯可定时或自动开启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 内置1个SD插槽，支持SD卡热插拔，支持≥256GB SD卡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 支持人脸检测，越界检测、区域入侵、进入区域、离开区域，运动检测、遮挡检测、声音检测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 支持ONVIF、GB/T 28181、GA/T 1400等标准协议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 水平范围：360°，水平速度0.1°/s~240°/s；预置位速度≥240°/s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 垂直范围：-15°~90°，垂直速度：0.1°~160°/s；预置位速度≥200°/s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 支持不低于256个预置位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 供电方式：AC/DC24V±25%，支持过压过流保护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 功耗≤50W，，6KV防雷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15. 工作环境：–40°C ~ 65°C，≤95%RH（相对湿度，无冷凝）</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16. 防护等级不低于IP66</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含电源、球机安装支架（一个球机吊装杆或壁装杆 ），球机连接件</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配套线缆</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网线STP.CAT-5e、电源线RVV2*1.5及防护套管PVC，标签、扎带等</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五、其他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链路费</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每条每月400元，每年4800元计算</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IDC主机托管</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1个4U机位</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施工集成服务</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包含前端设备，平台设备，改成部分设备的运输、安装等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技术集成服务</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包含摄像机调试，一机一档数据采集，平台设备数据调测等技术服务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bl>
    <w:p/>
    <w:p>
      <w:pPr>
        <w:rPr>
          <w:rFonts w:hint="eastAsia"/>
        </w:rPr>
      </w:pPr>
    </w:p>
    <w:p>
      <w:pPr>
        <w:pStyle w:val="2"/>
        <w:rPr>
          <w:rFonts w:hint="eastAsia"/>
        </w:rPr>
      </w:pPr>
    </w:p>
    <w:p>
      <w:pPr>
        <w:spacing w:line="360" w:lineRule="auto"/>
        <w:ind w:firstLine="480" w:firstLineChars="200"/>
        <w:rPr>
          <w:rFonts w:hint="eastAsia" w:ascii="仿宋" w:hAnsi="仿宋" w:eastAsia="仿宋" w:cs="仿宋"/>
          <w:sz w:val="24"/>
          <w:szCs w:val="32"/>
        </w:rPr>
      </w:pPr>
      <w:r>
        <w:rPr>
          <w:rFonts w:hint="eastAsia" w:ascii="仿宋" w:hAnsi="仿宋" w:eastAsia="仿宋" w:cs="仿宋"/>
          <w:sz w:val="24"/>
          <w:szCs w:val="32"/>
        </w:rPr>
        <w:t>标项14：水塔山片区管委会项目</w:t>
      </w:r>
    </w:p>
    <w:p>
      <w:pPr>
        <w:pStyle w:val="2"/>
      </w:pPr>
    </w:p>
    <w:tbl>
      <w:tblPr>
        <w:tblStyle w:val="21"/>
        <w:tblW w:w="837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00"/>
        <w:gridCol w:w="1710"/>
        <w:gridCol w:w="4575"/>
        <w:gridCol w:w="735"/>
        <w:gridCol w:w="7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设备名称</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主要性能指标</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w:t>
            </w:r>
          </w:p>
        </w:tc>
        <w:tc>
          <w:tcPr>
            <w:tcW w:w="750"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8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一、新建前端部分</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星光级枪机</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 采用≥1/1.8″逐行扫描400万像素图像传感器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 具有≥1个RJ45接口、2路报警输入、1路报警输出，1路音频输入、1个TF卡插槽，1路音频输出，1路RS485接口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 焦距范围：4/6/8/12mm，定焦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 最低照度：彩色≤0.0005lx、黑白≤0.0001lx。</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 支持120dB光学宽动态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 支持H.265、H.264、MJPEG编码格式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 支持ONVIF、GB/T 28181、GA/T 1400等协议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 支持TF卡热插拔，最大支持≥256GB TF卡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 支持暖光补光灯，补光距离≥30m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 设备支持人脸检测抓拍，可支持不低于40张人脸并发检测，支持抓拍优选，自动筛选出抓拍质量最优的图片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 支持混行检测：支持机动车、非机动车、行人分类检测抓拍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 防护等级≥IP67，支持在不低于-30～60℃环境下正常工作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供电方式：DC12V(±25%)、POE；含抱杆支架，DC12V/25W电源适配器，托板和万向节</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星光级枪机</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 采用≥1/1.8″逐行扫描400万像素图像传感器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 具有≥1个RJ45接口、2路报警输入、1路报警输出，1路音频输入、1个TF卡插槽，1路音频输出，1路RS485接口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 焦距范围：2.8～12mm，电动变焦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 最低照度：彩色≤0.0005lx、黑白≤0.0001lx。</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 支持120dB光学宽动态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 支持H.265、H.264、MJPEG编码格式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 支持ONVIF、GB/T 28181、GA/T 1400等协议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 支持TF卡热插拔，最大支持≥256GB TF卡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 支持暖光补光灯，补光距离≥30m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 设备支持人脸检测抓拍，可支持不低于40张人脸并发检测，支持抓拍优选，自动筛选出抓拍质量最优的图片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 支持混行检测：支持机动车、非机动车、行人分类检测抓拍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 防护等级≥IP67，支持在不低于-30～60℃环境下正常工作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供电方式：DC12V(±25%)、POE；含抱杆支架，DC12V/25W电源适配器，托板和万向节</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高空球机</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 采用≥1/1.8 ”逐行扫描400万像素CMOS图像传感器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 支持6-190mm电动变焦，不小于30倍光学变倍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 支持最低照度：彩色：≤0.001lx，黑白：≤0.0001lx</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 支持120dB光学宽动态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 支持接口：≥1个RJ45接口、≥1个BNC接口、≥2个报警输入接口、1个报警输出接口、≥1个RS485接口、≥1个音频输入接口、1个音频输出接口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6. 支持红外灯补光，红外补光灯可定时或自动开启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 内置1个SD插槽，支持SD卡热插拔，支持≥256GB SD卡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 支持人脸检测，越界检测、区域入侵、进入区域、离开区域，运动检测、遮挡检测、声音检测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 支持ONVIF、GB/T 28181、GA/T 1400等标准协议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 水平范围：360°，水平速度0.1°/s~240°/s；预置位速度≥240°/s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 垂直范围：-15°~90°，垂直速度：0.1°~160°/s；预置位速度≥200°/s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 支持不低于256个预置位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 供电方式：AC/DC24V±25%，支持过压过流保护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 功耗≤50W，，6KV防雷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15. 工作环境：–40°C ~ 65°C，≤95%RH（相对湿度，无冷凝）</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16. 防护等级不低于IP66</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含电源、球机安装支架（一个球机吊装杆或壁装杆 ），球机连接件</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监控箱</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设备箱具备防雨、防尘、通风散热、抗紫外线（耐老化）、防盗、防锈；箱体采用≥1.2mm镀锌板，箱体尺寸（含雨帽）≥430(宽)*535(高)*220(深)mm，≥380(宽)*500(高)*200(深)mm（不含雨帽）；箱体工作温度范围-40℃～85℃，工作湿度≤90%RH，工作电压范围AC75～AC280V，外壳防护等级≥IP65，机械碰撞防护等级≥IK08，盐雾测试≥120小时；箱体内部预置可移动托板；整机一体化设计，内部集成控制终端、空开、电源防雷器、5位五孔插座、1路补光灯AC220V远程可控端子、DC12V风扇、1路RS485接口、1路RS232接口、2路IO告警输出、3路干接点输入（1路预留给箱门，1路预留给防雷器）、1路DC12V和1路DC5C（预留给网络传输设备）；具有≥4路AC220V输出，支持独立每路电压、电流检测、远程控制、实时发送每路电压电流值到客户端显示，支持通过客户端实时监测设备输出是否断电，并在客户端界面提示告警；支持供电电压、电流、功率、电量监测，可通过客户端显示，当供电断开时，提示供电异常告警；可通过客户端软件显示设备的实时功率和累计用电电量和电费统计数值；具有检测过压、欠压、过流，支持过压、欠压、过流、低载联动关闭指定输出接口；支持手动开启学习接入设备的功率，在当前设备的功率基础上接入其他设备时，自动关闭供电输出，并且客户端提示非法取电告警；支持在不使用外部蓄电池情况下，通过客户端实时监测设备供电电源，并在客户端提示设备供电电源掉电告警；可通过客户端显示摄像机工作状态并设置定时/手动开启，当接入的摄像机断电或网络断开时，可通过客户端提示告警，支持≥8路外接摄像机状态检测，支持在客户端内实现外接摄像机视频图像播放；可通过WEB及客户端显示交换机工作状态，可设置定时/手动重启、重启次数和时间，当网络传输断开时，可自动进行重启网络传输设备电源；支持多路补光灯检测，能够区分补光灯白天异常亮起和晚上无法开启，支持补光灯功率自学习功能，可设置定时/手动开启电源，支持≥4个时间段的分时控制；支持箱内实时温度、湿度、防雷状态、风扇工作状态检测，支持风扇故障监测和告警，支持风扇单次运行时间统计和总运行时间统计；支持通过客户端显示箱门开关状态，可设置箱门布防撤防,超过设定时间可自动布防，布防状态下箱门开启，客户端提示告警；支持箱门打开后，联动球机转向监控箱位置录像，可配置开始球机转动时间和停留录像时长；支持通过WEB直接查看实时数据、配置IP地址、客户端地址、传输模式、进行远程固件升级,支持IP地址冲突提示、MAC地址冲突提示；支持设备一机一档信息记录，包含设备名称、编号、国标编码、安装时间、品牌、类型、安装时间、质保期、到期时间等；支持设置设备运维、网络运维、电力运维，并生成考核计费报表，支持设置考核标准、考核申诉；支持通过时间、品牌等条件对外接摄像机故障率、在线率以柱状图或折线图展示统计报表；支持自动派单和手动派单，工单记录故障产生时间、派单时间及修复时长等信息；支持设置各类告警的告警等级；支持设置不同告警的处理时效。</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配套线缆</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网线STP.CAT-5e、电源线RVV2*1.5及防护套管PVC，标签、扎带等</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五金配件</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螺丝、连接件、抱箍、钢丝绳、吊卡等　</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抱箍支臂</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直杆，1米，管径65（厚3.5mm）</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制高点支架</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68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二、电力部分</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电网国家电表接入费</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包含满足国家电网接入电表等相关配套的技术服务</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新建点位电力接入及检测费</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电力接入及检测费</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bidi="ar"/>
              </w:rPr>
              <w:t>电缆施工费用2</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bidi="ar"/>
              </w:rPr>
              <w:t>沿墙钉固含所需电源线RVV3*2.5、YJV3*4、YJV3*6费用、PVC穿线管、卡子等材料和施费用</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bidi="ar"/>
              </w:rPr>
              <w:t>电缆施工费用3</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bidi="ar"/>
              </w:rPr>
              <w:t>道路（大理石、油路花砖等）、绿化带等开挖、回填、PE穿线管、电源线RVV3*2.5、YJV3*4、YJV3*6等施工费用</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8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三、改造前端部分</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星光级枪机</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 采用≥1/1.8″逐行扫描400万像素图像传感器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 具有≥1个RJ45接口、2路报警输入、1路报警输出，1路音频输入、1个TF卡插槽，1路音频输出，1路RS485接口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 焦距范围：4/6/8/12mm，定焦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 最低照度：彩色≤0.0005lx、黑白≤0.0001lx。</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 支持120dB光学宽动态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 支持H.265、H.264、MJPEG编码格式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 支持ONVIF、GB/T 28181、GA/T 1400等协议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 支持TF卡热插拔，最大支持≥256GB TF卡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 支持暖光补光灯，补光距离≥30m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 设备支持人脸检测抓拍，可支持不低于40张人脸并发检测，支持抓拍优选，自动筛选出抓拍质量最优的图片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 支持混行检测：支持机动车、非机动车、行人分类检测抓拍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 防护等级≥IP67，支持在不低于-30～60℃环境下正常工作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供电方式：DC12V(±25%)、POE；含抱杆支架，DC12V/25W电源适配器，托板和万向节</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星光级枪机</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 采用≥1/1.8″逐行扫描400万像素图像传感器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 具有≥1个RJ45接口、2路报警输入、1路报警输出，1路音频输入、1个TF卡插槽，1路音频输出，1路RS485接口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 焦距范围：2.8～12mm，电动变焦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 最低照度：彩色≤0.0005lx、黑白≤0.0001lx。</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 支持120dB光学宽动态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 支持H.265、H.264、MJPEG编码格式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 支持ONVIF、GB/T 28181、GA/T 1400等协议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 支持TF卡热插拔，最大支持≥256GB TF卡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 支持暖光补光灯，补光距离≥30m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 设备支持人脸检测抓拍，可支持不低于40张人脸并发检测，支持抓拍优选，自动筛选出抓拍质量最优的图片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 支持混行检测：支持机动车、非机动车、行人分类检测抓拍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 防护等级≥IP67，支持在不低于-30～60℃环境下正常工作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供电方式：DC12V(±25%)、POE；含抱杆支架，DC12V/25W电源适配器，托板和万向节</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星光级球机</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 采用≥1/1.8 ”逐行扫描400万像素CMOS图像传感器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 支持6-150mm电动变焦，不小于25倍光学变倍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 支持最低照度：彩色：≤0.001lx，黑白：≤0.0001lx</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 支持120dB光学宽动态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 支持接口：≥1个RJ45接口、≥1个BNC接口、≥2个报警输入接口、1个报警输出接口、≥1个RS485接口、≥1个音频输入接口、1个音频输出接口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6. 支持红外灯补光，红外补光灯可定时或自动开启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 内置1个SD插槽，支持SD卡热插拔，支持≥256GB SD卡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 支持人脸检测，越界检测、区域入侵、进入区域、离开区域，运动检测、遮挡检测、声音检测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 支持ONVIF、GB/T 28181、GA/T 1400等标准协议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 水平范围：360°，水平速度0.1°/s~240°/s；预置位速度≥240°/s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 垂直范围：-15°~90°，垂直速度：0.1°~160°/s；预置位速度≥200°/s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 支持不低于256个预置位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 供电方式：AC/DC24V±25%，支持过压过流保护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 功耗≤50W，，6KV防雷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15. 工作环境：–40°C ~ 65°C，≤95%RH（相对湿度，无冷凝）</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16. 防护等级不低于IP66</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含电源、球机安装支架（一个球机吊装杆或壁装杆 ），球机连接件</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配套线缆</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网线STP.CAT-5e、电源线RVV2*1.5及防护套管PVC，标签、扎带等</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四、其他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链路费</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每条每月400元，每年4800元计算</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施工集成服务</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包含前端设备，平台设备，改成部分设备的运输、安装等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技术集成服务</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包含摄像机调试，一机一档数据采集，平台设备数据调测等技术服务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bl>
    <w:p>
      <w:pPr>
        <w:pStyle w:val="2"/>
        <w:rPr>
          <w:rFonts w:hint="eastAsia"/>
        </w:rPr>
      </w:pPr>
    </w:p>
    <w:p>
      <w:pPr>
        <w:spacing w:line="360" w:lineRule="auto"/>
        <w:ind w:firstLine="480" w:firstLineChars="200"/>
        <w:rPr>
          <w:rFonts w:ascii="仿宋" w:hAnsi="仿宋" w:eastAsia="仿宋" w:cs="仿宋"/>
          <w:sz w:val="24"/>
          <w:szCs w:val="32"/>
        </w:rPr>
      </w:pPr>
      <w:r>
        <w:rPr>
          <w:rFonts w:hint="eastAsia" w:ascii="仿宋" w:hAnsi="仿宋" w:eastAsia="仿宋" w:cs="仿宋"/>
          <w:sz w:val="24"/>
          <w:szCs w:val="32"/>
        </w:rPr>
        <w:t>标项15：七纺片区管委会项目</w:t>
      </w:r>
    </w:p>
    <w:p>
      <w:pPr>
        <w:rPr>
          <w:rFonts w:hint="eastAsia" w:ascii="仿宋" w:hAnsi="仿宋" w:eastAsia="仿宋" w:cs="仿宋"/>
          <w:color w:val="auto"/>
          <w:highlight w:val="none"/>
          <w:lang w:val="en-US" w:eastAsia="zh-Hans"/>
        </w:rPr>
      </w:pPr>
    </w:p>
    <w:tbl>
      <w:tblPr>
        <w:tblStyle w:val="21"/>
        <w:tblW w:w="853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75"/>
        <w:gridCol w:w="1830"/>
        <w:gridCol w:w="4470"/>
        <w:gridCol w:w="780"/>
        <w:gridCol w:w="7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7755" w:type="dxa"/>
            <w:gridSpan w:val="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新建监控前端设备清单及预算</w:t>
            </w:r>
          </w:p>
        </w:tc>
        <w:tc>
          <w:tcPr>
            <w:tcW w:w="7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设备名称</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主要性能指标</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40" w:hRule="atLeast"/>
        </w:trPr>
        <w:tc>
          <w:tcPr>
            <w:tcW w:w="69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一、新建前端部分</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星光级枪机</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 采用≥1/1.8″逐行扫描400万像素图像传感器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 具有≥1个RJ45接口、2路报警输入、1路报警输出，1路音频输入、1个TF卡插槽，1路音频输出，1路RS485接口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 焦距范围：4/6/8/12mm，定焦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 最低照度：彩色≤0.0005lx、黑白≤0.0001lx。</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 支持120dB光学宽动态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 支持H.265、H.264、MJPEG编码格式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 支持ONVIF、GB/T 28181、GA/T 1400等协议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 支持TF卡热插拔，最大支持≥256GB TF卡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 支持暖光补光灯，补光距离≥30m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 设备支持人脸检测抓拍，可支持不低于40张人脸并发检测，支持抓拍优选，自动筛选出抓拍质量最优的图片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 支持混行检测：支持机动车、非机动车、行人分类检测抓拍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 防护等级≥IP67，支持在不低于-30～60℃环境下正常工作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供电方式：DC12V(±25%)、POE；含抱杆支架，DC12V/25W电源适配器，托板和万向节</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星光级枪机</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 采用≥1/1.8″逐行扫描400万像素图像传感器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 具有≥1个RJ45接口、2路报警输入、1路报警输出，1路音频输入、1个TF卡插槽，1路音频输出，1路RS485接口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 焦距范围：2.8～12mm，电动变焦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 最低照度：彩色≤0.0005lx、黑白≤0.0001lx。</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 支持120dB光学宽动态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 支持H.265、H.264、MJPEG编码格式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 支持ONVIF、GB/T 28181、GA/T 1400等协议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 支持TF卡热插拔，最大支持≥256GB TF卡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 支持暖光补光灯，补光距离≥30m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 设备支持人脸检测抓拍，可支持不低于40张人脸并发检测，支持抓拍优选，自动筛选出抓拍质量最优的图片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 支持混行检测：支持机动车、非机动车、行人分类检测抓拍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 防护等级≥IP67，支持在不低于-30～60℃环境下正常工作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供电方式：DC12V(±25%)、POE；含抱杆支架，DC12V/25W电源适配器，托板和万向节</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星光级球机</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 采用≥1/1.8 ”逐行扫描400万像素CMOS图像传感器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 支持6-150mm电动变焦，不小于25倍光学变倍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 支持最低照度：彩色：≤0.001lx，黑白：≤0.0001lx</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 支持120dB光学宽动态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 支持接口：≥1个RJ45接口、≥1个BNC接口、≥2个报警输入接口、1个报警输出接口、≥1个RS485接口、≥1个音频输入接口、1个音频输出接口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6. 支持红外灯补光，红外补光灯可定时或自动开启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 内置1个SD插槽，支持SD卡热插拔，支持≥256GB SD卡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 支持人脸检测，越界检测、区域入侵、进入区域、离开区域，运动检测、遮挡检测、声音检测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 支持ONVIF、GB/T 28181、GA/T 1400等标准协议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 水平范围：360°，水平速度0.1°/s~240°/s；预置位速度≥240°/s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 垂直范围：-15°~90°，垂直速度：0.1°~160°/s；预置位速度≥200°/s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 支持不低于256个预置位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 供电方式：AC/DC24V±25%，支持过压过流保护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 功耗≤50W，，6KV防雷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15. 工作环境：–40°C ~ 65°C，≤95%RH（相对湿度，无冷凝）</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16. 防护等级不低于IP66</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含电源、球机安装支架（一个球机吊装杆或壁装杆 ），球机连接件</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高空球机</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 采用≥1/1.8 ”逐行扫描400万像素CMOS图像传感器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 支持6-190mm电动变焦，不小于30倍光学变倍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 支持最低照度：彩色：≤0.001lx，黑白：≤0.0001lx</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 支持120dB光学宽动态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 支持接口：≥1个RJ45接口、≥1个BNC接口、≥2个报警输入接口、1个报警输出接口、≥1个RS485接口、≥1个音频输入接口、1个音频输出接口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6. 支持红外灯补光，红外补光灯可定时或自动开启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 内置1个SD插槽，支持SD卡热插拔，支持≥256GB SD卡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 支持人脸检测，越界检测、区域入侵、进入区域、离开区域，运动检测、遮挡检测、声音检测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 支持ONVIF、GB/T 28181、GA/T 1400等标准协议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 水平范围：360°，水平速度0.1°/s~240°/s；预置位速度≥240°/s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 垂直范围：-15°~90°，垂直速度：0.1°~160°/s；预置位速度≥200°/s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 支持不低于256个预置位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 供电方式：AC/DC24V±25%，支持过压过流保护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 功耗≤50W，，6KV防雷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15. 工作环境：–40°C ~ 65°C，≤95%RH（相对湿度，无冷凝）</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16. 防护等级不低于IP66</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含电源、球机安装支架（一个球机吊装杆或壁装杆 ），球机连接件</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监控箱</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设备箱具备防雨、防尘、通风散热、抗紫外线（耐老化）、防盗、防锈；箱体采用≥1.2mm镀锌板，箱体尺寸（含雨帽）≥430(宽)*535(高)*220(深)mm，≥380(宽)*500(高)*200(深)mm（不含雨帽）；箱体工作温度范围-40℃～85℃，工作湿度≤90%RH，工作电压范围AC75～AC280V，外壳防护等级≥IP65，机械碰撞防护等级≥IK08，盐雾测试≥120小时；箱体内部预置可移动托板；整机一体化设计，内部集成控制终端、空开、电源防雷器、5位五孔插座、1路补光灯AC220V远程可控端子、DC12V风扇、1路RS485接口、1路RS232接口、2路IO告警输出、3路干接点输入（1路预留给箱门，1路预留给防雷器）、1路DC12V和1路DC5C（预留给网络传输设备）；具有≥4路AC220V输出，支持独立每路电压、电流检测、远程控制、实时发送每路电压电流值到客户端显示，支持通过客户端实时监测设备输出是否断电，并在客户端界面提示告警；支持供电电压、电流、功率、电量监测，可通过客户端显示，当供电断开时，提示供电异常告警；可通过客户端软件显示设备的实时功率和累计用电电量和电费统计数值；具有检测过压、欠压、过流，支持过压、欠压、过流、低载联动关闭指定输出接口；支持手动开启学习接入设备的功率，在当前设备的功率基础上接入其他设备时，自动关闭供电输出，并且客户端提示非法取电告警；支持在不使用外部蓄电池情况下，通过客户端实时监测设备供电电源，并在客户端提示设备供电电源掉电告警；可通过客户端显示摄像机工作状态并设置定时/手动开启，当接入的摄像机断电或网络断开时，可通过客户端提示告警，支持≥8路外接摄像机状态检测，支持在客户端内实现外接摄像机视频图像播放；可通过WEB及客户端显示交换机工作状态，可设置定时/手动重启、重启次数和时间，当网络传输断开时，可自动进行重启网络传输设备电源；支持多路补光灯检测，能够区分补光灯白天异常亮起和晚上无法开启，支持补光灯功率自学习功能，可设置定时/手动开启电源，支持≥4个时间段的分时控制；支持箱内实时温度、湿度、防雷状态、风扇工作状态检测，支持风扇故障监测和告警，支持风扇单次运行时间统计和总运行时间统计；支持通过客户端显示箱门开关状态，可设置箱门布防撤防,超过设定时间可自动布防，布防状态下箱门开启，客户端提示告警；支持箱门打开后，联动球机转向监控箱位置录像，可配置开始球机转动时间和停留录像时长；支持通过WEB直接查看实时数据、配置IP地址、客户端地址、传输模式、进行远程固件升级,支持IP地址冲突提示、MAC地址冲突提示；支持设备一机一档信息记录，包含设备名称、编号、国标编码、安装时间、品牌、类型、安装时间、质保期、到期时间等；支持设置设备运维、网络运维、电力运维，并生成考核计费报表，支持设置考核标准、考核申诉；支持通过时间、品牌等条件对外接摄像机故障率、在线率以柱状图或折线图展示统计报表；支持自动派单和手动派单，工单记录故障产生时间、派单时间及修复时长等信息；支持设置各类告警的告警等级；支持设置不同告警的处理时效。</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配套线缆</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网线STP.CAT-5e、电源线RVV2*1.5及防护套管PVC，标签、扎带等</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五金配件</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螺丝、连接件、抱箍、钢丝绳、吊卡等　</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金属立杆</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直径165mm高3米/壁厚4.5mm（热镀锌，表面喷塑）</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金属立杆</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直径165mm高4米/壁厚4.5mm（热镀锌，表面喷塑）</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金属立杆</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直径165mm高5米/壁厚4.5mm（热镀锌，表面喷塑）</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金属立杆</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直径165mm高6米/壁厚4.5mm（热镀锌，表面喷塑）</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金属立杆</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直径219mm高6米/壁厚5.5mm（热镀锌，表面喷塑）</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横臂</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锥型杆，1米横臂：管径80/150（厚3.0mm）</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横臂</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锥型杆，2米横臂：管径80/150（厚5.0mm）</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横臂</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锥型杆，3米横臂：管径80/150（厚3.0mm）</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横臂</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锥型杆，4米横臂：管径100/150（厚5.0mm）</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横臂</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直杆，1米横臂：管径89（厚4.0mm）</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横臂</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直杆，3米横臂：管径89（厚4.0mm）</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横臂</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直杆，5米横臂：管径89（厚4.0mm）</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抱箍支臂</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直杆，1米，管径65（厚3.5mm）</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抱箍支臂</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直杆，2米，管径65（厚3.5mm）</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抱箍支臂</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直杆，4米，管径65（厚3.5mm）</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制高点支架</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立杆底座</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直径165基坑尺寸1000*1000*1100（地下埋深）、含预埋件、防雷接地</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立杆底座</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直径219基坑尺寸1200*1200*1600（地下埋深）、含预埋件、防雷接地</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69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二、电力部分</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电网国家电表接入费</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包含满足国家电网接入电表等相关配套的技术服务</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利旧点位电力接入及检测费</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点位电力接入及检测费</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新建点位电力接入及检测费</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电力接入及检测费</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bidi="ar"/>
              </w:rPr>
              <w:t>电缆施工费用1</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bidi="ar"/>
              </w:rPr>
              <w:t>沿管道穿线含所需电源线RVV3*2.5、YJV3*4、YJV3*6施工费用</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bidi="ar"/>
              </w:rPr>
              <w:t>电缆施工费用2</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bidi="ar"/>
              </w:rPr>
              <w:t>沿墙钉固含所需电源线RVV3*2.5、YJV3*4、YJV3*6费用、PVC穿线管、卡子等材料和施费用</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bidi="ar"/>
              </w:rPr>
              <w:t>电缆施工费用3</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bidi="ar"/>
              </w:rPr>
              <w:t>道路（大理石、油路花砖等）、绿化带等开挖、回填、PE穿线管、电源线RVV3*2.5、YJV3*4、YJV3*6等施工费用</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40" w:hRule="atLeast"/>
        </w:trPr>
        <w:tc>
          <w:tcPr>
            <w:tcW w:w="69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三、新建平台部分</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bidi="ar"/>
              </w:rPr>
              <w:t>48盘位云存储设备</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bidi="ar"/>
              </w:rPr>
              <w:t>48盘位视频监控云存储节点：单控制器</w:t>
            </w:r>
            <w:r>
              <w:rPr>
                <w:rFonts w:hint="eastAsia" w:ascii="新宋体" w:hAnsi="新宋体" w:eastAsia="新宋体" w:cs="新宋体"/>
                <w:i w:val="0"/>
                <w:iCs w:val="0"/>
                <w:color w:val="000000"/>
                <w:kern w:val="0"/>
                <w:sz w:val="20"/>
                <w:szCs w:val="20"/>
                <w:u w:val="none"/>
                <w:lang w:val="en-US" w:eastAsia="zh-CN" w:bidi="ar"/>
              </w:rPr>
              <w:br w:type="textWrapping"/>
            </w:r>
            <w:r>
              <w:rPr>
                <w:rFonts w:hint="eastAsia" w:ascii="新宋体" w:hAnsi="新宋体" w:eastAsia="新宋体" w:cs="新宋体"/>
                <w:i w:val="0"/>
                <w:iCs w:val="0"/>
                <w:color w:val="000000"/>
                <w:kern w:val="0"/>
                <w:sz w:val="20"/>
                <w:szCs w:val="20"/>
                <w:u w:val="none"/>
                <w:lang w:val="en-US" w:eastAsia="zh-CN" w:bidi="ar"/>
              </w:rPr>
              <w:t>磁盘通道数：48</w:t>
            </w:r>
            <w:r>
              <w:rPr>
                <w:rFonts w:hint="eastAsia" w:ascii="新宋体" w:hAnsi="新宋体" w:eastAsia="新宋体" w:cs="新宋体"/>
                <w:i w:val="0"/>
                <w:iCs w:val="0"/>
                <w:color w:val="000000"/>
                <w:kern w:val="0"/>
                <w:sz w:val="20"/>
                <w:szCs w:val="20"/>
                <w:u w:val="none"/>
                <w:lang w:val="en-US" w:eastAsia="zh-CN" w:bidi="ar"/>
              </w:rPr>
              <w:br w:type="textWrapping"/>
            </w:r>
            <w:r>
              <w:rPr>
                <w:rFonts w:hint="eastAsia" w:ascii="新宋体" w:hAnsi="新宋体" w:eastAsia="新宋体" w:cs="新宋体"/>
                <w:i w:val="0"/>
                <w:iCs w:val="0"/>
                <w:color w:val="000000"/>
                <w:kern w:val="0"/>
                <w:sz w:val="20"/>
                <w:szCs w:val="20"/>
                <w:u w:val="none"/>
                <w:lang w:val="en-US" w:eastAsia="zh-CN" w:bidi="ar"/>
              </w:rPr>
              <w:t>电源模块：交流电源</w:t>
            </w:r>
            <w:r>
              <w:rPr>
                <w:rFonts w:hint="eastAsia" w:ascii="新宋体" w:hAnsi="新宋体" w:eastAsia="新宋体" w:cs="新宋体"/>
                <w:i w:val="0"/>
                <w:iCs w:val="0"/>
                <w:color w:val="000000"/>
                <w:kern w:val="0"/>
                <w:sz w:val="20"/>
                <w:szCs w:val="20"/>
                <w:u w:val="none"/>
                <w:lang w:val="en-US" w:eastAsia="zh-CN" w:bidi="ar"/>
              </w:rPr>
              <w:br w:type="textWrapping"/>
            </w:r>
            <w:r>
              <w:rPr>
                <w:rFonts w:hint="eastAsia" w:ascii="新宋体" w:hAnsi="新宋体" w:eastAsia="新宋体" w:cs="新宋体"/>
                <w:i w:val="0"/>
                <w:iCs w:val="0"/>
                <w:color w:val="000000"/>
                <w:kern w:val="0"/>
                <w:sz w:val="20"/>
                <w:szCs w:val="20"/>
                <w:u w:val="none"/>
                <w:lang w:val="en-US" w:eastAsia="zh-CN" w:bidi="ar"/>
              </w:rPr>
              <w:t>网络接口：5个千兆以太网接口</w:t>
            </w:r>
            <w:r>
              <w:rPr>
                <w:rFonts w:hint="eastAsia" w:ascii="新宋体" w:hAnsi="新宋体" w:eastAsia="新宋体" w:cs="新宋体"/>
                <w:i w:val="0"/>
                <w:iCs w:val="0"/>
                <w:color w:val="000000"/>
                <w:kern w:val="0"/>
                <w:sz w:val="20"/>
                <w:szCs w:val="20"/>
                <w:u w:val="none"/>
                <w:lang w:val="en-US" w:eastAsia="zh-CN" w:bidi="ar"/>
              </w:rPr>
              <w:br w:type="textWrapping"/>
            </w:r>
            <w:r>
              <w:rPr>
                <w:rFonts w:hint="eastAsia" w:ascii="新宋体" w:hAnsi="新宋体" w:eastAsia="新宋体" w:cs="新宋体"/>
                <w:i w:val="0"/>
                <w:iCs w:val="0"/>
                <w:color w:val="000000"/>
                <w:kern w:val="0"/>
                <w:sz w:val="20"/>
                <w:szCs w:val="20"/>
                <w:u w:val="none"/>
                <w:lang w:val="en-US" w:eastAsia="zh-CN" w:bidi="ar"/>
              </w:rPr>
              <w:t>性能：512路2M块直存、51路回放</w:t>
            </w:r>
            <w:r>
              <w:rPr>
                <w:rFonts w:hint="eastAsia" w:ascii="新宋体" w:hAnsi="新宋体" w:eastAsia="新宋体" w:cs="新宋体"/>
                <w:i w:val="0"/>
                <w:iCs w:val="0"/>
                <w:color w:val="000000"/>
                <w:kern w:val="0"/>
                <w:sz w:val="20"/>
                <w:szCs w:val="20"/>
                <w:u w:val="none"/>
                <w:lang w:val="en-US" w:eastAsia="zh-CN" w:bidi="ar"/>
              </w:rPr>
              <w:br w:type="textWrapping"/>
            </w:r>
            <w:r>
              <w:rPr>
                <w:rFonts w:hint="eastAsia" w:ascii="新宋体" w:hAnsi="新宋体" w:eastAsia="新宋体" w:cs="新宋体"/>
                <w:i w:val="0"/>
                <w:iCs w:val="0"/>
                <w:color w:val="000000"/>
                <w:kern w:val="0"/>
                <w:sz w:val="20"/>
                <w:szCs w:val="20"/>
                <w:u w:val="none"/>
                <w:lang w:val="en-US" w:eastAsia="zh-CN" w:bidi="ar"/>
              </w:rPr>
              <w:t>384路2M流直存，38路回放</w:t>
            </w:r>
            <w:r>
              <w:rPr>
                <w:rFonts w:hint="eastAsia" w:ascii="新宋体" w:hAnsi="新宋体" w:eastAsia="新宋体" w:cs="新宋体"/>
                <w:i w:val="0"/>
                <w:iCs w:val="0"/>
                <w:color w:val="000000"/>
                <w:kern w:val="0"/>
                <w:sz w:val="20"/>
                <w:szCs w:val="20"/>
                <w:u w:val="none"/>
                <w:lang w:val="en-US" w:eastAsia="zh-CN" w:bidi="ar"/>
              </w:rPr>
              <w:br w:type="textWrapping"/>
            </w:r>
            <w:r>
              <w:rPr>
                <w:rFonts w:hint="eastAsia" w:ascii="新宋体" w:hAnsi="新宋体" w:eastAsia="新宋体" w:cs="新宋体"/>
                <w:i w:val="0"/>
                <w:iCs w:val="0"/>
                <w:color w:val="000000"/>
                <w:kern w:val="0"/>
                <w:sz w:val="20"/>
                <w:szCs w:val="20"/>
                <w:u w:val="none"/>
                <w:lang w:val="en-US" w:eastAsia="zh-CN" w:bidi="ar"/>
              </w:rPr>
              <w:t xml:space="preserve"> 支持提供存储虚拟化管理功能，将所有存储节点空间合并成一个存储虚拟池，对外提供海量存储空间管理</w:t>
            </w:r>
            <w:r>
              <w:rPr>
                <w:rFonts w:hint="eastAsia" w:ascii="新宋体" w:hAnsi="新宋体" w:eastAsia="新宋体" w:cs="新宋体"/>
                <w:i w:val="0"/>
                <w:iCs w:val="0"/>
                <w:color w:val="000000"/>
                <w:kern w:val="0"/>
                <w:sz w:val="20"/>
                <w:szCs w:val="20"/>
                <w:u w:val="none"/>
                <w:lang w:val="en-US" w:eastAsia="zh-CN" w:bidi="ar"/>
              </w:rPr>
              <w:br w:type="textWrapping"/>
            </w:r>
            <w:r>
              <w:rPr>
                <w:rFonts w:hint="eastAsia" w:ascii="新宋体" w:hAnsi="新宋体" w:eastAsia="新宋体" w:cs="新宋体"/>
                <w:i w:val="0"/>
                <w:iCs w:val="0"/>
                <w:color w:val="000000"/>
                <w:kern w:val="0"/>
                <w:sz w:val="20"/>
                <w:szCs w:val="20"/>
                <w:u w:val="none"/>
                <w:lang w:val="en-US" w:eastAsia="zh-CN" w:bidi="ar"/>
              </w:rPr>
              <w:t>支持PCIe插槽、支持千兆GE接口卡和万兆10GE接口卡、Mini SAS HD卡(SAS 3.0)</w:t>
            </w:r>
            <w:r>
              <w:rPr>
                <w:rFonts w:hint="eastAsia" w:ascii="新宋体" w:hAnsi="新宋体" w:eastAsia="新宋体" w:cs="新宋体"/>
                <w:i w:val="0"/>
                <w:iCs w:val="0"/>
                <w:color w:val="000000"/>
                <w:kern w:val="0"/>
                <w:sz w:val="20"/>
                <w:szCs w:val="20"/>
                <w:u w:val="none"/>
                <w:lang w:val="en-US" w:eastAsia="zh-CN" w:bidi="ar"/>
              </w:rPr>
              <w:br w:type="textWrapping"/>
            </w:r>
            <w:r>
              <w:rPr>
                <w:rFonts w:hint="eastAsia" w:ascii="新宋体" w:hAnsi="新宋体" w:eastAsia="新宋体" w:cs="新宋体"/>
                <w:i w:val="0"/>
                <w:iCs w:val="0"/>
                <w:color w:val="000000"/>
                <w:kern w:val="0"/>
                <w:sz w:val="20"/>
                <w:szCs w:val="20"/>
                <w:u w:val="none"/>
                <w:lang w:val="en-US" w:eastAsia="zh-CN" w:bidi="ar"/>
              </w:rPr>
              <w:t>支持网络端口链路聚合、负载均衡</w:t>
            </w:r>
            <w:r>
              <w:rPr>
                <w:rFonts w:hint="eastAsia" w:ascii="新宋体" w:hAnsi="新宋体" w:eastAsia="新宋体" w:cs="新宋体"/>
                <w:i w:val="0"/>
                <w:iCs w:val="0"/>
                <w:color w:val="000000"/>
                <w:kern w:val="0"/>
                <w:sz w:val="20"/>
                <w:szCs w:val="20"/>
                <w:u w:val="none"/>
                <w:lang w:val="en-US" w:eastAsia="zh-CN" w:bidi="ar"/>
              </w:rPr>
              <w:br w:type="textWrapping"/>
            </w:r>
            <w:r>
              <w:rPr>
                <w:rFonts w:hint="eastAsia" w:ascii="新宋体" w:hAnsi="新宋体" w:eastAsia="新宋体" w:cs="新宋体"/>
                <w:i w:val="0"/>
                <w:iCs w:val="0"/>
                <w:color w:val="000000"/>
                <w:kern w:val="0"/>
                <w:sz w:val="20"/>
                <w:szCs w:val="20"/>
                <w:u w:val="none"/>
                <w:lang w:val="en-US" w:eastAsia="zh-CN" w:bidi="ar"/>
              </w:rPr>
              <w:t>支持标准ONVIF、GB/T28181等标准前端接入</w:t>
            </w:r>
            <w:r>
              <w:rPr>
                <w:rFonts w:hint="eastAsia" w:ascii="新宋体" w:hAnsi="新宋体" w:eastAsia="新宋体" w:cs="新宋体"/>
                <w:i w:val="0"/>
                <w:iCs w:val="0"/>
                <w:color w:val="000000"/>
                <w:kern w:val="0"/>
                <w:sz w:val="20"/>
                <w:szCs w:val="20"/>
                <w:u w:val="none"/>
                <w:lang w:val="en-US" w:eastAsia="zh-CN" w:bidi="ar"/>
              </w:rPr>
              <w:br w:type="textWrapping"/>
            </w:r>
            <w:r>
              <w:rPr>
                <w:rFonts w:hint="eastAsia" w:ascii="新宋体" w:hAnsi="新宋体" w:eastAsia="新宋体" w:cs="新宋体"/>
                <w:i w:val="0"/>
                <w:iCs w:val="0"/>
                <w:color w:val="000000"/>
                <w:kern w:val="0"/>
                <w:sz w:val="20"/>
                <w:szCs w:val="20"/>
                <w:u w:val="none"/>
                <w:lang w:val="en-US" w:eastAsia="zh-CN" w:bidi="ar"/>
              </w:rPr>
              <w:t>支持视频智能结构化数据存储</w:t>
            </w:r>
            <w:r>
              <w:rPr>
                <w:rFonts w:hint="eastAsia" w:ascii="新宋体" w:hAnsi="新宋体" w:eastAsia="新宋体" w:cs="新宋体"/>
                <w:i w:val="0"/>
                <w:iCs w:val="0"/>
                <w:color w:val="000000"/>
                <w:kern w:val="0"/>
                <w:sz w:val="20"/>
                <w:szCs w:val="20"/>
                <w:u w:val="none"/>
                <w:lang w:val="en-US" w:eastAsia="zh-CN" w:bidi="ar"/>
              </w:rPr>
              <w:br w:type="textWrapping"/>
            </w:r>
            <w:r>
              <w:rPr>
                <w:rFonts w:hint="eastAsia" w:ascii="新宋体" w:hAnsi="新宋体" w:eastAsia="新宋体" w:cs="新宋体"/>
                <w:i w:val="0"/>
                <w:iCs w:val="0"/>
                <w:color w:val="000000"/>
                <w:kern w:val="0"/>
                <w:sz w:val="20"/>
                <w:szCs w:val="20"/>
                <w:u w:val="none"/>
                <w:lang w:val="en-US" w:eastAsia="zh-CN" w:bidi="ar"/>
              </w:rPr>
              <w:t>支持裸数据块直存方式，无文件系统碎片，海量小文件存储性能无衰减</w:t>
            </w:r>
            <w:r>
              <w:rPr>
                <w:rFonts w:hint="eastAsia" w:ascii="新宋体" w:hAnsi="新宋体" w:eastAsia="新宋体" w:cs="新宋体"/>
                <w:i w:val="0"/>
                <w:iCs w:val="0"/>
                <w:color w:val="000000"/>
                <w:kern w:val="0"/>
                <w:sz w:val="20"/>
                <w:szCs w:val="20"/>
                <w:u w:val="none"/>
                <w:lang w:val="en-US" w:eastAsia="zh-CN" w:bidi="ar"/>
              </w:rPr>
              <w:br w:type="textWrapping"/>
            </w:r>
            <w:r>
              <w:rPr>
                <w:rFonts w:hint="eastAsia" w:ascii="新宋体" w:hAnsi="新宋体" w:eastAsia="新宋体" w:cs="新宋体"/>
                <w:i w:val="0"/>
                <w:iCs w:val="0"/>
                <w:color w:val="000000"/>
                <w:kern w:val="0"/>
                <w:sz w:val="20"/>
                <w:szCs w:val="20"/>
                <w:u w:val="none"/>
                <w:lang w:val="en-US" w:eastAsia="zh-CN" w:bidi="ar"/>
              </w:rPr>
              <w:t>支持数据离散，并发读写，支持视频秒级检索及回放，视频、图片极速下载</w:t>
            </w:r>
            <w:r>
              <w:rPr>
                <w:rFonts w:hint="eastAsia" w:ascii="新宋体" w:hAnsi="新宋体" w:eastAsia="新宋体" w:cs="新宋体"/>
                <w:i w:val="0"/>
                <w:iCs w:val="0"/>
                <w:color w:val="000000"/>
                <w:kern w:val="0"/>
                <w:sz w:val="20"/>
                <w:szCs w:val="20"/>
                <w:u w:val="none"/>
                <w:lang w:val="en-US" w:eastAsia="zh-CN" w:bidi="ar"/>
              </w:rPr>
              <w:br w:type="textWrapping"/>
            </w:r>
            <w:r>
              <w:rPr>
                <w:rFonts w:hint="eastAsia" w:ascii="新宋体" w:hAnsi="新宋体" w:eastAsia="新宋体" w:cs="新宋体"/>
                <w:i w:val="0"/>
                <w:iCs w:val="0"/>
                <w:color w:val="000000"/>
                <w:kern w:val="0"/>
                <w:sz w:val="20"/>
                <w:szCs w:val="20"/>
                <w:u w:val="none"/>
                <w:lang w:val="en-US" w:eastAsia="zh-CN" w:bidi="ar"/>
              </w:rPr>
              <w:t>支持云节点负载均衡、故障切换，解决单节点性能瓶颈问题及单节点故障问题，保证业务连续性</w:t>
            </w:r>
            <w:r>
              <w:rPr>
                <w:rFonts w:hint="eastAsia" w:ascii="新宋体" w:hAnsi="新宋体" w:eastAsia="新宋体" w:cs="新宋体"/>
                <w:i w:val="0"/>
                <w:iCs w:val="0"/>
                <w:color w:val="000000"/>
                <w:kern w:val="0"/>
                <w:sz w:val="20"/>
                <w:szCs w:val="20"/>
                <w:u w:val="none"/>
                <w:lang w:val="en-US" w:eastAsia="zh-CN" w:bidi="ar"/>
              </w:rPr>
              <w:br w:type="textWrapping"/>
            </w:r>
            <w:r>
              <w:rPr>
                <w:rFonts w:hint="eastAsia" w:ascii="新宋体" w:hAnsi="新宋体" w:eastAsia="新宋体" w:cs="新宋体"/>
                <w:i w:val="0"/>
                <w:iCs w:val="0"/>
                <w:color w:val="000000"/>
                <w:kern w:val="0"/>
                <w:sz w:val="20"/>
                <w:szCs w:val="20"/>
                <w:u w:val="none"/>
                <w:lang w:val="en-US" w:eastAsia="zh-CN" w:bidi="ar"/>
              </w:rPr>
              <w:t>支持云备份功能，实现云内数据备份和云间备份</w:t>
            </w:r>
            <w:r>
              <w:rPr>
                <w:rFonts w:hint="eastAsia" w:ascii="新宋体" w:hAnsi="新宋体" w:eastAsia="新宋体" w:cs="新宋体"/>
                <w:i w:val="0"/>
                <w:iCs w:val="0"/>
                <w:color w:val="000000"/>
                <w:kern w:val="0"/>
                <w:sz w:val="20"/>
                <w:szCs w:val="20"/>
                <w:u w:val="none"/>
                <w:lang w:val="en-US" w:eastAsia="zh-CN" w:bidi="ar"/>
              </w:rPr>
              <w:br w:type="textWrapping"/>
            </w:r>
            <w:r>
              <w:rPr>
                <w:rFonts w:hint="eastAsia" w:ascii="新宋体" w:hAnsi="新宋体" w:eastAsia="新宋体" w:cs="新宋体"/>
                <w:i w:val="0"/>
                <w:iCs w:val="0"/>
                <w:color w:val="000000"/>
                <w:kern w:val="0"/>
                <w:sz w:val="20"/>
                <w:szCs w:val="20"/>
                <w:u w:val="none"/>
                <w:lang w:val="en-US" w:eastAsia="zh-CN" w:bidi="ar"/>
              </w:rPr>
              <w:t>支持冗余电源，风扇，电池，支持磁盘、电源、风扇、电池的热插拔和在线更换</w:t>
            </w:r>
            <w:r>
              <w:rPr>
                <w:rFonts w:hint="eastAsia" w:ascii="新宋体" w:hAnsi="新宋体" w:eastAsia="新宋体" w:cs="新宋体"/>
                <w:i w:val="0"/>
                <w:iCs w:val="0"/>
                <w:color w:val="000000"/>
                <w:kern w:val="0"/>
                <w:sz w:val="20"/>
                <w:szCs w:val="20"/>
                <w:u w:val="none"/>
                <w:lang w:val="en-US" w:eastAsia="zh-CN" w:bidi="ar"/>
              </w:rPr>
              <w:br w:type="textWrapping"/>
            </w:r>
            <w:r>
              <w:rPr>
                <w:rFonts w:hint="eastAsia" w:ascii="新宋体" w:hAnsi="新宋体" w:eastAsia="新宋体" w:cs="新宋体"/>
                <w:i w:val="0"/>
                <w:iCs w:val="0"/>
                <w:color w:val="000000"/>
                <w:kern w:val="0"/>
                <w:sz w:val="20"/>
                <w:szCs w:val="20"/>
                <w:u w:val="none"/>
                <w:lang w:val="en-US" w:eastAsia="zh-CN" w:bidi="ar"/>
              </w:rPr>
              <w:t>支持数码管、指示灯、蜂鸣器告警、邮件告警、SNMP Trap、短信等告警方式对故障进行告警</w:t>
            </w:r>
            <w:r>
              <w:rPr>
                <w:rFonts w:hint="eastAsia" w:ascii="新宋体" w:hAnsi="新宋体" w:eastAsia="新宋体" w:cs="新宋体"/>
                <w:i w:val="0"/>
                <w:iCs w:val="0"/>
                <w:color w:val="000000"/>
                <w:kern w:val="0"/>
                <w:sz w:val="20"/>
                <w:szCs w:val="20"/>
                <w:u w:val="none"/>
                <w:lang w:val="en-US" w:eastAsia="zh-CN" w:bidi="ar"/>
              </w:rPr>
              <w:br w:type="textWrapping"/>
            </w:r>
            <w:r>
              <w:rPr>
                <w:rFonts w:hint="eastAsia" w:ascii="新宋体" w:hAnsi="新宋体" w:eastAsia="新宋体" w:cs="新宋体"/>
                <w:i w:val="0"/>
                <w:iCs w:val="0"/>
                <w:color w:val="000000"/>
                <w:kern w:val="0"/>
                <w:sz w:val="20"/>
                <w:szCs w:val="20"/>
                <w:u w:val="none"/>
                <w:lang w:val="en-US" w:eastAsia="zh-CN" w:bidi="ar"/>
              </w:rPr>
              <w:t>支持IP冲突告警、网口降速、电源故障、风扇故障、电池电量不足、电池故障等告警</w:t>
            </w:r>
            <w:r>
              <w:rPr>
                <w:rFonts w:hint="eastAsia" w:ascii="新宋体" w:hAnsi="新宋体" w:eastAsia="新宋体" w:cs="新宋体"/>
                <w:i w:val="0"/>
                <w:iCs w:val="0"/>
                <w:color w:val="000000"/>
                <w:kern w:val="0"/>
                <w:sz w:val="20"/>
                <w:szCs w:val="20"/>
                <w:u w:val="none"/>
                <w:lang w:val="en-US" w:eastAsia="zh-CN" w:bidi="ar"/>
              </w:rPr>
              <w:br w:type="textWrapping"/>
            </w:r>
            <w:r>
              <w:rPr>
                <w:rFonts w:hint="eastAsia" w:ascii="新宋体" w:hAnsi="新宋体" w:eastAsia="新宋体" w:cs="新宋体"/>
                <w:i w:val="0"/>
                <w:iCs w:val="0"/>
                <w:color w:val="000000"/>
                <w:kern w:val="0"/>
                <w:sz w:val="20"/>
                <w:szCs w:val="20"/>
                <w:u w:val="none"/>
                <w:lang w:val="en-US" w:eastAsia="zh-CN" w:bidi="ar"/>
              </w:rPr>
              <w:t>支持数据保险箱（掉电数据永久保护）</w:t>
            </w:r>
            <w:r>
              <w:rPr>
                <w:rFonts w:hint="eastAsia" w:ascii="新宋体" w:hAnsi="新宋体" w:eastAsia="新宋体" w:cs="新宋体"/>
                <w:i w:val="0"/>
                <w:iCs w:val="0"/>
                <w:color w:val="000000"/>
                <w:kern w:val="0"/>
                <w:sz w:val="20"/>
                <w:szCs w:val="20"/>
                <w:u w:val="none"/>
                <w:lang w:val="en-US" w:eastAsia="zh-CN" w:bidi="ar"/>
              </w:rPr>
              <w:br w:type="textWrapping"/>
            </w:r>
            <w:r>
              <w:rPr>
                <w:rFonts w:hint="eastAsia" w:ascii="新宋体" w:hAnsi="新宋体" w:eastAsia="新宋体" w:cs="新宋体"/>
                <w:i w:val="0"/>
                <w:iCs w:val="0"/>
                <w:color w:val="000000"/>
                <w:kern w:val="0"/>
                <w:sz w:val="20"/>
                <w:szCs w:val="20"/>
                <w:u w:val="none"/>
                <w:lang w:val="en-US" w:eastAsia="zh-CN" w:bidi="ar"/>
              </w:rPr>
              <w:t>支持JBOD、RAID 0、1、5、6、10、50，RAID阵列可即建即用</w:t>
            </w:r>
            <w:r>
              <w:rPr>
                <w:rFonts w:hint="eastAsia" w:ascii="新宋体" w:hAnsi="新宋体" w:eastAsia="新宋体" w:cs="新宋体"/>
                <w:i w:val="0"/>
                <w:iCs w:val="0"/>
                <w:color w:val="000000"/>
                <w:kern w:val="0"/>
                <w:sz w:val="20"/>
                <w:szCs w:val="20"/>
                <w:u w:val="none"/>
                <w:lang w:val="en-US" w:eastAsia="zh-CN" w:bidi="ar"/>
              </w:rPr>
              <w:br w:type="textWrapping"/>
            </w:r>
            <w:r>
              <w:rPr>
                <w:rFonts w:hint="eastAsia" w:ascii="新宋体" w:hAnsi="新宋体" w:eastAsia="新宋体" w:cs="新宋体"/>
                <w:i w:val="0"/>
                <w:iCs w:val="0"/>
                <w:color w:val="000000"/>
                <w:kern w:val="0"/>
                <w:sz w:val="20"/>
                <w:szCs w:val="20"/>
                <w:u w:val="none"/>
                <w:lang w:val="en-US" w:eastAsia="zh-CN" w:bidi="ar"/>
              </w:rPr>
              <w:t>支持SATA、SSD盘</w:t>
            </w:r>
            <w:r>
              <w:rPr>
                <w:rFonts w:hint="eastAsia" w:ascii="新宋体" w:hAnsi="新宋体" w:eastAsia="新宋体" w:cs="新宋体"/>
                <w:i w:val="0"/>
                <w:iCs w:val="0"/>
                <w:color w:val="000000"/>
                <w:kern w:val="0"/>
                <w:sz w:val="20"/>
                <w:szCs w:val="20"/>
                <w:u w:val="none"/>
                <w:lang w:val="en-US" w:eastAsia="zh-CN" w:bidi="ar"/>
              </w:rPr>
              <w:br w:type="textWrapping"/>
            </w:r>
            <w:r>
              <w:rPr>
                <w:rFonts w:hint="eastAsia" w:ascii="新宋体" w:hAnsi="新宋体" w:eastAsia="新宋体" w:cs="新宋体"/>
                <w:i w:val="0"/>
                <w:iCs w:val="0"/>
                <w:color w:val="000000"/>
                <w:kern w:val="0"/>
                <w:sz w:val="20"/>
                <w:szCs w:val="20"/>
                <w:u w:val="none"/>
                <w:lang w:val="en-US" w:eastAsia="zh-CN" w:bidi="ar"/>
              </w:rPr>
              <w:t>支持自动空白盘全局热备、专有热备</w:t>
            </w:r>
            <w:r>
              <w:rPr>
                <w:rFonts w:hint="eastAsia" w:ascii="新宋体" w:hAnsi="新宋体" w:eastAsia="新宋体" w:cs="新宋体"/>
                <w:i w:val="0"/>
                <w:iCs w:val="0"/>
                <w:color w:val="000000"/>
                <w:kern w:val="0"/>
                <w:sz w:val="20"/>
                <w:szCs w:val="20"/>
                <w:u w:val="none"/>
                <w:lang w:val="en-US" w:eastAsia="zh-CN" w:bidi="ar"/>
              </w:rPr>
              <w:br w:type="textWrapping"/>
            </w:r>
            <w:r>
              <w:rPr>
                <w:rFonts w:hint="eastAsia" w:ascii="新宋体" w:hAnsi="新宋体" w:eastAsia="新宋体" w:cs="新宋体"/>
                <w:i w:val="0"/>
                <w:iCs w:val="0"/>
                <w:color w:val="000000"/>
                <w:kern w:val="0"/>
                <w:sz w:val="20"/>
                <w:szCs w:val="20"/>
                <w:u w:val="none"/>
                <w:lang w:val="en-US" w:eastAsia="zh-CN" w:bidi="ar"/>
              </w:rPr>
              <w:t>支持RAID阵列磁盘进行定位，RAID阵列自动巡检</w:t>
            </w:r>
            <w:r>
              <w:rPr>
                <w:rFonts w:hint="eastAsia" w:ascii="新宋体" w:hAnsi="新宋体" w:eastAsia="新宋体" w:cs="新宋体"/>
                <w:i w:val="0"/>
                <w:iCs w:val="0"/>
                <w:color w:val="000000"/>
                <w:kern w:val="0"/>
                <w:sz w:val="20"/>
                <w:szCs w:val="20"/>
                <w:u w:val="none"/>
                <w:lang w:val="en-US" w:eastAsia="zh-CN" w:bidi="ar"/>
              </w:rPr>
              <w:br w:type="textWrapping"/>
            </w:r>
            <w:r>
              <w:rPr>
                <w:rFonts w:hint="eastAsia" w:ascii="新宋体" w:hAnsi="新宋体" w:eastAsia="新宋体" w:cs="新宋体"/>
                <w:i w:val="0"/>
                <w:iCs w:val="0"/>
                <w:color w:val="000000"/>
                <w:kern w:val="0"/>
                <w:sz w:val="20"/>
                <w:szCs w:val="20"/>
                <w:u w:val="none"/>
                <w:lang w:val="en-US" w:eastAsia="zh-CN" w:bidi="ar"/>
              </w:rPr>
              <w:t>支持RAID阵列重构重建、无感知重建、SMART检测预拷贝，RAID阵列可自动动态调整重建速度、重建/同步优先级</w:t>
            </w:r>
            <w:r>
              <w:rPr>
                <w:rFonts w:hint="eastAsia" w:ascii="新宋体" w:hAnsi="新宋体" w:eastAsia="新宋体" w:cs="新宋体"/>
                <w:i w:val="0"/>
                <w:iCs w:val="0"/>
                <w:color w:val="000000"/>
                <w:kern w:val="0"/>
                <w:sz w:val="20"/>
                <w:szCs w:val="20"/>
                <w:u w:val="none"/>
                <w:lang w:val="en-US" w:eastAsia="zh-CN" w:bidi="ar"/>
              </w:rPr>
              <w:br w:type="textWrapping"/>
            </w:r>
            <w:r>
              <w:rPr>
                <w:rFonts w:hint="eastAsia" w:ascii="新宋体" w:hAnsi="新宋体" w:eastAsia="新宋体" w:cs="新宋体"/>
                <w:i w:val="0"/>
                <w:iCs w:val="0"/>
                <w:color w:val="000000"/>
                <w:kern w:val="0"/>
                <w:sz w:val="20"/>
                <w:szCs w:val="20"/>
                <w:u w:val="none"/>
                <w:lang w:val="en-US" w:eastAsia="zh-CN" w:bidi="ar"/>
              </w:rPr>
              <w:t>支持RAID阵列磁盘坏块替换、多错误容忍、磁盘错误修复</w:t>
            </w:r>
            <w:r>
              <w:rPr>
                <w:rFonts w:hint="eastAsia" w:ascii="新宋体" w:hAnsi="新宋体" w:eastAsia="新宋体" w:cs="新宋体"/>
                <w:i w:val="0"/>
                <w:iCs w:val="0"/>
                <w:color w:val="000000"/>
                <w:kern w:val="0"/>
                <w:sz w:val="20"/>
                <w:szCs w:val="20"/>
                <w:u w:val="none"/>
                <w:lang w:val="en-US" w:eastAsia="zh-CN" w:bidi="ar"/>
              </w:rPr>
              <w:br w:type="textWrapping"/>
            </w:r>
            <w:r>
              <w:rPr>
                <w:rFonts w:hint="eastAsia" w:ascii="新宋体" w:hAnsi="新宋体" w:eastAsia="新宋体" w:cs="新宋体"/>
                <w:i w:val="0"/>
                <w:iCs w:val="0"/>
                <w:color w:val="000000"/>
                <w:kern w:val="0"/>
                <w:sz w:val="20"/>
                <w:szCs w:val="20"/>
                <w:u w:val="none"/>
                <w:lang w:val="en-US" w:eastAsia="zh-CN" w:bidi="ar"/>
              </w:rPr>
              <w:t>支持硬件过载保护机制</w:t>
            </w:r>
            <w:r>
              <w:rPr>
                <w:rFonts w:hint="eastAsia" w:ascii="新宋体" w:hAnsi="新宋体" w:eastAsia="新宋体" w:cs="新宋体"/>
                <w:i w:val="0"/>
                <w:iCs w:val="0"/>
                <w:color w:val="000000"/>
                <w:kern w:val="0"/>
                <w:sz w:val="20"/>
                <w:szCs w:val="20"/>
                <w:u w:val="none"/>
                <w:lang w:val="en-US" w:eastAsia="zh-CN" w:bidi="ar"/>
              </w:rPr>
              <w:br w:type="textWrapping"/>
            </w:r>
            <w:r>
              <w:rPr>
                <w:rFonts w:hint="eastAsia" w:ascii="新宋体" w:hAnsi="新宋体" w:eastAsia="新宋体" w:cs="新宋体"/>
                <w:i w:val="0"/>
                <w:iCs w:val="0"/>
                <w:color w:val="000000"/>
                <w:kern w:val="0"/>
                <w:sz w:val="20"/>
                <w:szCs w:val="20"/>
                <w:u w:val="none"/>
                <w:lang w:val="en-US" w:eastAsia="zh-CN" w:bidi="ar"/>
              </w:rPr>
              <w:t>支持风扇多级调速技术</w:t>
            </w:r>
            <w:r>
              <w:rPr>
                <w:rFonts w:hint="eastAsia" w:ascii="新宋体" w:hAnsi="新宋体" w:eastAsia="新宋体" w:cs="新宋体"/>
                <w:i w:val="0"/>
                <w:iCs w:val="0"/>
                <w:color w:val="000000"/>
                <w:kern w:val="0"/>
                <w:sz w:val="20"/>
                <w:szCs w:val="20"/>
                <w:u w:val="none"/>
                <w:lang w:val="en-US" w:eastAsia="zh-CN" w:bidi="ar"/>
              </w:rPr>
              <w:br w:type="textWrapping"/>
            </w:r>
            <w:r>
              <w:rPr>
                <w:rFonts w:hint="eastAsia" w:ascii="新宋体" w:hAnsi="新宋体" w:eastAsia="新宋体" w:cs="新宋体"/>
                <w:i w:val="0"/>
                <w:iCs w:val="0"/>
                <w:color w:val="000000"/>
                <w:kern w:val="0"/>
                <w:sz w:val="20"/>
                <w:szCs w:val="20"/>
                <w:u w:val="none"/>
                <w:lang w:val="en-US" w:eastAsia="zh-CN" w:bidi="ar"/>
              </w:rPr>
              <w:t>支持防尘、防震、防腐蚀</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 </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bidi="ar"/>
              </w:rPr>
              <w:t>云存储硬盘(18TB*2)</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bidi="ar"/>
              </w:rPr>
              <w:t>监控级SATA硬盘：18TB*2</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bidi="ar"/>
              </w:rPr>
              <w:t>电池模块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bidi="ar"/>
              </w:rPr>
              <w:t>电池模块</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bidi="ar"/>
              </w:rPr>
              <w:t>700W电源模块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bidi="ar"/>
              </w:rPr>
              <w:t>700W电源模块</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 </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线缆辅材</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含网线、水晶头、电源线、尾纤、信号线、标签、扎带等辅材</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69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四、改造前端部分</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星光级枪机</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 采用≥1/1.8″逐行扫描400万像素图像传感器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 具有≥1个RJ45接口、2路报警输入、1路报警输出，1路音频输入、1个TF卡插槽，1路音频输出，1路RS485接口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 焦距范围：4/6/8/12mm，定焦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 最低照度：彩色≤0.0005lx、黑白≤0.0001lx。</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 支持120dB光学宽动态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 支持H.265、H.264、MJPEG编码格式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 支持ONVIF、GB/T 28181、GA/T 1400等协议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 支持TF卡热插拔，最大支持≥256GB TF卡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 支持暖光补光灯，补光距离≥30m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 设备支持人脸检测抓拍，可支持不低于40张人脸并发检测，支持抓拍优选，自动筛选出抓拍质量最优的图片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 支持混行检测：支持机动车、非机动车、行人分类检测抓拍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 防护等级≥IP67，支持在不低于-30～60℃环境下正常工作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供电方式：DC12V(±25%)、POE；含抱杆支架，DC12V/25W电源适配器，托板和万向节</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星光级枪机</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 采用≥1/1.8″逐行扫描400万像素图像传感器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 具有≥1个RJ45接口、2路报警输入、1路报警输出，1路音频输入、1个TF卡插槽，1路音频输出，1路RS485接口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 焦距范围：2.8～12mm，电动变焦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 最低照度：彩色≤0.0005lx、黑白≤0.0001lx。</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 支持120dB光学宽动态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 支持H.265、H.264、MJPEG编码格式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 支持ONVIF、GB/T 28181、GA/T 1400等协议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 支持TF卡热插拔，最大支持≥256GB TF卡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 支持暖光补光灯，补光距离≥30m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 设备支持人脸检测抓拍，可支持不低于40张人脸并发检测，支持抓拍优选，自动筛选出抓拍质量最优的图片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 支持混行检测：支持机动车、非机动车、行人分类检测抓拍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 防护等级≥IP67，支持在不低于-30～60℃环境下正常工作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供电方式：DC12V(±25%)、POE；含抱杆支架，DC12V/25W电源适配器，托板和万向节</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星光级球机</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 采用≥1/1.8 ”逐行扫描400万像素CMOS图像传感器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 支持6-150mm电动变焦，不小于25倍光学变倍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 支持最低照度：彩色：≤0.001lx，黑白：≤0.0001lx</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 支持120dB光学宽动态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 支持接口：≥1个RJ45接口、≥1个BNC接口、≥2个报警输入接口、1个报警输出接口、≥1个RS485接口、≥1个音频输入接口、1个音频输出接口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6. 支持红外灯补光，红外补光灯可定时或自动开启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 内置1个SD插槽，支持SD卡热插拔，支持≥256GB SD卡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 支持人脸检测，越界检测、区域入侵、进入区域、离开区域，运动检测、遮挡检测、声音检测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 支持ONVIF、GB/T 28181、GA/T 1400等标准协议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 水平范围：360°，水平速度0.1°/s~240°/s；预置位速度≥240°/s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 垂直范围：-15°~90°，垂直速度：0.1°~160°/s；预置位速度≥200°/s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 支持不低于256个预置位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 供电方式：AC/DC24V±25%，支持过压过流保护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 功耗≤50W，，6KV防雷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15. 工作环境：–40°C ~ 65°C，≤95%RH（相对湿度，无冷凝）</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16. 防护等级不低于IP66</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含电源、球机安装支架（一个球机吊装杆或壁装杆 ），球机连接件</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配套线缆</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网线STP.CAT-5e、电源线RVV2*1.5及防护套管PVC，标签、扎带等</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五、其他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链路费</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每条每月400元，每年4800元计算</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8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IDC主机托管</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1个4U机位</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施工集成服务</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包含前端设备，平台设备，改成部分设备的运输、安装等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技术集成服务</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包含摄像机调试，一机一档数据采集，平台设备数据调测等技术服务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bl>
    <w:p>
      <w:pPr>
        <w:rPr>
          <w:rFonts w:hint="eastAsia" w:ascii="仿宋" w:hAnsi="仿宋" w:eastAsia="仿宋" w:cs="仿宋"/>
          <w:color w:val="auto"/>
          <w:highlight w:val="none"/>
          <w:lang w:val="en-US" w:eastAsia="zh-Hans"/>
        </w:rPr>
      </w:pPr>
      <w:r>
        <w:rPr>
          <w:rFonts w:hint="eastAsia" w:ascii="仿宋" w:hAnsi="仿宋" w:eastAsia="仿宋" w:cs="仿宋"/>
          <w:color w:val="auto"/>
          <w:highlight w:val="none"/>
          <w:lang w:val="en-US" w:eastAsia="zh-Hans"/>
        </w:rPr>
        <w:br w:type="page"/>
      </w:r>
    </w:p>
    <w:p>
      <w:pPr>
        <w:rPr>
          <w:rFonts w:hint="eastAsia"/>
          <w:lang w:val="en-US" w:eastAsia="zh-Hans"/>
        </w:rPr>
      </w:pPr>
    </w:p>
    <w:p>
      <w:pPr>
        <w:pStyle w:val="3"/>
        <w:bidi w:val="0"/>
        <w:jc w:val="center"/>
        <w:rPr>
          <w:rFonts w:hint="eastAsia" w:ascii="仿宋" w:hAnsi="仿宋" w:eastAsia="仿宋" w:cs="仿宋"/>
          <w:color w:val="auto"/>
          <w:highlight w:val="none"/>
          <w:lang w:val="en-US" w:eastAsia="zh-Hans"/>
        </w:rPr>
      </w:pPr>
      <w:r>
        <w:rPr>
          <w:rFonts w:hint="eastAsia" w:ascii="仿宋" w:hAnsi="仿宋" w:eastAsia="仿宋" w:cs="仿宋"/>
          <w:color w:val="auto"/>
          <w:highlight w:val="none"/>
          <w:lang w:val="en-US" w:eastAsia="zh-Hans"/>
        </w:rPr>
        <w:t>第</w:t>
      </w:r>
      <w:r>
        <w:rPr>
          <w:rFonts w:hint="eastAsia" w:ascii="仿宋" w:hAnsi="仿宋" w:eastAsia="仿宋" w:cs="仿宋"/>
          <w:color w:val="auto"/>
          <w:highlight w:val="none"/>
          <w:lang w:val="en-US" w:eastAsia="zh-CN"/>
        </w:rPr>
        <w:t>七</w:t>
      </w:r>
      <w:r>
        <w:rPr>
          <w:rFonts w:hint="eastAsia" w:ascii="仿宋" w:hAnsi="仿宋" w:eastAsia="仿宋" w:cs="仿宋"/>
          <w:color w:val="auto"/>
          <w:highlight w:val="none"/>
          <w:lang w:val="en-US" w:eastAsia="zh-Hans"/>
        </w:rPr>
        <w:t>章</w:t>
      </w:r>
      <w:r>
        <w:rPr>
          <w:rFonts w:hint="eastAsia" w:ascii="仿宋" w:hAnsi="仿宋" w:eastAsia="仿宋" w:cs="仿宋"/>
          <w:color w:val="auto"/>
          <w:highlight w:val="none"/>
          <w:lang w:eastAsia="zh-Hans"/>
        </w:rPr>
        <w:t xml:space="preserve"> </w:t>
      </w:r>
      <w:r>
        <w:rPr>
          <w:rFonts w:hint="eastAsia" w:ascii="仿宋" w:hAnsi="仿宋" w:eastAsia="仿宋" w:cs="仿宋"/>
          <w:color w:val="auto"/>
          <w:highlight w:val="none"/>
          <w:lang w:val="en-US" w:eastAsia="zh-Hans"/>
        </w:rPr>
        <w:t>投标文件主要参考格式</w:t>
      </w:r>
      <w:bookmarkEnd w:id="392"/>
    </w:p>
    <w:p>
      <w:pPr>
        <w:pageBreakBefore w:val="0"/>
        <w:kinsoku/>
        <w:wordWrap/>
        <w:bidi w:val="0"/>
        <w:adjustRightInd w:val="0"/>
        <w:snapToGrid w:val="0"/>
        <w:spacing w:line="360" w:lineRule="auto"/>
        <w:ind w:left="0" w:leftChars="0" w:right="0" w:rightChars="0"/>
        <w:jc w:val="both"/>
        <w:rPr>
          <w:rFonts w:hint="eastAsia" w:ascii="仿宋" w:hAnsi="仿宋" w:eastAsia="仿宋" w:cs="仿宋"/>
          <w:color w:val="auto"/>
          <w:sz w:val="20"/>
          <w:szCs w:val="20"/>
          <w:highlight w:val="none"/>
        </w:rPr>
      </w:pPr>
      <w:r>
        <w:rPr>
          <w:rFonts w:hint="eastAsia" w:ascii="仿宋" w:hAnsi="仿宋" w:eastAsia="仿宋" w:cs="仿宋"/>
          <w:b/>
          <w:color w:val="auto"/>
          <w:sz w:val="24"/>
          <w:szCs w:val="24"/>
          <w:highlight w:val="none"/>
        </w:rPr>
        <w:t>投标文件封面</w:t>
      </w:r>
    </w:p>
    <w:p>
      <w:pPr>
        <w:pageBreakBefore w:val="0"/>
        <w:kinsoku/>
        <w:wordWrap/>
        <w:bidi w:val="0"/>
        <w:adjustRightInd w:val="0"/>
        <w:snapToGrid w:val="0"/>
        <w:spacing w:line="360" w:lineRule="auto"/>
        <w:ind w:left="0" w:leftChars="0" w:right="0" w:rightChars="0"/>
        <w:jc w:val="center"/>
        <w:rPr>
          <w:rFonts w:hint="eastAsia" w:ascii="仿宋" w:hAnsi="仿宋" w:eastAsia="仿宋" w:cs="仿宋"/>
          <w:color w:val="auto"/>
          <w:sz w:val="20"/>
          <w:szCs w:val="20"/>
          <w:highlight w:val="none"/>
        </w:rPr>
      </w:pPr>
    </w:p>
    <w:p>
      <w:pPr>
        <w:pageBreakBefore w:val="0"/>
        <w:kinsoku/>
        <w:wordWrap/>
        <w:bidi w:val="0"/>
        <w:adjustRightInd w:val="0"/>
        <w:snapToGrid w:val="0"/>
        <w:spacing w:line="360" w:lineRule="auto"/>
        <w:ind w:left="0" w:leftChars="0" w:right="0" w:rightChars="0"/>
        <w:rPr>
          <w:rFonts w:hint="eastAsia" w:ascii="仿宋" w:hAnsi="仿宋" w:eastAsia="仿宋" w:cs="仿宋"/>
          <w:color w:val="auto"/>
          <w:sz w:val="20"/>
          <w:szCs w:val="20"/>
          <w:highlight w:val="none"/>
        </w:rPr>
      </w:pPr>
    </w:p>
    <w:p>
      <w:pPr>
        <w:pageBreakBefore w:val="0"/>
        <w:kinsoku/>
        <w:wordWrap/>
        <w:bidi w:val="0"/>
        <w:adjustRightInd w:val="0"/>
        <w:snapToGrid w:val="0"/>
        <w:spacing w:line="360" w:lineRule="auto"/>
        <w:ind w:left="0" w:leftChars="0" w:right="0" w:rightChars="0"/>
        <w:jc w:val="center"/>
        <w:rPr>
          <w:rFonts w:hint="eastAsia" w:ascii="仿宋" w:hAnsi="仿宋" w:eastAsia="仿宋" w:cs="仿宋"/>
          <w:color w:val="auto"/>
          <w:sz w:val="52"/>
          <w:szCs w:val="52"/>
          <w:highlight w:val="none"/>
          <w:lang w:eastAsia="zh-CN"/>
        </w:rPr>
      </w:pPr>
      <w:r>
        <w:rPr>
          <w:rFonts w:hint="eastAsia" w:ascii="仿宋" w:hAnsi="仿宋" w:eastAsia="仿宋" w:cs="仿宋"/>
          <w:color w:val="auto"/>
          <w:sz w:val="52"/>
          <w:szCs w:val="52"/>
          <w:highlight w:val="none"/>
          <w:lang w:eastAsia="zh-CN"/>
        </w:rPr>
        <w:t>2022年水磨沟区公共安全相关设备补点建设项目设备采购</w:t>
      </w:r>
    </w:p>
    <w:p>
      <w:pPr>
        <w:pageBreakBefore w:val="0"/>
        <w:kinsoku/>
        <w:wordWrap/>
        <w:bidi w:val="0"/>
        <w:adjustRightInd w:val="0"/>
        <w:snapToGrid w:val="0"/>
        <w:spacing w:line="360" w:lineRule="auto"/>
        <w:ind w:left="0" w:leftChars="0" w:right="0" w:rightChars="0"/>
        <w:jc w:val="center"/>
        <w:rPr>
          <w:rFonts w:hint="eastAsia" w:ascii="仿宋" w:hAnsi="仿宋" w:eastAsia="仿宋" w:cs="仿宋"/>
          <w:color w:val="auto"/>
          <w:sz w:val="84"/>
          <w:szCs w:val="84"/>
          <w:highlight w:val="none"/>
        </w:rPr>
      </w:pPr>
    </w:p>
    <w:p>
      <w:pPr>
        <w:pageBreakBefore w:val="0"/>
        <w:kinsoku/>
        <w:wordWrap/>
        <w:bidi w:val="0"/>
        <w:adjustRightInd w:val="0"/>
        <w:snapToGrid w:val="0"/>
        <w:spacing w:line="360" w:lineRule="auto"/>
        <w:ind w:left="0" w:leftChars="0" w:right="0" w:rightChars="0"/>
        <w:jc w:val="center"/>
        <w:rPr>
          <w:rFonts w:hint="eastAsia" w:ascii="仿宋" w:hAnsi="仿宋" w:eastAsia="仿宋" w:cs="仿宋"/>
          <w:color w:val="auto"/>
          <w:sz w:val="84"/>
          <w:szCs w:val="84"/>
          <w:highlight w:val="none"/>
        </w:rPr>
      </w:pPr>
      <w:bookmarkStart w:id="395" w:name="_Toc494675200_WPSOffice_Level1"/>
      <w:r>
        <w:rPr>
          <w:rFonts w:hint="eastAsia" w:ascii="仿宋" w:hAnsi="仿宋" w:eastAsia="仿宋" w:cs="仿宋"/>
          <w:color w:val="auto"/>
          <w:sz w:val="84"/>
          <w:szCs w:val="84"/>
          <w:highlight w:val="none"/>
        </w:rPr>
        <w:t>投 标 文 件</w:t>
      </w:r>
      <w:bookmarkEnd w:id="395"/>
    </w:p>
    <w:p>
      <w:pPr>
        <w:pStyle w:val="7"/>
        <w:jc w:val="center"/>
        <w:rPr>
          <w:rFonts w:hint="eastAsia" w:ascii="仿宋" w:hAnsi="仿宋" w:eastAsia="仿宋" w:cs="仿宋"/>
          <w:color w:val="auto"/>
          <w:highlight w:val="none"/>
        </w:rPr>
      </w:pPr>
      <w:bookmarkStart w:id="396" w:name="_Toc1096888863_WPSOffice_Level1"/>
      <w:r>
        <w:rPr>
          <w:rFonts w:hint="eastAsia" w:ascii="仿宋" w:hAnsi="仿宋" w:eastAsia="仿宋" w:cs="仿宋"/>
          <w:color w:val="auto"/>
          <w:sz w:val="44"/>
          <w:szCs w:val="44"/>
          <w:highlight w:val="none"/>
        </w:rPr>
        <w:t>（正本/副本）</w:t>
      </w:r>
      <w:bookmarkEnd w:id="396"/>
    </w:p>
    <w:p>
      <w:pPr>
        <w:pageBreakBefore w:val="0"/>
        <w:kinsoku/>
        <w:wordWrap/>
        <w:bidi w:val="0"/>
        <w:adjustRightInd w:val="0"/>
        <w:snapToGrid w:val="0"/>
        <w:spacing w:line="360" w:lineRule="auto"/>
        <w:ind w:left="0" w:leftChars="0" w:right="0" w:rightChars="0"/>
        <w:rPr>
          <w:rFonts w:hint="eastAsia" w:ascii="仿宋" w:hAnsi="仿宋" w:eastAsia="仿宋" w:cs="仿宋"/>
          <w:color w:val="auto"/>
          <w:sz w:val="28"/>
          <w:szCs w:val="28"/>
          <w:highlight w:val="none"/>
        </w:rPr>
      </w:pPr>
    </w:p>
    <w:p>
      <w:pPr>
        <w:pageBreakBefore w:val="0"/>
        <w:kinsoku/>
        <w:wordWrap/>
        <w:bidi w:val="0"/>
        <w:adjustRightInd w:val="0"/>
        <w:snapToGrid w:val="0"/>
        <w:spacing w:line="360" w:lineRule="auto"/>
        <w:ind w:left="0" w:leftChars="0" w:right="0" w:rightChars="0"/>
        <w:rPr>
          <w:rFonts w:hint="eastAsia" w:ascii="仿宋" w:hAnsi="仿宋" w:eastAsia="仿宋" w:cs="仿宋"/>
          <w:color w:val="auto"/>
          <w:sz w:val="28"/>
          <w:szCs w:val="28"/>
          <w:highlight w:val="none"/>
        </w:rPr>
      </w:pPr>
    </w:p>
    <w:p>
      <w:pPr>
        <w:pageBreakBefore w:val="0"/>
        <w:kinsoku/>
        <w:wordWrap/>
        <w:bidi w:val="0"/>
        <w:adjustRightInd w:val="0"/>
        <w:snapToGrid w:val="0"/>
        <w:spacing w:line="360" w:lineRule="auto"/>
        <w:ind w:left="0" w:leftChars="0" w:right="0" w:rightChars="0"/>
        <w:rPr>
          <w:rFonts w:hint="eastAsia" w:ascii="仿宋" w:hAnsi="仿宋" w:eastAsia="仿宋" w:cs="仿宋"/>
          <w:color w:val="auto"/>
          <w:sz w:val="28"/>
          <w:szCs w:val="28"/>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textAlignment w:val="auto"/>
        <w:outlineLvl w:val="9"/>
        <w:rPr>
          <w:rFonts w:hint="eastAsia" w:ascii="仿宋" w:hAnsi="仿宋" w:eastAsia="仿宋" w:cs="仿宋"/>
          <w:color w:val="auto"/>
          <w:sz w:val="28"/>
          <w:szCs w:val="28"/>
          <w:highlight w:val="none"/>
        </w:rPr>
      </w:pPr>
      <w:bookmarkStart w:id="397" w:name="_Toc1411494593_WPSOffice_Level1"/>
      <w:r>
        <w:rPr>
          <w:rFonts w:hint="eastAsia" w:ascii="仿宋" w:hAnsi="仿宋" w:eastAsia="仿宋" w:cs="仿宋"/>
          <w:color w:val="auto"/>
          <w:sz w:val="28"/>
          <w:szCs w:val="28"/>
          <w:highlight w:val="none"/>
        </w:rPr>
        <w:t>采购人：</w:t>
      </w:r>
      <w:bookmarkEnd w:id="397"/>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textAlignment w:val="auto"/>
        <w:outlineLvl w:val="9"/>
        <w:rPr>
          <w:rFonts w:hint="eastAsia" w:ascii="仿宋" w:hAnsi="仿宋" w:eastAsia="仿宋" w:cs="仿宋"/>
          <w:color w:val="auto"/>
          <w:sz w:val="28"/>
          <w:szCs w:val="28"/>
          <w:highlight w:val="none"/>
        </w:rPr>
      </w:pPr>
      <w:bookmarkStart w:id="398" w:name="_Toc1885259789_WPSOffice_Level1"/>
      <w:r>
        <w:rPr>
          <w:rFonts w:hint="eastAsia" w:ascii="仿宋" w:hAnsi="仿宋" w:eastAsia="仿宋" w:cs="仿宋"/>
          <w:color w:val="auto"/>
          <w:sz w:val="28"/>
          <w:szCs w:val="28"/>
          <w:highlight w:val="none"/>
        </w:rPr>
        <w:t>项目名称：</w:t>
      </w:r>
      <w:bookmarkEnd w:id="398"/>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textAlignment w:val="auto"/>
        <w:outlineLvl w:val="9"/>
        <w:rPr>
          <w:rFonts w:hint="eastAsia" w:ascii="仿宋" w:hAnsi="仿宋" w:eastAsia="仿宋" w:cs="仿宋"/>
          <w:color w:val="auto"/>
          <w:sz w:val="28"/>
          <w:szCs w:val="28"/>
          <w:highlight w:val="none"/>
        </w:rPr>
      </w:pPr>
      <w:bookmarkStart w:id="399" w:name="_Toc1587545885_WPSOffice_Level1"/>
      <w:r>
        <w:rPr>
          <w:rFonts w:hint="eastAsia" w:ascii="仿宋" w:hAnsi="仿宋" w:eastAsia="仿宋" w:cs="仿宋"/>
          <w:color w:val="auto"/>
          <w:sz w:val="28"/>
          <w:szCs w:val="28"/>
          <w:highlight w:val="none"/>
        </w:rPr>
        <w:t>项目编号：</w:t>
      </w:r>
      <w:bookmarkEnd w:id="399"/>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textAlignment w:val="auto"/>
        <w:outlineLvl w:val="9"/>
        <w:rPr>
          <w:rFonts w:hint="eastAsia" w:ascii="仿宋" w:hAnsi="仿宋" w:eastAsia="仿宋" w:cs="仿宋"/>
          <w:color w:val="auto"/>
          <w:sz w:val="28"/>
          <w:szCs w:val="28"/>
          <w:highlight w:val="none"/>
        </w:rPr>
      </w:pPr>
      <w:bookmarkStart w:id="400" w:name="_Toc1546858867_WPSOffice_Level1"/>
      <w:r>
        <w:rPr>
          <w:rFonts w:hint="eastAsia" w:ascii="仿宋" w:hAnsi="仿宋" w:eastAsia="仿宋" w:cs="仿宋"/>
          <w:color w:val="auto"/>
          <w:sz w:val="28"/>
          <w:szCs w:val="28"/>
          <w:highlight w:val="none"/>
        </w:rPr>
        <w:t>投标单位名称（盖章）：</w:t>
      </w:r>
      <w:bookmarkEnd w:id="400"/>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textAlignment w:val="auto"/>
        <w:outlineLvl w:val="9"/>
        <w:rPr>
          <w:rFonts w:hint="eastAsia" w:ascii="仿宋" w:hAnsi="仿宋" w:eastAsia="仿宋" w:cs="仿宋"/>
          <w:color w:val="auto"/>
          <w:sz w:val="28"/>
          <w:szCs w:val="28"/>
          <w:highlight w:val="none"/>
        </w:rPr>
      </w:pPr>
      <w:bookmarkStart w:id="401" w:name="_Toc619947087_WPSOffice_Level1"/>
      <w:r>
        <w:rPr>
          <w:rFonts w:hint="eastAsia" w:ascii="仿宋" w:hAnsi="仿宋" w:eastAsia="仿宋" w:cs="仿宋"/>
          <w:color w:val="auto"/>
          <w:sz w:val="28"/>
          <w:szCs w:val="28"/>
          <w:highlight w:val="none"/>
        </w:rPr>
        <w:t>投标单位联系人（签字或盖章）：</w:t>
      </w:r>
      <w:bookmarkEnd w:id="401"/>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textAlignment w:val="auto"/>
        <w:outlineLvl w:val="9"/>
        <w:rPr>
          <w:rFonts w:hint="eastAsia" w:ascii="仿宋" w:hAnsi="仿宋" w:eastAsia="仿宋" w:cs="仿宋"/>
          <w:color w:val="auto"/>
          <w:sz w:val="28"/>
          <w:szCs w:val="28"/>
          <w:highlight w:val="none"/>
        </w:rPr>
      </w:pPr>
      <w:bookmarkStart w:id="402" w:name="_Toc2007519612_WPSOffice_Level1"/>
      <w:r>
        <w:rPr>
          <w:rFonts w:hint="eastAsia" w:ascii="仿宋" w:hAnsi="仿宋" w:eastAsia="仿宋" w:cs="仿宋"/>
          <w:color w:val="auto"/>
          <w:sz w:val="28"/>
          <w:szCs w:val="28"/>
          <w:highlight w:val="none"/>
        </w:rPr>
        <w:t>投标单位联系电话：</w:t>
      </w:r>
      <w:bookmarkEnd w:id="402"/>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jc w:val="center"/>
        <w:textAlignment w:val="auto"/>
        <w:outlineLvl w:val="9"/>
        <w:rPr>
          <w:rFonts w:hint="eastAsia" w:ascii="仿宋" w:hAnsi="仿宋" w:eastAsia="仿宋" w:cs="仿宋"/>
          <w:b/>
          <w:bCs/>
          <w:color w:val="auto"/>
          <w:sz w:val="24"/>
          <w:szCs w:val="24"/>
          <w:highlight w:val="none"/>
        </w:rPr>
      </w:pPr>
      <w:bookmarkStart w:id="403" w:name="_Toc1266540867_WPSOffice_Level1"/>
      <w:r>
        <w:rPr>
          <w:rFonts w:hint="eastAsia" w:ascii="仿宋" w:hAnsi="仿宋" w:eastAsia="仿宋" w:cs="仿宋"/>
          <w:color w:val="auto"/>
          <w:sz w:val="28"/>
          <w:szCs w:val="28"/>
          <w:highlight w:val="none"/>
        </w:rPr>
        <w:t>202</w:t>
      </w: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lang w:val="en-US" w:eastAsia="zh-Hans"/>
        </w:rPr>
        <w:t>年</w:t>
      </w:r>
      <w:r>
        <w:rPr>
          <w:rFonts w:hint="eastAsia" w:ascii="仿宋" w:hAnsi="仿宋" w:eastAsia="仿宋" w:cs="仿宋"/>
          <w:color w:val="auto"/>
          <w:sz w:val="28"/>
          <w:szCs w:val="28"/>
          <w:highlight w:val="none"/>
          <w:lang w:eastAsia="zh-Hans"/>
        </w:rPr>
        <w:t xml:space="preserve">  </w:t>
      </w:r>
      <w:r>
        <w:rPr>
          <w:rFonts w:hint="eastAsia" w:ascii="仿宋" w:hAnsi="仿宋" w:eastAsia="仿宋" w:cs="仿宋"/>
          <w:color w:val="auto"/>
          <w:sz w:val="28"/>
          <w:szCs w:val="28"/>
          <w:highlight w:val="none"/>
          <w:lang w:val="en-US" w:eastAsia="zh-Hans"/>
        </w:rPr>
        <w:t>月</w:t>
      </w:r>
      <w:r>
        <w:rPr>
          <w:rFonts w:hint="eastAsia" w:ascii="仿宋" w:hAnsi="仿宋" w:eastAsia="仿宋" w:cs="仿宋"/>
          <w:color w:val="auto"/>
          <w:sz w:val="28"/>
          <w:szCs w:val="28"/>
          <w:highlight w:val="none"/>
          <w:lang w:eastAsia="zh-Hans"/>
        </w:rPr>
        <w:t xml:space="preserve">  </w:t>
      </w:r>
      <w:r>
        <w:rPr>
          <w:rFonts w:hint="eastAsia" w:ascii="仿宋" w:hAnsi="仿宋" w:eastAsia="仿宋" w:cs="仿宋"/>
          <w:color w:val="auto"/>
          <w:sz w:val="28"/>
          <w:szCs w:val="28"/>
          <w:highlight w:val="none"/>
          <w:lang w:val="en-US" w:eastAsia="zh-Hans"/>
        </w:rPr>
        <w:t>日</w:t>
      </w:r>
      <w:r>
        <w:rPr>
          <w:rFonts w:hint="eastAsia" w:ascii="仿宋" w:hAnsi="仿宋" w:eastAsia="仿宋" w:cs="仿宋"/>
          <w:color w:val="auto"/>
          <w:sz w:val="28"/>
          <w:szCs w:val="28"/>
          <w:highlight w:val="none"/>
        </w:rPr>
        <w:br w:type="page"/>
      </w:r>
      <w:bookmarkStart w:id="404" w:name="_Toc152042576"/>
      <w:bookmarkStart w:id="405" w:name="_Toc246997098"/>
      <w:bookmarkStart w:id="406" w:name="_Toc247085873"/>
      <w:bookmarkStart w:id="407" w:name="_Toc144974856"/>
      <w:bookmarkStart w:id="408" w:name="_Toc152045787"/>
      <w:bookmarkStart w:id="409" w:name="_Toc246996355"/>
      <w:bookmarkStart w:id="410" w:name="_Toc179632807"/>
      <w:bookmarkStart w:id="411" w:name="_Toc514837978"/>
      <w:r>
        <w:rPr>
          <w:rFonts w:hint="eastAsia" w:ascii="仿宋" w:hAnsi="仿宋" w:eastAsia="仿宋" w:cs="仿宋"/>
          <w:b/>
          <w:bCs/>
          <w:color w:val="auto"/>
          <w:sz w:val="24"/>
          <w:szCs w:val="24"/>
          <w:highlight w:val="none"/>
        </w:rPr>
        <w:t>目 录</w:t>
      </w:r>
      <w:bookmarkEnd w:id="403"/>
      <w:bookmarkEnd w:id="404"/>
      <w:bookmarkEnd w:id="405"/>
      <w:bookmarkEnd w:id="406"/>
      <w:bookmarkEnd w:id="407"/>
      <w:bookmarkEnd w:id="408"/>
      <w:bookmarkEnd w:id="409"/>
      <w:bookmarkEnd w:id="410"/>
      <w:bookmarkEnd w:id="411"/>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jc w:val="both"/>
        <w:textAlignment w:val="auto"/>
        <w:outlineLvl w:val="9"/>
        <w:rPr>
          <w:rFonts w:hint="default"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 xml:space="preserve">        一、 商务部分</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400" w:right="0" w:rightChars="0"/>
        <w:jc w:val="both"/>
        <w:textAlignment w:val="auto"/>
        <w:outlineLvl w:val="9"/>
        <w:rPr>
          <w:rFonts w:hint="eastAsia" w:ascii="仿宋" w:hAnsi="仿宋" w:eastAsia="仿宋" w:cs="仿宋"/>
          <w:color w:val="auto"/>
          <w:sz w:val="24"/>
          <w:szCs w:val="24"/>
          <w:highlight w:val="none"/>
          <w:lang w:val="en-US" w:eastAsia="zh-Hans"/>
        </w:rPr>
      </w:pPr>
      <w:bookmarkStart w:id="412" w:name="_Toc894442605_WPSOffice_Level1"/>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投标函</w:t>
      </w:r>
      <w:bookmarkEnd w:id="412"/>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400" w:right="0" w:rightChars="0"/>
        <w:jc w:val="both"/>
        <w:textAlignment w:val="auto"/>
        <w:outlineLvl w:val="9"/>
        <w:rPr>
          <w:rFonts w:hint="eastAsia" w:ascii="仿宋" w:hAnsi="仿宋" w:eastAsia="仿宋" w:cs="仿宋"/>
          <w:color w:val="auto"/>
          <w:sz w:val="24"/>
          <w:szCs w:val="24"/>
          <w:highlight w:val="none"/>
          <w:lang w:val="en-US" w:eastAsia="zh-Hans"/>
        </w:rPr>
      </w:pPr>
      <w:bookmarkStart w:id="413" w:name="_Toc511333235_WPSOffice_Level1"/>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val="en-US" w:eastAsia="zh-Hans"/>
        </w:rPr>
        <w:t>开标一览表</w:t>
      </w:r>
      <w:bookmarkEnd w:id="413"/>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400" w:right="0" w:rightChars="0"/>
        <w:jc w:val="both"/>
        <w:textAlignment w:val="auto"/>
        <w:outlineLvl w:val="9"/>
        <w:rPr>
          <w:rFonts w:hint="eastAsia" w:ascii="仿宋" w:hAnsi="仿宋" w:eastAsia="仿宋" w:cs="仿宋"/>
          <w:color w:val="auto"/>
          <w:sz w:val="24"/>
          <w:szCs w:val="24"/>
          <w:highlight w:val="none"/>
          <w:lang w:val="en-US" w:eastAsia="zh-Hans"/>
        </w:rPr>
      </w:pPr>
      <w:bookmarkStart w:id="414" w:name="_Toc1895608998_WPSOffice_Level1"/>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分项报价表</w:t>
      </w:r>
      <w:bookmarkEnd w:id="414"/>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400" w:right="0" w:rightChars="0"/>
        <w:jc w:val="both"/>
        <w:textAlignment w:val="auto"/>
        <w:outlineLvl w:val="9"/>
        <w:rPr>
          <w:rFonts w:hint="eastAsia" w:ascii="仿宋" w:hAnsi="仿宋" w:eastAsia="仿宋" w:cs="仿宋"/>
          <w:color w:val="auto"/>
          <w:sz w:val="24"/>
          <w:szCs w:val="24"/>
          <w:highlight w:val="none"/>
        </w:rPr>
      </w:pPr>
      <w:bookmarkStart w:id="415" w:name="_Toc1580526141_WPSOffice_Level1"/>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法定代表人身份证明（适用于无委托代理人的情况）</w:t>
      </w:r>
      <w:bookmarkEnd w:id="415"/>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400" w:right="0" w:rightChars="0"/>
        <w:jc w:val="both"/>
        <w:textAlignment w:val="auto"/>
        <w:outlineLvl w:val="9"/>
        <w:rPr>
          <w:rFonts w:hint="eastAsia" w:ascii="仿宋" w:hAnsi="仿宋" w:eastAsia="仿宋" w:cs="仿宋"/>
          <w:color w:val="auto"/>
          <w:sz w:val="24"/>
          <w:szCs w:val="24"/>
          <w:highlight w:val="none"/>
        </w:rPr>
      </w:pPr>
      <w:bookmarkStart w:id="416" w:name="_Toc1677622044_WPSOffice_Level1"/>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授权委托书（适用于有委托代理人的情况）</w:t>
      </w:r>
      <w:bookmarkEnd w:id="416"/>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400" w:right="0" w:rightChars="0"/>
        <w:jc w:val="both"/>
        <w:textAlignment w:val="auto"/>
        <w:outlineLvl w:val="9"/>
        <w:rPr>
          <w:rFonts w:hint="eastAsia" w:ascii="仿宋" w:hAnsi="仿宋" w:eastAsia="仿宋" w:cs="仿宋"/>
          <w:color w:val="auto"/>
          <w:sz w:val="24"/>
          <w:szCs w:val="24"/>
          <w:highlight w:val="none"/>
          <w:lang w:val="en-US" w:eastAsia="zh-Hans"/>
        </w:rPr>
      </w:pPr>
      <w:bookmarkStart w:id="417" w:name="_Toc1480892045_WPSOffice_Level1"/>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投标保证金</w:t>
      </w:r>
      <w:r>
        <w:rPr>
          <w:rFonts w:hint="eastAsia" w:ascii="仿宋" w:hAnsi="仿宋" w:eastAsia="仿宋" w:cs="仿宋"/>
          <w:color w:val="auto"/>
          <w:sz w:val="24"/>
          <w:szCs w:val="24"/>
          <w:highlight w:val="none"/>
          <w:lang w:val="en-US" w:eastAsia="zh-Hans"/>
        </w:rPr>
        <w:t>缴纳凭证</w:t>
      </w:r>
      <w:bookmarkEnd w:id="417"/>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400" w:right="0" w:rightChars="0"/>
        <w:jc w:val="both"/>
        <w:textAlignment w:val="auto"/>
        <w:outlineLvl w:val="9"/>
        <w:rPr>
          <w:rFonts w:hint="eastAsia" w:ascii="仿宋" w:hAnsi="仿宋" w:eastAsia="仿宋" w:cs="仿宋"/>
          <w:color w:val="auto"/>
          <w:sz w:val="24"/>
          <w:szCs w:val="24"/>
          <w:highlight w:val="none"/>
        </w:rPr>
      </w:pPr>
      <w:bookmarkStart w:id="418" w:name="_Toc17131585_WPSOffice_Level1"/>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商务</w:t>
      </w:r>
      <w:r>
        <w:rPr>
          <w:rFonts w:hint="eastAsia" w:ascii="仿宋" w:hAnsi="仿宋" w:eastAsia="仿宋" w:cs="仿宋"/>
          <w:color w:val="auto"/>
          <w:sz w:val="24"/>
          <w:szCs w:val="24"/>
          <w:highlight w:val="none"/>
          <w:lang w:val="en-US" w:eastAsia="zh-Hans"/>
        </w:rPr>
        <w:t>偏离表</w:t>
      </w:r>
      <w:bookmarkEnd w:id="418"/>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400" w:right="0" w:rightChars="0"/>
        <w:jc w:val="both"/>
        <w:textAlignment w:val="auto"/>
        <w:outlineLvl w:val="9"/>
        <w:rPr>
          <w:rFonts w:hint="eastAsia" w:ascii="仿宋" w:hAnsi="仿宋" w:eastAsia="仿宋" w:cs="仿宋"/>
          <w:color w:val="auto"/>
          <w:sz w:val="24"/>
          <w:szCs w:val="24"/>
          <w:highlight w:val="none"/>
        </w:rPr>
      </w:pPr>
      <w:bookmarkStart w:id="419" w:name="_Toc1714307515_WPSOffice_Level1"/>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资格审查资料</w:t>
      </w:r>
      <w:bookmarkEnd w:id="419"/>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400" w:right="0" w:rightChars="0"/>
        <w:jc w:val="both"/>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（9）近三年完成的类似项目业绩</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400" w:right="0" w:rightChars="0"/>
        <w:jc w:val="both"/>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（10）人员配备情况</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400" w:right="0" w:rightChars="0"/>
        <w:jc w:val="both"/>
        <w:textAlignment w:val="auto"/>
        <w:outlineLvl w:val="9"/>
        <w:rPr>
          <w:rFonts w:hint="eastAsia" w:ascii="仿宋" w:hAnsi="仿宋" w:eastAsia="仿宋" w:cs="仿宋"/>
          <w:color w:val="auto"/>
          <w:sz w:val="24"/>
          <w:szCs w:val="24"/>
          <w:highlight w:val="none"/>
          <w:lang w:val="en-US" w:eastAsia="zh-Hans"/>
        </w:rPr>
      </w:pPr>
      <w:r>
        <w:rPr>
          <w:rFonts w:hint="eastAsia" w:ascii="仿宋" w:hAnsi="仿宋" w:eastAsia="仿宋" w:cs="仿宋"/>
          <w:color w:val="auto"/>
          <w:sz w:val="24"/>
          <w:szCs w:val="24"/>
          <w:highlight w:val="none"/>
          <w:lang w:val="en-US" w:eastAsia="zh-CN"/>
        </w:rPr>
        <w:t>（11）</w:t>
      </w:r>
      <w:r>
        <w:rPr>
          <w:rFonts w:hint="eastAsia" w:ascii="仿宋" w:hAnsi="仿宋" w:eastAsia="仿宋" w:cs="仿宋"/>
          <w:color w:val="auto"/>
          <w:sz w:val="24"/>
          <w:szCs w:val="24"/>
          <w:highlight w:val="none"/>
          <w:lang w:val="en-US" w:eastAsia="zh-Hans"/>
        </w:rPr>
        <w:t>技术培训方案</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400" w:right="0" w:rightChars="0"/>
        <w:jc w:val="both"/>
        <w:textAlignment w:val="auto"/>
        <w:outlineLvl w:val="9"/>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（12）</w:t>
      </w:r>
      <w:r>
        <w:rPr>
          <w:rFonts w:hint="eastAsia" w:ascii="仿宋" w:hAnsi="仿宋" w:eastAsia="仿宋" w:cs="仿宋"/>
          <w:color w:val="auto"/>
          <w:sz w:val="24"/>
          <w:szCs w:val="24"/>
          <w:highlight w:val="none"/>
          <w:lang w:val="en-US" w:eastAsia="zh-Hans"/>
        </w:rPr>
        <w:t>售后服务及质量保证方案</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400" w:right="0" w:rightChars="0"/>
        <w:jc w:val="both"/>
        <w:textAlignment w:val="auto"/>
        <w:outlineLvl w:val="9"/>
        <w:rPr>
          <w:rFonts w:hint="eastAsia" w:ascii="仿宋" w:hAnsi="仿宋" w:eastAsia="仿宋" w:cs="仿宋"/>
          <w:color w:val="auto"/>
          <w:sz w:val="24"/>
          <w:szCs w:val="24"/>
          <w:highlight w:val="none"/>
        </w:rPr>
      </w:pPr>
      <w:bookmarkStart w:id="420" w:name="_Toc1546849189_WPSOffice_Level1"/>
      <w:r>
        <w:rPr>
          <w:rFonts w:hint="eastAsia" w:ascii="仿宋" w:hAnsi="仿宋" w:eastAsia="仿宋" w:cs="仿宋"/>
          <w:color w:val="auto"/>
          <w:sz w:val="24"/>
          <w:szCs w:val="24"/>
          <w:highlight w:val="none"/>
          <w:lang w:val="en-US" w:eastAsia="zh-CN"/>
        </w:rPr>
        <w:t>二、</w:t>
      </w:r>
      <w:r>
        <w:rPr>
          <w:rFonts w:hint="eastAsia" w:ascii="仿宋" w:hAnsi="仿宋" w:eastAsia="仿宋" w:cs="仿宋"/>
          <w:color w:val="auto"/>
          <w:sz w:val="24"/>
          <w:szCs w:val="24"/>
          <w:highlight w:val="none"/>
          <w:lang w:val="en-US" w:eastAsia="zh-Hans"/>
        </w:rPr>
        <w:t>技术部分</w:t>
      </w:r>
      <w:bookmarkEnd w:id="420"/>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right="0" w:rightChars="0" w:firstLine="960" w:firstLineChars="400"/>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val="en-US" w:eastAsia="zh-Hans"/>
        </w:rPr>
        <w:t>规格功能</w:t>
      </w:r>
      <w:r>
        <w:rPr>
          <w:rFonts w:hint="eastAsia" w:ascii="仿宋" w:hAnsi="仿宋" w:eastAsia="仿宋" w:cs="仿宋"/>
          <w:color w:val="auto"/>
          <w:sz w:val="24"/>
          <w:szCs w:val="24"/>
          <w:highlight w:val="none"/>
          <w:lang w:eastAsia="zh-Hans"/>
        </w:rPr>
        <w:t>、</w:t>
      </w:r>
      <w:r>
        <w:rPr>
          <w:rFonts w:hint="eastAsia" w:ascii="仿宋" w:hAnsi="仿宋" w:eastAsia="仿宋" w:cs="仿宋"/>
          <w:color w:val="auto"/>
          <w:sz w:val="24"/>
          <w:szCs w:val="24"/>
          <w:highlight w:val="none"/>
        </w:rPr>
        <w:t>技术</w:t>
      </w:r>
      <w:r>
        <w:rPr>
          <w:rFonts w:hint="eastAsia" w:ascii="仿宋" w:hAnsi="仿宋" w:eastAsia="仿宋" w:cs="仿宋"/>
          <w:color w:val="auto"/>
          <w:sz w:val="24"/>
          <w:szCs w:val="24"/>
          <w:highlight w:val="none"/>
          <w:lang w:val="en-US" w:eastAsia="zh-Hans"/>
        </w:rPr>
        <w:t>参数偏离</w:t>
      </w:r>
      <w:r>
        <w:rPr>
          <w:rFonts w:hint="eastAsia" w:ascii="仿宋" w:hAnsi="仿宋" w:eastAsia="仿宋" w:cs="仿宋"/>
          <w:color w:val="auto"/>
          <w:sz w:val="24"/>
          <w:szCs w:val="24"/>
          <w:highlight w:val="none"/>
        </w:rPr>
        <w:t>表</w:t>
      </w:r>
    </w:p>
    <w:p>
      <w:pPr>
        <w:pStyle w:val="4"/>
        <w:pageBreakBefore w:val="0"/>
        <w:numPr>
          <w:ilvl w:val="0"/>
          <w:numId w:val="0"/>
        </w:numPr>
        <w:kinsoku/>
        <w:wordWrap/>
        <w:bidi w:val="0"/>
        <w:adjustRightInd w:val="0"/>
        <w:snapToGrid w:val="0"/>
        <w:spacing w:before="0" w:beforeLines="0" w:after="0" w:afterLines="0" w:line="360" w:lineRule="auto"/>
        <w:ind w:right="0" w:rightChars="0" w:firstLine="960" w:firstLineChars="400"/>
        <w:jc w:val="both"/>
        <w:rPr>
          <w:rFonts w:hint="eastAsia" w:ascii="仿宋" w:hAnsi="仿宋" w:eastAsia="仿宋" w:cs="仿宋"/>
          <w:b w:val="0"/>
          <w:bCs w:val="0"/>
          <w:color w:val="auto"/>
          <w:kern w:val="2"/>
          <w:sz w:val="24"/>
          <w:szCs w:val="24"/>
          <w:highlight w:val="none"/>
          <w:lang w:val="en-US" w:eastAsia="zh-Hans" w:bidi="ar-SA"/>
        </w:rPr>
      </w:pPr>
      <w:r>
        <w:rPr>
          <w:rFonts w:hint="eastAsia" w:ascii="仿宋" w:hAnsi="仿宋" w:eastAsia="仿宋" w:cs="仿宋"/>
          <w:b w:val="0"/>
          <w:bCs w:val="0"/>
          <w:color w:val="auto"/>
          <w:kern w:val="2"/>
          <w:sz w:val="24"/>
          <w:szCs w:val="24"/>
          <w:highlight w:val="none"/>
          <w:lang w:val="en-US" w:eastAsia="zh-CN" w:bidi="ar-SA"/>
        </w:rPr>
        <w:t>（2）</w:t>
      </w:r>
      <w:r>
        <w:rPr>
          <w:rFonts w:hint="eastAsia" w:ascii="仿宋" w:hAnsi="仿宋" w:eastAsia="仿宋" w:cs="仿宋"/>
          <w:b w:val="0"/>
          <w:bCs w:val="0"/>
          <w:color w:val="auto"/>
          <w:kern w:val="2"/>
          <w:sz w:val="24"/>
          <w:szCs w:val="24"/>
          <w:highlight w:val="none"/>
          <w:lang w:val="en-US" w:eastAsia="zh-Hans" w:bidi="ar-SA"/>
        </w:rPr>
        <w:t>整体方案</w:t>
      </w:r>
    </w:p>
    <w:p>
      <w:pPr>
        <w:pStyle w:val="4"/>
        <w:pageBreakBefore w:val="0"/>
        <w:numPr>
          <w:ilvl w:val="0"/>
          <w:numId w:val="0"/>
        </w:numPr>
        <w:kinsoku/>
        <w:wordWrap/>
        <w:bidi w:val="0"/>
        <w:adjustRightInd w:val="0"/>
        <w:snapToGrid w:val="0"/>
        <w:spacing w:before="0" w:beforeLines="0" w:after="0" w:afterLines="0" w:line="360" w:lineRule="auto"/>
        <w:ind w:right="0" w:rightChars="0" w:firstLine="960" w:firstLineChars="400"/>
        <w:jc w:val="both"/>
        <w:rPr>
          <w:rFonts w:hint="eastAsia" w:ascii="仿宋" w:hAnsi="仿宋" w:eastAsia="仿宋" w:cs="仿宋"/>
          <w:b w:val="0"/>
          <w:bCs w:val="0"/>
          <w:color w:val="auto"/>
          <w:kern w:val="2"/>
          <w:sz w:val="24"/>
          <w:szCs w:val="24"/>
          <w:highlight w:val="none"/>
          <w:lang w:val="en-US" w:eastAsia="zh-Hans" w:bidi="ar-SA"/>
        </w:rPr>
      </w:pPr>
      <w:r>
        <w:rPr>
          <w:rFonts w:hint="eastAsia" w:ascii="仿宋" w:hAnsi="仿宋" w:eastAsia="仿宋" w:cs="仿宋"/>
          <w:b w:val="0"/>
          <w:bCs w:val="0"/>
          <w:color w:val="auto"/>
          <w:kern w:val="2"/>
          <w:sz w:val="24"/>
          <w:szCs w:val="24"/>
          <w:highlight w:val="none"/>
          <w:lang w:val="en-US" w:eastAsia="zh-CN" w:bidi="ar-SA"/>
        </w:rPr>
        <w:t>（3）</w:t>
      </w:r>
      <w:r>
        <w:rPr>
          <w:rFonts w:hint="eastAsia" w:ascii="仿宋" w:hAnsi="仿宋" w:eastAsia="仿宋" w:cs="仿宋"/>
          <w:b w:val="0"/>
          <w:bCs w:val="0"/>
          <w:color w:val="auto"/>
          <w:kern w:val="2"/>
          <w:sz w:val="24"/>
          <w:szCs w:val="24"/>
          <w:highlight w:val="none"/>
          <w:lang w:val="en-US" w:eastAsia="zh-Hans" w:bidi="ar-SA"/>
        </w:rPr>
        <w:t>运输方案</w:t>
      </w:r>
    </w:p>
    <w:p>
      <w:pPr>
        <w:pStyle w:val="4"/>
        <w:pageBreakBefore w:val="0"/>
        <w:numPr>
          <w:ilvl w:val="0"/>
          <w:numId w:val="0"/>
        </w:numPr>
        <w:kinsoku/>
        <w:wordWrap/>
        <w:bidi w:val="0"/>
        <w:adjustRightInd w:val="0"/>
        <w:snapToGrid w:val="0"/>
        <w:spacing w:before="0" w:beforeLines="0" w:after="0" w:afterLines="0" w:line="360" w:lineRule="auto"/>
        <w:ind w:right="0" w:rightChars="0" w:firstLine="960" w:firstLineChars="400"/>
        <w:jc w:val="both"/>
        <w:rPr>
          <w:rFonts w:hint="eastAsia" w:ascii="仿宋" w:hAnsi="仿宋" w:eastAsia="仿宋" w:cs="仿宋"/>
          <w:b w:val="0"/>
          <w:bCs w:val="0"/>
          <w:color w:val="auto"/>
          <w:kern w:val="2"/>
          <w:sz w:val="24"/>
          <w:szCs w:val="24"/>
          <w:highlight w:val="none"/>
          <w:lang w:val="en-US" w:eastAsia="zh-Hans" w:bidi="ar-SA"/>
        </w:rPr>
      </w:pPr>
      <w:r>
        <w:rPr>
          <w:rFonts w:hint="eastAsia" w:ascii="仿宋" w:hAnsi="仿宋" w:eastAsia="仿宋" w:cs="仿宋"/>
          <w:b w:val="0"/>
          <w:bCs w:val="0"/>
          <w:color w:val="auto"/>
          <w:kern w:val="2"/>
          <w:sz w:val="24"/>
          <w:szCs w:val="24"/>
          <w:highlight w:val="none"/>
          <w:lang w:val="en-US" w:eastAsia="zh-CN" w:bidi="ar-SA"/>
        </w:rPr>
        <w:t>（4）</w:t>
      </w:r>
      <w:r>
        <w:rPr>
          <w:rFonts w:hint="eastAsia" w:ascii="仿宋" w:hAnsi="仿宋" w:eastAsia="仿宋" w:cs="仿宋"/>
          <w:b w:val="0"/>
          <w:bCs w:val="0"/>
          <w:color w:val="auto"/>
          <w:kern w:val="2"/>
          <w:sz w:val="24"/>
          <w:szCs w:val="24"/>
          <w:highlight w:val="none"/>
          <w:lang w:val="en-US" w:eastAsia="zh-Hans" w:bidi="ar-SA"/>
        </w:rPr>
        <w:t>可操作性、可维护性方案</w:t>
      </w:r>
    </w:p>
    <w:p>
      <w:pPr>
        <w:ind w:firstLine="960" w:firstLineChars="400"/>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（5）其他证明材料</w:t>
      </w:r>
    </w:p>
    <w:p>
      <w:pPr>
        <w:widowControl/>
        <w:spacing w:line="440" w:lineRule="exact"/>
        <w:jc w:val="left"/>
        <w:rPr>
          <w:rFonts w:hint="eastAsia" w:ascii="仿宋" w:hAnsi="仿宋" w:eastAsia="仿宋" w:cs="仿宋"/>
          <w:bCs/>
          <w:color w:val="auto"/>
          <w:sz w:val="24"/>
          <w:szCs w:val="24"/>
          <w:highlight w:val="none"/>
        </w:rPr>
      </w:pPr>
    </w:p>
    <w:p>
      <w:pPr>
        <w:widowControl/>
        <w:spacing w:line="300" w:lineRule="auto"/>
        <w:jc w:val="left"/>
        <w:rPr>
          <w:rFonts w:hint="eastAsia" w:ascii="仿宋" w:hAnsi="仿宋" w:eastAsia="仿宋" w:cs="仿宋"/>
          <w:bCs/>
          <w:color w:val="auto"/>
          <w:sz w:val="24"/>
          <w:szCs w:val="24"/>
          <w:highlight w:val="none"/>
        </w:rPr>
      </w:pPr>
      <w:r>
        <w:rPr>
          <w:rFonts w:hint="eastAsia" w:ascii="仿宋" w:hAnsi="仿宋" w:eastAsia="仿宋" w:cs="仿宋"/>
          <w:b/>
          <w:color w:val="auto"/>
          <w:sz w:val="24"/>
          <w:szCs w:val="24"/>
          <w:highlight w:val="none"/>
        </w:rPr>
        <w:t>注：1、投标人制作投标文件，应按照投标文件组成顺序制作，编好始末页码且在投标文件目录中一一列明并对应。</w:t>
      </w:r>
    </w:p>
    <w:p>
      <w:pPr>
        <w:pageBreakBefore w:val="0"/>
        <w:kinsoku/>
        <w:wordWrap/>
        <w:bidi w:val="0"/>
        <w:adjustRightInd w:val="0"/>
        <w:snapToGrid w:val="0"/>
        <w:spacing w:line="360" w:lineRule="auto"/>
        <w:ind w:left="0" w:leftChars="0" w:right="0" w:rightChars="0"/>
        <w:jc w:val="center"/>
        <w:rPr>
          <w:rFonts w:hint="default" w:ascii="仿宋" w:hAnsi="仿宋" w:eastAsia="仿宋" w:cs="仿宋"/>
          <w:b/>
          <w:bCs/>
          <w:color w:val="auto"/>
          <w:sz w:val="24"/>
          <w:szCs w:val="24"/>
          <w:highlight w:val="none"/>
          <w:lang w:val="en-US" w:eastAsia="zh-CN"/>
        </w:rPr>
      </w:pPr>
      <w:r>
        <w:rPr>
          <w:rFonts w:hint="eastAsia" w:ascii="仿宋" w:hAnsi="仿宋" w:eastAsia="仿宋" w:cs="仿宋"/>
          <w:color w:val="auto"/>
          <w:sz w:val="24"/>
          <w:szCs w:val="24"/>
          <w:highlight w:val="none"/>
        </w:rPr>
        <w:br w:type="page"/>
      </w:r>
      <w:bookmarkStart w:id="421" w:name="_Toc247085874"/>
      <w:bookmarkStart w:id="422" w:name="_Toc152045788"/>
      <w:bookmarkStart w:id="423" w:name="_Toc152042577"/>
      <w:bookmarkStart w:id="424" w:name="_Toc179632808"/>
      <w:bookmarkStart w:id="425" w:name="_Toc246997099"/>
      <w:bookmarkStart w:id="426" w:name="_Toc514837979"/>
      <w:bookmarkStart w:id="427" w:name="_Toc246996356"/>
      <w:bookmarkStart w:id="428" w:name="_Toc144974857"/>
      <w:r>
        <w:rPr>
          <w:rFonts w:hint="eastAsia" w:ascii="仿宋" w:hAnsi="仿宋" w:eastAsia="仿宋" w:cs="仿宋"/>
          <w:b/>
          <w:bCs/>
          <w:color w:val="auto"/>
          <w:sz w:val="24"/>
          <w:szCs w:val="24"/>
          <w:highlight w:val="none"/>
        </w:rPr>
        <w:t>一、</w:t>
      </w:r>
      <w:r>
        <w:rPr>
          <w:rFonts w:hint="eastAsia" w:ascii="仿宋" w:hAnsi="仿宋" w:eastAsia="仿宋" w:cs="仿宋"/>
          <w:b/>
          <w:bCs/>
          <w:color w:val="auto"/>
          <w:sz w:val="24"/>
          <w:szCs w:val="24"/>
          <w:highlight w:val="none"/>
          <w:lang w:val="en-US" w:eastAsia="zh-CN"/>
        </w:rPr>
        <w:t>商务部分</w:t>
      </w:r>
    </w:p>
    <w:p>
      <w:pPr>
        <w:pageBreakBefore w:val="0"/>
        <w:kinsoku/>
        <w:wordWrap/>
        <w:bidi w:val="0"/>
        <w:adjustRightInd w:val="0"/>
        <w:snapToGrid w:val="0"/>
        <w:spacing w:line="360" w:lineRule="auto"/>
        <w:ind w:left="0" w:leftChars="0" w:right="0" w:rightChars="0"/>
        <w:jc w:val="center"/>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1</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rPr>
        <w:t>投标函</w:t>
      </w:r>
      <w:bookmarkEnd w:id="421"/>
      <w:bookmarkEnd w:id="422"/>
      <w:bookmarkEnd w:id="423"/>
      <w:bookmarkEnd w:id="424"/>
      <w:bookmarkEnd w:id="425"/>
      <w:bookmarkEnd w:id="426"/>
      <w:bookmarkEnd w:id="427"/>
      <w:bookmarkEnd w:id="428"/>
    </w:p>
    <w:p>
      <w:pPr>
        <w:pStyle w:val="50"/>
        <w:keepNext w:val="0"/>
        <w:keepLines w:val="0"/>
        <w:pageBreakBefore w:val="0"/>
        <w:widowControl/>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cs="宋体"/>
          <w:color w:val="000000"/>
          <w:sz w:val="24"/>
          <w:szCs w:val="24"/>
          <w:highlight w:val="none"/>
          <w:u w:val="none"/>
          <w:lang w:val="en-US" w:eastAsia="zh-CN"/>
        </w:rPr>
      </w:pPr>
      <w:r>
        <w:rPr>
          <w:rFonts w:hint="eastAsia" w:ascii="宋体" w:hAnsi="宋体" w:cs="宋体"/>
          <w:color w:val="000000"/>
          <w:sz w:val="24"/>
          <w:szCs w:val="24"/>
          <w:highlight w:val="none"/>
          <w:u w:val="none"/>
          <w:lang w:val="en-US" w:eastAsia="zh-CN"/>
        </w:rPr>
        <w:t>中共乌鲁木齐市水磨沟区委员会政法委员会：</w:t>
      </w:r>
    </w:p>
    <w:p>
      <w:pPr>
        <w:pStyle w:val="50"/>
        <w:keepNext w:val="0"/>
        <w:keepLines w:val="0"/>
        <w:pageBreakBefore w:val="0"/>
        <w:widowControl/>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highlight w:val="none"/>
          <w:u w:val="none"/>
        </w:rPr>
      </w:pPr>
      <w:r>
        <w:rPr>
          <w:rFonts w:hint="eastAsia" w:ascii="宋体" w:hAnsi="宋体" w:cs="宋体"/>
          <w:color w:val="000000"/>
          <w:sz w:val="24"/>
          <w:szCs w:val="24"/>
          <w:highlight w:val="none"/>
          <w:u w:val="none"/>
          <w:lang w:val="en-US" w:eastAsia="zh-CN"/>
        </w:rPr>
        <w:t>新疆筑石工程项目管理有限公司</w:t>
      </w:r>
      <w:r>
        <w:rPr>
          <w:rFonts w:hint="eastAsia" w:ascii="宋体" w:hAnsi="宋体" w:eastAsia="宋体" w:cs="宋体"/>
          <w:color w:val="000000"/>
          <w:sz w:val="24"/>
          <w:szCs w:val="24"/>
          <w:highlight w:val="none"/>
          <w:u w:val="none"/>
          <w:lang w:eastAsia="zh-CN"/>
        </w:rPr>
        <w:t>：</w:t>
      </w:r>
    </w:p>
    <w:p>
      <w:pPr>
        <w:pStyle w:val="13"/>
        <w:pageBreakBefore w:val="0"/>
        <w:widowControl/>
        <w:kinsoku/>
        <w:wordWrap/>
        <w:overflowPunct/>
        <w:topLinePunct w:val="0"/>
        <w:autoSpaceDE/>
        <w:autoSpaceDN/>
        <w:bidi w:val="0"/>
        <w:snapToGrid/>
        <w:spacing w:line="360" w:lineRule="auto"/>
        <w:ind w:left="0" w:leftChars="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名称)授权</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投标人委托</w:t>
      </w:r>
      <w:r>
        <w:rPr>
          <w:rFonts w:hint="eastAsia" w:ascii="宋体" w:hAnsi="宋体" w:eastAsia="宋体" w:cs="宋体"/>
          <w:sz w:val="24"/>
          <w:szCs w:val="24"/>
          <w:highlight w:val="none"/>
        </w:rPr>
        <w:t>代理人姓名</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职务)</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为我方代表，参加贵方组织的</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(项目名称、项目编号</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标项</w:t>
      </w:r>
      <w:r>
        <w:rPr>
          <w:rFonts w:hint="eastAsia" w:ascii="宋体" w:hAnsi="宋体" w:eastAsia="宋体" w:cs="宋体"/>
          <w:sz w:val="24"/>
          <w:szCs w:val="24"/>
          <w:highlight w:val="none"/>
        </w:rPr>
        <w:t>)招标的有关活动，并对此项目进行投标。为此：</w:t>
      </w:r>
    </w:p>
    <w:p>
      <w:pPr>
        <w:pStyle w:val="13"/>
        <w:pageBreakBefore w:val="0"/>
        <w:widowControl/>
        <w:kinsoku/>
        <w:wordWrap/>
        <w:overflowPunct/>
        <w:topLinePunct w:val="0"/>
        <w:autoSpaceDE/>
        <w:autoSpaceDN/>
        <w:bidi w:val="0"/>
        <w:snapToGrid/>
        <w:spacing w:line="360" w:lineRule="auto"/>
        <w:ind w:left="0" w:leftChars="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1、我方承诺：已经具备《中华人民共和国政府采购法》中规定的参加政府采购活动的</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应当具备的条件和本招标文件中规定的条件。</w:t>
      </w:r>
    </w:p>
    <w:p>
      <w:pPr>
        <w:pStyle w:val="13"/>
        <w:pageBreakBefore w:val="0"/>
        <w:widowControl/>
        <w:kinsoku/>
        <w:wordWrap/>
        <w:overflowPunct/>
        <w:topLinePunct w:val="0"/>
        <w:autoSpaceDE/>
        <w:autoSpaceDN/>
        <w:bidi w:val="0"/>
        <w:snapToGrid/>
        <w:spacing w:line="360" w:lineRule="auto"/>
        <w:ind w:left="0" w:leftChars="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2、我方同意在本项目招标文件中规定的投标有效期内遵守本投标文件中的承诺且在此期限期满之前均具有约束力。如果在开标后规定的投标有效期内撤回投标，我方的投标保证金可被贵方没收。</w:t>
      </w:r>
    </w:p>
    <w:p>
      <w:pPr>
        <w:pStyle w:val="13"/>
        <w:pageBreakBefore w:val="0"/>
        <w:widowControl/>
        <w:kinsoku/>
        <w:wordWrap/>
        <w:overflowPunct/>
        <w:topLinePunct w:val="0"/>
        <w:autoSpaceDE/>
        <w:autoSpaceDN/>
        <w:bidi w:val="0"/>
        <w:snapToGrid/>
        <w:spacing w:line="360" w:lineRule="auto"/>
        <w:ind w:left="0" w:leftChars="0" w:firstLine="480" w:firstLineChars="200"/>
        <w:jc w:val="both"/>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3、按照招标文件规定提供全部投标文件</w:t>
      </w:r>
      <w:r>
        <w:rPr>
          <w:rFonts w:hint="eastAsia" w:ascii="宋体" w:hAnsi="宋体" w:eastAsia="宋体" w:cs="宋体"/>
          <w:sz w:val="24"/>
          <w:szCs w:val="24"/>
          <w:highlight w:val="none"/>
          <w:lang w:eastAsia="zh-CN"/>
        </w:rPr>
        <w:t>。</w:t>
      </w:r>
    </w:p>
    <w:p>
      <w:pPr>
        <w:pStyle w:val="13"/>
        <w:pageBreakBefore w:val="0"/>
        <w:widowControl/>
        <w:kinsoku/>
        <w:wordWrap/>
        <w:overflowPunct/>
        <w:topLinePunct w:val="0"/>
        <w:autoSpaceDE/>
        <w:autoSpaceDN/>
        <w:bidi w:val="0"/>
        <w:snapToGrid/>
        <w:spacing w:line="360" w:lineRule="auto"/>
        <w:ind w:left="239" w:leftChars="114" w:firstLine="240" w:firstLineChars="100"/>
        <w:jc w:val="both"/>
        <w:textAlignment w:val="auto"/>
        <w:rPr>
          <w:rFonts w:hint="default" w:ascii="宋体" w:hAnsi="宋体" w:eastAsia="宋体" w:cs="宋体"/>
          <w:sz w:val="24"/>
          <w:szCs w:val="24"/>
          <w:highlight w:val="none"/>
          <w:lang w:val="en-US"/>
        </w:rPr>
      </w:pP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lang w:eastAsia="zh-CN"/>
        </w:rPr>
        <w:t>我方承诺：</w:t>
      </w:r>
      <w:r>
        <w:rPr>
          <w:rFonts w:hint="eastAsia" w:ascii="宋体" w:hAnsi="宋体" w:eastAsia="宋体" w:cs="宋体"/>
          <w:sz w:val="24"/>
          <w:szCs w:val="24"/>
          <w:highlight w:val="none"/>
        </w:rPr>
        <w:t>按照招标文件要求提供的相关服务</w:t>
      </w:r>
      <w:r>
        <w:rPr>
          <w:rFonts w:hint="eastAsia" w:ascii="宋体" w:hAnsi="宋体" w:eastAsia="宋体" w:cs="宋体"/>
          <w:sz w:val="24"/>
          <w:szCs w:val="24"/>
          <w:highlight w:val="none"/>
          <w:lang w:eastAsia="zh-CN"/>
        </w:rPr>
        <w:t>，</w:t>
      </w:r>
      <w:r>
        <w:rPr>
          <w:rFonts w:hint="eastAsia" w:hAnsi="宋体" w:cs="宋体"/>
          <w:sz w:val="24"/>
          <w:szCs w:val="24"/>
          <w:highlight w:val="none"/>
          <w:lang w:val="en-US" w:eastAsia="zh-CN"/>
        </w:rPr>
        <w:t>报价为：</w:t>
      </w:r>
      <w:r>
        <w:rPr>
          <w:rFonts w:hint="eastAsia" w:hAnsi="宋体" w:cs="宋体"/>
          <w:sz w:val="24"/>
          <w:szCs w:val="24"/>
          <w:highlight w:val="none"/>
          <w:u w:val="single"/>
          <w:lang w:val="en-US" w:eastAsia="zh-CN"/>
        </w:rPr>
        <w:t xml:space="preserve">   （大写）          </w:t>
      </w:r>
      <w:r>
        <w:rPr>
          <w:rFonts w:hint="eastAsia" w:hAnsi="宋体" w:cs="宋体"/>
          <w:sz w:val="24"/>
          <w:szCs w:val="24"/>
          <w:highlight w:val="none"/>
          <w:u w:val="none"/>
          <w:lang w:val="en-US" w:eastAsia="zh-CN"/>
        </w:rPr>
        <w:t>，</w:t>
      </w:r>
      <w:r>
        <w:rPr>
          <w:rFonts w:hint="eastAsia" w:hAnsi="宋体" w:cs="宋体"/>
          <w:sz w:val="24"/>
          <w:szCs w:val="24"/>
          <w:highlight w:val="none"/>
          <w:u w:val="single"/>
          <w:lang w:val="en-US" w:eastAsia="zh-CN"/>
        </w:rPr>
        <w:t xml:space="preserve">（小写）       </w:t>
      </w:r>
      <w:r>
        <w:rPr>
          <w:rFonts w:hint="eastAsia" w:hAnsi="宋体" w:cs="宋体"/>
          <w:sz w:val="24"/>
          <w:szCs w:val="24"/>
          <w:highlight w:val="none"/>
          <w:u w:val="none"/>
          <w:lang w:val="en-US" w:eastAsia="zh-CN"/>
        </w:rPr>
        <w:t>供货与安装期限</w:t>
      </w:r>
      <w:r>
        <w:rPr>
          <w:rFonts w:hint="eastAsia" w:ascii="宋体" w:hAnsi="宋体" w:eastAsia="宋体" w:cs="宋体"/>
          <w:sz w:val="24"/>
          <w:szCs w:val="24"/>
          <w:highlight w:val="none"/>
          <w:lang w:val="en-US" w:eastAsia="zh-CN"/>
        </w:rPr>
        <w:t>为</w:t>
      </w:r>
      <w:r>
        <w:rPr>
          <w:rFonts w:hint="eastAsia" w:ascii="宋体" w:hAnsi="宋体" w:eastAsia="宋体" w:cs="宋体"/>
          <w:sz w:val="24"/>
          <w:szCs w:val="24"/>
          <w:highlight w:val="none"/>
          <w:u w:val="single"/>
          <w:lang w:val="en-US" w:eastAsia="zh-CN"/>
        </w:rPr>
        <w:t xml:space="preserve">    </w:t>
      </w:r>
      <w:r>
        <w:rPr>
          <w:rFonts w:hint="eastAsia" w:hAnsi="宋体" w:cs="宋体"/>
          <w:sz w:val="24"/>
          <w:szCs w:val="24"/>
          <w:highlight w:val="none"/>
          <w:u w:val="single"/>
          <w:lang w:val="en-US" w:eastAsia="zh-CN"/>
        </w:rPr>
        <w:t xml:space="preserve"> </w:t>
      </w:r>
      <w:r>
        <w:rPr>
          <w:rFonts w:hint="eastAsia" w:ascii="宋体" w:hAnsi="宋体" w:eastAsia="宋体" w:cs="宋体"/>
          <w:sz w:val="24"/>
          <w:szCs w:val="24"/>
          <w:highlight w:val="none"/>
          <w:lang w:val="en-US" w:eastAsia="zh-CN"/>
        </w:rPr>
        <w:t>，</w:t>
      </w:r>
      <w:r>
        <w:rPr>
          <w:rFonts w:hint="eastAsia" w:ascii="宋体" w:hAnsi="宋体" w:cs="宋体"/>
          <w:sz w:val="24"/>
          <w:szCs w:val="24"/>
          <w:highlight w:val="none"/>
          <w:lang w:val="en-US" w:eastAsia="zh-CN"/>
        </w:rPr>
        <w:t>质保期</w:t>
      </w:r>
      <w:r>
        <w:rPr>
          <w:rFonts w:hint="eastAsia" w:ascii="宋体" w:hAnsi="宋体" w:eastAsia="宋体" w:cs="宋体"/>
          <w:sz w:val="24"/>
          <w:szCs w:val="24"/>
          <w:highlight w:val="none"/>
          <w:lang w:val="en-US" w:eastAsia="zh-CN"/>
        </w:rPr>
        <w:t>为</w:t>
      </w:r>
      <w:r>
        <w:rPr>
          <w:rFonts w:hint="eastAsia" w:ascii="宋体" w:hAnsi="宋体" w:eastAsia="宋体" w:cs="宋体"/>
          <w:sz w:val="24"/>
          <w:szCs w:val="24"/>
          <w:highlight w:val="none"/>
          <w:u w:val="single"/>
          <w:lang w:val="en-US" w:eastAsia="zh-CN"/>
        </w:rPr>
        <w:t xml:space="preserve">        </w:t>
      </w:r>
      <w:r>
        <w:rPr>
          <w:rFonts w:hint="eastAsia" w:ascii="宋体" w:hAnsi="宋体" w:cs="宋体"/>
          <w:sz w:val="24"/>
          <w:szCs w:val="24"/>
          <w:highlight w:val="none"/>
          <w:u w:val="single"/>
          <w:lang w:val="en-US" w:eastAsia="zh-CN"/>
        </w:rPr>
        <w:t>，</w:t>
      </w:r>
      <w:r>
        <w:rPr>
          <w:rFonts w:hint="eastAsia" w:ascii="宋体" w:hAnsi="宋体" w:cs="宋体"/>
          <w:sz w:val="24"/>
          <w:szCs w:val="24"/>
          <w:highlight w:val="none"/>
          <w:u w:val="none"/>
          <w:lang w:val="en-US" w:eastAsia="zh-CN"/>
        </w:rPr>
        <w:t>质量标准为</w:t>
      </w:r>
      <w:r>
        <w:rPr>
          <w:rFonts w:hint="eastAsia" w:ascii="宋体" w:hAnsi="宋体" w:cs="宋体"/>
          <w:sz w:val="24"/>
          <w:szCs w:val="24"/>
          <w:highlight w:val="none"/>
          <w:u w:val="single"/>
          <w:lang w:val="en-US" w:eastAsia="zh-CN"/>
        </w:rPr>
        <w:t xml:space="preserve">              </w:t>
      </w:r>
      <w:r>
        <w:rPr>
          <w:rFonts w:hint="eastAsia" w:ascii="宋体" w:hAnsi="宋体" w:eastAsia="宋体" w:cs="宋体"/>
          <w:sz w:val="24"/>
          <w:szCs w:val="24"/>
          <w:highlight w:val="none"/>
        </w:rPr>
        <w:t>。</w:t>
      </w:r>
    </w:p>
    <w:p>
      <w:pPr>
        <w:pStyle w:val="13"/>
        <w:pageBreakBefore w:val="0"/>
        <w:widowControl/>
        <w:kinsoku/>
        <w:wordWrap/>
        <w:overflowPunct/>
        <w:topLinePunct w:val="0"/>
        <w:autoSpaceDE/>
        <w:autoSpaceDN/>
        <w:bidi w:val="0"/>
        <w:snapToGrid/>
        <w:spacing w:line="360" w:lineRule="auto"/>
        <w:ind w:left="0" w:leftChars="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、接受招标文件中的全部条款且无任何异议，保证遵守招标文件的规定。</w:t>
      </w:r>
    </w:p>
    <w:p>
      <w:pPr>
        <w:pStyle w:val="13"/>
        <w:pageBreakBefore w:val="0"/>
        <w:widowControl/>
        <w:kinsoku/>
        <w:wordWrap/>
        <w:overflowPunct/>
        <w:topLinePunct w:val="0"/>
        <w:autoSpaceDE/>
        <w:autoSpaceDN/>
        <w:bidi w:val="0"/>
        <w:snapToGrid/>
        <w:spacing w:line="360" w:lineRule="auto"/>
        <w:ind w:left="0" w:leftChars="0" w:firstLine="480" w:firstLineChars="200"/>
        <w:jc w:val="both"/>
        <w:textAlignment w:val="auto"/>
        <w:rPr>
          <w:rFonts w:hint="eastAsia" w:ascii="宋体" w:hAnsi="宋体" w:eastAsia="宋体" w:cs="宋体"/>
          <w:sz w:val="24"/>
          <w:szCs w:val="24"/>
          <w:highlight w:val="none"/>
        </w:rPr>
      </w:pPr>
      <w:r>
        <w:rPr>
          <w:rFonts w:hint="eastAsia" w:hAnsi="宋体" w:cs="宋体"/>
          <w:sz w:val="24"/>
          <w:szCs w:val="24"/>
          <w:highlight w:val="none"/>
          <w:lang w:val="en-US" w:eastAsia="zh-CN"/>
        </w:rPr>
        <w:t>6</w:t>
      </w:r>
      <w:r>
        <w:rPr>
          <w:rFonts w:hint="eastAsia" w:ascii="宋体" w:hAnsi="宋体" w:eastAsia="宋体" w:cs="宋体"/>
          <w:sz w:val="24"/>
          <w:szCs w:val="24"/>
          <w:highlight w:val="none"/>
        </w:rPr>
        <w:t>、我方承诺：完全满足和响应招标文件中的各项技术和服务要求，若有偏差，已在偏离表中予以明确特别说明。</w:t>
      </w:r>
    </w:p>
    <w:p>
      <w:pPr>
        <w:pStyle w:val="13"/>
        <w:pageBreakBefore w:val="0"/>
        <w:widowControl/>
        <w:kinsoku/>
        <w:wordWrap/>
        <w:overflowPunct/>
        <w:topLinePunct w:val="0"/>
        <w:autoSpaceDE/>
        <w:autoSpaceDN/>
        <w:bidi w:val="0"/>
        <w:snapToGrid/>
        <w:spacing w:line="360" w:lineRule="auto"/>
        <w:ind w:left="0" w:leftChars="0" w:firstLine="480" w:firstLineChars="200"/>
        <w:jc w:val="both"/>
        <w:textAlignment w:val="auto"/>
        <w:rPr>
          <w:rFonts w:hint="eastAsia" w:ascii="宋体" w:hAnsi="宋体" w:eastAsia="宋体" w:cs="宋体"/>
          <w:sz w:val="24"/>
          <w:szCs w:val="24"/>
          <w:highlight w:val="none"/>
        </w:rPr>
      </w:pPr>
      <w:r>
        <w:rPr>
          <w:rFonts w:hint="eastAsia" w:hAnsi="宋体" w:cs="宋体"/>
          <w:sz w:val="24"/>
          <w:szCs w:val="24"/>
          <w:highlight w:val="none"/>
          <w:lang w:val="en-US" w:eastAsia="zh-CN"/>
        </w:rPr>
        <w:t>7</w:t>
      </w:r>
      <w:r>
        <w:rPr>
          <w:rFonts w:hint="eastAsia" w:ascii="宋体" w:hAnsi="宋体" w:eastAsia="宋体" w:cs="宋体"/>
          <w:sz w:val="24"/>
          <w:szCs w:val="24"/>
          <w:highlight w:val="none"/>
        </w:rPr>
        <w:t>、我方已详细审核全部投标文件，包括投标文件修改书（如有的话）、参考资料及有关附件，确认无误。</w:t>
      </w:r>
    </w:p>
    <w:p>
      <w:pPr>
        <w:adjustRightInd w:val="0"/>
        <w:snapToGrid w:val="0"/>
        <w:spacing w:line="440" w:lineRule="exact"/>
        <w:ind w:firstLine="480" w:firstLineChars="200"/>
        <w:rPr>
          <w:rFonts w:hint="eastAsia" w:ascii="宋体" w:hAnsi="宋体" w:eastAsia="宋体" w:cs="宋体"/>
          <w:sz w:val="24"/>
          <w:szCs w:val="24"/>
          <w:highlight w:val="none"/>
        </w:rPr>
      </w:pPr>
      <w:r>
        <w:rPr>
          <w:rFonts w:hint="eastAsia" w:hAnsi="宋体" w:cs="宋体"/>
          <w:sz w:val="24"/>
          <w:szCs w:val="24"/>
          <w:highlight w:val="none"/>
          <w:lang w:val="en-US" w:eastAsia="zh-CN"/>
        </w:rPr>
        <w:t>8</w:t>
      </w:r>
      <w:r>
        <w:rPr>
          <w:rFonts w:hint="eastAsia" w:ascii="宋体" w:hAnsi="宋体" w:eastAsia="宋体" w:cs="宋体"/>
          <w:sz w:val="24"/>
          <w:szCs w:val="24"/>
          <w:highlight w:val="none"/>
        </w:rPr>
        <w:t>、我方承诺：</w:t>
      </w:r>
      <w:r>
        <w:rPr>
          <w:rFonts w:hint="eastAsia" w:ascii="宋体" w:hAnsi="宋体"/>
          <w:color w:val="000000"/>
          <w:sz w:val="24"/>
        </w:rPr>
        <w:t>与采购人和采购代理机构无任何的隶属关系或者其他利害关系。</w:t>
      </w:r>
    </w:p>
    <w:p>
      <w:pPr>
        <w:pStyle w:val="13"/>
        <w:pageBreakBefore w:val="0"/>
        <w:widowControl/>
        <w:kinsoku/>
        <w:wordWrap/>
        <w:overflowPunct/>
        <w:topLinePunct w:val="0"/>
        <w:autoSpaceDE/>
        <w:autoSpaceDN/>
        <w:bidi w:val="0"/>
        <w:snapToGrid/>
        <w:spacing w:line="360" w:lineRule="auto"/>
        <w:ind w:left="0" w:leftChars="0" w:firstLine="480" w:firstLineChars="200"/>
        <w:jc w:val="both"/>
        <w:textAlignment w:val="auto"/>
        <w:rPr>
          <w:rFonts w:hint="eastAsia" w:ascii="宋体" w:hAnsi="宋体" w:eastAsia="宋体" w:cs="宋体"/>
          <w:sz w:val="24"/>
          <w:szCs w:val="24"/>
          <w:highlight w:val="none"/>
        </w:rPr>
      </w:pPr>
      <w:r>
        <w:rPr>
          <w:rFonts w:hint="eastAsia" w:hAnsi="宋体" w:cs="宋体"/>
          <w:sz w:val="24"/>
          <w:szCs w:val="24"/>
          <w:highlight w:val="none"/>
          <w:lang w:val="en-US" w:eastAsia="zh-CN"/>
        </w:rPr>
        <w:t>9</w:t>
      </w:r>
      <w:r>
        <w:rPr>
          <w:rFonts w:hint="eastAsia" w:ascii="宋体" w:hAnsi="宋体" w:eastAsia="宋体" w:cs="宋体"/>
          <w:sz w:val="24"/>
          <w:szCs w:val="24"/>
          <w:highlight w:val="none"/>
        </w:rPr>
        <w:t>、保证忠实地执行双方所签订的合同，并承担合同规定的责任和义务。</w:t>
      </w:r>
    </w:p>
    <w:p>
      <w:pPr>
        <w:pStyle w:val="13"/>
        <w:pageBreakBefore w:val="0"/>
        <w:widowControl/>
        <w:kinsoku/>
        <w:wordWrap/>
        <w:overflowPunct/>
        <w:topLinePunct w:val="0"/>
        <w:autoSpaceDE/>
        <w:autoSpaceDN/>
        <w:bidi w:val="0"/>
        <w:snapToGrid/>
        <w:spacing w:line="360" w:lineRule="auto"/>
        <w:ind w:left="0" w:leftChars="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hAnsi="宋体" w:cs="宋体"/>
          <w:sz w:val="24"/>
          <w:szCs w:val="24"/>
          <w:highlight w:val="none"/>
          <w:lang w:val="en-US" w:eastAsia="zh-CN"/>
        </w:rPr>
        <w:t>0、</w:t>
      </w:r>
      <w:r>
        <w:rPr>
          <w:rFonts w:hint="eastAsia" w:ascii="宋体" w:hAnsi="宋体" w:eastAsia="宋体" w:cs="宋体"/>
          <w:sz w:val="24"/>
          <w:szCs w:val="24"/>
          <w:highlight w:val="none"/>
        </w:rPr>
        <w:t>我方承诺：投标文件所提供的一切资料均真实、及时、有效。由于我方提供资料不实而造成的责任和后果由我方承担。我方同意按照贵方提出的要求，向贵方提供任何与本项投标有关的数据、情况和技术资料。若贵方需要，我方愿意提供我方作出的一切承诺的证明材料。</w:t>
      </w:r>
    </w:p>
    <w:p>
      <w:pPr>
        <w:pStyle w:val="52"/>
        <w:keepNext w:val="0"/>
        <w:keepLines w:val="0"/>
        <w:numPr>
          <w:ilvl w:val="2"/>
          <w:numId w:val="0"/>
        </w:numPr>
        <w:autoSpaceDE w:val="0"/>
        <w:autoSpaceDN w:val="0"/>
        <w:adjustRightInd w:val="0"/>
        <w:snapToGrid w:val="0"/>
        <w:spacing w:before="0" w:after="0" w:line="336" w:lineRule="auto"/>
        <w:ind w:firstLine="240" w:firstLineChars="100"/>
        <w:rPr>
          <w:rFonts w:hint="eastAsia" w:ascii="宋体" w:hAnsi="宋体" w:eastAsia="宋体" w:cs="宋体"/>
          <w:kern w:val="2"/>
          <w:sz w:val="24"/>
          <w:szCs w:val="24"/>
          <w:highlight w:val="none"/>
          <w:lang w:val="en-US" w:eastAsia="zh-CN" w:bidi="ar-SA"/>
        </w:rPr>
      </w:pPr>
      <w:r>
        <w:rPr>
          <w:rFonts w:hint="eastAsia" w:ascii="宋体" w:hAnsi="宋体" w:cs="宋体"/>
          <w:sz w:val="24"/>
          <w:szCs w:val="24"/>
          <w:highlight w:val="none"/>
          <w:lang w:val="en-US" w:eastAsia="zh-CN"/>
        </w:rPr>
        <w:t xml:space="preserve"> 11、</w:t>
      </w:r>
      <w:r>
        <w:rPr>
          <w:rFonts w:hint="eastAsia" w:ascii="宋体" w:hAnsi="宋体" w:eastAsia="宋体" w:cs="宋体"/>
          <w:kern w:val="2"/>
          <w:sz w:val="24"/>
          <w:szCs w:val="24"/>
          <w:highlight w:val="none"/>
          <w:lang w:val="en-US" w:eastAsia="zh-CN" w:bidi="ar-SA"/>
        </w:rPr>
        <w:t>我方保证，采购人在中华人民共和国境内使用我方报价货物、资料、技术、服务或其任何一部分时，享有不受限制的无偿使用权，如有第三方向采购人提出侵犯其专利权、商标权或其它知识产权的主张，该责任由我方承担。我方的报价已包含所有应向所有权人支付的专利权、商标权或其它知识产权的一切相关费用。</w:t>
      </w:r>
    </w:p>
    <w:p>
      <w:pPr>
        <w:rPr>
          <w:rFonts w:hint="default" w:eastAsia="宋体"/>
          <w:lang w:val="en-US" w:eastAsia="zh-CN"/>
        </w:rPr>
      </w:pPr>
    </w:p>
    <w:p>
      <w:pPr>
        <w:pStyle w:val="13"/>
        <w:pageBreakBefore w:val="0"/>
        <w:widowControl/>
        <w:kinsoku/>
        <w:wordWrap/>
        <w:overflowPunct/>
        <w:topLinePunct w:val="0"/>
        <w:autoSpaceDE/>
        <w:autoSpaceDN/>
        <w:bidi w:val="0"/>
        <w:snapToGrid/>
        <w:spacing w:line="360" w:lineRule="auto"/>
        <w:ind w:left="0" w:leftChars="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cs="宋体"/>
          <w:sz w:val="24"/>
          <w:szCs w:val="24"/>
          <w:highlight w:val="none"/>
          <w:lang w:val="en-US" w:eastAsia="zh-CN"/>
        </w:rPr>
        <w:t>2</w:t>
      </w:r>
      <w:r>
        <w:rPr>
          <w:rFonts w:hint="eastAsia" w:ascii="宋体" w:hAnsi="宋体" w:eastAsia="宋体" w:cs="宋体"/>
          <w:sz w:val="24"/>
          <w:szCs w:val="24"/>
          <w:highlight w:val="none"/>
        </w:rPr>
        <w:t>、我方将严格遵守《中华人民共和国政府采购法》的有关规定，若有下列情形之一的，将被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pStyle w:val="13"/>
        <w:pageBreakBefore w:val="0"/>
        <w:widowControl/>
        <w:kinsoku/>
        <w:wordWrap/>
        <w:overflowPunct/>
        <w:topLinePunct w:val="0"/>
        <w:autoSpaceDE/>
        <w:autoSpaceDN/>
        <w:bidi w:val="0"/>
        <w:snapToGrid/>
        <w:spacing w:line="360" w:lineRule="auto"/>
        <w:ind w:left="0" w:leftChars="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1）提供虚假材料谋取中标、成交的；</w:t>
      </w:r>
    </w:p>
    <w:p>
      <w:pPr>
        <w:pStyle w:val="13"/>
        <w:pageBreakBefore w:val="0"/>
        <w:widowControl/>
        <w:kinsoku/>
        <w:wordWrap/>
        <w:overflowPunct/>
        <w:topLinePunct w:val="0"/>
        <w:autoSpaceDE/>
        <w:autoSpaceDN/>
        <w:bidi w:val="0"/>
        <w:snapToGrid/>
        <w:spacing w:line="360" w:lineRule="auto"/>
        <w:ind w:left="0" w:leftChars="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2）采取不正当手段诋毁、排挤其他</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的；</w:t>
      </w:r>
    </w:p>
    <w:p>
      <w:pPr>
        <w:pStyle w:val="13"/>
        <w:pageBreakBefore w:val="0"/>
        <w:widowControl/>
        <w:kinsoku/>
        <w:wordWrap/>
        <w:overflowPunct/>
        <w:topLinePunct w:val="0"/>
        <w:autoSpaceDE/>
        <w:autoSpaceDN/>
        <w:bidi w:val="0"/>
        <w:snapToGrid/>
        <w:spacing w:line="360" w:lineRule="auto"/>
        <w:ind w:left="0" w:leftChars="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3）与采购人、其他</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或者采购代理机构恶意串通的；</w:t>
      </w:r>
    </w:p>
    <w:p>
      <w:pPr>
        <w:pStyle w:val="13"/>
        <w:pageBreakBefore w:val="0"/>
        <w:widowControl/>
        <w:kinsoku/>
        <w:wordWrap/>
        <w:overflowPunct/>
        <w:topLinePunct w:val="0"/>
        <w:autoSpaceDE/>
        <w:autoSpaceDN/>
        <w:bidi w:val="0"/>
        <w:snapToGrid/>
        <w:spacing w:line="360" w:lineRule="auto"/>
        <w:ind w:left="0" w:leftChars="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4）向采购人、采购代理机构行贿或者提供其他不正当利益的；</w:t>
      </w:r>
    </w:p>
    <w:p>
      <w:pPr>
        <w:pStyle w:val="13"/>
        <w:pageBreakBefore w:val="0"/>
        <w:widowControl/>
        <w:kinsoku/>
        <w:wordWrap/>
        <w:overflowPunct/>
        <w:topLinePunct w:val="0"/>
        <w:autoSpaceDE/>
        <w:autoSpaceDN/>
        <w:bidi w:val="0"/>
        <w:snapToGrid/>
        <w:spacing w:line="360" w:lineRule="auto"/>
        <w:ind w:left="0" w:leftChars="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5）在招标采购过程中与采购人进行协商</w:t>
      </w:r>
      <w:r>
        <w:rPr>
          <w:rFonts w:hint="eastAsia" w:ascii="宋体" w:hAnsi="宋体" w:eastAsia="宋体" w:cs="宋体"/>
          <w:sz w:val="24"/>
          <w:szCs w:val="24"/>
          <w:highlight w:val="none"/>
          <w:lang w:eastAsia="zh-CN"/>
        </w:rPr>
        <w:t>磋商</w:t>
      </w:r>
      <w:r>
        <w:rPr>
          <w:rFonts w:hint="eastAsia" w:ascii="宋体" w:hAnsi="宋体" w:eastAsia="宋体" w:cs="宋体"/>
          <w:sz w:val="24"/>
          <w:szCs w:val="24"/>
          <w:highlight w:val="none"/>
        </w:rPr>
        <w:t>的；</w:t>
      </w:r>
    </w:p>
    <w:p>
      <w:pPr>
        <w:pStyle w:val="13"/>
        <w:pageBreakBefore w:val="0"/>
        <w:widowControl/>
        <w:kinsoku/>
        <w:wordWrap/>
        <w:overflowPunct/>
        <w:topLinePunct w:val="0"/>
        <w:autoSpaceDE/>
        <w:autoSpaceDN/>
        <w:bidi w:val="0"/>
        <w:snapToGrid/>
        <w:spacing w:line="360" w:lineRule="auto"/>
        <w:ind w:left="0" w:leftChars="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6）拒绝有关部门监督检查或提供虚假情况的。</w:t>
      </w:r>
    </w:p>
    <w:p>
      <w:pPr>
        <w:pageBreakBefore w:val="0"/>
        <w:kinsoku/>
        <w:wordWrap/>
        <w:overflowPunct/>
        <w:topLinePunct w:val="0"/>
        <w:autoSpaceDE/>
        <w:autoSpaceDN/>
        <w:bidi w:val="0"/>
        <w:snapToGrid/>
        <w:spacing w:line="360" w:lineRule="auto"/>
        <w:ind w:firstLine="480" w:firstLineChars="200"/>
        <w:jc w:val="both"/>
        <w:textAlignment w:val="auto"/>
        <w:rPr>
          <w:rFonts w:hint="eastAsia" w:ascii="宋体" w:hAnsi="宋体" w:eastAsia="宋体" w:cs="宋体"/>
          <w:sz w:val="24"/>
          <w:szCs w:val="24"/>
          <w:highlight w:val="none"/>
        </w:rPr>
      </w:pPr>
    </w:p>
    <w:p>
      <w:pPr>
        <w:pStyle w:val="13"/>
        <w:pageBreakBefore w:val="0"/>
        <w:widowControl/>
        <w:kinsoku/>
        <w:wordWrap/>
        <w:overflowPunct/>
        <w:topLinePunct w:val="0"/>
        <w:autoSpaceDE/>
        <w:autoSpaceDN/>
        <w:bidi w:val="0"/>
        <w:snapToGrid/>
        <w:spacing w:line="360" w:lineRule="auto"/>
        <w:ind w:left="0" w:leftChars="0" w:firstLine="480" w:firstLineChars="200"/>
        <w:jc w:val="both"/>
        <w:textAlignment w:val="auto"/>
        <w:rPr>
          <w:rFonts w:hint="eastAsia" w:ascii="宋体" w:hAnsi="宋体" w:eastAsia="宋体" w:cs="宋体"/>
          <w:sz w:val="24"/>
          <w:szCs w:val="24"/>
          <w:highlight w:val="none"/>
        </w:rPr>
      </w:pPr>
    </w:p>
    <w:p>
      <w:pPr>
        <w:spacing w:line="360" w:lineRule="auto"/>
        <w:ind w:left="555"/>
        <w:rPr>
          <w:rFonts w:hint="eastAsia" w:ascii="宋体" w:hAnsi="宋体" w:eastAsia="宋体" w:cs="宋体"/>
          <w:sz w:val="24"/>
          <w:szCs w:val="24"/>
          <w:highlight w:val="none"/>
          <w:lang w:eastAsia="zh-CN"/>
        </w:rPr>
      </w:pPr>
      <w:r>
        <w:rPr>
          <w:rFonts w:hint="eastAsia" w:ascii="宋体" w:hAnsi="宋体" w:cs="宋体"/>
          <w:sz w:val="24"/>
          <w:szCs w:val="24"/>
          <w:highlight w:val="none"/>
          <w:lang w:val="en-US" w:eastAsia="zh-CN"/>
        </w:rPr>
        <w:t>投标人</w:t>
      </w:r>
      <w:r>
        <w:rPr>
          <w:rFonts w:hint="eastAsia" w:ascii="宋体" w:hAnsi="宋体" w:eastAsia="宋体" w:cs="宋体"/>
          <w:sz w:val="24"/>
          <w:szCs w:val="24"/>
          <w:highlight w:val="none"/>
        </w:rPr>
        <w:t>名称：</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lang w:eastAsia="zh-CN"/>
        </w:rPr>
        <w:t>（加盖公章）</w:t>
      </w:r>
    </w:p>
    <w:p>
      <w:pPr>
        <w:spacing w:line="360" w:lineRule="auto"/>
        <w:ind w:left="555"/>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法定代表人</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lang w:eastAsia="zh-CN"/>
        </w:rPr>
        <w:t>（签字或盖章）</w:t>
      </w:r>
    </w:p>
    <w:p>
      <w:pPr>
        <w:spacing w:line="360" w:lineRule="auto"/>
        <w:ind w:left="555"/>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委托代理人：</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（签字）</w:t>
      </w:r>
    </w:p>
    <w:p>
      <w:pPr>
        <w:spacing w:line="360" w:lineRule="auto"/>
        <w:ind w:left="555"/>
        <w:rPr>
          <w:rFonts w:hint="eastAsia" w:ascii="宋体" w:hAnsi="宋体" w:eastAsia="宋体" w:cs="宋体"/>
          <w:sz w:val="24"/>
          <w:szCs w:val="24"/>
          <w:highlight w:val="none"/>
        </w:rPr>
      </w:pPr>
      <w:r>
        <w:rPr>
          <w:rFonts w:hint="eastAsia" w:ascii="宋体" w:hAnsi="宋体" w:eastAsia="宋体" w:cs="宋体"/>
          <w:sz w:val="24"/>
          <w:szCs w:val="24"/>
          <w:highlight w:val="none"/>
        </w:rPr>
        <w:t>日期：  年  月  日</w:t>
      </w:r>
    </w:p>
    <w:p>
      <w:pPr>
        <w:pStyle w:val="7"/>
        <w:rPr>
          <w:rFonts w:hint="eastAsia" w:ascii="宋体" w:hAnsi="宋体" w:eastAsia="宋体" w:cs="宋体"/>
          <w:b/>
          <w:color w:val="000000"/>
          <w:sz w:val="24"/>
          <w:szCs w:val="24"/>
          <w:highlight w:val="none"/>
          <w:lang w:val="en-US" w:eastAsia="zh-CN"/>
        </w:rPr>
      </w:pPr>
    </w:p>
    <w:p>
      <w:pPr>
        <w:pStyle w:val="13"/>
        <w:pageBreakBefore w:val="0"/>
        <w:widowControl/>
        <w:kinsoku/>
        <w:wordWrap/>
        <w:overflowPunct/>
        <w:topLinePunct w:val="0"/>
        <w:autoSpaceDE/>
        <w:autoSpaceDN/>
        <w:bidi w:val="0"/>
        <w:snapToGrid/>
        <w:spacing w:line="360" w:lineRule="auto"/>
        <w:ind w:left="0" w:leftChars="0" w:firstLine="482"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b/>
          <w:sz w:val="24"/>
          <w:szCs w:val="24"/>
          <w:highlight w:val="none"/>
        </w:rPr>
        <w:t>说明：除可填报项目外，对本投标函的任何修改将被视为非实质性响应投标，从而导致该投标被拒绝。</w:t>
      </w:r>
    </w:p>
    <w:p>
      <w:pPr>
        <w:pageBreakBefore w:val="0"/>
        <w:kinsoku/>
        <w:wordWrap/>
        <w:bidi w:val="0"/>
        <w:adjustRightInd w:val="0"/>
        <w:snapToGrid w:val="0"/>
        <w:spacing w:line="360" w:lineRule="auto"/>
        <w:ind w:left="0" w:leftChars="0" w:right="0" w:rightChars="0"/>
        <w:rPr>
          <w:rFonts w:hint="eastAsia" w:ascii="仿宋" w:hAnsi="仿宋" w:eastAsia="仿宋" w:cs="仿宋"/>
          <w:color w:val="auto"/>
          <w:sz w:val="24"/>
          <w:szCs w:val="24"/>
          <w:highlight w:val="none"/>
        </w:rPr>
      </w:pPr>
    </w:p>
    <w:p>
      <w:pPr>
        <w:pageBreakBefore w:val="0"/>
        <w:kinsoku/>
        <w:wordWrap/>
        <w:bidi w:val="0"/>
        <w:adjustRightInd w:val="0"/>
        <w:snapToGrid w:val="0"/>
        <w:spacing w:line="360" w:lineRule="auto"/>
        <w:ind w:left="0" w:leftChars="0" w:right="0" w:rightChars="0"/>
        <w:jc w:val="center"/>
        <w:rPr>
          <w:rFonts w:hint="eastAsia" w:ascii="仿宋" w:hAnsi="仿宋" w:eastAsia="仿宋" w:cs="仿宋"/>
          <w:color w:val="auto"/>
          <w:sz w:val="24"/>
          <w:szCs w:val="24"/>
          <w:highlight w:val="none"/>
        </w:rPr>
        <w:sectPr>
          <w:pgSz w:w="11906" w:h="16838"/>
          <w:pgMar w:top="1418" w:right="1588" w:bottom="1418" w:left="1588" w:header="851" w:footer="992" w:gutter="0"/>
          <w:cols w:space="720" w:num="1"/>
          <w:docGrid w:type="lines" w:linePitch="312" w:charSpace="0"/>
        </w:sectPr>
      </w:pPr>
      <w:r>
        <w:rPr>
          <w:rFonts w:hint="eastAsia" w:ascii="仿宋" w:hAnsi="仿宋" w:eastAsia="仿宋" w:cs="仿宋"/>
          <w:color w:val="auto"/>
          <w:sz w:val="24"/>
          <w:szCs w:val="24"/>
          <w:highlight w:val="none"/>
        </w:rPr>
        <w:br w:type="page"/>
      </w:r>
      <w:bookmarkStart w:id="429" w:name="_Toc246997102"/>
      <w:bookmarkStart w:id="430" w:name="_Toc152042580"/>
      <w:bookmarkStart w:id="431" w:name="_Toc179632811"/>
      <w:bookmarkStart w:id="432" w:name="_Toc152045791"/>
      <w:bookmarkStart w:id="433" w:name="_Toc144974860"/>
      <w:bookmarkStart w:id="434" w:name="_Toc247085877"/>
      <w:bookmarkStart w:id="435" w:name="_Toc246996359"/>
      <w:bookmarkStart w:id="436" w:name="_Toc514837980"/>
    </w:p>
    <w:p>
      <w:pPr>
        <w:pageBreakBefore w:val="0"/>
        <w:kinsoku/>
        <w:wordWrap/>
        <w:bidi w:val="0"/>
        <w:adjustRightInd w:val="0"/>
        <w:snapToGrid w:val="0"/>
        <w:spacing w:line="360" w:lineRule="auto"/>
        <w:ind w:left="0" w:leftChars="0" w:right="0" w:rightChars="0"/>
        <w:jc w:val="center"/>
        <w:rPr>
          <w:rFonts w:hint="eastAsia" w:ascii="仿宋" w:hAnsi="仿宋" w:eastAsia="仿宋" w:cs="仿宋"/>
          <w:b/>
          <w:bCs/>
          <w:color w:val="auto"/>
          <w:sz w:val="24"/>
          <w:szCs w:val="24"/>
          <w:highlight w:val="none"/>
          <w:lang w:val="en-US" w:eastAsia="zh-Hans"/>
        </w:rPr>
      </w:pPr>
      <w:r>
        <w:rPr>
          <w:rFonts w:hint="eastAsia" w:ascii="仿宋" w:hAnsi="仿宋" w:eastAsia="仿宋" w:cs="仿宋"/>
          <w:b/>
          <w:bCs/>
          <w:color w:val="auto"/>
          <w:sz w:val="24"/>
          <w:szCs w:val="24"/>
          <w:highlight w:val="none"/>
          <w:lang w:val="en-US" w:eastAsia="zh-CN"/>
        </w:rPr>
        <w:t>（2）</w:t>
      </w:r>
      <w:r>
        <w:rPr>
          <w:rFonts w:hint="eastAsia" w:ascii="仿宋" w:hAnsi="仿宋" w:eastAsia="仿宋" w:cs="仿宋"/>
          <w:b/>
          <w:bCs/>
          <w:color w:val="auto"/>
          <w:sz w:val="24"/>
          <w:szCs w:val="24"/>
          <w:highlight w:val="none"/>
          <w:lang w:val="en-US" w:eastAsia="zh-Hans"/>
        </w:rPr>
        <w:t>开标一览表</w:t>
      </w:r>
    </w:p>
    <w:p>
      <w:pPr>
        <w:pStyle w:val="10"/>
        <w:pageBreakBefore w:val="0"/>
        <w:kinsoku/>
        <w:wordWrap/>
        <w:bidi w:val="0"/>
        <w:adjustRightInd w:val="0"/>
        <w:snapToGrid w:val="0"/>
        <w:spacing w:line="360" w:lineRule="auto"/>
        <w:ind w:left="0" w:leftChars="0" w:right="0" w:rightChars="0"/>
        <w:rPr>
          <w:rFonts w:hint="eastAsia" w:ascii="仿宋" w:hAnsi="仿宋" w:eastAsia="仿宋" w:cs="仿宋"/>
          <w:b/>
          <w:bCs/>
          <w:color w:val="auto"/>
          <w:sz w:val="24"/>
          <w:szCs w:val="24"/>
          <w:highlight w:val="none"/>
          <w:lang w:val="en-US" w:eastAsia="zh-Hans"/>
        </w:rPr>
      </w:pPr>
    </w:p>
    <w:p>
      <w:pPr>
        <w:pStyle w:val="46"/>
        <w:spacing w:line="300" w:lineRule="auto"/>
        <w:ind w:left="391" w:hanging="391" w:hangingChars="163"/>
        <w:jc w:val="both"/>
        <w:rPr>
          <w:rFonts w:hint="eastAsia" w:ascii="仿宋" w:hAnsi="仿宋" w:eastAsia="仿宋" w:cs="仿宋"/>
          <w:color w:val="auto"/>
          <w:highlight w:val="none"/>
        </w:rPr>
      </w:pPr>
    </w:p>
    <w:tbl>
      <w:tblPr>
        <w:tblStyle w:val="21"/>
        <w:tblW w:w="9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2400"/>
        <w:gridCol w:w="58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60" w:type="dxa"/>
            <w:vAlign w:val="center"/>
          </w:tcPr>
          <w:p>
            <w:pPr>
              <w:pStyle w:val="12"/>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2400" w:type="dxa"/>
            <w:vAlign w:val="center"/>
          </w:tcPr>
          <w:p>
            <w:pPr>
              <w:pStyle w:val="12"/>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w:t>
            </w:r>
          </w:p>
        </w:tc>
        <w:tc>
          <w:tcPr>
            <w:tcW w:w="5894" w:type="dxa"/>
            <w:vAlign w:val="center"/>
          </w:tcPr>
          <w:p>
            <w:pPr>
              <w:pStyle w:val="12"/>
              <w:spacing w:line="440" w:lineRule="exact"/>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60" w:type="dxa"/>
            <w:vAlign w:val="center"/>
          </w:tcPr>
          <w:p>
            <w:pPr>
              <w:pStyle w:val="12"/>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2400" w:type="dxa"/>
            <w:vAlign w:val="center"/>
          </w:tcPr>
          <w:p>
            <w:pPr>
              <w:pStyle w:val="12"/>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项目编号</w:t>
            </w:r>
          </w:p>
        </w:tc>
        <w:tc>
          <w:tcPr>
            <w:tcW w:w="5894" w:type="dxa"/>
            <w:vAlign w:val="center"/>
          </w:tcPr>
          <w:p>
            <w:pPr>
              <w:pStyle w:val="12"/>
              <w:spacing w:line="440" w:lineRule="exact"/>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60" w:type="dxa"/>
            <w:vAlign w:val="center"/>
          </w:tcPr>
          <w:p>
            <w:pPr>
              <w:pStyle w:val="12"/>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2400" w:type="dxa"/>
            <w:vAlign w:val="center"/>
          </w:tcPr>
          <w:p>
            <w:pPr>
              <w:pStyle w:val="12"/>
              <w:spacing w:line="440" w:lineRule="exact"/>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投标</w:t>
            </w:r>
            <w:r>
              <w:rPr>
                <w:rFonts w:hint="eastAsia" w:ascii="仿宋" w:hAnsi="仿宋" w:eastAsia="仿宋" w:cs="仿宋"/>
                <w:color w:val="auto"/>
                <w:sz w:val="24"/>
                <w:szCs w:val="24"/>
                <w:highlight w:val="none"/>
                <w:lang w:val="en-US" w:eastAsia="zh-CN"/>
              </w:rPr>
              <w:t>报价（元）</w:t>
            </w:r>
          </w:p>
        </w:tc>
        <w:tc>
          <w:tcPr>
            <w:tcW w:w="5894" w:type="dxa"/>
            <w:vAlign w:val="center"/>
          </w:tcPr>
          <w:p>
            <w:pPr>
              <w:pStyle w:val="12"/>
              <w:spacing w:line="440" w:lineRule="exac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大写：</w:t>
            </w:r>
          </w:p>
          <w:p>
            <w:pPr>
              <w:pStyle w:val="12"/>
              <w:spacing w:line="440" w:lineRule="exact"/>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60" w:type="dxa"/>
            <w:vAlign w:val="center"/>
          </w:tcPr>
          <w:p>
            <w:pPr>
              <w:pStyle w:val="12"/>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3 </w:t>
            </w:r>
          </w:p>
        </w:tc>
        <w:tc>
          <w:tcPr>
            <w:tcW w:w="2400" w:type="dxa"/>
            <w:vAlign w:val="center"/>
          </w:tcPr>
          <w:p>
            <w:pPr>
              <w:pStyle w:val="12"/>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质保期</w:t>
            </w:r>
          </w:p>
        </w:tc>
        <w:tc>
          <w:tcPr>
            <w:tcW w:w="5894" w:type="dxa"/>
            <w:vAlign w:val="center"/>
          </w:tcPr>
          <w:p>
            <w:pPr>
              <w:pStyle w:val="12"/>
              <w:spacing w:line="440" w:lineRule="exact"/>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60" w:type="dxa"/>
            <w:vAlign w:val="center"/>
          </w:tcPr>
          <w:p>
            <w:pPr>
              <w:pStyle w:val="12"/>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2400" w:type="dxa"/>
            <w:vAlign w:val="center"/>
          </w:tcPr>
          <w:p>
            <w:pPr>
              <w:pStyle w:val="12"/>
              <w:spacing w:line="440" w:lineRule="exact"/>
              <w:jc w:val="center"/>
              <w:rPr>
                <w:rFonts w:hint="eastAsia" w:ascii="仿宋" w:hAnsi="仿宋" w:eastAsia="仿宋" w:cs="仿宋"/>
                <w:color w:val="auto"/>
                <w:sz w:val="24"/>
                <w:szCs w:val="24"/>
                <w:highlight w:val="none"/>
                <w:lang w:val="en-US" w:eastAsia="zh-Hans"/>
              </w:rPr>
            </w:pPr>
            <w:r>
              <w:rPr>
                <w:rFonts w:hint="eastAsia" w:ascii="仿宋" w:hAnsi="仿宋" w:eastAsia="仿宋" w:cs="仿宋"/>
                <w:color w:val="auto"/>
                <w:sz w:val="24"/>
                <w:szCs w:val="24"/>
                <w:highlight w:val="none"/>
                <w:lang w:val="en-US" w:eastAsia="zh-Hans"/>
              </w:rPr>
              <w:t>供货与安装周期</w:t>
            </w:r>
          </w:p>
        </w:tc>
        <w:tc>
          <w:tcPr>
            <w:tcW w:w="5894" w:type="dxa"/>
            <w:vAlign w:val="center"/>
          </w:tcPr>
          <w:p>
            <w:pPr>
              <w:pStyle w:val="12"/>
              <w:spacing w:line="440" w:lineRule="exact"/>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60" w:type="dxa"/>
            <w:vAlign w:val="center"/>
          </w:tcPr>
          <w:p>
            <w:pPr>
              <w:pStyle w:val="12"/>
              <w:spacing w:line="440" w:lineRule="exact"/>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c>
          <w:tcPr>
            <w:tcW w:w="2400" w:type="dxa"/>
            <w:vAlign w:val="center"/>
          </w:tcPr>
          <w:p>
            <w:pPr>
              <w:pStyle w:val="12"/>
              <w:spacing w:line="440" w:lineRule="exact"/>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质量标准</w:t>
            </w:r>
          </w:p>
        </w:tc>
        <w:tc>
          <w:tcPr>
            <w:tcW w:w="5894" w:type="dxa"/>
            <w:vAlign w:val="center"/>
          </w:tcPr>
          <w:p>
            <w:pPr>
              <w:pStyle w:val="12"/>
              <w:spacing w:line="440" w:lineRule="exact"/>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60" w:type="dxa"/>
            <w:vAlign w:val="center"/>
          </w:tcPr>
          <w:p>
            <w:pPr>
              <w:pStyle w:val="12"/>
              <w:spacing w:line="440" w:lineRule="exact"/>
              <w:jc w:val="center"/>
              <w:rPr>
                <w:rFonts w:hint="eastAsia" w:ascii="仿宋" w:hAnsi="仿宋" w:eastAsia="仿宋" w:cs="仿宋"/>
                <w:color w:val="auto"/>
                <w:sz w:val="24"/>
                <w:szCs w:val="24"/>
                <w:highlight w:val="none"/>
              </w:rPr>
            </w:pPr>
          </w:p>
        </w:tc>
        <w:tc>
          <w:tcPr>
            <w:tcW w:w="2400" w:type="dxa"/>
            <w:vAlign w:val="center"/>
          </w:tcPr>
          <w:p>
            <w:pPr>
              <w:pStyle w:val="12"/>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备注</w:t>
            </w:r>
          </w:p>
        </w:tc>
        <w:tc>
          <w:tcPr>
            <w:tcW w:w="5894" w:type="dxa"/>
            <w:vAlign w:val="center"/>
          </w:tcPr>
          <w:p>
            <w:pPr>
              <w:pStyle w:val="12"/>
              <w:spacing w:line="440" w:lineRule="exact"/>
              <w:jc w:val="center"/>
              <w:rPr>
                <w:rFonts w:hint="eastAsia" w:ascii="仿宋" w:hAnsi="仿宋" w:eastAsia="仿宋" w:cs="仿宋"/>
                <w:color w:val="auto"/>
                <w:sz w:val="24"/>
                <w:szCs w:val="24"/>
                <w:highlight w:val="none"/>
              </w:rPr>
            </w:pPr>
          </w:p>
        </w:tc>
      </w:tr>
    </w:tbl>
    <w:p>
      <w:pPr>
        <w:pStyle w:val="46"/>
        <w:spacing w:line="440" w:lineRule="exact"/>
        <w:rPr>
          <w:rFonts w:hint="eastAsia" w:ascii="仿宋" w:hAnsi="仿宋" w:eastAsia="仿宋" w:cs="仿宋"/>
          <w:color w:val="auto"/>
          <w:highlight w:val="none"/>
        </w:rPr>
      </w:pPr>
      <w:r>
        <w:rPr>
          <w:rFonts w:hint="eastAsia" w:ascii="仿宋" w:hAnsi="仿宋" w:eastAsia="仿宋" w:cs="仿宋"/>
          <w:color w:val="auto"/>
          <w:highlight w:val="none"/>
        </w:rPr>
        <w:t>兹声明：以上投标报价在投标有效期内一直有效。</w:t>
      </w:r>
    </w:p>
    <w:p>
      <w:pPr>
        <w:spacing w:line="440" w:lineRule="exac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投标人名称（加盖公章）：</w:t>
      </w:r>
    </w:p>
    <w:p>
      <w:pPr>
        <w:pStyle w:val="47"/>
        <w:keepNext w:val="0"/>
        <w:keepLines w:val="0"/>
        <w:adjustRightInd/>
        <w:spacing w:before="0" w:line="440" w:lineRule="exact"/>
        <w:textAlignment w:val="auto"/>
        <w:outlineLvl w:val="9"/>
        <w:rPr>
          <w:rFonts w:hint="eastAsia" w:ascii="仿宋" w:hAnsi="仿宋" w:eastAsia="仿宋" w:cs="仿宋"/>
          <w:b w:val="0"/>
          <w:color w:val="auto"/>
          <w:kern w:val="2"/>
          <w:sz w:val="24"/>
          <w:szCs w:val="24"/>
          <w:highlight w:val="none"/>
        </w:rPr>
      </w:pPr>
      <w:r>
        <w:rPr>
          <w:rFonts w:hint="eastAsia" w:ascii="仿宋" w:hAnsi="仿宋" w:eastAsia="仿宋" w:cs="仿宋"/>
          <w:b w:val="0"/>
          <w:color w:val="auto"/>
          <w:sz w:val="24"/>
          <w:szCs w:val="24"/>
          <w:highlight w:val="none"/>
        </w:rPr>
        <w:t>代理（被授权人）签字或盖章：</w:t>
      </w:r>
    </w:p>
    <w:p>
      <w:pPr>
        <w:pStyle w:val="47"/>
        <w:keepNext w:val="0"/>
        <w:keepLines w:val="0"/>
        <w:adjustRightInd/>
        <w:spacing w:before="0" w:line="440" w:lineRule="exact"/>
        <w:textAlignment w:val="auto"/>
        <w:outlineLvl w:val="9"/>
        <w:rPr>
          <w:rFonts w:hint="eastAsia" w:ascii="仿宋" w:hAnsi="仿宋" w:eastAsia="仿宋" w:cs="仿宋"/>
          <w:b w:val="0"/>
          <w:color w:val="auto"/>
          <w:kern w:val="2"/>
          <w:sz w:val="24"/>
          <w:szCs w:val="24"/>
          <w:highlight w:val="none"/>
        </w:rPr>
      </w:pPr>
      <w:r>
        <w:rPr>
          <w:rFonts w:hint="eastAsia" w:ascii="仿宋" w:hAnsi="仿宋" w:eastAsia="仿宋" w:cs="仿宋"/>
          <w:b w:val="0"/>
          <w:color w:val="auto"/>
          <w:spacing w:val="36"/>
          <w:kern w:val="2"/>
          <w:sz w:val="24"/>
          <w:szCs w:val="24"/>
          <w:highlight w:val="none"/>
        </w:rPr>
        <w:t>日期</w:t>
      </w:r>
      <w:r>
        <w:rPr>
          <w:rFonts w:hint="eastAsia" w:ascii="仿宋" w:hAnsi="仿宋" w:eastAsia="仿宋" w:cs="仿宋"/>
          <w:b w:val="0"/>
          <w:color w:val="auto"/>
          <w:kern w:val="2"/>
          <w:sz w:val="24"/>
          <w:szCs w:val="24"/>
          <w:highlight w:val="none"/>
        </w:rPr>
        <w:t>：年月日</w:t>
      </w:r>
    </w:p>
    <w:p>
      <w:pPr>
        <w:pStyle w:val="10"/>
        <w:rPr>
          <w:rFonts w:hint="eastAsia" w:ascii="仿宋" w:hAnsi="仿宋" w:eastAsia="仿宋" w:cs="仿宋"/>
          <w:b/>
          <w:bCs/>
          <w:color w:val="auto"/>
          <w:kern w:val="2"/>
          <w:sz w:val="24"/>
          <w:szCs w:val="24"/>
          <w:highlight w:val="none"/>
        </w:rPr>
      </w:pPr>
      <w:r>
        <w:rPr>
          <w:rFonts w:hint="eastAsia" w:ascii="仿宋" w:hAnsi="仿宋" w:eastAsia="仿宋" w:cs="仿宋"/>
          <w:b/>
          <w:bCs/>
          <w:color w:val="auto"/>
          <w:sz w:val="24"/>
          <w:szCs w:val="24"/>
          <w:highlight w:val="none"/>
        </w:rPr>
        <w:t>注：1、此表</w:t>
      </w:r>
      <w:r>
        <w:rPr>
          <w:rFonts w:hint="eastAsia" w:ascii="仿宋" w:hAnsi="仿宋" w:eastAsia="仿宋" w:cs="仿宋"/>
          <w:b/>
          <w:bCs/>
          <w:color w:val="auto"/>
          <w:sz w:val="24"/>
          <w:highlight w:val="none"/>
        </w:rPr>
        <w:t>与投标保证金</w:t>
      </w:r>
      <w:r>
        <w:rPr>
          <w:rFonts w:hint="eastAsia" w:ascii="仿宋" w:hAnsi="仿宋" w:eastAsia="仿宋" w:cs="仿宋"/>
          <w:b/>
          <w:bCs/>
          <w:color w:val="auto"/>
          <w:sz w:val="24"/>
          <w:highlight w:val="none"/>
          <w:lang w:val="en-US" w:eastAsia="zh-Hans"/>
        </w:rPr>
        <w:t>缴纳凭证</w:t>
      </w:r>
      <w:r>
        <w:rPr>
          <w:rFonts w:hint="eastAsia" w:ascii="仿宋" w:hAnsi="仿宋" w:eastAsia="仿宋" w:cs="仿宋"/>
          <w:b/>
          <w:bCs/>
          <w:color w:val="auto"/>
          <w:sz w:val="24"/>
          <w:highlight w:val="none"/>
        </w:rPr>
        <w:t>一同装在一单独的信封内密封</w:t>
      </w:r>
      <w:r>
        <w:rPr>
          <w:rFonts w:hint="eastAsia" w:ascii="仿宋" w:hAnsi="仿宋" w:eastAsia="仿宋" w:cs="仿宋"/>
          <w:b/>
          <w:bCs/>
          <w:color w:val="auto"/>
          <w:sz w:val="24"/>
          <w:szCs w:val="24"/>
          <w:highlight w:val="none"/>
        </w:rPr>
        <w:t>后单独提交。</w:t>
      </w:r>
    </w:p>
    <w:p>
      <w:pPr>
        <w:pStyle w:val="46"/>
        <w:spacing w:line="440" w:lineRule="exact"/>
        <w:ind w:firstLine="482" w:firstLineChars="200"/>
        <w:rPr>
          <w:rFonts w:hint="eastAsia" w:ascii="仿宋" w:hAnsi="仿宋" w:eastAsia="仿宋" w:cs="仿宋"/>
          <w:b/>
          <w:bCs/>
          <w:color w:val="auto"/>
          <w:kern w:val="2"/>
          <w:highlight w:val="none"/>
        </w:rPr>
      </w:pPr>
      <w:r>
        <w:rPr>
          <w:rFonts w:hint="eastAsia" w:ascii="仿宋" w:hAnsi="仿宋" w:eastAsia="仿宋" w:cs="仿宋"/>
          <w:b/>
          <w:bCs/>
          <w:color w:val="auto"/>
          <w:kern w:val="2"/>
          <w:highlight w:val="none"/>
        </w:rPr>
        <w:t>2、本表格式不得更改，投标人只能按要求填报，否则将被视为无效投标。</w:t>
      </w:r>
    </w:p>
    <w:p>
      <w:pPr>
        <w:pageBreakBefore w:val="0"/>
        <w:kinsoku/>
        <w:wordWrap/>
        <w:bidi w:val="0"/>
        <w:adjustRightInd w:val="0"/>
        <w:snapToGrid w:val="0"/>
        <w:spacing w:line="360" w:lineRule="auto"/>
        <w:ind w:left="0" w:leftChars="0" w:right="0" w:rightChars="0"/>
        <w:jc w:val="center"/>
        <w:rPr>
          <w:rFonts w:hint="eastAsia" w:ascii="仿宋" w:hAnsi="仿宋" w:eastAsia="仿宋" w:cs="仿宋"/>
          <w:b/>
          <w:bCs/>
          <w:color w:val="auto"/>
          <w:sz w:val="24"/>
          <w:szCs w:val="24"/>
          <w:highlight w:val="none"/>
        </w:rPr>
        <w:sectPr>
          <w:pgSz w:w="11906" w:h="16838"/>
          <w:pgMar w:top="1418" w:right="1588" w:bottom="1418" w:left="1588" w:header="851" w:footer="992" w:gutter="0"/>
          <w:cols w:space="720" w:num="1"/>
          <w:docGrid w:type="lines" w:linePitch="312" w:charSpace="0"/>
        </w:sectPr>
      </w:pPr>
    </w:p>
    <w:bookmarkEnd w:id="429"/>
    <w:bookmarkEnd w:id="430"/>
    <w:bookmarkEnd w:id="431"/>
    <w:bookmarkEnd w:id="432"/>
    <w:bookmarkEnd w:id="433"/>
    <w:bookmarkEnd w:id="434"/>
    <w:bookmarkEnd w:id="435"/>
    <w:p>
      <w:pPr>
        <w:pageBreakBefore w:val="0"/>
        <w:tabs>
          <w:tab w:val="left" w:pos="720"/>
        </w:tabs>
        <w:kinsoku/>
        <w:wordWrap/>
        <w:bidi w:val="0"/>
        <w:adjustRightInd w:val="0"/>
        <w:snapToGrid w:val="0"/>
        <w:spacing w:line="360" w:lineRule="auto"/>
        <w:ind w:left="0" w:leftChars="0" w:right="0" w:rightChars="0"/>
        <w:jc w:val="center"/>
        <w:rPr>
          <w:rFonts w:hint="eastAsia" w:ascii="宋体" w:hAnsi="宋体" w:eastAsia="宋体" w:cs="宋体"/>
          <w:b/>
          <w:sz w:val="24"/>
          <w:szCs w:val="24"/>
          <w:highlight w:val="none"/>
        </w:rPr>
      </w:pPr>
      <w:r>
        <w:rPr>
          <w:rFonts w:hint="eastAsia" w:ascii="宋体" w:hAnsi="宋体" w:cs="宋体"/>
          <w:b/>
          <w:sz w:val="24"/>
          <w:szCs w:val="24"/>
          <w:highlight w:val="none"/>
          <w:lang w:eastAsia="zh-CN"/>
        </w:rPr>
        <w:t>（</w:t>
      </w:r>
      <w:r>
        <w:rPr>
          <w:rFonts w:hint="eastAsia" w:ascii="宋体" w:hAnsi="宋体" w:cs="宋体"/>
          <w:b/>
          <w:sz w:val="24"/>
          <w:szCs w:val="24"/>
          <w:highlight w:val="none"/>
          <w:lang w:val="en-US" w:eastAsia="zh-CN"/>
        </w:rPr>
        <w:t>3</w:t>
      </w:r>
      <w:r>
        <w:rPr>
          <w:rFonts w:hint="eastAsia" w:ascii="宋体" w:hAnsi="宋体" w:cs="宋体"/>
          <w:b/>
          <w:sz w:val="24"/>
          <w:szCs w:val="24"/>
          <w:highlight w:val="none"/>
          <w:lang w:eastAsia="zh-CN"/>
        </w:rPr>
        <w:t>）</w:t>
      </w:r>
      <w:r>
        <w:rPr>
          <w:rFonts w:hint="eastAsia" w:ascii="宋体" w:hAnsi="宋体" w:eastAsia="宋体" w:cs="宋体"/>
          <w:b/>
          <w:sz w:val="24"/>
          <w:szCs w:val="24"/>
          <w:highlight w:val="none"/>
        </w:rPr>
        <w:t>分项报价表</w:t>
      </w:r>
    </w:p>
    <w:p>
      <w:pPr>
        <w:pageBreakBefore w:val="0"/>
        <w:kinsoku/>
        <w:wordWrap/>
        <w:bidi w:val="0"/>
        <w:adjustRightInd w:val="0"/>
        <w:snapToGrid w:val="0"/>
        <w:spacing w:line="360" w:lineRule="auto"/>
        <w:ind w:left="0" w:leftChars="0" w:right="0" w:rightChars="0"/>
        <w:jc w:val="right"/>
        <w:rPr>
          <w:rFonts w:hint="eastAsia" w:ascii="宋体" w:hAnsi="宋体" w:eastAsia="宋体" w:cs="宋体"/>
          <w:sz w:val="24"/>
          <w:szCs w:val="24"/>
          <w:highlight w:val="none"/>
        </w:rPr>
      </w:pPr>
      <w:r>
        <w:rPr>
          <w:rFonts w:hint="eastAsia" w:ascii="宋体" w:hAnsi="宋体" w:eastAsia="宋体" w:cs="宋体"/>
          <w:sz w:val="24"/>
          <w:szCs w:val="24"/>
          <w:highlight w:val="none"/>
        </w:rPr>
        <w:t>单位：人民币元</w:t>
      </w:r>
    </w:p>
    <w:p>
      <w:pPr>
        <w:pageBreakBefore w:val="0"/>
        <w:kinsoku/>
        <w:wordWrap/>
        <w:bidi w:val="0"/>
        <w:adjustRightInd w:val="0"/>
        <w:snapToGrid w:val="0"/>
        <w:spacing w:line="360" w:lineRule="auto"/>
        <w:ind w:left="0" w:leftChars="0" w:right="0" w:rightChars="0"/>
        <w:jc w:val="right"/>
        <w:rPr>
          <w:rFonts w:hint="eastAsia" w:ascii="宋体" w:hAnsi="宋体" w:eastAsia="宋体" w:cs="宋体"/>
          <w:sz w:val="24"/>
          <w:szCs w:val="24"/>
          <w:highlight w:val="none"/>
        </w:rPr>
      </w:pPr>
    </w:p>
    <w:p>
      <w:pPr>
        <w:tabs>
          <w:tab w:val="left" w:pos="5100"/>
        </w:tabs>
        <w:spacing w:line="440" w:lineRule="exact"/>
        <w:rPr>
          <w:rFonts w:hint="eastAsia" w:ascii="宋体" w:hAnsi="宋体" w:eastAsia="宋体" w:cs="宋体"/>
          <w:bCs/>
          <w:sz w:val="24"/>
          <w:szCs w:val="24"/>
          <w:highlight w:val="none"/>
        </w:rPr>
      </w:pPr>
      <w:r>
        <w:rPr>
          <w:rFonts w:hint="eastAsia" w:ascii="宋体" w:hAnsi="宋体" w:eastAsia="宋体" w:cs="宋体"/>
          <w:bCs/>
          <w:sz w:val="24"/>
          <w:szCs w:val="24"/>
          <w:highlight w:val="none"/>
          <w:lang w:val="en-US" w:eastAsia="zh-CN"/>
        </w:rPr>
        <w:t>项目名称：</w:t>
      </w:r>
      <w:r>
        <w:rPr>
          <w:rFonts w:hint="eastAsia" w:ascii="宋体" w:hAnsi="宋体" w:eastAsia="宋体" w:cs="宋体"/>
          <w:bCs/>
          <w:sz w:val="24"/>
          <w:szCs w:val="24"/>
          <w:highlight w:val="none"/>
        </w:rPr>
        <w:t xml:space="preserve">  </w:t>
      </w:r>
    </w:p>
    <w:p>
      <w:pPr>
        <w:tabs>
          <w:tab w:val="left" w:pos="5100"/>
        </w:tabs>
        <w:spacing w:line="440" w:lineRule="exact"/>
        <w:rPr>
          <w:rFonts w:hint="eastAsia" w:ascii="宋体" w:hAnsi="宋体" w:eastAsia="宋体" w:cs="宋体"/>
          <w:bCs/>
          <w:sz w:val="24"/>
          <w:szCs w:val="24"/>
          <w:highlight w:val="none"/>
        </w:rPr>
      </w:pPr>
      <w:r>
        <w:rPr>
          <w:rFonts w:hint="eastAsia" w:ascii="宋体" w:hAnsi="宋体" w:eastAsia="宋体" w:cs="宋体"/>
          <w:bCs/>
          <w:sz w:val="24"/>
          <w:szCs w:val="24"/>
          <w:highlight w:val="none"/>
        </w:rPr>
        <w:t>招标编号：</w:t>
      </w:r>
    </w:p>
    <w:p>
      <w:pPr>
        <w:tabs>
          <w:tab w:val="left" w:pos="5100"/>
        </w:tabs>
        <w:spacing w:line="440" w:lineRule="exact"/>
        <w:rPr>
          <w:rFonts w:hint="eastAsia" w:ascii="宋体" w:hAnsi="宋体" w:eastAsia="宋体" w:cs="宋体"/>
          <w:bCs/>
          <w:sz w:val="24"/>
          <w:szCs w:val="24"/>
          <w:highlight w:val="none"/>
        </w:rPr>
      </w:pPr>
      <w:r>
        <w:rPr>
          <w:rFonts w:hint="eastAsia" w:ascii="宋体" w:hAnsi="宋体" w:eastAsia="宋体" w:cs="宋体"/>
          <w:bCs/>
          <w:sz w:val="24"/>
          <w:szCs w:val="24"/>
          <w:highlight w:val="none"/>
          <w:lang w:val="en-US" w:eastAsia="zh-CN"/>
        </w:rPr>
        <w:t>标</w:t>
      </w:r>
      <w:r>
        <w:rPr>
          <w:rFonts w:hint="eastAsia" w:ascii="宋体" w:hAnsi="宋体" w:eastAsia="宋体" w:cs="宋体"/>
          <w:bCs/>
          <w:sz w:val="24"/>
          <w:szCs w:val="24"/>
          <w:highlight w:val="none"/>
        </w:rPr>
        <w:t xml:space="preserve">项名称： </w:t>
      </w:r>
    </w:p>
    <w:tbl>
      <w:tblPr>
        <w:tblStyle w:val="21"/>
        <w:tblW w:w="867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74"/>
        <w:gridCol w:w="2136"/>
        <w:gridCol w:w="1080"/>
        <w:gridCol w:w="1221"/>
        <w:gridCol w:w="788"/>
        <w:gridCol w:w="837"/>
        <w:gridCol w:w="754"/>
        <w:gridCol w:w="10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2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名称</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品牌</w:t>
            </w:r>
          </w:p>
        </w:tc>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型号规格</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总价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4</w:t>
            </w:r>
          </w:p>
        </w:tc>
        <w:tc>
          <w:tcPr>
            <w:tcW w:w="2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5</w:t>
            </w:r>
          </w:p>
        </w:tc>
        <w:tc>
          <w:tcPr>
            <w:tcW w:w="2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6</w:t>
            </w:r>
          </w:p>
        </w:tc>
        <w:tc>
          <w:tcPr>
            <w:tcW w:w="2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7</w:t>
            </w:r>
          </w:p>
        </w:tc>
        <w:tc>
          <w:tcPr>
            <w:tcW w:w="2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8</w:t>
            </w:r>
          </w:p>
        </w:tc>
        <w:tc>
          <w:tcPr>
            <w:tcW w:w="2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9</w:t>
            </w:r>
          </w:p>
        </w:tc>
        <w:tc>
          <w:tcPr>
            <w:tcW w:w="2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bl>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b/>
          <w:sz w:val="24"/>
          <w:highlight w:val="none"/>
        </w:rPr>
      </w:pP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highlight w:val="none"/>
        </w:rPr>
      </w:pPr>
      <w:r>
        <w:rPr>
          <w:rFonts w:hint="eastAsia" w:ascii="宋体" w:hAnsi="宋体" w:eastAsia="宋体" w:cs="宋体"/>
          <w:b/>
          <w:sz w:val="24"/>
          <w:highlight w:val="none"/>
        </w:rPr>
        <w:t>投标人名称（加盖公章）：</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highlight w:val="none"/>
        </w:rPr>
      </w:pPr>
      <w:r>
        <w:rPr>
          <w:rFonts w:hint="eastAsia" w:ascii="宋体" w:hAnsi="宋体" w:eastAsia="宋体" w:cs="宋体"/>
          <w:b/>
          <w:sz w:val="24"/>
          <w:highlight w:val="none"/>
        </w:rPr>
        <w:t>投标人代表签字或盖章：</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b/>
          <w:sz w:val="24"/>
          <w:highlight w:val="none"/>
        </w:rPr>
      </w:pPr>
      <w:r>
        <w:rPr>
          <w:rFonts w:hint="eastAsia" w:ascii="宋体" w:hAnsi="宋体" w:eastAsia="宋体" w:cs="宋体"/>
          <w:b/>
          <w:sz w:val="24"/>
          <w:highlight w:val="none"/>
        </w:rPr>
        <w:t>日期：</w:t>
      </w:r>
    </w:p>
    <w:p>
      <w:pPr>
        <w:pStyle w:val="10"/>
        <w:rPr>
          <w:rFonts w:hint="eastAsia" w:ascii="宋体" w:hAnsi="宋体" w:eastAsia="宋体" w:cs="宋体"/>
          <w:highlight w:val="none"/>
        </w:rPr>
        <w:sectPr>
          <w:pgSz w:w="11906" w:h="16838"/>
          <w:pgMar w:top="1418" w:right="1588" w:bottom="1418" w:left="1588" w:header="851" w:footer="992" w:gutter="0"/>
          <w:cols w:space="720" w:num="1"/>
          <w:docGrid w:type="lines" w:linePitch="312" w:charSpace="0"/>
        </w:sectPr>
      </w:pPr>
    </w:p>
    <w:p>
      <w:pPr>
        <w:pageBreakBefore w:val="0"/>
        <w:kinsoku/>
        <w:wordWrap/>
        <w:bidi w:val="0"/>
        <w:adjustRightInd w:val="0"/>
        <w:snapToGrid w:val="0"/>
        <w:spacing w:line="360" w:lineRule="auto"/>
        <w:ind w:left="0" w:leftChars="0" w:right="0" w:rightChars="0"/>
        <w:jc w:val="center"/>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4</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rPr>
        <w:t>法定代表人身份证明</w:t>
      </w:r>
      <w:bookmarkEnd w:id="436"/>
    </w:p>
    <w:p>
      <w:pPr>
        <w:pageBreakBefore w:val="0"/>
        <w:kinsoku/>
        <w:wordWrap/>
        <w:bidi w:val="0"/>
        <w:adjustRightInd w:val="0"/>
        <w:snapToGrid w:val="0"/>
        <w:spacing w:line="360" w:lineRule="auto"/>
        <w:ind w:left="0" w:leftChars="0" w:right="0" w:rightChars="0"/>
        <w:rPr>
          <w:rFonts w:hint="eastAsia" w:ascii="仿宋" w:hAnsi="仿宋" w:eastAsia="仿宋" w:cs="仿宋"/>
          <w:color w:val="auto"/>
          <w:sz w:val="24"/>
          <w:szCs w:val="24"/>
          <w:highlight w:val="none"/>
        </w:rPr>
      </w:pPr>
    </w:p>
    <w:p>
      <w:pPr>
        <w:pageBreakBefore w:val="0"/>
        <w:kinsoku/>
        <w:wordWrap/>
        <w:bidi w:val="0"/>
        <w:adjustRightInd w:val="0"/>
        <w:snapToGrid w:val="0"/>
        <w:spacing w:line="360" w:lineRule="auto"/>
        <w:ind w:left="0" w:leftChars="0" w:right="0" w:rightChars="0"/>
        <w:rPr>
          <w:rFonts w:hint="eastAsia" w:ascii="仿宋" w:hAnsi="仿宋" w:eastAsia="仿宋" w:cs="仿宋"/>
          <w:color w:val="auto"/>
          <w:sz w:val="24"/>
          <w:szCs w:val="24"/>
          <w:highlight w:val="none"/>
        </w:rPr>
      </w:pPr>
    </w:p>
    <w:p>
      <w:pPr>
        <w:pageBreakBefore w:val="0"/>
        <w:kinsoku/>
        <w:wordWrap/>
        <w:bidi w:val="0"/>
        <w:adjustRightInd w:val="0"/>
        <w:snapToGrid w:val="0"/>
        <w:spacing w:line="360" w:lineRule="auto"/>
        <w:ind w:left="0" w:leftChars="0" w:right="0" w:righ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投标人名称：</w:t>
      </w:r>
      <w:r>
        <w:rPr>
          <w:rFonts w:hint="eastAsia" w:ascii="仿宋" w:hAnsi="仿宋" w:eastAsia="仿宋" w:cs="仿宋"/>
          <w:color w:val="auto"/>
          <w:sz w:val="24"/>
          <w:szCs w:val="24"/>
          <w:highlight w:val="none"/>
          <w:u w:val="single"/>
        </w:rPr>
        <w:t xml:space="preserve">                            </w:t>
      </w:r>
    </w:p>
    <w:p>
      <w:pPr>
        <w:pageBreakBefore w:val="0"/>
        <w:kinsoku/>
        <w:wordWrap/>
        <w:bidi w:val="0"/>
        <w:adjustRightInd w:val="0"/>
        <w:snapToGrid w:val="0"/>
        <w:spacing w:line="360" w:lineRule="auto"/>
        <w:ind w:left="0" w:leftChars="0" w:right="0" w:righ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姓名：</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性别：</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年龄：</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职务：</w:t>
      </w:r>
      <w:r>
        <w:rPr>
          <w:rFonts w:hint="eastAsia" w:ascii="仿宋" w:hAnsi="仿宋" w:eastAsia="仿宋" w:cs="仿宋"/>
          <w:color w:val="auto"/>
          <w:sz w:val="24"/>
          <w:szCs w:val="24"/>
          <w:highlight w:val="none"/>
          <w:u w:val="single"/>
        </w:rPr>
        <w:t xml:space="preserve">         </w:t>
      </w:r>
    </w:p>
    <w:p>
      <w:pPr>
        <w:pageBreakBefore w:val="0"/>
        <w:kinsoku/>
        <w:wordWrap/>
        <w:bidi w:val="0"/>
        <w:adjustRightInd w:val="0"/>
        <w:snapToGrid w:val="0"/>
        <w:spacing w:line="360" w:lineRule="auto"/>
        <w:ind w:left="0" w:leftChars="0" w:right="0" w:righ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系</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（投标人名称）的法定代表人。</w:t>
      </w:r>
    </w:p>
    <w:p>
      <w:pPr>
        <w:pageBreakBefore w:val="0"/>
        <w:kinsoku/>
        <w:wordWrap/>
        <w:bidi w:val="0"/>
        <w:adjustRightInd w:val="0"/>
        <w:snapToGrid w:val="0"/>
        <w:spacing w:line="360" w:lineRule="auto"/>
        <w:ind w:left="0" w:leftChars="0" w:right="0" w:righ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特此证明。</w:t>
      </w:r>
    </w:p>
    <w:p>
      <w:pPr>
        <w:pageBreakBefore w:val="0"/>
        <w:kinsoku/>
        <w:wordWrap/>
        <w:bidi w:val="0"/>
        <w:adjustRightInd w:val="0"/>
        <w:snapToGrid w:val="0"/>
        <w:spacing w:line="360" w:lineRule="auto"/>
        <w:ind w:left="0" w:leftChars="0" w:right="0" w:rightChars="0" w:firstLine="480" w:firstLineChars="200"/>
        <w:rPr>
          <w:rFonts w:hint="eastAsia" w:ascii="仿宋" w:hAnsi="仿宋" w:eastAsia="仿宋" w:cs="仿宋"/>
          <w:color w:val="auto"/>
          <w:sz w:val="24"/>
          <w:szCs w:val="24"/>
          <w:highlight w:val="none"/>
        </w:rPr>
      </w:pPr>
    </w:p>
    <w:p>
      <w:pPr>
        <w:pageBreakBefore w:val="0"/>
        <w:kinsoku/>
        <w:wordWrap/>
        <w:bidi w:val="0"/>
        <w:adjustRightInd w:val="0"/>
        <w:snapToGrid w:val="0"/>
        <w:spacing w:line="360" w:lineRule="auto"/>
        <w:ind w:left="0" w:leftChars="0" w:right="0" w:rightChars="0"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附：法定代表人身份证复印件。</w:t>
      </w:r>
    </w:p>
    <w:p>
      <w:pPr>
        <w:pageBreakBefore w:val="0"/>
        <w:kinsoku/>
        <w:wordWrap/>
        <w:bidi w:val="0"/>
        <w:adjustRightInd w:val="0"/>
        <w:snapToGrid w:val="0"/>
        <w:spacing w:line="360" w:lineRule="auto"/>
        <w:ind w:left="0" w:leftChars="0" w:right="0" w:rightChars="0" w:firstLine="480" w:firstLineChars="200"/>
        <w:rPr>
          <w:rFonts w:hint="eastAsia" w:ascii="仿宋" w:hAnsi="仿宋" w:eastAsia="仿宋" w:cs="仿宋"/>
          <w:color w:val="auto"/>
          <w:sz w:val="24"/>
          <w:szCs w:val="24"/>
          <w:highlight w:val="none"/>
        </w:rPr>
      </w:pPr>
    </w:p>
    <w:p>
      <w:pPr>
        <w:pageBreakBefore w:val="0"/>
        <w:kinsoku/>
        <w:wordWrap/>
        <w:bidi w:val="0"/>
        <w:adjustRightInd w:val="0"/>
        <w:snapToGrid w:val="0"/>
        <w:spacing w:line="360" w:lineRule="auto"/>
        <w:ind w:left="0" w:leftChars="0" w:right="0" w:rightChars="0"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注：本身份证明需由投标人加盖单位公章。</w:t>
      </w:r>
    </w:p>
    <w:p>
      <w:pPr>
        <w:pageBreakBefore w:val="0"/>
        <w:kinsoku/>
        <w:wordWrap/>
        <w:bidi w:val="0"/>
        <w:adjustRightInd w:val="0"/>
        <w:snapToGrid w:val="0"/>
        <w:spacing w:line="360" w:lineRule="auto"/>
        <w:ind w:left="0" w:leftChars="0" w:right="0" w:rightChars="0"/>
        <w:rPr>
          <w:rFonts w:hint="eastAsia" w:ascii="仿宋" w:hAnsi="仿宋" w:eastAsia="仿宋" w:cs="仿宋"/>
          <w:color w:val="auto"/>
          <w:sz w:val="24"/>
          <w:szCs w:val="24"/>
          <w:highlight w:val="none"/>
        </w:rPr>
      </w:pPr>
    </w:p>
    <w:p>
      <w:pPr>
        <w:pageBreakBefore w:val="0"/>
        <w:kinsoku/>
        <w:wordWrap/>
        <w:bidi w:val="0"/>
        <w:adjustRightInd w:val="0"/>
        <w:snapToGrid w:val="0"/>
        <w:spacing w:line="360" w:lineRule="auto"/>
        <w:ind w:left="0" w:leftChars="0" w:right="0" w:rightChars="0"/>
        <w:rPr>
          <w:rFonts w:hint="eastAsia" w:ascii="仿宋" w:hAnsi="仿宋" w:eastAsia="仿宋" w:cs="仿宋"/>
          <w:color w:val="auto"/>
          <w:sz w:val="24"/>
          <w:szCs w:val="24"/>
          <w:highlight w:val="none"/>
        </w:rPr>
      </w:pPr>
    </w:p>
    <w:p>
      <w:pPr>
        <w:pageBreakBefore w:val="0"/>
        <w:kinsoku/>
        <w:wordWrap/>
        <w:bidi w:val="0"/>
        <w:adjustRightInd w:val="0"/>
        <w:snapToGrid w:val="0"/>
        <w:spacing w:line="360" w:lineRule="auto"/>
        <w:ind w:left="0" w:leftChars="0" w:right="0" w:right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投标人：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（加盖单位公章）</w:t>
      </w:r>
    </w:p>
    <w:p>
      <w:pPr>
        <w:pageBreakBefore w:val="0"/>
        <w:kinsoku/>
        <w:wordWrap/>
        <w:bidi w:val="0"/>
        <w:adjustRightInd w:val="0"/>
        <w:snapToGrid w:val="0"/>
        <w:spacing w:line="360" w:lineRule="auto"/>
        <w:ind w:left="0" w:leftChars="0" w:right="0" w:rightChars="0"/>
        <w:rPr>
          <w:rFonts w:hint="eastAsia" w:ascii="仿宋" w:hAnsi="仿宋" w:eastAsia="仿宋" w:cs="仿宋"/>
          <w:color w:val="auto"/>
          <w:sz w:val="24"/>
          <w:szCs w:val="24"/>
          <w:highlight w:val="none"/>
        </w:rPr>
      </w:pPr>
    </w:p>
    <w:p>
      <w:pPr>
        <w:pageBreakBefore w:val="0"/>
        <w:kinsoku/>
        <w:wordWrap/>
        <w:bidi w:val="0"/>
        <w:adjustRightInd w:val="0"/>
        <w:snapToGrid w:val="0"/>
        <w:spacing w:line="360" w:lineRule="auto"/>
        <w:ind w:left="0" w:leftChars="0" w:right="0" w:rightChars="0"/>
        <w:rPr>
          <w:rFonts w:hint="eastAsia" w:ascii="仿宋" w:hAnsi="仿宋" w:eastAsia="仿宋" w:cs="仿宋"/>
          <w:color w:val="auto"/>
          <w:sz w:val="24"/>
          <w:szCs w:val="24"/>
          <w:highlight w:val="none"/>
        </w:rPr>
      </w:pPr>
    </w:p>
    <w:p>
      <w:pPr>
        <w:pageBreakBefore w:val="0"/>
        <w:kinsoku/>
        <w:wordWrap/>
        <w:bidi w:val="0"/>
        <w:adjustRightInd w:val="0"/>
        <w:snapToGrid w:val="0"/>
        <w:spacing w:line="360" w:lineRule="auto"/>
        <w:ind w:left="0" w:leftChars="0" w:right="0" w:right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pPr>
        <w:pageBreakBefore w:val="0"/>
        <w:kinsoku/>
        <w:wordWrap/>
        <w:bidi w:val="0"/>
        <w:adjustRightInd w:val="0"/>
        <w:snapToGrid w:val="0"/>
        <w:spacing w:line="360" w:lineRule="auto"/>
        <w:ind w:left="0" w:leftChars="0" w:right="0" w:right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bookmarkStart w:id="437" w:name="_Toc514837981"/>
      <w:bookmarkStart w:id="438" w:name="_Toc246996360"/>
      <w:bookmarkStart w:id="439" w:name="_Toc152045792"/>
      <w:bookmarkStart w:id="440" w:name="_Toc144974861"/>
      <w:bookmarkStart w:id="441" w:name="_Toc152042581"/>
      <w:bookmarkStart w:id="442" w:name="_Toc246997103"/>
      <w:bookmarkStart w:id="443" w:name="_Toc247085878"/>
      <w:bookmarkStart w:id="444" w:name="_Toc179632812"/>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lang w:eastAsia="zh-CN"/>
        </w:rPr>
        <w:t>）</w:t>
      </w:r>
      <w:r>
        <w:rPr>
          <w:rFonts w:hint="eastAsia" w:ascii="仿宋" w:hAnsi="仿宋" w:eastAsia="仿宋" w:cs="仿宋"/>
          <w:b/>
          <w:bCs/>
          <w:color w:val="auto"/>
          <w:sz w:val="24"/>
          <w:szCs w:val="24"/>
          <w:highlight w:val="none"/>
        </w:rPr>
        <w:t>授权委托书</w:t>
      </w:r>
      <w:bookmarkEnd w:id="437"/>
      <w:bookmarkEnd w:id="438"/>
      <w:bookmarkEnd w:id="439"/>
      <w:bookmarkEnd w:id="440"/>
      <w:bookmarkEnd w:id="441"/>
      <w:bookmarkEnd w:id="442"/>
      <w:bookmarkEnd w:id="443"/>
      <w:bookmarkEnd w:id="444"/>
    </w:p>
    <w:p>
      <w:pPr>
        <w:pageBreakBefore w:val="0"/>
        <w:kinsoku/>
        <w:wordWrap/>
        <w:bidi w:val="0"/>
        <w:adjustRightInd w:val="0"/>
        <w:snapToGrid w:val="0"/>
        <w:spacing w:line="360" w:lineRule="auto"/>
        <w:ind w:left="0" w:leftChars="0" w:right="0" w:rightChars="0"/>
        <w:rPr>
          <w:rFonts w:hint="eastAsia" w:ascii="仿宋" w:hAnsi="仿宋" w:eastAsia="仿宋" w:cs="仿宋"/>
          <w:color w:val="auto"/>
          <w:sz w:val="24"/>
          <w:szCs w:val="24"/>
          <w:highlight w:val="none"/>
        </w:rPr>
      </w:pPr>
    </w:p>
    <w:p>
      <w:pPr>
        <w:pageBreakBefore w:val="0"/>
        <w:kinsoku/>
        <w:wordWrap/>
        <w:topLinePunct/>
        <w:bidi w:val="0"/>
        <w:adjustRightInd w:val="0"/>
        <w:snapToGrid w:val="0"/>
        <w:spacing w:line="360" w:lineRule="auto"/>
        <w:ind w:left="0" w:leftChars="0" w:right="0" w:righ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（姓名）系</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（投标人名称）的法定代表人，现委托</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（姓名）为我方代理人。代理人根据授权，以我方名义签署、澄清确认、递交、撤回、修改本招标项目投标文件、签订合同和处理有关事宜，其法律后果由我方承担。</w:t>
      </w:r>
    </w:p>
    <w:p>
      <w:pPr>
        <w:pageBreakBefore w:val="0"/>
        <w:kinsoku/>
        <w:wordWrap/>
        <w:bidi w:val="0"/>
        <w:adjustRightInd w:val="0"/>
        <w:snapToGrid w:val="0"/>
        <w:spacing w:line="360" w:lineRule="auto"/>
        <w:ind w:left="0" w:leftChars="0" w:right="0" w:right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委托期限：</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pPr>
        <w:pageBreakBefore w:val="0"/>
        <w:kinsoku/>
        <w:wordWrap/>
        <w:bidi w:val="0"/>
        <w:adjustRightInd w:val="0"/>
        <w:snapToGrid w:val="0"/>
        <w:spacing w:line="360" w:lineRule="auto"/>
        <w:ind w:left="0" w:leftChars="0" w:right="0" w:righ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代理人无转委托权。</w:t>
      </w:r>
    </w:p>
    <w:p>
      <w:pPr>
        <w:pageBreakBefore w:val="0"/>
        <w:kinsoku/>
        <w:wordWrap/>
        <w:bidi w:val="0"/>
        <w:adjustRightInd w:val="0"/>
        <w:snapToGrid w:val="0"/>
        <w:spacing w:line="360" w:lineRule="auto"/>
        <w:ind w:left="0" w:leftChars="0" w:right="0" w:rightChars="0"/>
        <w:rPr>
          <w:rFonts w:hint="eastAsia" w:ascii="仿宋" w:hAnsi="仿宋" w:eastAsia="仿宋" w:cs="仿宋"/>
          <w:b/>
          <w:color w:val="auto"/>
          <w:sz w:val="24"/>
          <w:szCs w:val="24"/>
          <w:highlight w:val="none"/>
        </w:rPr>
      </w:pPr>
    </w:p>
    <w:p>
      <w:pPr>
        <w:pageBreakBefore w:val="0"/>
        <w:kinsoku/>
        <w:wordWrap/>
        <w:bidi w:val="0"/>
        <w:adjustRightInd w:val="0"/>
        <w:snapToGrid w:val="0"/>
        <w:spacing w:line="360" w:lineRule="auto"/>
        <w:ind w:left="0" w:leftChars="0" w:right="0" w:rightChars="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附：法定代表人身份证复印件及委托代理人身份证复印件</w:t>
      </w:r>
    </w:p>
    <w:p>
      <w:pPr>
        <w:pageBreakBefore w:val="0"/>
        <w:kinsoku/>
        <w:wordWrap/>
        <w:bidi w:val="0"/>
        <w:adjustRightInd w:val="0"/>
        <w:snapToGrid w:val="0"/>
        <w:spacing w:line="360" w:lineRule="auto"/>
        <w:ind w:left="0" w:leftChars="0" w:right="0" w:rightChars="0"/>
        <w:rPr>
          <w:rFonts w:hint="eastAsia" w:ascii="仿宋" w:hAnsi="仿宋" w:eastAsia="仿宋" w:cs="仿宋"/>
          <w:color w:val="auto"/>
          <w:sz w:val="24"/>
          <w:szCs w:val="24"/>
          <w:highlight w:val="none"/>
        </w:rPr>
      </w:pPr>
    </w:p>
    <w:p>
      <w:pPr>
        <w:pageBreakBefore w:val="0"/>
        <w:kinsoku/>
        <w:wordWrap/>
        <w:bidi w:val="0"/>
        <w:adjustRightInd w:val="0"/>
        <w:snapToGrid w:val="0"/>
        <w:spacing w:line="360" w:lineRule="auto"/>
        <w:ind w:left="0" w:leftChars="0" w:right="0" w:rightChars="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注：本授权委托书需由投标人加盖单位公章并由其法定代表人和委托代理人签字。</w:t>
      </w:r>
    </w:p>
    <w:p>
      <w:pPr>
        <w:pageBreakBefore w:val="0"/>
        <w:kinsoku/>
        <w:wordWrap/>
        <w:bidi w:val="0"/>
        <w:adjustRightInd w:val="0"/>
        <w:snapToGrid w:val="0"/>
        <w:spacing w:line="360" w:lineRule="auto"/>
        <w:ind w:left="0" w:leftChars="0" w:right="0" w:rightChars="0"/>
        <w:rPr>
          <w:rFonts w:hint="eastAsia" w:ascii="仿宋" w:hAnsi="仿宋" w:eastAsia="仿宋" w:cs="仿宋"/>
          <w:color w:val="auto"/>
          <w:sz w:val="24"/>
          <w:szCs w:val="24"/>
          <w:highlight w:val="none"/>
        </w:rPr>
      </w:pPr>
    </w:p>
    <w:p>
      <w:pPr>
        <w:pageBreakBefore w:val="0"/>
        <w:kinsoku/>
        <w:wordWrap/>
        <w:bidi w:val="0"/>
        <w:adjustRightInd w:val="0"/>
        <w:snapToGrid w:val="0"/>
        <w:spacing w:line="360" w:lineRule="auto"/>
        <w:ind w:left="0" w:leftChars="0" w:right="0" w:rightChars="0"/>
        <w:rPr>
          <w:rFonts w:hint="eastAsia" w:ascii="仿宋" w:hAnsi="仿宋" w:eastAsia="仿宋" w:cs="仿宋"/>
          <w:color w:val="auto"/>
          <w:sz w:val="24"/>
          <w:szCs w:val="24"/>
          <w:highlight w:val="none"/>
        </w:rPr>
      </w:pPr>
    </w:p>
    <w:p>
      <w:pPr>
        <w:pageBreakBefore w:val="0"/>
        <w:kinsoku/>
        <w:wordWrap/>
        <w:bidi w:val="0"/>
        <w:adjustRightInd w:val="0"/>
        <w:snapToGrid w:val="0"/>
        <w:spacing w:line="360" w:lineRule="auto"/>
        <w:ind w:left="0" w:leftChars="0" w:right="0" w:rightChars="0" w:firstLine="3120" w:firstLineChars="13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（加盖单位公章）</w:t>
      </w:r>
    </w:p>
    <w:p>
      <w:pPr>
        <w:pageBreakBefore w:val="0"/>
        <w:kinsoku/>
        <w:wordWrap/>
        <w:bidi w:val="0"/>
        <w:adjustRightInd w:val="0"/>
        <w:snapToGrid w:val="0"/>
        <w:spacing w:line="360" w:lineRule="auto"/>
        <w:ind w:left="0" w:leftChars="0" w:right="0" w:rightChars="0" w:firstLine="3120" w:firstLineChars="1300"/>
        <w:rPr>
          <w:rFonts w:hint="eastAsia" w:ascii="仿宋" w:hAnsi="仿宋" w:eastAsia="仿宋" w:cs="仿宋"/>
          <w:color w:val="auto"/>
          <w:sz w:val="24"/>
          <w:szCs w:val="24"/>
          <w:highlight w:val="none"/>
        </w:rPr>
      </w:pPr>
    </w:p>
    <w:p>
      <w:pPr>
        <w:pageBreakBefore w:val="0"/>
        <w:kinsoku/>
        <w:wordWrap/>
        <w:bidi w:val="0"/>
        <w:adjustRightInd w:val="0"/>
        <w:snapToGrid w:val="0"/>
        <w:spacing w:line="360" w:lineRule="auto"/>
        <w:ind w:left="0" w:leftChars="0" w:right="0" w:rightChars="0" w:firstLine="3120" w:firstLineChars="13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（签字）</w:t>
      </w:r>
    </w:p>
    <w:p>
      <w:pPr>
        <w:pageBreakBefore w:val="0"/>
        <w:kinsoku/>
        <w:wordWrap/>
        <w:bidi w:val="0"/>
        <w:adjustRightInd w:val="0"/>
        <w:snapToGrid w:val="0"/>
        <w:spacing w:line="360" w:lineRule="auto"/>
        <w:ind w:left="0" w:leftChars="0" w:right="0" w:rightChars="0" w:firstLine="3120" w:firstLineChars="1300"/>
        <w:rPr>
          <w:rFonts w:hint="eastAsia" w:ascii="仿宋" w:hAnsi="仿宋" w:eastAsia="仿宋" w:cs="仿宋"/>
          <w:color w:val="auto"/>
          <w:sz w:val="24"/>
          <w:szCs w:val="24"/>
          <w:highlight w:val="none"/>
        </w:rPr>
      </w:pPr>
    </w:p>
    <w:p>
      <w:pPr>
        <w:pageBreakBefore w:val="0"/>
        <w:kinsoku/>
        <w:wordWrap/>
        <w:bidi w:val="0"/>
        <w:adjustRightInd w:val="0"/>
        <w:snapToGrid w:val="0"/>
        <w:spacing w:line="360" w:lineRule="auto"/>
        <w:ind w:left="0" w:leftChars="0" w:right="0" w:rightChars="0" w:firstLine="3120" w:firstLineChars="13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身份证号码：</w:t>
      </w:r>
      <w:r>
        <w:rPr>
          <w:rFonts w:hint="eastAsia" w:ascii="仿宋" w:hAnsi="仿宋" w:eastAsia="仿宋" w:cs="仿宋"/>
          <w:color w:val="auto"/>
          <w:sz w:val="24"/>
          <w:szCs w:val="24"/>
          <w:highlight w:val="none"/>
          <w:u w:val="single"/>
        </w:rPr>
        <w:t xml:space="preserve">                                     </w:t>
      </w:r>
    </w:p>
    <w:p>
      <w:pPr>
        <w:pageBreakBefore w:val="0"/>
        <w:kinsoku/>
        <w:wordWrap/>
        <w:bidi w:val="0"/>
        <w:adjustRightInd w:val="0"/>
        <w:snapToGrid w:val="0"/>
        <w:spacing w:line="360" w:lineRule="auto"/>
        <w:ind w:left="0" w:leftChars="0" w:right="0" w:rightChars="0" w:firstLine="3120" w:firstLineChars="1300"/>
        <w:rPr>
          <w:rFonts w:hint="eastAsia" w:ascii="仿宋" w:hAnsi="仿宋" w:eastAsia="仿宋" w:cs="仿宋"/>
          <w:color w:val="auto"/>
          <w:sz w:val="24"/>
          <w:szCs w:val="24"/>
          <w:highlight w:val="none"/>
        </w:rPr>
      </w:pPr>
    </w:p>
    <w:p>
      <w:pPr>
        <w:pageBreakBefore w:val="0"/>
        <w:kinsoku/>
        <w:wordWrap/>
        <w:bidi w:val="0"/>
        <w:adjustRightInd w:val="0"/>
        <w:snapToGrid w:val="0"/>
        <w:spacing w:line="360" w:lineRule="auto"/>
        <w:ind w:left="0" w:leftChars="0" w:right="0" w:rightChars="0" w:firstLine="3120" w:firstLineChars="13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委托代理人：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（签字）</w:t>
      </w:r>
    </w:p>
    <w:p>
      <w:pPr>
        <w:pageBreakBefore w:val="0"/>
        <w:kinsoku/>
        <w:wordWrap/>
        <w:bidi w:val="0"/>
        <w:adjustRightInd w:val="0"/>
        <w:snapToGrid w:val="0"/>
        <w:spacing w:line="360" w:lineRule="auto"/>
        <w:ind w:left="0" w:leftChars="0" w:right="0" w:rightChars="0" w:firstLine="3120" w:firstLineChars="1300"/>
        <w:rPr>
          <w:rFonts w:hint="eastAsia" w:ascii="仿宋" w:hAnsi="仿宋" w:eastAsia="仿宋" w:cs="仿宋"/>
          <w:color w:val="auto"/>
          <w:sz w:val="24"/>
          <w:szCs w:val="24"/>
          <w:highlight w:val="none"/>
        </w:rPr>
      </w:pPr>
    </w:p>
    <w:p>
      <w:pPr>
        <w:pageBreakBefore w:val="0"/>
        <w:kinsoku/>
        <w:wordWrap/>
        <w:bidi w:val="0"/>
        <w:adjustRightInd w:val="0"/>
        <w:snapToGrid w:val="0"/>
        <w:spacing w:line="360" w:lineRule="auto"/>
        <w:ind w:left="0" w:leftChars="0" w:right="0" w:rightChars="0" w:firstLine="3120" w:firstLineChars="13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身份证号码：</w:t>
      </w:r>
      <w:r>
        <w:rPr>
          <w:rFonts w:hint="eastAsia" w:ascii="仿宋" w:hAnsi="仿宋" w:eastAsia="仿宋" w:cs="仿宋"/>
          <w:color w:val="auto"/>
          <w:sz w:val="24"/>
          <w:szCs w:val="24"/>
          <w:highlight w:val="none"/>
          <w:u w:val="single"/>
        </w:rPr>
        <w:t xml:space="preserve">                                     </w:t>
      </w:r>
    </w:p>
    <w:p>
      <w:pPr>
        <w:pageBreakBefore w:val="0"/>
        <w:kinsoku/>
        <w:wordWrap/>
        <w:bidi w:val="0"/>
        <w:adjustRightInd w:val="0"/>
        <w:snapToGrid w:val="0"/>
        <w:spacing w:line="360" w:lineRule="auto"/>
        <w:ind w:left="0" w:leftChars="0" w:right="0" w:rightChars="0" w:firstLine="3120" w:firstLineChars="1300"/>
        <w:rPr>
          <w:rFonts w:hint="eastAsia" w:ascii="仿宋" w:hAnsi="仿宋" w:eastAsia="仿宋" w:cs="仿宋"/>
          <w:color w:val="auto"/>
          <w:sz w:val="24"/>
          <w:szCs w:val="24"/>
          <w:highlight w:val="none"/>
        </w:rPr>
      </w:pPr>
    </w:p>
    <w:p>
      <w:pPr>
        <w:pageBreakBefore w:val="0"/>
        <w:kinsoku/>
        <w:wordWrap/>
        <w:bidi w:val="0"/>
        <w:adjustRightInd w:val="0"/>
        <w:snapToGrid w:val="0"/>
        <w:spacing w:line="360" w:lineRule="auto"/>
        <w:ind w:left="0" w:leftChars="0" w:right="0" w:rightChars="0" w:firstLine="5040" w:firstLineChars="2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pPr>
        <w:pStyle w:val="4"/>
        <w:pageBreakBefore w:val="0"/>
        <w:kinsoku/>
        <w:wordWrap/>
        <w:bidi w:val="0"/>
        <w:adjustRightInd w:val="0"/>
        <w:snapToGrid w:val="0"/>
        <w:spacing w:before="0" w:beforeLines="0" w:after="0" w:afterLines="0" w:line="360" w:lineRule="auto"/>
        <w:ind w:left="0" w:leftChars="0" w:right="0" w:rightChars="0"/>
        <w:jc w:val="center"/>
        <w:rPr>
          <w:rFonts w:hint="eastAsia" w:ascii="仿宋" w:hAnsi="仿宋" w:eastAsia="仿宋" w:cs="仿宋"/>
          <w:color w:val="auto"/>
          <w:sz w:val="24"/>
          <w:szCs w:val="24"/>
          <w:highlight w:val="none"/>
          <w:lang w:val="en-US" w:eastAsia="zh-CN"/>
        </w:rPr>
      </w:pPr>
      <w:bookmarkStart w:id="445" w:name="_Toc246997106"/>
      <w:bookmarkStart w:id="446" w:name="_Toc152042584"/>
      <w:bookmarkStart w:id="447" w:name="_Toc152045795"/>
      <w:bookmarkStart w:id="448" w:name="_Toc144974863"/>
      <w:bookmarkStart w:id="449" w:name="_Toc179632815"/>
      <w:bookmarkStart w:id="450" w:name="_Toc246996363"/>
      <w:bookmarkStart w:id="451" w:name="_Toc247085881"/>
      <w:bookmarkStart w:id="452" w:name="_Toc514837983"/>
      <w:r>
        <w:rPr>
          <w:rFonts w:hint="eastAsia" w:ascii="仿宋" w:hAnsi="仿宋" w:eastAsia="仿宋" w:cs="仿宋"/>
          <w:color w:val="auto"/>
          <w:sz w:val="24"/>
          <w:szCs w:val="24"/>
          <w:highlight w:val="none"/>
        </w:rPr>
        <w:br w:type="page"/>
      </w:r>
      <w:bookmarkEnd w:id="445"/>
      <w:bookmarkEnd w:id="446"/>
      <w:bookmarkEnd w:id="447"/>
      <w:bookmarkEnd w:id="448"/>
      <w:bookmarkEnd w:id="449"/>
      <w:bookmarkEnd w:id="450"/>
      <w:bookmarkEnd w:id="451"/>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投标保证金</w:t>
      </w:r>
      <w:bookmarkEnd w:id="452"/>
      <w:r>
        <w:rPr>
          <w:rFonts w:hint="eastAsia" w:ascii="仿宋" w:hAnsi="仿宋" w:eastAsia="仿宋" w:cs="仿宋"/>
          <w:color w:val="auto"/>
          <w:sz w:val="24"/>
          <w:szCs w:val="24"/>
          <w:highlight w:val="none"/>
          <w:lang w:val="en-US" w:eastAsia="zh-CN"/>
        </w:rPr>
        <w:t>缴纳凭证</w:t>
      </w:r>
    </w:p>
    <w:p>
      <w:pPr>
        <w:pageBreakBefore w:val="0"/>
        <w:kinsoku/>
        <w:wordWrap/>
        <w:bidi w:val="0"/>
        <w:adjustRightInd w:val="0"/>
        <w:snapToGrid w:val="0"/>
        <w:spacing w:line="360" w:lineRule="auto"/>
        <w:ind w:left="0" w:leftChars="0" w:right="0" w:rightChars="0"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投标人递交投标保证金的付款凭据复印件；</w:t>
      </w:r>
    </w:p>
    <w:p>
      <w:pPr>
        <w:pStyle w:val="10"/>
        <w:rPr>
          <w:rFonts w:hint="eastAsia" w:ascii="仿宋" w:hAnsi="仿宋" w:eastAsia="仿宋" w:cs="仿宋"/>
          <w:color w:val="auto"/>
          <w:highlight w:val="none"/>
        </w:rPr>
      </w:pPr>
      <w:r>
        <w:rPr>
          <w:rFonts w:hint="eastAsia" w:ascii="仿宋" w:hAnsi="仿宋" w:eastAsia="仿宋" w:cs="仿宋"/>
          <w:b/>
          <w:bCs/>
          <w:color w:val="auto"/>
          <w:sz w:val="24"/>
          <w:highlight w:val="none"/>
          <w:lang w:val="en-US" w:eastAsia="zh-Hans"/>
        </w:rPr>
        <w:t>注</w:t>
      </w:r>
      <w:r>
        <w:rPr>
          <w:rFonts w:hint="eastAsia" w:ascii="仿宋" w:hAnsi="仿宋" w:eastAsia="仿宋" w:cs="仿宋"/>
          <w:b/>
          <w:bCs/>
          <w:color w:val="auto"/>
          <w:sz w:val="24"/>
          <w:highlight w:val="none"/>
          <w:lang w:eastAsia="zh-Hans"/>
        </w:rPr>
        <w:t>：</w:t>
      </w:r>
      <w:r>
        <w:rPr>
          <w:rFonts w:hint="eastAsia" w:ascii="仿宋" w:hAnsi="仿宋" w:eastAsia="仿宋" w:cs="仿宋"/>
          <w:b/>
          <w:bCs/>
          <w:color w:val="auto"/>
          <w:sz w:val="24"/>
          <w:highlight w:val="none"/>
        </w:rPr>
        <w:t>投标保证金</w:t>
      </w:r>
      <w:r>
        <w:rPr>
          <w:rFonts w:hint="eastAsia" w:ascii="仿宋" w:hAnsi="仿宋" w:eastAsia="仿宋" w:cs="仿宋"/>
          <w:b/>
          <w:bCs/>
          <w:color w:val="auto"/>
          <w:sz w:val="24"/>
          <w:highlight w:val="none"/>
          <w:lang w:val="en-US" w:eastAsia="zh-Hans"/>
        </w:rPr>
        <w:t>缴纳凭证与开标一览表</w:t>
      </w:r>
      <w:r>
        <w:rPr>
          <w:rFonts w:hint="eastAsia" w:ascii="仿宋" w:hAnsi="仿宋" w:eastAsia="仿宋" w:cs="仿宋"/>
          <w:b/>
          <w:bCs/>
          <w:color w:val="auto"/>
          <w:sz w:val="24"/>
          <w:highlight w:val="none"/>
        </w:rPr>
        <w:t>一同装在一单独的信封内密封</w:t>
      </w:r>
      <w:r>
        <w:rPr>
          <w:rFonts w:hint="eastAsia" w:ascii="仿宋" w:hAnsi="仿宋" w:eastAsia="仿宋" w:cs="仿宋"/>
          <w:b/>
          <w:bCs/>
          <w:color w:val="auto"/>
          <w:sz w:val="24"/>
          <w:szCs w:val="24"/>
          <w:highlight w:val="none"/>
        </w:rPr>
        <w:t>后单独提交。</w:t>
      </w:r>
    </w:p>
    <w:p>
      <w:pPr>
        <w:pageBreakBefore w:val="0"/>
        <w:kinsoku/>
        <w:wordWrap/>
        <w:bidi w:val="0"/>
        <w:adjustRightInd w:val="0"/>
        <w:snapToGrid w:val="0"/>
        <w:spacing w:line="360" w:lineRule="auto"/>
        <w:ind w:left="0" w:leftChars="0" w:right="0" w:rightChars="0"/>
        <w:rPr>
          <w:rFonts w:hint="eastAsia" w:ascii="仿宋" w:hAnsi="仿宋" w:eastAsia="仿宋" w:cs="仿宋"/>
          <w:color w:val="auto"/>
          <w:sz w:val="24"/>
          <w:szCs w:val="24"/>
          <w:highlight w:val="none"/>
        </w:rPr>
      </w:pPr>
    </w:p>
    <w:p>
      <w:pPr>
        <w:spacing w:line="400" w:lineRule="atLeast"/>
        <w:jc w:val="center"/>
        <w:outlineLvl w:val="1"/>
        <w:rPr>
          <w:rFonts w:hint="eastAsia" w:ascii="仿宋" w:hAnsi="仿宋" w:eastAsia="仿宋" w:cs="仿宋"/>
          <w:color w:val="auto"/>
          <w:sz w:val="24"/>
          <w:highlight w:val="none"/>
        </w:rPr>
      </w:pPr>
      <w:bookmarkStart w:id="453" w:name="_Toc152045796"/>
      <w:bookmarkStart w:id="454" w:name="_Toc247085882"/>
      <w:bookmarkStart w:id="455" w:name="_Toc152042585"/>
      <w:bookmarkStart w:id="456" w:name="_Toc246996364"/>
      <w:bookmarkStart w:id="457" w:name="_Toc246997107"/>
      <w:bookmarkStart w:id="458" w:name="_Toc179632816"/>
      <w:bookmarkStart w:id="459" w:name="_Toc144974864"/>
      <w:bookmarkStart w:id="460" w:name="_Toc514837984"/>
      <w:r>
        <w:rPr>
          <w:rFonts w:hint="eastAsia" w:ascii="仿宋" w:hAnsi="仿宋" w:eastAsia="仿宋" w:cs="仿宋"/>
          <w:color w:val="auto"/>
          <w:sz w:val="24"/>
          <w:szCs w:val="24"/>
          <w:highlight w:val="none"/>
        </w:rPr>
        <w:br w:type="page"/>
      </w:r>
      <w:bookmarkEnd w:id="453"/>
      <w:bookmarkEnd w:id="454"/>
      <w:bookmarkEnd w:id="455"/>
      <w:bookmarkEnd w:id="456"/>
      <w:bookmarkEnd w:id="457"/>
      <w:bookmarkEnd w:id="458"/>
      <w:bookmarkEnd w:id="459"/>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lang w:eastAsia="zh-CN"/>
        </w:rPr>
        <w:t>）</w:t>
      </w:r>
      <w:r>
        <w:rPr>
          <w:rFonts w:hint="eastAsia" w:ascii="仿宋" w:hAnsi="仿宋" w:eastAsia="仿宋" w:cs="仿宋"/>
          <w:b/>
          <w:bCs/>
          <w:color w:val="auto"/>
          <w:kern w:val="2"/>
          <w:sz w:val="24"/>
          <w:szCs w:val="24"/>
          <w:highlight w:val="none"/>
          <w:lang w:val="en-US" w:eastAsia="zh-Hans" w:bidi="ar-SA"/>
        </w:rPr>
        <w:t>商务偏离表</w:t>
      </w:r>
    </w:p>
    <w:p>
      <w:pPr>
        <w:spacing w:line="400" w:lineRule="atLeast"/>
        <w:ind w:firstLine="2640"/>
        <w:rPr>
          <w:rFonts w:hint="eastAsia" w:ascii="仿宋" w:hAnsi="仿宋" w:eastAsia="仿宋" w:cs="仿宋"/>
          <w:color w:val="auto"/>
          <w:sz w:val="24"/>
          <w:highlight w:val="none"/>
        </w:rPr>
      </w:pPr>
    </w:p>
    <w:p>
      <w:pPr>
        <w:spacing w:line="400" w:lineRule="atLeas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投标商名称（公章）：</w:t>
      </w:r>
      <w:r>
        <w:rPr>
          <w:rFonts w:hint="eastAsia" w:ascii="仿宋" w:hAnsi="仿宋" w:eastAsia="仿宋" w:cs="仿宋"/>
          <w:color w:val="auto"/>
          <w:sz w:val="24"/>
          <w:highlight w:val="none"/>
          <w:u w:val="single"/>
        </w:rPr>
        <w:t>　　　　　</w:t>
      </w:r>
      <w:r>
        <w:rPr>
          <w:rFonts w:hint="eastAsia" w:ascii="仿宋" w:hAnsi="仿宋" w:eastAsia="仿宋" w:cs="仿宋"/>
          <w:color w:val="auto"/>
          <w:sz w:val="24"/>
          <w:highlight w:val="none"/>
        </w:rPr>
        <w:t>项目编号：</w:t>
      </w:r>
      <w:r>
        <w:rPr>
          <w:rFonts w:hint="eastAsia" w:ascii="仿宋" w:hAnsi="仿宋" w:eastAsia="仿宋" w:cs="仿宋"/>
          <w:color w:val="auto"/>
          <w:sz w:val="24"/>
          <w:highlight w:val="none"/>
          <w:u w:val="single"/>
        </w:rPr>
        <w:t>　　　　　　　　　　　</w:t>
      </w:r>
    </w:p>
    <w:tbl>
      <w:tblPr>
        <w:tblStyle w:val="21"/>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6"/>
        <w:gridCol w:w="1376"/>
        <w:gridCol w:w="2462"/>
        <w:gridCol w:w="2740"/>
        <w:gridCol w:w="19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195" w:type="pct"/>
            <w:noWrap w:val="0"/>
            <w:vAlign w:val="center"/>
          </w:tcPr>
          <w:p>
            <w:pPr>
              <w:spacing w:line="400" w:lineRule="atLeas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784" w:type="pct"/>
            <w:noWrap w:val="0"/>
            <w:vAlign w:val="center"/>
          </w:tcPr>
          <w:p>
            <w:pPr>
              <w:spacing w:line="400" w:lineRule="atLeas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招标文件</w:t>
            </w:r>
          </w:p>
          <w:p>
            <w:pPr>
              <w:spacing w:line="400" w:lineRule="atLeas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条目号</w:t>
            </w:r>
          </w:p>
        </w:tc>
        <w:tc>
          <w:tcPr>
            <w:tcW w:w="1391" w:type="pct"/>
            <w:noWrap w:val="0"/>
            <w:vAlign w:val="center"/>
          </w:tcPr>
          <w:p>
            <w:pPr>
              <w:spacing w:line="400" w:lineRule="atLeas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招标文件的商务条款</w:t>
            </w:r>
          </w:p>
        </w:tc>
        <w:tc>
          <w:tcPr>
            <w:tcW w:w="1546" w:type="pct"/>
            <w:noWrap w:val="0"/>
            <w:vAlign w:val="center"/>
          </w:tcPr>
          <w:p>
            <w:pPr>
              <w:spacing w:line="400" w:lineRule="atLeas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投标文件的商务条款</w:t>
            </w:r>
          </w:p>
        </w:tc>
        <w:tc>
          <w:tcPr>
            <w:tcW w:w="1081" w:type="pct"/>
            <w:noWrap w:val="0"/>
            <w:vAlign w:val="center"/>
          </w:tcPr>
          <w:p>
            <w:pPr>
              <w:spacing w:line="400" w:lineRule="atLeas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trPr>
        <w:tc>
          <w:tcPr>
            <w:tcW w:w="195" w:type="pct"/>
            <w:noWrap w:val="0"/>
            <w:vAlign w:val="top"/>
          </w:tcPr>
          <w:p>
            <w:pPr>
              <w:spacing w:line="400" w:lineRule="atLeast"/>
              <w:rPr>
                <w:rFonts w:hint="eastAsia" w:ascii="仿宋" w:hAnsi="仿宋" w:eastAsia="仿宋" w:cs="仿宋"/>
                <w:color w:val="auto"/>
                <w:sz w:val="24"/>
                <w:highlight w:val="none"/>
              </w:rPr>
            </w:pPr>
          </w:p>
          <w:p>
            <w:pPr>
              <w:spacing w:line="400" w:lineRule="atLeast"/>
              <w:rPr>
                <w:rFonts w:hint="eastAsia" w:ascii="仿宋" w:hAnsi="仿宋" w:eastAsia="仿宋" w:cs="仿宋"/>
                <w:color w:val="auto"/>
                <w:sz w:val="24"/>
                <w:highlight w:val="none"/>
              </w:rPr>
            </w:pPr>
          </w:p>
        </w:tc>
        <w:tc>
          <w:tcPr>
            <w:tcW w:w="784" w:type="pct"/>
            <w:noWrap w:val="0"/>
            <w:vAlign w:val="top"/>
          </w:tcPr>
          <w:p>
            <w:pPr>
              <w:widowControl/>
              <w:spacing w:line="400" w:lineRule="atLeast"/>
              <w:jc w:val="left"/>
              <w:rPr>
                <w:rFonts w:hint="eastAsia" w:ascii="仿宋" w:hAnsi="仿宋" w:eastAsia="仿宋" w:cs="仿宋"/>
                <w:color w:val="auto"/>
                <w:sz w:val="24"/>
                <w:highlight w:val="none"/>
              </w:rPr>
            </w:pPr>
          </w:p>
          <w:p>
            <w:pPr>
              <w:spacing w:line="400" w:lineRule="atLeast"/>
              <w:rPr>
                <w:rFonts w:hint="eastAsia" w:ascii="仿宋" w:hAnsi="仿宋" w:eastAsia="仿宋" w:cs="仿宋"/>
                <w:color w:val="auto"/>
                <w:sz w:val="24"/>
                <w:highlight w:val="none"/>
              </w:rPr>
            </w:pPr>
          </w:p>
        </w:tc>
        <w:tc>
          <w:tcPr>
            <w:tcW w:w="1391" w:type="pct"/>
            <w:noWrap w:val="0"/>
            <w:vAlign w:val="top"/>
          </w:tcPr>
          <w:p>
            <w:pPr>
              <w:spacing w:line="400" w:lineRule="atLeast"/>
              <w:rPr>
                <w:rFonts w:hint="eastAsia" w:ascii="仿宋" w:hAnsi="仿宋" w:eastAsia="仿宋" w:cs="仿宋"/>
                <w:color w:val="auto"/>
                <w:sz w:val="24"/>
                <w:highlight w:val="none"/>
              </w:rPr>
            </w:pPr>
          </w:p>
        </w:tc>
        <w:tc>
          <w:tcPr>
            <w:tcW w:w="1546" w:type="pct"/>
            <w:noWrap w:val="0"/>
            <w:vAlign w:val="top"/>
          </w:tcPr>
          <w:p>
            <w:pPr>
              <w:spacing w:line="400" w:lineRule="atLeast"/>
              <w:rPr>
                <w:rFonts w:hint="eastAsia" w:ascii="仿宋" w:hAnsi="仿宋" w:eastAsia="仿宋" w:cs="仿宋"/>
                <w:color w:val="auto"/>
                <w:sz w:val="24"/>
                <w:highlight w:val="none"/>
              </w:rPr>
            </w:pPr>
          </w:p>
        </w:tc>
        <w:tc>
          <w:tcPr>
            <w:tcW w:w="1081" w:type="pct"/>
            <w:noWrap w:val="0"/>
            <w:vAlign w:val="top"/>
          </w:tcPr>
          <w:p>
            <w:pPr>
              <w:spacing w:line="400" w:lineRule="atLeast"/>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trPr>
        <w:tc>
          <w:tcPr>
            <w:tcW w:w="195" w:type="pct"/>
            <w:noWrap w:val="0"/>
            <w:vAlign w:val="top"/>
          </w:tcPr>
          <w:p>
            <w:pPr>
              <w:spacing w:line="400" w:lineRule="atLeast"/>
              <w:rPr>
                <w:rFonts w:hint="eastAsia" w:ascii="仿宋" w:hAnsi="仿宋" w:eastAsia="仿宋" w:cs="仿宋"/>
                <w:color w:val="auto"/>
                <w:sz w:val="24"/>
                <w:highlight w:val="none"/>
              </w:rPr>
            </w:pPr>
          </w:p>
          <w:p>
            <w:pPr>
              <w:spacing w:line="400" w:lineRule="atLeast"/>
              <w:rPr>
                <w:rFonts w:hint="eastAsia" w:ascii="仿宋" w:hAnsi="仿宋" w:eastAsia="仿宋" w:cs="仿宋"/>
                <w:color w:val="auto"/>
                <w:sz w:val="24"/>
                <w:highlight w:val="none"/>
              </w:rPr>
            </w:pPr>
          </w:p>
        </w:tc>
        <w:tc>
          <w:tcPr>
            <w:tcW w:w="784" w:type="pct"/>
            <w:noWrap w:val="0"/>
            <w:vAlign w:val="top"/>
          </w:tcPr>
          <w:p>
            <w:pPr>
              <w:widowControl/>
              <w:spacing w:line="400" w:lineRule="atLeast"/>
              <w:jc w:val="left"/>
              <w:rPr>
                <w:rFonts w:hint="eastAsia" w:ascii="仿宋" w:hAnsi="仿宋" w:eastAsia="仿宋" w:cs="仿宋"/>
                <w:color w:val="auto"/>
                <w:sz w:val="24"/>
                <w:highlight w:val="none"/>
              </w:rPr>
            </w:pPr>
          </w:p>
          <w:p>
            <w:pPr>
              <w:spacing w:line="400" w:lineRule="atLeast"/>
              <w:rPr>
                <w:rFonts w:hint="eastAsia" w:ascii="仿宋" w:hAnsi="仿宋" w:eastAsia="仿宋" w:cs="仿宋"/>
                <w:color w:val="auto"/>
                <w:sz w:val="24"/>
                <w:highlight w:val="none"/>
              </w:rPr>
            </w:pPr>
          </w:p>
        </w:tc>
        <w:tc>
          <w:tcPr>
            <w:tcW w:w="1391" w:type="pct"/>
            <w:noWrap w:val="0"/>
            <w:vAlign w:val="top"/>
          </w:tcPr>
          <w:p>
            <w:pPr>
              <w:spacing w:line="400" w:lineRule="atLeast"/>
              <w:rPr>
                <w:rFonts w:hint="eastAsia" w:ascii="仿宋" w:hAnsi="仿宋" w:eastAsia="仿宋" w:cs="仿宋"/>
                <w:color w:val="auto"/>
                <w:sz w:val="24"/>
                <w:highlight w:val="none"/>
              </w:rPr>
            </w:pPr>
          </w:p>
        </w:tc>
        <w:tc>
          <w:tcPr>
            <w:tcW w:w="1546" w:type="pct"/>
            <w:noWrap w:val="0"/>
            <w:vAlign w:val="top"/>
          </w:tcPr>
          <w:p>
            <w:pPr>
              <w:spacing w:line="400" w:lineRule="atLeast"/>
              <w:rPr>
                <w:rFonts w:hint="eastAsia" w:ascii="仿宋" w:hAnsi="仿宋" w:eastAsia="仿宋" w:cs="仿宋"/>
                <w:color w:val="auto"/>
                <w:sz w:val="24"/>
                <w:highlight w:val="none"/>
              </w:rPr>
            </w:pPr>
          </w:p>
        </w:tc>
        <w:tc>
          <w:tcPr>
            <w:tcW w:w="1081" w:type="pct"/>
            <w:noWrap w:val="0"/>
            <w:vAlign w:val="top"/>
          </w:tcPr>
          <w:p>
            <w:pPr>
              <w:spacing w:line="400" w:lineRule="atLeast"/>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trPr>
        <w:tc>
          <w:tcPr>
            <w:tcW w:w="195" w:type="pct"/>
            <w:noWrap w:val="0"/>
            <w:vAlign w:val="top"/>
          </w:tcPr>
          <w:p>
            <w:pPr>
              <w:spacing w:line="400" w:lineRule="atLeast"/>
              <w:rPr>
                <w:rFonts w:hint="eastAsia" w:ascii="仿宋" w:hAnsi="仿宋" w:eastAsia="仿宋" w:cs="仿宋"/>
                <w:color w:val="auto"/>
                <w:sz w:val="24"/>
                <w:highlight w:val="none"/>
              </w:rPr>
            </w:pPr>
          </w:p>
          <w:p>
            <w:pPr>
              <w:spacing w:line="400" w:lineRule="atLeast"/>
              <w:rPr>
                <w:rFonts w:hint="eastAsia" w:ascii="仿宋" w:hAnsi="仿宋" w:eastAsia="仿宋" w:cs="仿宋"/>
                <w:color w:val="auto"/>
                <w:sz w:val="24"/>
                <w:highlight w:val="none"/>
              </w:rPr>
            </w:pPr>
          </w:p>
        </w:tc>
        <w:tc>
          <w:tcPr>
            <w:tcW w:w="784" w:type="pct"/>
            <w:noWrap w:val="0"/>
            <w:vAlign w:val="top"/>
          </w:tcPr>
          <w:p>
            <w:pPr>
              <w:widowControl/>
              <w:spacing w:line="400" w:lineRule="atLeast"/>
              <w:jc w:val="left"/>
              <w:rPr>
                <w:rFonts w:hint="eastAsia" w:ascii="仿宋" w:hAnsi="仿宋" w:eastAsia="仿宋" w:cs="仿宋"/>
                <w:color w:val="auto"/>
                <w:sz w:val="24"/>
                <w:highlight w:val="none"/>
              </w:rPr>
            </w:pPr>
          </w:p>
          <w:p>
            <w:pPr>
              <w:spacing w:line="400" w:lineRule="atLeast"/>
              <w:rPr>
                <w:rFonts w:hint="eastAsia" w:ascii="仿宋" w:hAnsi="仿宋" w:eastAsia="仿宋" w:cs="仿宋"/>
                <w:color w:val="auto"/>
                <w:sz w:val="24"/>
                <w:highlight w:val="none"/>
              </w:rPr>
            </w:pPr>
          </w:p>
        </w:tc>
        <w:tc>
          <w:tcPr>
            <w:tcW w:w="1391" w:type="pct"/>
            <w:noWrap w:val="0"/>
            <w:vAlign w:val="top"/>
          </w:tcPr>
          <w:p>
            <w:pPr>
              <w:spacing w:line="400" w:lineRule="atLeast"/>
              <w:rPr>
                <w:rFonts w:hint="eastAsia" w:ascii="仿宋" w:hAnsi="仿宋" w:eastAsia="仿宋" w:cs="仿宋"/>
                <w:color w:val="auto"/>
                <w:sz w:val="24"/>
                <w:highlight w:val="none"/>
              </w:rPr>
            </w:pPr>
          </w:p>
        </w:tc>
        <w:tc>
          <w:tcPr>
            <w:tcW w:w="1546" w:type="pct"/>
            <w:noWrap w:val="0"/>
            <w:vAlign w:val="top"/>
          </w:tcPr>
          <w:p>
            <w:pPr>
              <w:spacing w:line="400" w:lineRule="atLeast"/>
              <w:rPr>
                <w:rFonts w:hint="eastAsia" w:ascii="仿宋" w:hAnsi="仿宋" w:eastAsia="仿宋" w:cs="仿宋"/>
                <w:color w:val="auto"/>
                <w:sz w:val="24"/>
                <w:highlight w:val="none"/>
              </w:rPr>
            </w:pPr>
          </w:p>
        </w:tc>
        <w:tc>
          <w:tcPr>
            <w:tcW w:w="1081" w:type="pct"/>
            <w:noWrap w:val="0"/>
            <w:vAlign w:val="top"/>
          </w:tcPr>
          <w:p>
            <w:pPr>
              <w:spacing w:line="400" w:lineRule="atLeast"/>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60" w:hRule="atLeast"/>
        </w:trPr>
        <w:tc>
          <w:tcPr>
            <w:tcW w:w="195" w:type="pct"/>
            <w:noWrap w:val="0"/>
            <w:vAlign w:val="top"/>
          </w:tcPr>
          <w:p>
            <w:pPr>
              <w:spacing w:line="400" w:lineRule="atLeast"/>
              <w:rPr>
                <w:rFonts w:hint="eastAsia" w:ascii="仿宋" w:hAnsi="仿宋" w:eastAsia="仿宋" w:cs="仿宋"/>
                <w:color w:val="auto"/>
                <w:sz w:val="24"/>
                <w:highlight w:val="none"/>
              </w:rPr>
            </w:pPr>
          </w:p>
          <w:p>
            <w:pPr>
              <w:spacing w:line="400" w:lineRule="atLeast"/>
              <w:rPr>
                <w:rFonts w:hint="eastAsia" w:ascii="仿宋" w:hAnsi="仿宋" w:eastAsia="仿宋" w:cs="仿宋"/>
                <w:color w:val="auto"/>
                <w:sz w:val="24"/>
                <w:highlight w:val="none"/>
              </w:rPr>
            </w:pPr>
          </w:p>
        </w:tc>
        <w:tc>
          <w:tcPr>
            <w:tcW w:w="784" w:type="pct"/>
            <w:noWrap w:val="0"/>
            <w:vAlign w:val="top"/>
          </w:tcPr>
          <w:p>
            <w:pPr>
              <w:widowControl/>
              <w:spacing w:line="400" w:lineRule="atLeast"/>
              <w:jc w:val="left"/>
              <w:rPr>
                <w:rFonts w:hint="eastAsia" w:ascii="仿宋" w:hAnsi="仿宋" w:eastAsia="仿宋" w:cs="仿宋"/>
                <w:color w:val="auto"/>
                <w:sz w:val="24"/>
                <w:highlight w:val="none"/>
              </w:rPr>
            </w:pPr>
          </w:p>
          <w:p>
            <w:pPr>
              <w:spacing w:line="400" w:lineRule="atLeast"/>
              <w:rPr>
                <w:rFonts w:hint="eastAsia" w:ascii="仿宋" w:hAnsi="仿宋" w:eastAsia="仿宋" w:cs="仿宋"/>
                <w:color w:val="auto"/>
                <w:sz w:val="24"/>
                <w:highlight w:val="none"/>
              </w:rPr>
            </w:pPr>
          </w:p>
        </w:tc>
        <w:tc>
          <w:tcPr>
            <w:tcW w:w="1391" w:type="pct"/>
            <w:noWrap w:val="0"/>
            <w:vAlign w:val="top"/>
          </w:tcPr>
          <w:p>
            <w:pPr>
              <w:spacing w:line="400" w:lineRule="atLeast"/>
              <w:rPr>
                <w:rFonts w:hint="eastAsia" w:ascii="仿宋" w:hAnsi="仿宋" w:eastAsia="仿宋" w:cs="仿宋"/>
                <w:color w:val="auto"/>
                <w:sz w:val="24"/>
                <w:highlight w:val="none"/>
              </w:rPr>
            </w:pPr>
          </w:p>
        </w:tc>
        <w:tc>
          <w:tcPr>
            <w:tcW w:w="1546" w:type="pct"/>
            <w:noWrap w:val="0"/>
            <w:vAlign w:val="top"/>
          </w:tcPr>
          <w:p>
            <w:pPr>
              <w:spacing w:line="400" w:lineRule="atLeast"/>
              <w:rPr>
                <w:rFonts w:hint="eastAsia" w:ascii="仿宋" w:hAnsi="仿宋" w:eastAsia="仿宋" w:cs="仿宋"/>
                <w:color w:val="auto"/>
                <w:sz w:val="24"/>
                <w:highlight w:val="none"/>
              </w:rPr>
            </w:pPr>
          </w:p>
        </w:tc>
        <w:tc>
          <w:tcPr>
            <w:tcW w:w="1081" w:type="pct"/>
            <w:noWrap w:val="0"/>
            <w:vAlign w:val="top"/>
          </w:tcPr>
          <w:p>
            <w:pPr>
              <w:spacing w:line="400" w:lineRule="atLeast"/>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trPr>
        <w:tc>
          <w:tcPr>
            <w:tcW w:w="195" w:type="pct"/>
            <w:noWrap w:val="0"/>
            <w:vAlign w:val="top"/>
          </w:tcPr>
          <w:p>
            <w:pPr>
              <w:spacing w:line="400" w:lineRule="atLeast"/>
              <w:rPr>
                <w:rFonts w:hint="eastAsia" w:ascii="仿宋" w:hAnsi="仿宋" w:eastAsia="仿宋" w:cs="仿宋"/>
                <w:color w:val="auto"/>
                <w:sz w:val="24"/>
                <w:highlight w:val="none"/>
              </w:rPr>
            </w:pPr>
          </w:p>
          <w:p>
            <w:pPr>
              <w:spacing w:line="400" w:lineRule="atLeast"/>
              <w:rPr>
                <w:rFonts w:hint="eastAsia" w:ascii="仿宋" w:hAnsi="仿宋" w:eastAsia="仿宋" w:cs="仿宋"/>
                <w:color w:val="auto"/>
                <w:sz w:val="24"/>
                <w:highlight w:val="none"/>
              </w:rPr>
            </w:pPr>
          </w:p>
        </w:tc>
        <w:tc>
          <w:tcPr>
            <w:tcW w:w="784" w:type="pct"/>
            <w:noWrap w:val="0"/>
            <w:vAlign w:val="top"/>
          </w:tcPr>
          <w:p>
            <w:pPr>
              <w:widowControl/>
              <w:spacing w:line="400" w:lineRule="atLeast"/>
              <w:jc w:val="left"/>
              <w:rPr>
                <w:rFonts w:hint="eastAsia" w:ascii="仿宋" w:hAnsi="仿宋" w:eastAsia="仿宋" w:cs="仿宋"/>
                <w:color w:val="auto"/>
                <w:sz w:val="24"/>
                <w:highlight w:val="none"/>
              </w:rPr>
            </w:pPr>
          </w:p>
          <w:p>
            <w:pPr>
              <w:spacing w:line="400" w:lineRule="atLeast"/>
              <w:rPr>
                <w:rFonts w:hint="eastAsia" w:ascii="仿宋" w:hAnsi="仿宋" w:eastAsia="仿宋" w:cs="仿宋"/>
                <w:color w:val="auto"/>
                <w:sz w:val="24"/>
                <w:highlight w:val="none"/>
              </w:rPr>
            </w:pPr>
          </w:p>
        </w:tc>
        <w:tc>
          <w:tcPr>
            <w:tcW w:w="1391" w:type="pct"/>
            <w:noWrap w:val="0"/>
            <w:vAlign w:val="top"/>
          </w:tcPr>
          <w:p>
            <w:pPr>
              <w:spacing w:line="400" w:lineRule="atLeast"/>
              <w:rPr>
                <w:rFonts w:hint="eastAsia" w:ascii="仿宋" w:hAnsi="仿宋" w:eastAsia="仿宋" w:cs="仿宋"/>
                <w:color w:val="auto"/>
                <w:sz w:val="24"/>
                <w:highlight w:val="none"/>
              </w:rPr>
            </w:pPr>
          </w:p>
        </w:tc>
        <w:tc>
          <w:tcPr>
            <w:tcW w:w="1546" w:type="pct"/>
            <w:noWrap w:val="0"/>
            <w:vAlign w:val="top"/>
          </w:tcPr>
          <w:p>
            <w:pPr>
              <w:spacing w:line="400" w:lineRule="atLeast"/>
              <w:rPr>
                <w:rFonts w:hint="eastAsia" w:ascii="仿宋" w:hAnsi="仿宋" w:eastAsia="仿宋" w:cs="仿宋"/>
                <w:color w:val="auto"/>
                <w:sz w:val="24"/>
                <w:highlight w:val="none"/>
              </w:rPr>
            </w:pPr>
          </w:p>
        </w:tc>
        <w:tc>
          <w:tcPr>
            <w:tcW w:w="1081" w:type="pct"/>
            <w:noWrap w:val="0"/>
            <w:vAlign w:val="top"/>
          </w:tcPr>
          <w:p>
            <w:pPr>
              <w:spacing w:line="400" w:lineRule="atLeast"/>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trPr>
        <w:tc>
          <w:tcPr>
            <w:tcW w:w="195" w:type="pct"/>
            <w:noWrap w:val="0"/>
            <w:vAlign w:val="top"/>
          </w:tcPr>
          <w:p>
            <w:pPr>
              <w:spacing w:line="400" w:lineRule="atLeast"/>
              <w:rPr>
                <w:rFonts w:hint="eastAsia" w:ascii="仿宋" w:hAnsi="仿宋" w:eastAsia="仿宋" w:cs="仿宋"/>
                <w:color w:val="auto"/>
                <w:sz w:val="24"/>
                <w:highlight w:val="none"/>
              </w:rPr>
            </w:pPr>
          </w:p>
          <w:p>
            <w:pPr>
              <w:spacing w:line="400" w:lineRule="atLeast"/>
              <w:rPr>
                <w:rFonts w:hint="eastAsia" w:ascii="仿宋" w:hAnsi="仿宋" w:eastAsia="仿宋" w:cs="仿宋"/>
                <w:color w:val="auto"/>
                <w:sz w:val="24"/>
                <w:highlight w:val="none"/>
              </w:rPr>
            </w:pPr>
          </w:p>
        </w:tc>
        <w:tc>
          <w:tcPr>
            <w:tcW w:w="784" w:type="pct"/>
            <w:noWrap w:val="0"/>
            <w:vAlign w:val="top"/>
          </w:tcPr>
          <w:p>
            <w:pPr>
              <w:widowControl/>
              <w:spacing w:line="400" w:lineRule="atLeast"/>
              <w:jc w:val="left"/>
              <w:rPr>
                <w:rFonts w:hint="eastAsia" w:ascii="仿宋" w:hAnsi="仿宋" w:eastAsia="仿宋" w:cs="仿宋"/>
                <w:color w:val="auto"/>
                <w:sz w:val="24"/>
                <w:highlight w:val="none"/>
              </w:rPr>
            </w:pPr>
          </w:p>
          <w:p>
            <w:pPr>
              <w:spacing w:line="400" w:lineRule="atLeast"/>
              <w:rPr>
                <w:rFonts w:hint="eastAsia" w:ascii="仿宋" w:hAnsi="仿宋" w:eastAsia="仿宋" w:cs="仿宋"/>
                <w:color w:val="auto"/>
                <w:sz w:val="24"/>
                <w:highlight w:val="none"/>
              </w:rPr>
            </w:pPr>
          </w:p>
        </w:tc>
        <w:tc>
          <w:tcPr>
            <w:tcW w:w="1391" w:type="pct"/>
            <w:noWrap w:val="0"/>
            <w:vAlign w:val="top"/>
          </w:tcPr>
          <w:p>
            <w:pPr>
              <w:spacing w:line="400" w:lineRule="atLeast"/>
              <w:rPr>
                <w:rFonts w:hint="eastAsia" w:ascii="仿宋" w:hAnsi="仿宋" w:eastAsia="仿宋" w:cs="仿宋"/>
                <w:color w:val="auto"/>
                <w:sz w:val="24"/>
                <w:highlight w:val="none"/>
              </w:rPr>
            </w:pPr>
          </w:p>
        </w:tc>
        <w:tc>
          <w:tcPr>
            <w:tcW w:w="1546" w:type="pct"/>
            <w:noWrap w:val="0"/>
            <w:vAlign w:val="top"/>
          </w:tcPr>
          <w:p>
            <w:pPr>
              <w:spacing w:line="400" w:lineRule="atLeast"/>
              <w:rPr>
                <w:rFonts w:hint="eastAsia" w:ascii="仿宋" w:hAnsi="仿宋" w:eastAsia="仿宋" w:cs="仿宋"/>
                <w:color w:val="auto"/>
                <w:sz w:val="24"/>
                <w:highlight w:val="none"/>
              </w:rPr>
            </w:pPr>
          </w:p>
        </w:tc>
        <w:tc>
          <w:tcPr>
            <w:tcW w:w="1081" w:type="pct"/>
            <w:noWrap w:val="0"/>
            <w:vAlign w:val="top"/>
          </w:tcPr>
          <w:p>
            <w:pPr>
              <w:spacing w:line="400" w:lineRule="atLeast"/>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trPr>
        <w:tc>
          <w:tcPr>
            <w:tcW w:w="195" w:type="pct"/>
            <w:noWrap w:val="0"/>
            <w:vAlign w:val="top"/>
          </w:tcPr>
          <w:p>
            <w:pPr>
              <w:spacing w:line="400" w:lineRule="atLeast"/>
              <w:rPr>
                <w:rFonts w:hint="eastAsia" w:ascii="仿宋" w:hAnsi="仿宋" w:eastAsia="仿宋" w:cs="仿宋"/>
                <w:color w:val="auto"/>
                <w:sz w:val="24"/>
                <w:highlight w:val="none"/>
              </w:rPr>
            </w:pPr>
          </w:p>
          <w:p>
            <w:pPr>
              <w:spacing w:line="400" w:lineRule="atLeast"/>
              <w:rPr>
                <w:rFonts w:hint="eastAsia" w:ascii="仿宋" w:hAnsi="仿宋" w:eastAsia="仿宋" w:cs="仿宋"/>
                <w:color w:val="auto"/>
                <w:sz w:val="24"/>
                <w:highlight w:val="none"/>
              </w:rPr>
            </w:pPr>
          </w:p>
        </w:tc>
        <w:tc>
          <w:tcPr>
            <w:tcW w:w="784" w:type="pct"/>
            <w:noWrap w:val="0"/>
            <w:vAlign w:val="top"/>
          </w:tcPr>
          <w:p>
            <w:pPr>
              <w:widowControl/>
              <w:spacing w:line="400" w:lineRule="atLeast"/>
              <w:jc w:val="left"/>
              <w:rPr>
                <w:rFonts w:hint="eastAsia" w:ascii="仿宋" w:hAnsi="仿宋" w:eastAsia="仿宋" w:cs="仿宋"/>
                <w:color w:val="auto"/>
                <w:sz w:val="24"/>
                <w:highlight w:val="none"/>
              </w:rPr>
            </w:pPr>
          </w:p>
          <w:p>
            <w:pPr>
              <w:spacing w:line="400" w:lineRule="atLeast"/>
              <w:rPr>
                <w:rFonts w:hint="eastAsia" w:ascii="仿宋" w:hAnsi="仿宋" w:eastAsia="仿宋" w:cs="仿宋"/>
                <w:color w:val="auto"/>
                <w:sz w:val="24"/>
                <w:highlight w:val="none"/>
              </w:rPr>
            </w:pPr>
          </w:p>
        </w:tc>
        <w:tc>
          <w:tcPr>
            <w:tcW w:w="1391" w:type="pct"/>
            <w:noWrap w:val="0"/>
            <w:vAlign w:val="top"/>
          </w:tcPr>
          <w:p>
            <w:pPr>
              <w:spacing w:line="400" w:lineRule="atLeast"/>
              <w:rPr>
                <w:rFonts w:hint="eastAsia" w:ascii="仿宋" w:hAnsi="仿宋" w:eastAsia="仿宋" w:cs="仿宋"/>
                <w:color w:val="auto"/>
                <w:sz w:val="24"/>
                <w:highlight w:val="none"/>
              </w:rPr>
            </w:pPr>
          </w:p>
        </w:tc>
        <w:tc>
          <w:tcPr>
            <w:tcW w:w="1546" w:type="pct"/>
            <w:noWrap w:val="0"/>
            <w:vAlign w:val="top"/>
          </w:tcPr>
          <w:p>
            <w:pPr>
              <w:spacing w:line="400" w:lineRule="atLeast"/>
              <w:rPr>
                <w:rFonts w:hint="eastAsia" w:ascii="仿宋" w:hAnsi="仿宋" w:eastAsia="仿宋" w:cs="仿宋"/>
                <w:color w:val="auto"/>
                <w:sz w:val="24"/>
                <w:highlight w:val="none"/>
              </w:rPr>
            </w:pPr>
          </w:p>
        </w:tc>
        <w:tc>
          <w:tcPr>
            <w:tcW w:w="1081" w:type="pct"/>
            <w:noWrap w:val="0"/>
            <w:vAlign w:val="top"/>
          </w:tcPr>
          <w:p>
            <w:pPr>
              <w:spacing w:line="400" w:lineRule="atLeast"/>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trPr>
        <w:tc>
          <w:tcPr>
            <w:tcW w:w="195" w:type="pct"/>
            <w:noWrap w:val="0"/>
            <w:vAlign w:val="top"/>
          </w:tcPr>
          <w:p>
            <w:pPr>
              <w:spacing w:line="400" w:lineRule="atLeast"/>
              <w:rPr>
                <w:rFonts w:hint="eastAsia" w:ascii="仿宋" w:hAnsi="仿宋" w:eastAsia="仿宋" w:cs="仿宋"/>
                <w:color w:val="auto"/>
                <w:sz w:val="24"/>
                <w:highlight w:val="none"/>
              </w:rPr>
            </w:pPr>
          </w:p>
          <w:p>
            <w:pPr>
              <w:spacing w:line="400" w:lineRule="atLeast"/>
              <w:rPr>
                <w:rFonts w:hint="eastAsia" w:ascii="仿宋" w:hAnsi="仿宋" w:eastAsia="仿宋" w:cs="仿宋"/>
                <w:color w:val="auto"/>
                <w:sz w:val="24"/>
                <w:highlight w:val="none"/>
              </w:rPr>
            </w:pPr>
          </w:p>
        </w:tc>
        <w:tc>
          <w:tcPr>
            <w:tcW w:w="784" w:type="pct"/>
            <w:noWrap w:val="0"/>
            <w:vAlign w:val="top"/>
          </w:tcPr>
          <w:p>
            <w:pPr>
              <w:widowControl/>
              <w:spacing w:line="400" w:lineRule="atLeast"/>
              <w:jc w:val="left"/>
              <w:rPr>
                <w:rFonts w:hint="eastAsia" w:ascii="仿宋" w:hAnsi="仿宋" w:eastAsia="仿宋" w:cs="仿宋"/>
                <w:color w:val="auto"/>
                <w:sz w:val="24"/>
                <w:highlight w:val="none"/>
              </w:rPr>
            </w:pPr>
          </w:p>
          <w:p>
            <w:pPr>
              <w:spacing w:line="400" w:lineRule="atLeast"/>
              <w:rPr>
                <w:rFonts w:hint="eastAsia" w:ascii="仿宋" w:hAnsi="仿宋" w:eastAsia="仿宋" w:cs="仿宋"/>
                <w:color w:val="auto"/>
                <w:sz w:val="24"/>
                <w:highlight w:val="none"/>
              </w:rPr>
            </w:pPr>
          </w:p>
        </w:tc>
        <w:tc>
          <w:tcPr>
            <w:tcW w:w="1391" w:type="pct"/>
            <w:noWrap w:val="0"/>
            <w:vAlign w:val="top"/>
          </w:tcPr>
          <w:p>
            <w:pPr>
              <w:spacing w:line="400" w:lineRule="atLeast"/>
              <w:rPr>
                <w:rFonts w:hint="eastAsia" w:ascii="仿宋" w:hAnsi="仿宋" w:eastAsia="仿宋" w:cs="仿宋"/>
                <w:color w:val="auto"/>
                <w:sz w:val="24"/>
                <w:highlight w:val="none"/>
              </w:rPr>
            </w:pPr>
          </w:p>
        </w:tc>
        <w:tc>
          <w:tcPr>
            <w:tcW w:w="1546" w:type="pct"/>
            <w:noWrap w:val="0"/>
            <w:vAlign w:val="top"/>
          </w:tcPr>
          <w:p>
            <w:pPr>
              <w:spacing w:line="400" w:lineRule="atLeast"/>
              <w:rPr>
                <w:rFonts w:hint="eastAsia" w:ascii="仿宋" w:hAnsi="仿宋" w:eastAsia="仿宋" w:cs="仿宋"/>
                <w:color w:val="auto"/>
                <w:sz w:val="24"/>
                <w:highlight w:val="none"/>
              </w:rPr>
            </w:pPr>
          </w:p>
        </w:tc>
        <w:tc>
          <w:tcPr>
            <w:tcW w:w="1081" w:type="pct"/>
            <w:noWrap w:val="0"/>
            <w:vAlign w:val="top"/>
          </w:tcPr>
          <w:p>
            <w:pPr>
              <w:spacing w:line="400" w:lineRule="atLeast"/>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trPr>
        <w:tc>
          <w:tcPr>
            <w:tcW w:w="195" w:type="pct"/>
            <w:noWrap w:val="0"/>
            <w:vAlign w:val="top"/>
          </w:tcPr>
          <w:p>
            <w:pPr>
              <w:spacing w:line="400" w:lineRule="atLeast"/>
              <w:rPr>
                <w:rFonts w:hint="eastAsia" w:ascii="仿宋" w:hAnsi="仿宋" w:eastAsia="仿宋" w:cs="仿宋"/>
                <w:color w:val="auto"/>
                <w:sz w:val="24"/>
                <w:highlight w:val="none"/>
              </w:rPr>
            </w:pPr>
          </w:p>
          <w:p>
            <w:pPr>
              <w:spacing w:line="400" w:lineRule="atLeast"/>
              <w:rPr>
                <w:rFonts w:hint="eastAsia" w:ascii="仿宋" w:hAnsi="仿宋" w:eastAsia="仿宋" w:cs="仿宋"/>
                <w:color w:val="auto"/>
                <w:sz w:val="24"/>
                <w:highlight w:val="none"/>
              </w:rPr>
            </w:pPr>
          </w:p>
        </w:tc>
        <w:tc>
          <w:tcPr>
            <w:tcW w:w="784" w:type="pct"/>
            <w:noWrap w:val="0"/>
            <w:vAlign w:val="top"/>
          </w:tcPr>
          <w:p>
            <w:pPr>
              <w:widowControl/>
              <w:spacing w:line="400" w:lineRule="atLeast"/>
              <w:jc w:val="left"/>
              <w:rPr>
                <w:rFonts w:hint="eastAsia" w:ascii="仿宋" w:hAnsi="仿宋" w:eastAsia="仿宋" w:cs="仿宋"/>
                <w:color w:val="auto"/>
                <w:sz w:val="24"/>
                <w:highlight w:val="none"/>
              </w:rPr>
            </w:pPr>
          </w:p>
          <w:p>
            <w:pPr>
              <w:spacing w:line="400" w:lineRule="atLeast"/>
              <w:rPr>
                <w:rFonts w:hint="eastAsia" w:ascii="仿宋" w:hAnsi="仿宋" w:eastAsia="仿宋" w:cs="仿宋"/>
                <w:color w:val="auto"/>
                <w:sz w:val="24"/>
                <w:highlight w:val="none"/>
              </w:rPr>
            </w:pPr>
          </w:p>
        </w:tc>
        <w:tc>
          <w:tcPr>
            <w:tcW w:w="1391" w:type="pct"/>
            <w:noWrap w:val="0"/>
            <w:vAlign w:val="top"/>
          </w:tcPr>
          <w:p>
            <w:pPr>
              <w:spacing w:line="400" w:lineRule="atLeast"/>
              <w:rPr>
                <w:rFonts w:hint="eastAsia" w:ascii="仿宋" w:hAnsi="仿宋" w:eastAsia="仿宋" w:cs="仿宋"/>
                <w:color w:val="auto"/>
                <w:sz w:val="24"/>
                <w:highlight w:val="none"/>
              </w:rPr>
            </w:pPr>
          </w:p>
        </w:tc>
        <w:tc>
          <w:tcPr>
            <w:tcW w:w="1546" w:type="pct"/>
            <w:noWrap w:val="0"/>
            <w:vAlign w:val="top"/>
          </w:tcPr>
          <w:p>
            <w:pPr>
              <w:spacing w:line="400" w:lineRule="atLeast"/>
              <w:rPr>
                <w:rFonts w:hint="eastAsia" w:ascii="仿宋" w:hAnsi="仿宋" w:eastAsia="仿宋" w:cs="仿宋"/>
                <w:color w:val="auto"/>
                <w:sz w:val="24"/>
                <w:highlight w:val="none"/>
              </w:rPr>
            </w:pPr>
          </w:p>
        </w:tc>
        <w:tc>
          <w:tcPr>
            <w:tcW w:w="1081" w:type="pct"/>
            <w:noWrap w:val="0"/>
            <w:vAlign w:val="top"/>
          </w:tcPr>
          <w:p>
            <w:pPr>
              <w:spacing w:line="400" w:lineRule="atLeast"/>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trPr>
        <w:tc>
          <w:tcPr>
            <w:tcW w:w="195" w:type="pct"/>
            <w:noWrap w:val="0"/>
            <w:vAlign w:val="top"/>
          </w:tcPr>
          <w:p>
            <w:pPr>
              <w:spacing w:line="400" w:lineRule="atLeast"/>
              <w:rPr>
                <w:rFonts w:hint="eastAsia" w:ascii="仿宋" w:hAnsi="仿宋" w:eastAsia="仿宋" w:cs="仿宋"/>
                <w:color w:val="auto"/>
                <w:sz w:val="24"/>
                <w:highlight w:val="none"/>
              </w:rPr>
            </w:pPr>
          </w:p>
          <w:p>
            <w:pPr>
              <w:spacing w:line="400" w:lineRule="atLeast"/>
              <w:rPr>
                <w:rFonts w:hint="eastAsia" w:ascii="仿宋" w:hAnsi="仿宋" w:eastAsia="仿宋" w:cs="仿宋"/>
                <w:color w:val="auto"/>
                <w:sz w:val="24"/>
                <w:highlight w:val="none"/>
              </w:rPr>
            </w:pPr>
          </w:p>
        </w:tc>
        <w:tc>
          <w:tcPr>
            <w:tcW w:w="784" w:type="pct"/>
            <w:noWrap w:val="0"/>
            <w:vAlign w:val="top"/>
          </w:tcPr>
          <w:p>
            <w:pPr>
              <w:widowControl/>
              <w:spacing w:line="400" w:lineRule="atLeast"/>
              <w:jc w:val="left"/>
              <w:rPr>
                <w:rFonts w:hint="eastAsia" w:ascii="仿宋" w:hAnsi="仿宋" w:eastAsia="仿宋" w:cs="仿宋"/>
                <w:color w:val="auto"/>
                <w:sz w:val="24"/>
                <w:highlight w:val="none"/>
              </w:rPr>
            </w:pPr>
          </w:p>
          <w:p>
            <w:pPr>
              <w:spacing w:line="400" w:lineRule="atLeast"/>
              <w:rPr>
                <w:rFonts w:hint="eastAsia" w:ascii="仿宋" w:hAnsi="仿宋" w:eastAsia="仿宋" w:cs="仿宋"/>
                <w:color w:val="auto"/>
                <w:sz w:val="24"/>
                <w:highlight w:val="none"/>
              </w:rPr>
            </w:pPr>
          </w:p>
        </w:tc>
        <w:tc>
          <w:tcPr>
            <w:tcW w:w="1391" w:type="pct"/>
            <w:noWrap w:val="0"/>
            <w:vAlign w:val="top"/>
          </w:tcPr>
          <w:p>
            <w:pPr>
              <w:spacing w:line="400" w:lineRule="atLeast"/>
              <w:rPr>
                <w:rFonts w:hint="eastAsia" w:ascii="仿宋" w:hAnsi="仿宋" w:eastAsia="仿宋" w:cs="仿宋"/>
                <w:color w:val="auto"/>
                <w:sz w:val="24"/>
                <w:highlight w:val="none"/>
              </w:rPr>
            </w:pPr>
          </w:p>
        </w:tc>
        <w:tc>
          <w:tcPr>
            <w:tcW w:w="1546" w:type="pct"/>
            <w:noWrap w:val="0"/>
            <w:vAlign w:val="top"/>
          </w:tcPr>
          <w:p>
            <w:pPr>
              <w:spacing w:line="400" w:lineRule="atLeast"/>
              <w:rPr>
                <w:rFonts w:hint="eastAsia" w:ascii="仿宋" w:hAnsi="仿宋" w:eastAsia="仿宋" w:cs="仿宋"/>
                <w:color w:val="auto"/>
                <w:sz w:val="24"/>
                <w:highlight w:val="none"/>
              </w:rPr>
            </w:pPr>
          </w:p>
        </w:tc>
        <w:tc>
          <w:tcPr>
            <w:tcW w:w="1081" w:type="pct"/>
            <w:noWrap w:val="0"/>
            <w:vAlign w:val="top"/>
          </w:tcPr>
          <w:p>
            <w:pPr>
              <w:spacing w:line="400" w:lineRule="atLeast"/>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trPr>
        <w:tc>
          <w:tcPr>
            <w:tcW w:w="195" w:type="pct"/>
            <w:noWrap w:val="0"/>
            <w:vAlign w:val="top"/>
          </w:tcPr>
          <w:p>
            <w:pPr>
              <w:spacing w:line="400" w:lineRule="atLeast"/>
              <w:rPr>
                <w:rFonts w:hint="eastAsia" w:ascii="仿宋" w:hAnsi="仿宋" w:eastAsia="仿宋" w:cs="仿宋"/>
                <w:color w:val="auto"/>
                <w:sz w:val="24"/>
                <w:highlight w:val="none"/>
              </w:rPr>
            </w:pPr>
          </w:p>
          <w:p>
            <w:pPr>
              <w:spacing w:line="400" w:lineRule="atLeast"/>
              <w:rPr>
                <w:rFonts w:hint="eastAsia" w:ascii="仿宋" w:hAnsi="仿宋" w:eastAsia="仿宋" w:cs="仿宋"/>
                <w:color w:val="auto"/>
                <w:sz w:val="24"/>
                <w:highlight w:val="none"/>
              </w:rPr>
            </w:pPr>
          </w:p>
        </w:tc>
        <w:tc>
          <w:tcPr>
            <w:tcW w:w="784" w:type="pct"/>
            <w:noWrap w:val="0"/>
            <w:vAlign w:val="top"/>
          </w:tcPr>
          <w:p>
            <w:pPr>
              <w:widowControl/>
              <w:spacing w:line="400" w:lineRule="atLeast"/>
              <w:jc w:val="left"/>
              <w:rPr>
                <w:rFonts w:hint="eastAsia" w:ascii="仿宋" w:hAnsi="仿宋" w:eastAsia="仿宋" w:cs="仿宋"/>
                <w:color w:val="auto"/>
                <w:sz w:val="24"/>
                <w:highlight w:val="none"/>
              </w:rPr>
            </w:pPr>
          </w:p>
          <w:p>
            <w:pPr>
              <w:spacing w:line="400" w:lineRule="atLeast"/>
              <w:rPr>
                <w:rFonts w:hint="eastAsia" w:ascii="仿宋" w:hAnsi="仿宋" w:eastAsia="仿宋" w:cs="仿宋"/>
                <w:color w:val="auto"/>
                <w:sz w:val="24"/>
                <w:highlight w:val="none"/>
              </w:rPr>
            </w:pPr>
          </w:p>
        </w:tc>
        <w:tc>
          <w:tcPr>
            <w:tcW w:w="1391" w:type="pct"/>
            <w:noWrap w:val="0"/>
            <w:vAlign w:val="top"/>
          </w:tcPr>
          <w:p>
            <w:pPr>
              <w:spacing w:line="400" w:lineRule="atLeast"/>
              <w:rPr>
                <w:rFonts w:hint="eastAsia" w:ascii="仿宋" w:hAnsi="仿宋" w:eastAsia="仿宋" w:cs="仿宋"/>
                <w:color w:val="auto"/>
                <w:sz w:val="24"/>
                <w:highlight w:val="none"/>
              </w:rPr>
            </w:pPr>
          </w:p>
        </w:tc>
        <w:tc>
          <w:tcPr>
            <w:tcW w:w="1546" w:type="pct"/>
            <w:noWrap w:val="0"/>
            <w:vAlign w:val="top"/>
          </w:tcPr>
          <w:p>
            <w:pPr>
              <w:spacing w:line="400" w:lineRule="atLeast"/>
              <w:rPr>
                <w:rFonts w:hint="eastAsia" w:ascii="仿宋" w:hAnsi="仿宋" w:eastAsia="仿宋" w:cs="仿宋"/>
                <w:color w:val="auto"/>
                <w:sz w:val="24"/>
                <w:highlight w:val="none"/>
              </w:rPr>
            </w:pPr>
          </w:p>
        </w:tc>
        <w:tc>
          <w:tcPr>
            <w:tcW w:w="1081" w:type="pct"/>
            <w:noWrap w:val="0"/>
            <w:vAlign w:val="top"/>
          </w:tcPr>
          <w:p>
            <w:pPr>
              <w:spacing w:line="400" w:lineRule="atLeast"/>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trPr>
        <w:tc>
          <w:tcPr>
            <w:tcW w:w="195" w:type="pct"/>
            <w:noWrap w:val="0"/>
            <w:vAlign w:val="top"/>
          </w:tcPr>
          <w:p>
            <w:pPr>
              <w:spacing w:line="400" w:lineRule="atLeast"/>
              <w:rPr>
                <w:rFonts w:hint="eastAsia" w:ascii="仿宋" w:hAnsi="仿宋" w:eastAsia="仿宋" w:cs="仿宋"/>
                <w:color w:val="auto"/>
                <w:sz w:val="24"/>
                <w:highlight w:val="none"/>
              </w:rPr>
            </w:pPr>
          </w:p>
          <w:p>
            <w:pPr>
              <w:spacing w:line="400" w:lineRule="atLeast"/>
              <w:rPr>
                <w:rFonts w:hint="eastAsia" w:ascii="仿宋" w:hAnsi="仿宋" w:eastAsia="仿宋" w:cs="仿宋"/>
                <w:color w:val="auto"/>
                <w:sz w:val="24"/>
                <w:highlight w:val="none"/>
              </w:rPr>
            </w:pPr>
          </w:p>
        </w:tc>
        <w:tc>
          <w:tcPr>
            <w:tcW w:w="784" w:type="pct"/>
            <w:noWrap w:val="0"/>
            <w:vAlign w:val="top"/>
          </w:tcPr>
          <w:p>
            <w:pPr>
              <w:widowControl/>
              <w:spacing w:line="400" w:lineRule="atLeast"/>
              <w:jc w:val="left"/>
              <w:rPr>
                <w:rFonts w:hint="eastAsia" w:ascii="仿宋" w:hAnsi="仿宋" w:eastAsia="仿宋" w:cs="仿宋"/>
                <w:color w:val="auto"/>
                <w:sz w:val="24"/>
                <w:highlight w:val="none"/>
              </w:rPr>
            </w:pPr>
          </w:p>
          <w:p>
            <w:pPr>
              <w:spacing w:line="400" w:lineRule="atLeast"/>
              <w:rPr>
                <w:rFonts w:hint="eastAsia" w:ascii="仿宋" w:hAnsi="仿宋" w:eastAsia="仿宋" w:cs="仿宋"/>
                <w:color w:val="auto"/>
                <w:sz w:val="24"/>
                <w:highlight w:val="none"/>
              </w:rPr>
            </w:pPr>
          </w:p>
        </w:tc>
        <w:tc>
          <w:tcPr>
            <w:tcW w:w="1391" w:type="pct"/>
            <w:noWrap w:val="0"/>
            <w:vAlign w:val="top"/>
          </w:tcPr>
          <w:p>
            <w:pPr>
              <w:spacing w:line="400" w:lineRule="atLeast"/>
              <w:rPr>
                <w:rFonts w:hint="eastAsia" w:ascii="仿宋" w:hAnsi="仿宋" w:eastAsia="仿宋" w:cs="仿宋"/>
                <w:color w:val="auto"/>
                <w:sz w:val="24"/>
                <w:highlight w:val="none"/>
              </w:rPr>
            </w:pPr>
          </w:p>
        </w:tc>
        <w:tc>
          <w:tcPr>
            <w:tcW w:w="1546" w:type="pct"/>
            <w:noWrap w:val="0"/>
            <w:vAlign w:val="top"/>
          </w:tcPr>
          <w:p>
            <w:pPr>
              <w:spacing w:line="400" w:lineRule="atLeast"/>
              <w:rPr>
                <w:rFonts w:hint="eastAsia" w:ascii="仿宋" w:hAnsi="仿宋" w:eastAsia="仿宋" w:cs="仿宋"/>
                <w:color w:val="auto"/>
                <w:sz w:val="24"/>
                <w:highlight w:val="none"/>
              </w:rPr>
            </w:pPr>
          </w:p>
        </w:tc>
        <w:tc>
          <w:tcPr>
            <w:tcW w:w="1081" w:type="pct"/>
            <w:noWrap w:val="0"/>
            <w:vAlign w:val="top"/>
          </w:tcPr>
          <w:p>
            <w:pPr>
              <w:spacing w:line="400" w:lineRule="atLeast"/>
              <w:rPr>
                <w:rFonts w:hint="eastAsia" w:ascii="仿宋" w:hAnsi="仿宋" w:eastAsia="仿宋" w:cs="仿宋"/>
                <w:color w:val="auto"/>
                <w:sz w:val="24"/>
                <w:highlight w:val="none"/>
              </w:rPr>
            </w:pPr>
          </w:p>
        </w:tc>
      </w:tr>
    </w:tbl>
    <w:p>
      <w:pPr>
        <w:spacing w:line="400" w:lineRule="atLeast"/>
        <w:rPr>
          <w:rFonts w:hint="eastAsia" w:ascii="仿宋" w:hAnsi="仿宋" w:eastAsia="仿宋" w:cs="仿宋"/>
          <w:color w:val="auto"/>
          <w:sz w:val="24"/>
          <w:highlight w:val="none"/>
        </w:rPr>
      </w:pPr>
      <w:r>
        <w:rPr>
          <w:rFonts w:hint="eastAsia" w:ascii="仿宋" w:hAnsi="仿宋" w:eastAsia="仿宋" w:cs="仿宋"/>
          <w:color w:val="auto"/>
          <w:sz w:val="24"/>
          <w:highlight w:val="none"/>
        </w:rPr>
        <w:t>注：与招标文件中“第</w:t>
      </w:r>
      <w:r>
        <w:rPr>
          <w:rFonts w:hint="eastAsia" w:ascii="仿宋" w:hAnsi="仿宋" w:eastAsia="仿宋" w:cs="仿宋"/>
          <w:color w:val="auto"/>
          <w:sz w:val="24"/>
          <w:highlight w:val="none"/>
          <w:lang w:val="en-US" w:eastAsia="zh-CN"/>
        </w:rPr>
        <w:t>六</w:t>
      </w:r>
      <w:r>
        <w:rPr>
          <w:rFonts w:hint="eastAsia" w:ascii="仿宋" w:hAnsi="仿宋" w:eastAsia="仿宋" w:cs="仿宋"/>
          <w:color w:val="auto"/>
          <w:sz w:val="24"/>
          <w:highlight w:val="none"/>
          <w:lang w:val="en-US" w:eastAsia="zh-Hans"/>
        </w:rPr>
        <w:t>章</w:t>
      </w:r>
      <w:r>
        <w:rPr>
          <w:rFonts w:hint="eastAsia" w:ascii="仿宋" w:hAnsi="仿宋" w:eastAsia="仿宋" w:cs="仿宋"/>
          <w:color w:val="auto"/>
          <w:sz w:val="24"/>
          <w:highlight w:val="none"/>
          <w:lang w:eastAsia="zh-Hans"/>
        </w:rPr>
        <w:t>（</w:t>
      </w:r>
      <w:r>
        <w:rPr>
          <w:rFonts w:hint="eastAsia" w:ascii="仿宋" w:hAnsi="仿宋" w:eastAsia="仿宋" w:cs="仿宋"/>
          <w:color w:val="auto"/>
          <w:sz w:val="24"/>
          <w:highlight w:val="none"/>
          <w:lang w:val="en-US" w:eastAsia="zh-Hans"/>
        </w:rPr>
        <w:t>一</w:t>
      </w:r>
      <w:r>
        <w:rPr>
          <w:rFonts w:hint="eastAsia" w:ascii="仿宋" w:hAnsi="仿宋" w:eastAsia="仿宋" w:cs="仿宋"/>
          <w:color w:val="auto"/>
          <w:sz w:val="24"/>
          <w:highlight w:val="none"/>
          <w:lang w:eastAsia="zh-Hans"/>
        </w:rPr>
        <w:t>）</w:t>
      </w:r>
      <w:r>
        <w:rPr>
          <w:rFonts w:hint="eastAsia" w:ascii="仿宋" w:hAnsi="仿宋" w:eastAsia="仿宋" w:cs="仿宋"/>
          <w:color w:val="auto"/>
          <w:sz w:val="24"/>
          <w:highlight w:val="none"/>
          <w:lang w:val="en-US" w:eastAsia="zh-Hans"/>
        </w:rPr>
        <w:t>采购总体需求</w:t>
      </w:r>
      <w:r>
        <w:rPr>
          <w:rFonts w:hint="eastAsia" w:ascii="仿宋" w:hAnsi="仿宋" w:eastAsia="仿宋" w:cs="仿宋"/>
          <w:color w:val="auto"/>
          <w:sz w:val="24"/>
          <w:highlight w:val="none"/>
        </w:rPr>
        <w:t>”逐条对应填写。　</w:t>
      </w:r>
    </w:p>
    <w:p>
      <w:pPr>
        <w:spacing w:line="400" w:lineRule="atLeast"/>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投标商代表签字：</w:t>
      </w:r>
      <w:r>
        <w:rPr>
          <w:rFonts w:hint="eastAsia" w:ascii="仿宋" w:hAnsi="仿宋" w:eastAsia="仿宋" w:cs="仿宋"/>
          <w:color w:val="auto"/>
          <w:sz w:val="24"/>
          <w:highlight w:val="none"/>
          <w:u w:val="single"/>
        </w:rPr>
        <w:t>　　　　　　　　　　　　　　　</w:t>
      </w:r>
      <w:r>
        <w:rPr>
          <w:rFonts w:hint="eastAsia" w:ascii="仿宋" w:hAnsi="仿宋" w:eastAsia="仿宋" w:cs="仿宋"/>
          <w:color w:val="auto"/>
          <w:sz w:val="24"/>
          <w:highlight w:val="none"/>
        </w:rPr>
        <w:t>　</w:t>
      </w:r>
    </w:p>
    <w:p>
      <w:pPr>
        <w:pStyle w:val="4"/>
        <w:pageBreakBefore w:val="0"/>
        <w:kinsoku/>
        <w:wordWrap/>
        <w:bidi w:val="0"/>
        <w:adjustRightInd w:val="0"/>
        <w:snapToGrid w:val="0"/>
        <w:spacing w:before="0" w:beforeLines="0" w:after="0" w:afterLines="0" w:line="360" w:lineRule="auto"/>
        <w:ind w:left="0" w:leftChars="0" w:right="0" w:rightChars="0"/>
        <w:jc w:val="center"/>
        <w:rPr>
          <w:rFonts w:hint="eastAsia" w:ascii="仿宋" w:hAnsi="仿宋" w:eastAsia="仿宋" w:cs="仿宋"/>
          <w:color w:val="auto"/>
          <w:sz w:val="24"/>
          <w:szCs w:val="24"/>
          <w:highlight w:val="none"/>
          <w:lang w:val="en-US" w:eastAsia="zh-Hans"/>
        </w:rPr>
        <w:sectPr>
          <w:pgSz w:w="11906" w:h="16838"/>
          <w:pgMar w:top="1418" w:right="1588" w:bottom="1418" w:left="1588" w:header="851" w:footer="992" w:gutter="0"/>
          <w:cols w:space="720" w:num="1"/>
          <w:docGrid w:type="lines" w:linePitch="312" w:charSpace="0"/>
        </w:sectPr>
      </w:pPr>
    </w:p>
    <w:bookmarkEnd w:id="460"/>
    <w:p>
      <w:pPr>
        <w:pStyle w:val="7"/>
        <w:ind w:firstLine="0"/>
        <w:rPr>
          <w:rFonts w:hint="eastAsia" w:ascii="仿宋" w:hAnsi="仿宋" w:eastAsia="仿宋" w:cs="仿宋"/>
          <w:b/>
          <w:color w:val="auto"/>
          <w:sz w:val="24"/>
          <w:szCs w:val="24"/>
          <w:highlight w:val="none"/>
        </w:rPr>
      </w:pPr>
    </w:p>
    <w:p>
      <w:pPr>
        <w:pageBreakBefore w:val="0"/>
        <w:kinsoku/>
        <w:wordWrap/>
        <w:bidi w:val="0"/>
        <w:adjustRightInd w:val="0"/>
        <w:snapToGrid w:val="0"/>
        <w:spacing w:line="360" w:lineRule="auto"/>
        <w:ind w:left="0" w:leftChars="0" w:right="0" w:rightChars="0"/>
        <w:rPr>
          <w:rFonts w:hint="eastAsia" w:ascii="仿宋" w:hAnsi="仿宋" w:eastAsia="仿宋" w:cs="仿宋"/>
          <w:b/>
          <w:color w:val="auto"/>
          <w:sz w:val="24"/>
          <w:szCs w:val="24"/>
          <w:highlight w:val="none"/>
        </w:rPr>
      </w:pPr>
    </w:p>
    <w:p>
      <w:pPr>
        <w:pageBreakBefore w:val="0"/>
        <w:kinsoku/>
        <w:wordWrap/>
        <w:topLinePunct/>
        <w:bidi w:val="0"/>
        <w:adjustRightInd w:val="0"/>
        <w:snapToGrid w:val="0"/>
        <w:spacing w:line="360" w:lineRule="auto"/>
        <w:ind w:left="0" w:leftChars="0" w:right="0" w:rightChars="0"/>
        <w:jc w:val="center"/>
        <w:rPr>
          <w:rFonts w:hint="eastAsia" w:ascii="仿宋" w:hAnsi="仿宋" w:eastAsia="仿宋" w:cs="仿宋"/>
          <w:b/>
          <w:color w:val="auto"/>
          <w:sz w:val="24"/>
          <w:szCs w:val="24"/>
          <w:highlight w:val="none"/>
        </w:rPr>
      </w:pPr>
      <w:bookmarkStart w:id="461" w:name="_Toc144974875"/>
      <w:bookmarkStart w:id="462" w:name="_Toc514837986"/>
      <w:bookmarkStart w:id="463" w:name="_Toc152042596"/>
      <w:bookmarkStart w:id="464" w:name="_Toc179632827"/>
      <w:bookmarkStart w:id="465" w:name="_Toc246996372"/>
      <w:bookmarkStart w:id="466" w:name="_Toc152045807"/>
      <w:bookmarkStart w:id="467" w:name="_Toc247085890"/>
      <w:bookmarkStart w:id="468" w:name="_Toc246997115"/>
      <w:r>
        <w:rPr>
          <w:rFonts w:hint="eastAsia" w:ascii="仿宋" w:hAnsi="仿宋" w:eastAsia="仿宋" w:cs="仿宋"/>
          <w:b/>
          <w:color w:val="auto"/>
          <w:sz w:val="24"/>
          <w:szCs w:val="24"/>
          <w:highlight w:val="none"/>
          <w:lang w:eastAsia="zh-CN"/>
        </w:rPr>
        <w:t>（</w:t>
      </w:r>
      <w:r>
        <w:rPr>
          <w:rFonts w:hint="eastAsia" w:ascii="仿宋" w:hAnsi="仿宋" w:eastAsia="仿宋" w:cs="仿宋"/>
          <w:b/>
          <w:color w:val="auto"/>
          <w:sz w:val="24"/>
          <w:szCs w:val="24"/>
          <w:highlight w:val="none"/>
          <w:lang w:val="en-US" w:eastAsia="zh-CN"/>
        </w:rPr>
        <w:t>8</w:t>
      </w:r>
      <w:r>
        <w:rPr>
          <w:rFonts w:hint="eastAsia" w:ascii="仿宋" w:hAnsi="仿宋" w:eastAsia="仿宋" w:cs="仿宋"/>
          <w:b/>
          <w:color w:val="auto"/>
          <w:sz w:val="24"/>
          <w:szCs w:val="24"/>
          <w:highlight w:val="none"/>
          <w:lang w:eastAsia="zh-CN"/>
        </w:rPr>
        <w:t>）</w:t>
      </w:r>
      <w:r>
        <w:rPr>
          <w:rFonts w:hint="eastAsia" w:ascii="仿宋" w:hAnsi="仿宋" w:eastAsia="仿宋" w:cs="仿宋"/>
          <w:b/>
          <w:color w:val="auto"/>
          <w:sz w:val="24"/>
          <w:szCs w:val="24"/>
          <w:highlight w:val="none"/>
        </w:rPr>
        <w:t>资格审查资料</w:t>
      </w:r>
      <w:bookmarkEnd w:id="461"/>
      <w:bookmarkEnd w:id="462"/>
      <w:bookmarkEnd w:id="463"/>
      <w:bookmarkEnd w:id="464"/>
      <w:bookmarkEnd w:id="465"/>
      <w:bookmarkEnd w:id="466"/>
      <w:bookmarkEnd w:id="467"/>
      <w:bookmarkEnd w:id="468"/>
    </w:p>
    <w:p>
      <w:pPr>
        <w:pStyle w:val="5"/>
        <w:pageBreakBefore w:val="0"/>
        <w:kinsoku/>
        <w:wordWrap/>
        <w:bidi w:val="0"/>
        <w:adjustRightInd w:val="0"/>
        <w:snapToGrid w:val="0"/>
        <w:spacing w:before="0" w:beforeLines="0" w:after="0" w:afterLines="0" w:line="360" w:lineRule="auto"/>
        <w:ind w:left="0" w:leftChars="0" w:right="0" w:rightChars="0"/>
        <w:jc w:val="center"/>
        <w:rPr>
          <w:rFonts w:hint="eastAsia" w:ascii="仿宋" w:hAnsi="仿宋" w:eastAsia="仿宋" w:cs="仿宋"/>
          <w:color w:val="auto"/>
          <w:sz w:val="24"/>
          <w:szCs w:val="24"/>
          <w:highlight w:val="none"/>
        </w:rPr>
      </w:pPr>
      <w:bookmarkStart w:id="469" w:name="_Toc152042597"/>
      <w:bookmarkStart w:id="470" w:name="_Toc246997116"/>
      <w:bookmarkStart w:id="471" w:name="_Toc152045808"/>
      <w:bookmarkStart w:id="472" w:name="_Toc247085891"/>
      <w:bookmarkStart w:id="473" w:name="_Toc144974876"/>
      <w:bookmarkStart w:id="474" w:name="_Toc179632828"/>
      <w:bookmarkStart w:id="475" w:name="_Toc514837987"/>
      <w:bookmarkStart w:id="476" w:name="_Toc246996373"/>
      <w:r>
        <w:rPr>
          <w:rFonts w:hint="eastAsia" w:ascii="仿宋" w:hAnsi="仿宋" w:eastAsia="仿宋" w:cs="仿宋"/>
          <w:color w:val="auto"/>
          <w:sz w:val="24"/>
          <w:szCs w:val="24"/>
          <w:highlight w:val="none"/>
        </w:rPr>
        <w:t>（一）投标人基本情况表</w:t>
      </w:r>
      <w:bookmarkEnd w:id="469"/>
      <w:bookmarkEnd w:id="470"/>
      <w:bookmarkEnd w:id="471"/>
      <w:bookmarkEnd w:id="472"/>
      <w:bookmarkEnd w:id="473"/>
      <w:bookmarkEnd w:id="474"/>
      <w:bookmarkEnd w:id="475"/>
      <w:bookmarkEnd w:id="476"/>
    </w:p>
    <w:tbl>
      <w:tblPr>
        <w:tblStyle w:val="21"/>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93"/>
        <w:gridCol w:w="1395"/>
        <w:gridCol w:w="2054"/>
        <w:gridCol w:w="1174"/>
        <w:gridCol w:w="215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exact"/>
        </w:trPr>
        <w:tc>
          <w:tcPr>
            <w:tcW w:w="2093"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topLinePunct/>
              <w:bidi w:val="0"/>
              <w:adjustRightInd w:val="0"/>
              <w:snapToGrid w:val="0"/>
              <w:spacing w:line="360" w:lineRule="auto"/>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投标人名称</w:t>
            </w:r>
          </w:p>
        </w:tc>
        <w:tc>
          <w:tcPr>
            <w:tcW w:w="6777" w:type="dxa"/>
            <w:gridSpan w:val="4"/>
            <w:tcBorders>
              <w:top w:val="single" w:color="auto" w:sz="4" w:space="0"/>
              <w:left w:val="single" w:color="auto" w:sz="4" w:space="0"/>
              <w:bottom w:val="single" w:color="auto" w:sz="4" w:space="0"/>
              <w:right w:val="single" w:color="auto" w:sz="4" w:space="0"/>
            </w:tcBorders>
            <w:noWrap w:val="0"/>
            <w:vAlign w:val="center"/>
          </w:tcPr>
          <w:p>
            <w:pPr>
              <w:pageBreakBefore w:val="0"/>
              <w:kinsoku/>
              <w:wordWrap/>
              <w:topLinePunct/>
              <w:bidi w:val="0"/>
              <w:adjustRightInd w:val="0"/>
              <w:snapToGrid w:val="0"/>
              <w:spacing w:line="360" w:lineRule="auto"/>
              <w:ind w:left="0" w:leftChars="0" w:right="0" w:rightChars="0"/>
              <w:jc w:val="center"/>
              <w:rPr>
                <w:rFonts w:hint="eastAsia" w:ascii="仿宋" w:hAnsi="仿宋" w:eastAsia="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exact"/>
        </w:trPr>
        <w:tc>
          <w:tcPr>
            <w:tcW w:w="2093"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topLinePunct/>
              <w:bidi w:val="0"/>
              <w:adjustRightInd w:val="0"/>
              <w:snapToGrid w:val="0"/>
              <w:spacing w:line="360" w:lineRule="auto"/>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注册资金</w:t>
            </w:r>
          </w:p>
        </w:tc>
        <w:tc>
          <w:tcPr>
            <w:tcW w:w="3449" w:type="dxa"/>
            <w:gridSpan w:val="2"/>
            <w:tcBorders>
              <w:top w:val="single" w:color="auto" w:sz="4" w:space="0"/>
              <w:left w:val="single" w:color="auto" w:sz="4" w:space="0"/>
              <w:bottom w:val="single" w:color="auto" w:sz="4" w:space="0"/>
              <w:right w:val="single" w:color="auto" w:sz="4" w:space="0"/>
            </w:tcBorders>
            <w:noWrap w:val="0"/>
            <w:vAlign w:val="center"/>
          </w:tcPr>
          <w:p>
            <w:pPr>
              <w:pageBreakBefore w:val="0"/>
              <w:kinsoku/>
              <w:wordWrap/>
              <w:topLinePunct/>
              <w:bidi w:val="0"/>
              <w:adjustRightInd w:val="0"/>
              <w:snapToGrid w:val="0"/>
              <w:spacing w:line="360" w:lineRule="auto"/>
              <w:ind w:left="0" w:leftChars="0" w:right="0" w:rightChars="0"/>
              <w:jc w:val="center"/>
              <w:rPr>
                <w:rFonts w:hint="eastAsia" w:ascii="仿宋" w:hAnsi="仿宋" w:eastAsia="仿宋" w:cs="仿宋"/>
                <w:color w:val="auto"/>
                <w:sz w:val="21"/>
                <w:szCs w:val="21"/>
                <w:highlight w:val="none"/>
              </w:rPr>
            </w:pPr>
          </w:p>
        </w:tc>
        <w:tc>
          <w:tcPr>
            <w:tcW w:w="1174"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topLinePunct/>
              <w:bidi w:val="0"/>
              <w:adjustRightInd w:val="0"/>
              <w:snapToGrid w:val="0"/>
              <w:spacing w:line="360" w:lineRule="auto"/>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成立时间</w:t>
            </w:r>
          </w:p>
        </w:tc>
        <w:tc>
          <w:tcPr>
            <w:tcW w:w="2154"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topLinePunct/>
              <w:bidi w:val="0"/>
              <w:adjustRightInd w:val="0"/>
              <w:snapToGrid w:val="0"/>
              <w:spacing w:line="360" w:lineRule="auto"/>
              <w:ind w:left="0" w:leftChars="0" w:right="0" w:rightChars="0"/>
              <w:jc w:val="center"/>
              <w:rPr>
                <w:rFonts w:hint="eastAsia" w:ascii="仿宋" w:hAnsi="仿宋" w:eastAsia="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exact"/>
        </w:trPr>
        <w:tc>
          <w:tcPr>
            <w:tcW w:w="2093"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topLinePunct/>
              <w:bidi w:val="0"/>
              <w:adjustRightInd w:val="0"/>
              <w:snapToGrid w:val="0"/>
              <w:spacing w:line="360" w:lineRule="auto"/>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注册地址</w:t>
            </w:r>
          </w:p>
        </w:tc>
        <w:tc>
          <w:tcPr>
            <w:tcW w:w="6777" w:type="dxa"/>
            <w:gridSpan w:val="4"/>
            <w:tcBorders>
              <w:top w:val="single" w:color="auto" w:sz="4" w:space="0"/>
              <w:left w:val="single" w:color="auto" w:sz="4" w:space="0"/>
              <w:bottom w:val="single" w:color="auto" w:sz="4" w:space="0"/>
              <w:right w:val="single" w:color="auto" w:sz="4" w:space="0"/>
            </w:tcBorders>
            <w:noWrap w:val="0"/>
            <w:vAlign w:val="center"/>
          </w:tcPr>
          <w:p>
            <w:pPr>
              <w:pageBreakBefore w:val="0"/>
              <w:kinsoku/>
              <w:wordWrap/>
              <w:topLinePunct/>
              <w:bidi w:val="0"/>
              <w:adjustRightInd w:val="0"/>
              <w:snapToGrid w:val="0"/>
              <w:spacing w:line="360" w:lineRule="auto"/>
              <w:ind w:left="0" w:leftChars="0" w:right="0" w:rightChars="0"/>
              <w:jc w:val="center"/>
              <w:rPr>
                <w:rFonts w:hint="eastAsia" w:ascii="仿宋" w:hAnsi="仿宋" w:eastAsia="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exact"/>
        </w:trPr>
        <w:tc>
          <w:tcPr>
            <w:tcW w:w="2093"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topLinePunct/>
              <w:bidi w:val="0"/>
              <w:adjustRightInd w:val="0"/>
              <w:snapToGrid w:val="0"/>
              <w:spacing w:line="360" w:lineRule="auto"/>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邮政编码</w:t>
            </w:r>
          </w:p>
        </w:tc>
        <w:tc>
          <w:tcPr>
            <w:tcW w:w="3449" w:type="dxa"/>
            <w:gridSpan w:val="2"/>
            <w:tcBorders>
              <w:top w:val="single" w:color="auto" w:sz="4" w:space="0"/>
              <w:left w:val="single" w:color="auto" w:sz="4" w:space="0"/>
              <w:bottom w:val="single" w:color="auto" w:sz="4" w:space="0"/>
              <w:right w:val="single" w:color="auto" w:sz="4" w:space="0"/>
            </w:tcBorders>
            <w:noWrap w:val="0"/>
            <w:vAlign w:val="center"/>
          </w:tcPr>
          <w:p>
            <w:pPr>
              <w:pageBreakBefore w:val="0"/>
              <w:kinsoku/>
              <w:wordWrap/>
              <w:topLinePunct/>
              <w:bidi w:val="0"/>
              <w:adjustRightInd w:val="0"/>
              <w:snapToGrid w:val="0"/>
              <w:spacing w:line="360" w:lineRule="auto"/>
              <w:ind w:left="0" w:leftChars="0" w:right="0" w:rightChars="0"/>
              <w:jc w:val="center"/>
              <w:rPr>
                <w:rFonts w:hint="eastAsia" w:ascii="仿宋" w:hAnsi="仿宋" w:eastAsia="仿宋" w:cs="仿宋"/>
                <w:color w:val="auto"/>
                <w:sz w:val="21"/>
                <w:szCs w:val="21"/>
                <w:highlight w:val="none"/>
              </w:rPr>
            </w:pPr>
          </w:p>
        </w:tc>
        <w:tc>
          <w:tcPr>
            <w:tcW w:w="1174"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topLinePunct/>
              <w:bidi w:val="0"/>
              <w:adjustRightInd w:val="0"/>
              <w:snapToGrid w:val="0"/>
              <w:spacing w:line="360" w:lineRule="auto"/>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员工总数</w:t>
            </w:r>
          </w:p>
        </w:tc>
        <w:tc>
          <w:tcPr>
            <w:tcW w:w="2154"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topLinePunct/>
              <w:bidi w:val="0"/>
              <w:adjustRightInd w:val="0"/>
              <w:snapToGrid w:val="0"/>
              <w:spacing w:line="360" w:lineRule="auto"/>
              <w:ind w:left="0" w:leftChars="0" w:right="0" w:rightChars="0"/>
              <w:jc w:val="center"/>
              <w:rPr>
                <w:rFonts w:hint="eastAsia" w:ascii="仿宋" w:hAnsi="仿宋" w:eastAsia="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exact"/>
        </w:trPr>
        <w:tc>
          <w:tcPr>
            <w:tcW w:w="2093" w:type="dxa"/>
            <w:vMerge w:val="restart"/>
            <w:tcBorders>
              <w:top w:val="single" w:color="auto" w:sz="4" w:space="0"/>
              <w:left w:val="single" w:color="auto" w:sz="4" w:space="0"/>
              <w:bottom w:val="single" w:color="auto" w:sz="4" w:space="0"/>
              <w:right w:val="single" w:color="auto" w:sz="4" w:space="0"/>
            </w:tcBorders>
            <w:noWrap w:val="0"/>
            <w:vAlign w:val="center"/>
          </w:tcPr>
          <w:p>
            <w:pPr>
              <w:pageBreakBefore w:val="0"/>
              <w:kinsoku/>
              <w:wordWrap/>
              <w:topLinePunct/>
              <w:bidi w:val="0"/>
              <w:adjustRightInd w:val="0"/>
              <w:snapToGrid w:val="0"/>
              <w:spacing w:line="360" w:lineRule="auto"/>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联系方式</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topLinePunct/>
              <w:bidi w:val="0"/>
              <w:adjustRightInd w:val="0"/>
              <w:snapToGrid w:val="0"/>
              <w:spacing w:line="360" w:lineRule="auto"/>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联系人</w:t>
            </w:r>
          </w:p>
        </w:tc>
        <w:tc>
          <w:tcPr>
            <w:tcW w:w="2054"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topLinePunct/>
              <w:bidi w:val="0"/>
              <w:adjustRightInd w:val="0"/>
              <w:snapToGrid w:val="0"/>
              <w:spacing w:line="360" w:lineRule="auto"/>
              <w:ind w:left="0" w:leftChars="0" w:right="0" w:rightChars="0"/>
              <w:jc w:val="center"/>
              <w:rPr>
                <w:rFonts w:hint="eastAsia" w:ascii="仿宋" w:hAnsi="仿宋" w:eastAsia="仿宋" w:cs="仿宋"/>
                <w:color w:val="auto"/>
                <w:sz w:val="21"/>
                <w:szCs w:val="21"/>
                <w:highlight w:val="none"/>
              </w:rPr>
            </w:pPr>
          </w:p>
        </w:tc>
        <w:tc>
          <w:tcPr>
            <w:tcW w:w="1174"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topLinePunct/>
              <w:bidi w:val="0"/>
              <w:adjustRightInd w:val="0"/>
              <w:snapToGrid w:val="0"/>
              <w:spacing w:line="360" w:lineRule="auto"/>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电话</w:t>
            </w:r>
          </w:p>
        </w:tc>
        <w:tc>
          <w:tcPr>
            <w:tcW w:w="2154"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topLinePunct/>
              <w:bidi w:val="0"/>
              <w:adjustRightInd w:val="0"/>
              <w:snapToGrid w:val="0"/>
              <w:spacing w:line="360" w:lineRule="auto"/>
              <w:ind w:left="0" w:leftChars="0" w:right="0" w:rightChars="0"/>
              <w:jc w:val="center"/>
              <w:rPr>
                <w:rFonts w:hint="eastAsia" w:ascii="仿宋" w:hAnsi="仿宋" w:eastAsia="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exact"/>
        </w:trPr>
        <w:tc>
          <w:tcPr>
            <w:tcW w:w="2093" w:type="dxa"/>
            <w:vMerge w:val="continue"/>
            <w:tcBorders>
              <w:top w:val="single" w:color="auto" w:sz="4" w:space="0"/>
              <w:left w:val="single" w:color="auto" w:sz="4" w:space="0"/>
              <w:bottom w:val="single" w:color="auto" w:sz="4" w:space="0"/>
              <w:right w:val="single" w:color="auto" w:sz="4" w:space="0"/>
            </w:tcBorders>
            <w:noWrap w:val="0"/>
            <w:vAlign w:val="center"/>
          </w:tcPr>
          <w:p>
            <w:pPr>
              <w:pageBreakBefore w:val="0"/>
              <w:kinsoku/>
              <w:wordWrap/>
              <w:topLinePunct/>
              <w:bidi w:val="0"/>
              <w:adjustRightInd w:val="0"/>
              <w:snapToGrid w:val="0"/>
              <w:spacing w:line="360" w:lineRule="auto"/>
              <w:ind w:left="0" w:leftChars="0" w:right="0" w:rightChars="0"/>
              <w:jc w:val="center"/>
              <w:rPr>
                <w:rFonts w:hint="eastAsia" w:ascii="仿宋" w:hAnsi="仿宋" w:eastAsia="仿宋" w:cs="仿宋"/>
                <w:color w:val="auto"/>
                <w:sz w:val="21"/>
                <w:szCs w:val="21"/>
                <w:highlight w:val="none"/>
              </w:rPr>
            </w:pPr>
          </w:p>
        </w:tc>
        <w:tc>
          <w:tcPr>
            <w:tcW w:w="139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topLinePunct/>
              <w:bidi w:val="0"/>
              <w:adjustRightInd w:val="0"/>
              <w:snapToGrid w:val="0"/>
              <w:spacing w:line="360" w:lineRule="auto"/>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网址</w:t>
            </w:r>
          </w:p>
        </w:tc>
        <w:tc>
          <w:tcPr>
            <w:tcW w:w="2054"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topLinePunct/>
              <w:bidi w:val="0"/>
              <w:adjustRightInd w:val="0"/>
              <w:snapToGrid w:val="0"/>
              <w:spacing w:line="360" w:lineRule="auto"/>
              <w:ind w:left="0" w:leftChars="0" w:right="0" w:rightChars="0"/>
              <w:jc w:val="center"/>
              <w:rPr>
                <w:rFonts w:hint="eastAsia" w:ascii="仿宋" w:hAnsi="仿宋" w:eastAsia="仿宋" w:cs="仿宋"/>
                <w:color w:val="auto"/>
                <w:sz w:val="21"/>
                <w:szCs w:val="21"/>
                <w:highlight w:val="none"/>
              </w:rPr>
            </w:pPr>
          </w:p>
        </w:tc>
        <w:tc>
          <w:tcPr>
            <w:tcW w:w="1174"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topLinePunct/>
              <w:bidi w:val="0"/>
              <w:adjustRightInd w:val="0"/>
              <w:snapToGrid w:val="0"/>
              <w:spacing w:line="360" w:lineRule="auto"/>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传真</w:t>
            </w:r>
          </w:p>
        </w:tc>
        <w:tc>
          <w:tcPr>
            <w:tcW w:w="2154"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topLinePunct/>
              <w:bidi w:val="0"/>
              <w:adjustRightInd w:val="0"/>
              <w:snapToGrid w:val="0"/>
              <w:spacing w:line="360" w:lineRule="auto"/>
              <w:ind w:left="0" w:leftChars="0" w:right="0" w:rightChars="0"/>
              <w:jc w:val="center"/>
              <w:rPr>
                <w:rFonts w:hint="eastAsia" w:ascii="仿宋" w:hAnsi="仿宋" w:eastAsia="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80" w:hRule="exact"/>
        </w:trPr>
        <w:tc>
          <w:tcPr>
            <w:tcW w:w="2093"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topLinePunct/>
              <w:bidi w:val="0"/>
              <w:adjustRightInd w:val="0"/>
              <w:snapToGrid w:val="0"/>
              <w:spacing w:line="360" w:lineRule="auto"/>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法定代表人</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topLinePunct/>
              <w:bidi w:val="0"/>
              <w:adjustRightInd w:val="0"/>
              <w:snapToGrid w:val="0"/>
              <w:spacing w:line="360" w:lineRule="auto"/>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姓名</w:t>
            </w:r>
          </w:p>
        </w:tc>
        <w:tc>
          <w:tcPr>
            <w:tcW w:w="2054"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topLinePunct/>
              <w:bidi w:val="0"/>
              <w:adjustRightInd w:val="0"/>
              <w:snapToGrid w:val="0"/>
              <w:spacing w:line="360" w:lineRule="auto"/>
              <w:ind w:left="0" w:leftChars="0" w:right="0" w:rightChars="0"/>
              <w:jc w:val="center"/>
              <w:rPr>
                <w:rFonts w:hint="eastAsia" w:ascii="仿宋" w:hAnsi="仿宋" w:eastAsia="仿宋" w:cs="仿宋"/>
                <w:color w:val="auto"/>
                <w:sz w:val="21"/>
                <w:szCs w:val="21"/>
                <w:highlight w:val="none"/>
              </w:rPr>
            </w:pPr>
          </w:p>
        </w:tc>
        <w:tc>
          <w:tcPr>
            <w:tcW w:w="1174"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topLinePunct/>
              <w:bidi w:val="0"/>
              <w:adjustRightInd w:val="0"/>
              <w:snapToGrid w:val="0"/>
              <w:spacing w:line="360" w:lineRule="auto"/>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电话</w:t>
            </w:r>
          </w:p>
        </w:tc>
        <w:tc>
          <w:tcPr>
            <w:tcW w:w="2154"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topLinePunct/>
              <w:bidi w:val="0"/>
              <w:adjustRightInd w:val="0"/>
              <w:snapToGrid w:val="0"/>
              <w:spacing w:line="360" w:lineRule="auto"/>
              <w:ind w:left="0" w:leftChars="0" w:right="0" w:rightChars="0"/>
              <w:jc w:val="center"/>
              <w:rPr>
                <w:rFonts w:hint="eastAsia" w:ascii="仿宋" w:hAnsi="仿宋" w:eastAsia="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exact"/>
        </w:trPr>
        <w:tc>
          <w:tcPr>
            <w:tcW w:w="2093"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topLinePunct/>
              <w:bidi w:val="0"/>
              <w:adjustRightInd w:val="0"/>
              <w:snapToGrid w:val="0"/>
              <w:spacing w:line="360" w:lineRule="auto"/>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开户银行及账号</w:t>
            </w:r>
          </w:p>
        </w:tc>
        <w:tc>
          <w:tcPr>
            <w:tcW w:w="6777" w:type="dxa"/>
            <w:gridSpan w:val="4"/>
            <w:tcBorders>
              <w:top w:val="single" w:color="auto" w:sz="4" w:space="0"/>
              <w:left w:val="single" w:color="auto" w:sz="4" w:space="0"/>
              <w:bottom w:val="single" w:color="auto" w:sz="4" w:space="0"/>
              <w:right w:val="single" w:color="auto" w:sz="4" w:space="0"/>
            </w:tcBorders>
            <w:noWrap w:val="0"/>
            <w:vAlign w:val="center"/>
          </w:tcPr>
          <w:p>
            <w:pPr>
              <w:pageBreakBefore w:val="0"/>
              <w:kinsoku/>
              <w:wordWrap/>
              <w:topLinePunct/>
              <w:bidi w:val="0"/>
              <w:adjustRightInd w:val="0"/>
              <w:snapToGrid w:val="0"/>
              <w:spacing w:line="360" w:lineRule="auto"/>
              <w:ind w:left="0" w:leftChars="0" w:right="0" w:rightChars="0"/>
              <w:rPr>
                <w:rFonts w:hint="eastAsia" w:ascii="仿宋" w:hAnsi="仿宋" w:eastAsia="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exact"/>
        </w:trPr>
        <w:tc>
          <w:tcPr>
            <w:tcW w:w="2093"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topLinePunct/>
              <w:bidi w:val="0"/>
              <w:adjustRightInd w:val="0"/>
              <w:snapToGrid w:val="0"/>
              <w:spacing w:line="360" w:lineRule="auto"/>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近三年营业额</w:t>
            </w:r>
          </w:p>
        </w:tc>
        <w:tc>
          <w:tcPr>
            <w:tcW w:w="6777" w:type="dxa"/>
            <w:gridSpan w:val="4"/>
            <w:tcBorders>
              <w:top w:val="single" w:color="auto" w:sz="4" w:space="0"/>
              <w:left w:val="single" w:color="auto" w:sz="4" w:space="0"/>
              <w:bottom w:val="single" w:color="auto" w:sz="4" w:space="0"/>
              <w:right w:val="single" w:color="auto" w:sz="4" w:space="0"/>
            </w:tcBorders>
            <w:noWrap w:val="0"/>
            <w:vAlign w:val="center"/>
          </w:tcPr>
          <w:p>
            <w:pPr>
              <w:pageBreakBefore w:val="0"/>
              <w:kinsoku/>
              <w:wordWrap/>
              <w:topLinePunct/>
              <w:bidi w:val="0"/>
              <w:adjustRightInd w:val="0"/>
              <w:snapToGrid w:val="0"/>
              <w:spacing w:line="360" w:lineRule="auto"/>
              <w:ind w:left="0" w:leftChars="0" w:right="0" w:rightChars="0"/>
              <w:rPr>
                <w:rFonts w:hint="eastAsia" w:ascii="仿宋" w:hAnsi="仿宋" w:eastAsia="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exact"/>
        </w:trPr>
        <w:tc>
          <w:tcPr>
            <w:tcW w:w="2093"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topLinePunct/>
              <w:bidi w:val="0"/>
              <w:adjustRightInd w:val="0"/>
              <w:snapToGrid w:val="0"/>
              <w:spacing w:line="360" w:lineRule="auto"/>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备注</w:t>
            </w:r>
          </w:p>
        </w:tc>
        <w:tc>
          <w:tcPr>
            <w:tcW w:w="6777" w:type="dxa"/>
            <w:gridSpan w:val="4"/>
            <w:tcBorders>
              <w:top w:val="single" w:color="auto" w:sz="4" w:space="0"/>
              <w:left w:val="single" w:color="auto" w:sz="4" w:space="0"/>
              <w:bottom w:val="single" w:color="auto" w:sz="4" w:space="0"/>
              <w:right w:val="single" w:color="auto" w:sz="4" w:space="0"/>
            </w:tcBorders>
            <w:noWrap w:val="0"/>
            <w:vAlign w:val="center"/>
          </w:tcPr>
          <w:p>
            <w:pPr>
              <w:pageBreakBefore w:val="0"/>
              <w:kinsoku/>
              <w:wordWrap/>
              <w:topLinePunct/>
              <w:bidi w:val="0"/>
              <w:adjustRightInd w:val="0"/>
              <w:snapToGrid w:val="0"/>
              <w:spacing w:line="360" w:lineRule="auto"/>
              <w:ind w:left="0" w:leftChars="0" w:right="0" w:rightChars="0"/>
              <w:jc w:val="center"/>
              <w:rPr>
                <w:rFonts w:hint="eastAsia" w:ascii="仿宋" w:hAnsi="仿宋" w:eastAsia="仿宋" w:cs="仿宋"/>
                <w:color w:val="auto"/>
                <w:sz w:val="21"/>
                <w:szCs w:val="21"/>
                <w:highlight w:val="none"/>
              </w:rPr>
            </w:pPr>
          </w:p>
        </w:tc>
      </w:tr>
    </w:tbl>
    <w:p>
      <w:pPr>
        <w:pageBreakBefore w:val="0"/>
        <w:kinsoku/>
        <w:wordWrap/>
        <w:topLinePunct/>
        <w:bidi w:val="0"/>
        <w:adjustRightInd w:val="0"/>
        <w:snapToGrid w:val="0"/>
        <w:spacing w:line="360" w:lineRule="auto"/>
        <w:ind w:left="0" w:leftChars="0" w:right="0" w:rightChars="0"/>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rPr>
        <w:t>注：本表后应附：</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topLinePunct w:val="0"/>
        <w:bidi w:val="0"/>
        <w:adjustRightInd w:val="0"/>
        <w:snapToGrid w:val="0"/>
        <w:spacing w:beforeAutospacing="0" w:afterAutospacing="0" w:line="360" w:lineRule="auto"/>
        <w:ind w:leftChars="200" w:right="0" w:rightChars="0"/>
        <w:jc w:val="left"/>
        <w:outlineLvl w:val="9"/>
        <w:rPr>
          <w:rFonts w:hint="eastAsia" w:ascii="仿宋" w:hAnsi="仿宋" w:eastAsia="仿宋" w:cs="仿宋"/>
          <w:b/>
          <w:bCs/>
          <w:color w:val="auto"/>
          <w:kern w:val="0"/>
          <w:sz w:val="21"/>
          <w:szCs w:val="21"/>
          <w:highlight w:val="none"/>
          <w:lang w:val="en-US" w:eastAsia="zh-CN" w:bidi="ar"/>
        </w:rPr>
      </w:pPr>
      <w:bookmarkStart w:id="477" w:name="_Toc152042598"/>
      <w:bookmarkStart w:id="478" w:name="_Toc152045809"/>
      <w:bookmarkStart w:id="479" w:name="_Toc265953295"/>
      <w:bookmarkStart w:id="480" w:name="_Toc247527849"/>
      <w:bookmarkStart w:id="481" w:name="_Toc144974877"/>
      <w:bookmarkStart w:id="482" w:name="_Toc247514301"/>
      <w:bookmarkStart w:id="483" w:name="_Toc514837988"/>
      <w:bookmarkStart w:id="484" w:name="_Toc144974881"/>
      <w:bookmarkStart w:id="485" w:name="_Toc152045813"/>
      <w:bookmarkStart w:id="486" w:name="_Toc152042602"/>
      <w:bookmarkStart w:id="487" w:name="_Toc179632833"/>
      <w:r>
        <w:rPr>
          <w:rFonts w:hint="eastAsia" w:ascii="仿宋" w:hAnsi="仿宋" w:eastAsia="仿宋" w:cs="仿宋"/>
          <w:b/>
          <w:bCs/>
          <w:color w:val="auto"/>
          <w:kern w:val="0"/>
          <w:sz w:val="21"/>
          <w:szCs w:val="21"/>
          <w:highlight w:val="none"/>
          <w:lang w:val="en-US" w:eastAsia="zh-CN" w:bidi="ar"/>
        </w:rPr>
        <w:t>1、投标人应出具</w:t>
      </w:r>
      <w:r>
        <w:rPr>
          <w:rFonts w:hint="eastAsia" w:ascii="仿宋" w:hAnsi="仿宋" w:eastAsia="仿宋" w:cs="仿宋"/>
          <w:b/>
          <w:bCs/>
          <w:color w:val="auto"/>
          <w:sz w:val="21"/>
          <w:szCs w:val="21"/>
          <w:highlight w:val="none"/>
          <w:lang w:val="en-US" w:eastAsia="zh-Hans" w:bidi="ar"/>
        </w:rPr>
        <w:t>有效的“一证一码”或“三证合一”的营业执照</w:t>
      </w:r>
      <w:r>
        <w:rPr>
          <w:rFonts w:hint="eastAsia" w:ascii="仿宋" w:hAnsi="仿宋" w:eastAsia="仿宋" w:cs="仿宋"/>
          <w:b/>
          <w:bCs/>
          <w:color w:val="auto"/>
          <w:kern w:val="0"/>
          <w:sz w:val="21"/>
          <w:szCs w:val="21"/>
          <w:highlight w:val="none"/>
          <w:lang w:val="en-US" w:eastAsia="zh-CN" w:bidi="ar"/>
        </w:rPr>
        <w:t>副本原件；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topLinePunct w:val="0"/>
        <w:bidi w:val="0"/>
        <w:adjustRightInd w:val="0"/>
        <w:snapToGrid w:val="0"/>
        <w:spacing w:beforeAutospacing="0" w:afterAutospacing="0" w:line="360" w:lineRule="auto"/>
        <w:ind w:left="0" w:leftChars="0" w:right="0" w:rightChars="0" w:firstLine="422" w:firstLineChars="200"/>
        <w:jc w:val="left"/>
        <w:outlineLvl w:val="9"/>
        <w:rPr>
          <w:rFonts w:hint="eastAsia" w:ascii="仿宋" w:hAnsi="仿宋" w:eastAsia="仿宋" w:cs="仿宋"/>
          <w:b/>
          <w:bCs/>
          <w:color w:val="auto"/>
          <w:sz w:val="21"/>
          <w:szCs w:val="21"/>
          <w:highlight w:val="none"/>
        </w:rPr>
      </w:pPr>
      <w:r>
        <w:rPr>
          <w:rFonts w:hint="eastAsia" w:ascii="仿宋" w:hAnsi="仿宋" w:eastAsia="仿宋" w:cs="仿宋"/>
          <w:b/>
          <w:bCs/>
          <w:color w:val="auto"/>
          <w:kern w:val="0"/>
          <w:sz w:val="21"/>
          <w:szCs w:val="21"/>
          <w:highlight w:val="none"/>
          <w:lang w:val="en-US" w:eastAsia="zh-CN" w:bidi="ar"/>
        </w:rPr>
        <w:t>2、法定代表人参加投标的，应提供法定代表人居民身份证原件；法定代表人授权人参加投标的，应提供法定代表人授权书及被授权人居民身份证原件；</w:t>
      </w:r>
    </w:p>
    <w:p>
      <w:pPr>
        <w:spacing w:line="360" w:lineRule="auto"/>
        <w:ind w:firstLine="422" w:firstLineChars="200"/>
        <w:rPr>
          <w:rFonts w:hint="eastAsia" w:ascii="仿宋" w:hAnsi="仿宋" w:eastAsia="仿宋" w:cs="仿宋"/>
          <w:b/>
          <w:bCs/>
          <w:color w:val="auto"/>
          <w:kern w:val="2"/>
          <w:sz w:val="21"/>
          <w:szCs w:val="21"/>
          <w:highlight w:val="none"/>
          <w:lang w:val="en-US" w:eastAsia="zh-CN" w:bidi="ar"/>
        </w:rPr>
        <w:sectPr>
          <w:pgSz w:w="11906" w:h="16838"/>
          <w:pgMar w:top="1418" w:right="1588" w:bottom="1418" w:left="1588" w:header="851" w:footer="992" w:gutter="0"/>
          <w:cols w:space="720" w:num="1"/>
          <w:docGrid w:type="lines" w:linePitch="312" w:charSpace="0"/>
        </w:sectPr>
      </w:pPr>
      <w:r>
        <w:rPr>
          <w:rFonts w:hint="eastAsia" w:ascii="仿宋" w:hAnsi="仿宋" w:eastAsia="仿宋" w:cs="仿宋"/>
          <w:b/>
          <w:bCs/>
          <w:color w:val="auto"/>
          <w:kern w:val="0"/>
          <w:sz w:val="21"/>
          <w:szCs w:val="21"/>
          <w:highlight w:val="none"/>
          <w:lang w:val="en-US" w:eastAsia="zh-CN" w:bidi="ar"/>
        </w:rPr>
        <w:t>3</w:t>
      </w:r>
      <w:bookmarkStart w:id="507" w:name="_GoBack"/>
      <w:bookmarkEnd w:id="507"/>
      <w:r>
        <w:rPr>
          <w:rFonts w:hint="eastAsia" w:ascii="仿宋" w:hAnsi="仿宋" w:eastAsia="仿宋" w:cs="仿宋"/>
          <w:b/>
          <w:bCs/>
          <w:color w:val="auto"/>
          <w:kern w:val="0"/>
          <w:sz w:val="21"/>
          <w:szCs w:val="21"/>
          <w:highlight w:val="none"/>
          <w:lang w:val="en-US" w:eastAsia="zh-CN" w:bidi="ar"/>
        </w:rPr>
        <w:t>、投标人须提供通过“信用中国”网站（www.creditchina.gov.cn）和中国政府采购网（www.ccgp.gov.cn）渠道查询的本单位信用记录的网页，并加盖投标单位公章的原件，被列入失信被执行人、重大</w:t>
      </w:r>
      <w:r>
        <w:rPr>
          <w:rFonts w:hint="eastAsia" w:ascii="仿宋" w:hAnsi="仿宋" w:eastAsia="仿宋" w:cs="仿宋"/>
          <w:b/>
          <w:bCs/>
          <w:color w:val="auto"/>
          <w:kern w:val="2"/>
          <w:sz w:val="21"/>
          <w:szCs w:val="21"/>
          <w:highlight w:val="none"/>
          <w:lang w:val="en-US" w:eastAsia="zh-CN" w:bidi="ar"/>
        </w:rPr>
        <w:t>税收违法案件当事人名单、政府采购严重违法失信行为记录名单的单位及其他不符合《中华人民共和国政府采购法》第二十二条规定条件的投标单位，将被拒绝参与本次政府采购活动；</w:t>
      </w:r>
    </w:p>
    <w:p>
      <w:pPr>
        <w:pStyle w:val="9"/>
        <w:rPr>
          <w:rFonts w:hint="eastAsia"/>
          <w:highlight w:val="none"/>
          <w:lang w:val="en-US" w:eastAsia="zh-CN"/>
        </w:rPr>
      </w:pPr>
    </w:p>
    <w:p>
      <w:pPr>
        <w:pageBreakBefore w:val="0"/>
        <w:kinsoku/>
        <w:wordWrap/>
        <w:bidi w:val="0"/>
        <w:adjustRightInd w:val="0"/>
        <w:snapToGrid w:val="0"/>
        <w:spacing w:line="360" w:lineRule="auto"/>
        <w:ind w:left="0" w:leftChars="0" w:right="0" w:rightChars="0"/>
        <w:jc w:val="center"/>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val="en-US" w:eastAsia="zh-Hans"/>
        </w:rPr>
        <w:t>三</w:t>
      </w:r>
      <w:r>
        <w:rPr>
          <w:rFonts w:hint="eastAsia" w:ascii="仿宋" w:hAnsi="仿宋" w:eastAsia="仿宋" w:cs="仿宋"/>
          <w:b/>
          <w:bCs/>
          <w:color w:val="auto"/>
          <w:sz w:val="24"/>
          <w:szCs w:val="24"/>
          <w:highlight w:val="none"/>
        </w:rPr>
        <w:t>）投标人投资参股的关联企业情况表</w:t>
      </w:r>
    </w:p>
    <w:tbl>
      <w:tblPr>
        <w:tblStyle w:val="21"/>
        <w:tblW w:w="937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937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0399" w:hRule="atLeast"/>
          <w:jc w:val="center"/>
        </w:trPr>
        <w:tc>
          <w:tcPr>
            <w:tcW w:w="9377" w:type="dxa"/>
            <w:noWrap w:val="0"/>
            <w:vAlign w:val="top"/>
          </w:tcPr>
          <w:p>
            <w:pPr>
              <w:pageBreakBefore w:val="0"/>
              <w:kinsoku/>
              <w:wordWrap/>
              <w:bidi w:val="0"/>
              <w:adjustRightInd w:val="0"/>
              <w:snapToGrid w:val="0"/>
              <w:spacing w:line="360" w:lineRule="auto"/>
              <w:ind w:left="0" w:leftChars="0" w:right="0" w:rightChars="0"/>
              <w:rPr>
                <w:rFonts w:hint="eastAsia" w:ascii="仿宋" w:hAnsi="仿宋" w:eastAsia="仿宋" w:cs="仿宋"/>
                <w:color w:val="auto"/>
                <w:sz w:val="24"/>
                <w:szCs w:val="24"/>
                <w:highlight w:val="none"/>
              </w:rPr>
            </w:pPr>
          </w:p>
          <w:p>
            <w:pPr>
              <w:pageBreakBefore w:val="0"/>
              <w:kinsoku/>
              <w:wordWrap/>
              <w:bidi w:val="0"/>
              <w:adjustRightInd w:val="0"/>
              <w:snapToGrid w:val="0"/>
              <w:spacing w:line="360" w:lineRule="auto"/>
              <w:ind w:left="0" w:leftChars="0" w:right="0" w:rightChars="0"/>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t>投标人</w:t>
            </w:r>
            <w:r>
              <w:rPr>
                <w:rFonts w:hint="eastAsia" w:ascii="仿宋" w:hAnsi="仿宋" w:eastAsia="仿宋" w:cs="仿宋"/>
                <w:color w:val="auto"/>
                <w:sz w:val="24"/>
                <w:szCs w:val="24"/>
                <w:highlight w:val="none"/>
              </w:rPr>
              <w:t>应提供其投资参股的关联企业情况，包括以下内容：</w:t>
            </w:r>
          </w:p>
          <w:p>
            <w:pPr>
              <w:pageBreakBefore w:val="0"/>
              <w:kinsoku/>
              <w:wordWrap/>
              <w:bidi w:val="0"/>
              <w:adjustRightInd w:val="0"/>
              <w:snapToGrid w:val="0"/>
              <w:spacing w:line="360" w:lineRule="auto"/>
              <w:ind w:left="0" w:leftChars="0" w:right="0" w:rightChars="0"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1）与本单位负责人为同一人的其他单位名单：</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pPr>
              <w:pageBreakBefore w:val="0"/>
              <w:kinsoku/>
              <w:wordWrap/>
              <w:bidi w:val="0"/>
              <w:adjustRightInd w:val="0"/>
              <w:snapToGrid w:val="0"/>
              <w:spacing w:line="360" w:lineRule="auto"/>
              <w:ind w:left="0" w:leftChars="0" w:right="0" w:rightChars="0"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2）对本单位存在控股、管理关系的其他单位名单：</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pPr>
              <w:pageBreakBefore w:val="0"/>
              <w:kinsoku/>
              <w:wordWrap/>
              <w:bidi w:val="0"/>
              <w:adjustRightInd w:val="0"/>
              <w:snapToGrid w:val="0"/>
              <w:spacing w:line="360" w:lineRule="auto"/>
              <w:ind w:left="0" w:leftChars="0" w:right="0" w:rightChars="0"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3）本单位对其他单位存在控股、管理关系的名单：</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pPr>
              <w:pageBreakBefore w:val="0"/>
              <w:kinsoku/>
              <w:wordWrap/>
              <w:bidi w:val="0"/>
              <w:adjustRightInd w:val="0"/>
              <w:snapToGrid w:val="0"/>
              <w:spacing w:line="360" w:lineRule="auto"/>
              <w:ind w:left="0" w:leftChars="0" w:right="0" w:rightChars="0" w:firstLine="480" w:firstLineChars="200"/>
              <w:rPr>
                <w:rFonts w:hint="eastAsia" w:ascii="仿宋" w:hAnsi="仿宋" w:eastAsia="仿宋" w:cs="仿宋"/>
                <w:color w:val="auto"/>
                <w:sz w:val="24"/>
                <w:szCs w:val="24"/>
                <w:highlight w:val="none"/>
              </w:rPr>
            </w:pPr>
          </w:p>
          <w:p>
            <w:pPr>
              <w:pageBreakBefore w:val="0"/>
              <w:kinsoku/>
              <w:wordWrap/>
              <w:bidi w:val="0"/>
              <w:adjustRightInd w:val="0"/>
              <w:snapToGrid w:val="0"/>
              <w:spacing w:line="360" w:lineRule="auto"/>
              <w:ind w:left="0" w:leftChars="0" w:right="0" w:rightChars="0" w:firstLine="480" w:firstLineChars="200"/>
              <w:rPr>
                <w:rFonts w:hint="eastAsia" w:ascii="仿宋" w:hAnsi="仿宋" w:eastAsia="仿宋" w:cs="仿宋"/>
                <w:color w:val="auto"/>
                <w:sz w:val="24"/>
                <w:szCs w:val="24"/>
                <w:highlight w:val="none"/>
              </w:rPr>
            </w:pPr>
          </w:p>
          <w:p>
            <w:pPr>
              <w:pageBreakBefore w:val="0"/>
              <w:kinsoku/>
              <w:wordWrap/>
              <w:bidi w:val="0"/>
              <w:adjustRightInd w:val="0"/>
              <w:snapToGrid w:val="0"/>
              <w:spacing w:line="360" w:lineRule="auto"/>
              <w:ind w:left="0" w:leftChars="0" w:right="0" w:rightChars="0" w:firstLine="480" w:firstLineChars="200"/>
              <w:rPr>
                <w:rFonts w:hint="eastAsia" w:ascii="仿宋" w:hAnsi="仿宋" w:eastAsia="仿宋" w:cs="仿宋"/>
                <w:color w:val="auto"/>
                <w:sz w:val="24"/>
                <w:szCs w:val="24"/>
                <w:highlight w:val="none"/>
              </w:rPr>
            </w:pPr>
          </w:p>
          <w:p>
            <w:pPr>
              <w:pageBreakBefore w:val="0"/>
              <w:kinsoku/>
              <w:wordWrap/>
              <w:bidi w:val="0"/>
              <w:adjustRightInd w:val="0"/>
              <w:snapToGrid w:val="0"/>
              <w:spacing w:line="360" w:lineRule="auto"/>
              <w:ind w:left="0" w:leftChars="0" w:right="0" w:rightChars="0" w:firstLine="480" w:firstLineChars="200"/>
              <w:rPr>
                <w:rFonts w:hint="eastAsia" w:ascii="仿宋" w:hAnsi="仿宋" w:eastAsia="仿宋" w:cs="仿宋"/>
                <w:color w:val="auto"/>
                <w:sz w:val="24"/>
                <w:szCs w:val="24"/>
                <w:highlight w:val="none"/>
              </w:rPr>
            </w:pPr>
          </w:p>
          <w:p>
            <w:pPr>
              <w:pageBreakBefore w:val="0"/>
              <w:kinsoku/>
              <w:wordWrap/>
              <w:bidi w:val="0"/>
              <w:adjustRightInd w:val="0"/>
              <w:snapToGrid w:val="0"/>
              <w:spacing w:line="360" w:lineRule="auto"/>
              <w:ind w:left="0" w:leftChars="0" w:right="0" w:rightChars="0" w:firstLine="480" w:firstLineChars="200"/>
              <w:jc w:val="righ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（加盖单位公章）</w:t>
            </w:r>
          </w:p>
        </w:tc>
      </w:tr>
    </w:tbl>
    <w:p>
      <w:pPr>
        <w:pStyle w:val="5"/>
        <w:keepNext/>
        <w:keepLines/>
        <w:pageBreakBefore w:val="0"/>
        <w:widowControl w:val="0"/>
        <w:kinsoku/>
        <w:wordWrap/>
        <w:overflowPunct/>
        <w:topLinePunct w:val="0"/>
        <w:autoSpaceDE/>
        <w:autoSpaceDN/>
        <w:bidi w:val="0"/>
        <w:adjustRightInd w:val="0"/>
        <w:snapToGrid w:val="0"/>
        <w:spacing w:before="0" w:beforeLines="0" w:after="0" w:afterLines="0" w:line="360" w:lineRule="auto"/>
        <w:ind w:left="0" w:leftChars="0" w:right="0" w:rightChars="0"/>
        <w:jc w:val="both"/>
        <w:textAlignment w:val="auto"/>
        <w:outlineLvl w:val="2"/>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注：单位负责人为同一人或者存在控股、管理关系的不同单位，不得同时对同一标段投标。</w:t>
      </w:r>
    </w:p>
    <w:p>
      <w:pPr>
        <w:pStyle w:val="5"/>
        <w:keepNext/>
        <w:keepLines/>
        <w:pageBreakBefore w:val="0"/>
        <w:widowControl w:val="0"/>
        <w:kinsoku/>
        <w:wordWrap/>
        <w:overflowPunct/>
        <w:topLinePunct w:val="0"/>
        <w:autoSpaceDE/>
        <w:autoSpaceDN/>
        <w:bidi w:val="0"/>
        <w:adjustRightInd w:val="0"/>
        <w:snapToGrid w:val="0"/>
        <w:spacing w:before="0" w:beforeLines="0" w:after="0" w:afterLines="0" w:line="360" w:lineRule="auto"/>
        <w:ind w:left="0" w:leftChars="0" w:right="0" w:rightChars="0" w:firstLine="480" w:firstLineChars="200"/>
        <w:jc w:val="both"/>
        <w:textAlignment w:val="auto"/>
        <w:outlineLvl w:val="2"/>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投标人应如实填报此表，否则因其投标影响招标公正性的，其相关投标均无效。</w:t>
      </w:r>
      <w:bookmarkEnd w:id="477"/>
      <w:bookmarkEnd w:id="478"/>
      <w:bookmarkEnd w:id="479"/>
      <w:bookmarkEnd w:id="480"/>
      <w:bookmarkEnd w:id="481"/>
      <w:bookmarkEnd w:id="482"/>
      <w:bookmarkEnd w:id="483"/>
    </w:p>
    <w:p>
      <w:pPr>
        <w:pageBreakBefore w:val="0"/>
        <w:kinsoku/>
        <w:wordWrap/>
        <w:bidi w:val="0"/>
        <w:adjustRightInd w:val="0"/>
        <w:snapToGrid w:val="0"/>
        <w:spacing w:line="360" w:lineRule="auto"/>
        <w:ind w:left="0" w:leftChars="0" w:right="0" w:rightChars="0"/>
        <w:rPr>
          <w:rFonts w:hint="eastAsia" w:ascii="仿宋" w:hAnsi="仿宋" w:eastAsia="仿宋" w:cs="仿宋"/>
          <w:color w:val="auto"/>
          <w:sz w:val="24"/>
          <w:szCs w:val="24"/>
          <w:highlight w:val="none"/>
        </w:rPr>
      </w:pPr>
    </w:p>
    <w:p>
      <w:pPr>
        <w:pStyle w:val="5"/>
        <w:pageBreakBefore w:val="0"/>
        <w:kinsoku/>
        <w:wordWrap/>
        <w:bidi w:val="0"/>
        <w:adjustRightInd w:val="0"/>
        <w:snapToGrid w:val="0"/>
        <w:spacing w:before="0" w:beforeLines="0" w:after="0" w:afterLines="0" w:line="360" w:lineRule="auto"/>
        <w:ind w:left="0" w:leftChars="0" w:right="0" w:rightChars="0"/>
        <w:rPr>
          <w:rFonts w:hint="eastAsia" w:ascii="仿宋" w:hAnsi="仿宋" w:eastAsia="仿宋" w:cs="仿宋"/>
          <w:color w:val="auto"/>
          <w:sz w:val="24"/>
          <w:szCs w:val="24"/>
          <w:highlight w:val="none"/>
        </w:rPr>
      </w:pPr>
    </w:p>
    <w:p>
      <w:pPr>
        <w:pStyle w:val="5"/>
        <w:pageBreakBefore w:val="0"/>
        <w:kinsoku/>
        <w:wordWrap/>
        <w:bidi w:val="0"/>
        <w:adjustRightInd w:val="0"/>
        <w:snapToGrid w:val="0"/>
        <w:spacing w:before="0" w:beforeLines="0" w:after="0" w:afterLines="0" w:line="360" w:lineRule="auto"/>
        <w:ind w:left="0" w:leftChars="0" w:right="0" w:rightChars="0"/>
        <w:jc w:val="center"/>
        <w:rPr>
          <w:rFonts w:hint="eastAsia" w:ascii="仿宋" w:hAnsi="仿宋" w:eastAsia="仿宋" w:cs="仿宋"/>
          <w:color w:val="auto"/>
          <w:sz w:val="24"/>
          <w:szCs w:val="24"/>
          <w:highlight w:val="none"/>
        </w:rPr>
      </w:pPr>
      <w:bookmarkStart w:id="488" w:name="_Toc514837989"/>
      <w:bookmarkStart w:id="489" w:name="_Toc247527850"/>
      <w:bookmarkStart w:id="490" w:name="_Toc265953296"/>
      <w:bookmarkStart w:id="491" w:name="_Toc144974878"/>
      <w:bookmarkStart w:id="492" w:name="_Toc152045810"/>
      <w:bookmarkStart w:id="493" w:name="_Toc152042599"/>
      <w:bookmarkStart w:id="494" w:name="_Toc247514302"/>
      <w:r>
        <w:rPr>
          <w:rFonts w:hint="eastAsia" w:ascii="仿宋" w:hAnsi="仿宋" w:eastAsia="仿宋" w:cs="仿宋"/>
          <w:color w:val="auto"/>
          <w:sz w:val="24"/>
          <w:szCs w:val="24"/>
          <w:highlight w:val="none"/>
        </w:rPr>
        <w:br w:type="page"/>
      </w:r>
    </w:p>
    <w:p>
      <w:pPr>
        <w:pStyle w:val="5"/>
        <w:pageBreakBefore w:val="0"/>
        <w:kinsoku/>
        <w:wordWrap/>
        <w:bidi w:val="0"/>
        <w:adjustRightInd w:val="0"/>
        <w:snapToGrid w:val="0"/>
        <w:spacing w:before="0" w:beforeLines="0" w:after="0" w:afterLines="0" w:line="360" w:lineRule="auto"/>
        <w:ind w:left="0" w:leftChars="0" w:right="0" w:right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Hans"/>
        </w:rPr>
        <w:t>（</w:t>
      </w: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lang w:val="en-US" w:eastAsia="zh-Hans"/>
        </w:rPr>
        <w:t>）</w:t>
      </w:r>
      <w:r>
        <w:rPr>
          <w:rFonts w:hint="eastAsia" w:ascii="仿宋" w:hAnsi="仿宋" w:eastAsia="仿宋" w:cs="仿宋"/>
          <w:color w:val="auto"/>
          <w:sz w:val="24"/>
          <w:szCs w:val="24"/>
          <w:highlight w:val="none"/>
        </w:rPr>
        <w:t>近</w:t>
      </w:r>
      <w:r>
        <w:rPr>
          <w:rFonts w:hint="eastAsia" w:ascii="仿宋" w:hAnsi="仿宋" w:eastAsia="仿宋" w:cs="仿宋"/>
          <w:color w:val="auto"/>
          <w:sz w:val="24"/>
          <w:szCs w:val="24"/>
          <w:highlight w:val="none"/>
          <w:lang w:val="en-US" w:eastAsia="zh-Hans"/>
        </w:rPr>
        <w:t>三</w:t>
      </w:r>
      <w:r>
        <w:rPr>
          <w:rFonts w:hint="eastAsia" w:ascii="仿宋" w:hAnsi="仿宋" w:eastAsia="仿宋" w:cs="仿宋"/>
          <w:color w:val="auto"/>
          <w:sz w:val="24"/>
          <w:szCs w:val="24"/>
          <w:highlight w:val="none"/>
        </w:rPr>
        <w:t>年完成的类似项目情况表</w:t>
      </w:r>
      <w:bookmarkEnd w:id="488"/>
      <w:bookmarkEnd w:id="489"/>
      <w:bookmarkEnd w:id="490"/>
      <w:bookmarkEnd w:id="491"/>
      <w:bookmarkEnd w:id="492"/>
      <w:bookmarkEnd w:id="493"/>
      <w:bookmarkEnd w:id="494"/>
    </w:p>
    <w:tbl>
      <w:tblPr>
        <w:tblStyle w:val="21"/>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9"/>
        <w:gridCol w:w="65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1330" w:type="pct"/>
            <w:noWrap w:val="0"/>
            <w:vAlign w:val="center"/>
          </w:tcPr>
          <w:p>
            <w:pPr>
              <w:pageBreakBefore w:val="0"/>
              <w:kinsoku/>
              <w:wordWrap/>
              <w:topLinePunct/>
              <w:bidi w:val="0"/>
              <w:adjustRightInd w:val="0"/>
              <w:snapToGrid w:val="0"/>
              <w:spacing w:line="360" w:lineRule="auto"/>
              <w:ind w:left="0" w:leftChars="0" w:right="0" w:right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w:t>
            </w:r>
          </w:p>
        </w:tc>
        <w:tc>
          <w:tcPr>
            <w:tcW w:w="3669" w:type="pct"/>
            <w:noWrap w:val="0"/>
            <w:vAlign w:val="top"/>
          </w:tcPr>
          <w:p>
            <w:pPr>
              <w:pageBreakBefore w:val="0"/>
              <w:kinsoku/>
              <w:wordWrap/>
              <w:topLinePunct/>
              <w:bidi w:val="0"/>
              <w:adjustRightInd w:val="0"/>
              <w:snapToGrid w:val="0"/>
              <w:spacing w:line="360" w:lineRule="auto"/>
              <w:ind w:left="0" w:leftChars="0" w:right="0" w:rightChars="0"/>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1330" w:type="pct"/>
            <w:noWrap w:val="0"/>
            <w:vAlign w:val="center"/>
          </w:tcPr>
          <w:p>
            <w:pPr>
              <w:pageBreakBefore w:val="0"/>
              <w:kinsoku/>
              <w:wordWrap/>
              <w:topLinePunct/>
              <w:bidi w:val="0"/>
              <w:adjustRightInd w:val="0"/>
              <w:snapToGrid w:val="0"/>
              <w:spacing w:line="360" w:lineRule="auto"/>
              <w:ind w:left="0" w:leftChars="0" w:right="0" w:right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设备名称</w:t>
            </w:r>
          </w:p>
        </w:tc>
        <w:tc>
          <w:tcPr>
            <w:tcW w:w="3669" w:type="pct"/>
            <w:noWrap w:val="0"/>
            <w:vAlign w:val="top"/>
          </w:tcPr>
          <w:p>
            <w:pPr>
              <w:pageBreakBefore w:val="0"/>
              <w:kinsoku/>
              <w:wordWrap/>
              <w:topLinePunct/>
              <w:bidi w:val="0"/>
              <w:adjustRightInd w:val="0"/>
              <w:snapToGrid w:val="0"/>
              <w:spacing w:line="360" w:lineRule="auto"/>
              <w:ind w:left="0" w:leftChars="0" w:right="0" w:rightChars="0"/>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330" w:type="pct"/>
            <w:noWrap w:val="0"/>
            <w:vAlign w:val="center"/>
          </w:tcPr>
          <w:p>
            <w:pPr>
              <w:pageBreakBefore w:val="0"/>
              <w:kinsoku/>
              <w:wordWrap/>
              <w:topLinePunct/>
              <w:bidi w:val="0"/>
              <w:adjustRightInd w:val="0"/>
              <w:snapToGrid w:val="0"/>
              <w:spacing w:line="360" w:lineRule="auto"/>
              <w:ind w:left="0" w:leftChars="0" w:right="0" w:right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规格和型号</w:t>
            </w:r>
          </w:p>
        </w:tc>
        <w:tc>
          <w:tcPr>
            <w:tcW w:w="3669" w:type="pct"/>
            <w:noWrap w:val="0"/>
            <w:vAlign w:val="top"/>
          </w:tcPr>
          <w:p>
            <w:pPr>
              <w:pageBreakBefore w:val="0"/>
              <w:kinsoku/>
              <w:wordWrap/>
              <w:topLinePunct/>
              <w:bidi w:val="0"/>
              <w:adjustRightInd w:val="0"/>
              <w:snapToGrid w:val="0"/>
              <w:spacing w:line="360" w:lineRule="auto"/>
              <w:ind w:left="0" w:leftChars="0" w:right="0" w:rightChars="0"/>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1330" w:type="pct"/>
            <w:noWrap w:val="0"/>
            <w:vAlign w:val="center"/>
          </w:tcPr>
          <w:p>
            <w:pPr>
              <w:pageBreakBefore w:val="0"/>
              <w:kinsoku/>
              <w:wordWrap/>
              <w:topLinePunct/>
              <w:bidi w:val="0"/>
              <w:adjustRightInd w:val="0"/>
              <w:snapToGrid w:val="0"/>
              <w:spacing w:line="360" w:lineRule="auto"/>
              <w:ind w:left="0" w:leftChars="0" w:right="0" w:right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买方名称</w:t>
            </w:r>
          </w:p>
        </w:tc>
        <w:tc>
          <w:tcPr>
            <w:tcW w:w="3669" w:type="pct"/>
            <w:noWrap w:val="0"/>
            <w:vAlign w:val="top"/>
          </w:tcPr>
          <w:p>
            <w:pPr>
              <w:pageBreakBefore w:val="0"/>
              <w:kinsoku/>
              <w:wordWrap/>
              <w:topLinePunct/>
              <w:bidi w:val="0"/>
              <w:adjustRightInd w:val="0"/>
              <w:snapToGrid w:val="0"/>
              <w:spacing w:line="360" w:lineRule="auto"/>
              <w:ind w:left="0" w:leftChars="0" w:right="0" w:rightChars="0"/>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330" w:type="pct"/>
            <w:noWrap w:val="0"/>
            <w:vAlign w:val="center"/>
          </w:tcPr>
          <w:p>
            <w:pPr>
              <w:pageBreakBefore w:val="0"/>
              <w:kinsoku/>
              <w:wordWrap/>
              <w:topLinePunct/>
              <w:bidi w:val="0"/>
              <w:adjustRightInd w:val="0"/>
              <w:snapToGrid w:val="0"/>
              <w:spacing w:line="360" w:lineRule="auto"/>
              <w:ind w:left="0" w:leftChars="0" w:right="0" w:right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买方联系人及电话</w:t>
            </w:r>
          </w:p>
        </w:tc>
        <w:tc>
          <w:tcPr>
            <w:tcW w:w="3669" w:type="pct"/>
            <w:noWrap w:val="0"/>
            <w:vAlign w:val="top"/>
          </w:tcPr>
          <w:p>
            <w:pPr>
              <w:pageBreakBefore w:val="0"/>
              <w:kinsoku/>
              <w:wordWrap/>
              <w:topLinePunct/>
              <w:bidi w:val="0"/>
              <w:adjustRightInd w:val="0"/>
              <w:snapToGrid w:val="0"/>
              <w:spacing w:line="360" w:lineRule="auto"/>
              <w:ind w:left="0" w:leftChars="0" w:right="0" w:rightChars="0"/>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330" w:type="pct"/>
            <w:noWrap w:val="0"/>
            <w:vAlign w:val="center"/>
          </w:tcPr>
          <w:p>
            <w:pPr>
              <w:pageBreakBefore w:val="0"/>
              <w:kinsoku/>
              <w:wordWrap/>
              <w:topLinePunct/>
              <w:bidi w:val="0"/>
              <w:adjustRightInd w:val="0"/>
              <w:snapToGrid w:val="0"/>
              <w:spacing w:line="360" w:lineRule="auto"/>
              <w:ind w:left="0" w:leftChars="0" w:right="0" w:right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合同价格</w:t>
            </w:r>
          </w:p>
        </w:tc>
        <w:tc>
          <w:tcPr>
            <w:tcW w:w="3669" w:type="pct"/>
            <w:noWrap w:val="0"/>
            <w:vAlign w:val="top"/>
          </w:tcPr>
          <w:p>
            <w:pPr>
              <w:pageBreakBefore w:val="0"/>
              <w:kinsoku/>
              <w:wordWrap/>
              <w:topLinePunct/>
              <w:bidi w:val="0"/>
              <w:adjustRightInd w:val="0"/>
              <w:snapToGrid w:val="0"/>
              <w:spacing w:line="360" w:lineRule="auto"/>
              <w:ind w:left="0" w:leftChars="0" w:right="0" w:rightChars="0"/>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1" w:hRule="atLeast"/>
        </w:trPr>
        <w:tc>
          <w:tcPr>
            <w:tcW w:w="1330" w:type="pct"/>
            <w:noWrap w:val="0"/>
            <w:vAlign w:val="center"/>
          </w:tcPr>
          <w:p>
            <w:pPr>
              <w:pageBreakBefore w:val="0"/>
              <w:kinsoku/>
              <w:wordWrap/>
              <w:topLinePunct/>
              <w:bidi w:val="0"/>
              <w:adjustRightInd w:val="0"/>
              <w:snapToGrid w:val="0"/>
              <w:spacing w:line="360" w:lineRule="auto"/>
              <w:ind w:left="0" w:leftChars="0" w:right="0" w:right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项目概况及投标人</w:t>
            </w:r>
          </w:p>
          <w:p>
            <w:pPr>
              <w:pageBreakBefore w:val="0"/>
              <w:kinsoku/>
              <w:wordWrap/>
              <w:topLinePunct/>
              <w:bidi w:val="0"/>
              <w:adjustRightInd w:val="0"/>
              <w:snapToGrid w:val="0"/>
              <w:spacing w:line="360" w:lineRule="auto"/>
              <w:ind w:left="0" w:leftChars="0" w:right="0" w:right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履约情况</w:t>
            </w:r>
          </w:p>
        </w:tc>
        <w:tc>
          <w:tcPr>
            <w:tcW w:w="3669" w:type="pct"/>
            <w:noWrap w:val="0"/>
            <w:vAlign w:val="top"/>
          </w:tcPr>
          <w:p>
            <w:pPr>
              <w:pageBreakBefore w:val="0"/>
              <w:kinsoku/>
              <w:wordWrap/>
              <w:topLinePunct/>
              <w:bidi w:val="0"/>
              <w:adjustRightInd w:val="0"/>
              <w:snapToGrid w:val="0"/>
              <w:spacing w:line="360" w:lineRule="auto"/>
              <w:ind w:left="0" w:leftChars="0" w:right="0" w:rightChars="0"/>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330" w:type="pct"/>
            <w:noWrap w:val="0"/>
            <w:vAlign w:val="center"/>
          </w:tcPr>
          <w:p>
            <w:pPr>
              <w:pageBreakBefore w:val="0"/>
              <w:kinsoku/>
              <w:wordWrap/>
              <w:topLinePunct/>
              <w:bidi w:val="0"/>
              <w:adjustRightInd w:val="0"/>
              <w:snapToGrid w:val="0"/>
              <w:spacing w:line="360" w:lineRule="auto"/>
              <w:ind w:left="0" w:leftChars="0" w:right="0" w:right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备注</w:t>
            </w:r>
          </w:p>
        </w:tc>
        <w:tc>
          <w:tcPr>
            <w:tcW w:w="3669" w:type="pct"/>
            <w:noWrap w:val="0"/>
            <w:vAlign w:val="top"/>
          </w:tcPr>
          <w:p>
            <w:pPr>
              <w:pageBreakBefore w:val="0"/>
              <w:kinsoku/>
              <w:wordWrap/>
              <w:topLinePunct/>
              <w:bidi w:val="0"/>
              <w:adjustRightInd w:val="0"/>
              <w:snapToGrid w:val="0"/>
              <w:spacing w:line="360" w:lineRule="auto"/>
              <w:ind w:left="0" w:leftChars="0" w:right="0" w:rightChars="0"/>
              <w:rPr>
                <w:rFonts w:hint="eastAsia" w:ascii="仿宋" w:hAnsi="仿宋" w:eastAsia="仿宋" w:cs="仿宋"/>
                <w:color w:val="auto"/>
                <w:sz w:val="24"/>
                <w:szCs w:val="24"/>
                <w:highlight w:val="none"/>
              </w:rPr>
            </w:pPr>
          </w:p>
        </w:tc>
      </w:tr>
    </w:tbl>
    <w:p>
      <w:pPr>
        <w:pageBreakBefore w:val="0"/>
        <w:kinsoku/>
        <w:wordWrap/>
        <w:topLinePunct/>
        <w:bidi w:val="0"/>
        <w:adjustRightInd w:val="0"/>
        <w:snapToGrid w:val="0"/>
        <w:spacing w:line="360" w:lineRule="auto"/>
        <w:ind w:left="0" w:leftChars="0" w:right="0" w:righ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注：每张表格只填写一个项目，并标明序号。</w:t>
      </w:r>
    </w:p>
    <w:p>
      <w:pPr>
        <w:pageBreakBefore w:val="0"/>
        <w:kinsoku/>
        <w:wordWrap/>
        <w:topLinePunct/>
        <w:bidi w:val="0"/>
        <w:adjustRightInd w:val="0"/>
        <w:snapToGrid w:val="0"/>
        <w:spacing w:line="360" w:lineRule="auto"/>
        <w:ind w:left="0" w:leftChars="0" w:right="0" w:rightChars="0"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1、投标人填写201</w:t>
      </w:r>
      <w:r>
        <w:rPr>
          <w:rFonts w:hint="eastAsia" w:ascii="仿宋" w:hAnsi="仿宋" w:eastAsia="仿宋" w:cs="仿宋"/>
          <w:b/>
          <w:bCs/>
          <w:color w:val="auto"/>
          <w:sz w:val="24"/>
          <w:szCs w:val="24"/>
          <w:highlight w:val="none"/>
          <w:lang w:val="en-US" w:eastAsia="zh-CN"/>
        </w:rPr>
        <w:t>9</w:t>
      </w:r>
      <w:r>
        <w:rPr>
          <w:rFonts w:hint="eastAsia" w:ascii="仿宋" w:hAnsi="仿宋" w:eastAsia="仿宋" w:cs="仿宋"/>
          <w:b/>
          <w:bCs/>
          <w:color w:val="auto"/>
          <w:sz w:val="24"/>
          <w:szCs w:val="24"/>
          <w:highlight w:val="none"/>
        </w:rPr>
        <w:t>年1月1日至今（以合同签订日期为准）完成的类似项目情况。</w:t>
      </w:r>
    </w:p>
    <w:p>
      <w:pPr>
        <w:pageBreakBefore w:val="0"/>
        <w:kinsoku/>
        <w:wordWrap/>
        <w:topLinePunct/>
        <w:bidi w:val="0"/>
        <w:adjustRightInd w:val="0"/>
        <w:snapToGrid w:val="0"/>
        <w:spacing w:line="360" w:lineRule="auto"/>
        <w:ind w:left="0" w:leftChars="0" w:right="0" w:rightChars="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2、本表后应</w:t>
      </w:r>
      <w:r>
        <w:rPr>
          <w:rFonts w:hint="eastAsia" w:ascii="仿宋" w:hAnsi="仿宋" w:eastAsia="仿宋" w:cs="仿宋"/>
          <w:b/>
          <w:bCs/>
          <w:color w:val="auto"/>
          <w:sz w:val="24"/>
          <w:szCs w:val="24"/>
          <w:highlight w:val="none"/>
        </w:rPr>
        <w:t>附业绩证明材料应附投标人与设备采购单位签订的合同协议书的复印件</w:t>
      </w:r>
      <w:r>
        <w:rPr>
          <w:rFonts w:hint="eastAsia" w:ascii="仿宋" w:hAnsi="仿宋" w:eastAsia="仿宋" w:cs="仿宋"/>
          <w:b/>
          <w:color w:val="auto"/>
          <w:sz w:val="24"/>
          <w:szCs w:val="24"/>
          <w:highlight w:val="none"/>
        </w:rPr>
        <w:t>。</w:t>
      </w:r>
      <w:r>
        <w:rPr>
          <w:rFonts w:hint="eastAsia" w:ascii="仿宋" w:hAnsi="仿宋" w:eastAsia="仿宋" w:cs="仿宋"/>
          <w:b/>
          <w:bCs/>
          <w:color w:val="auto"/>
          <w:sz w:val="24"/>
          <w:szCs w:val="24"/>
          <w:highlight w:val="none"/>
        </w:rPr>
        <w:t>合同协议书应能体现出投标人业绩要求中的内容，上述证明材料如果不能体现设备名称、数量、合同签订时间等与投标人业绩要求有关的数据信息的，还应提供由设备采购单位出具的能够体现上述事项的有效的销售业绩证明的复印件。上述业</w:t>
      </w:r>
      <w:r>
        <w:rPr>
          <w:rFonts w:hint="eastAsia" w:ascii="仿宋" w:hAnsi="仿宋" w:eastAsia="仿宋" w:cs="仿宋"/>
          <w:b/>
          <w:color w:val="auto"/>
          <w:sz w:val="24"/>
          <w:szCs w:val="24"/>
          <w:highlight w:val="none"/>
        </w:rPr>
        <w:t>绩证明材料提供不全者或者无法证明满足投标人业绩要求的，不予以认可。</w:t>
      </w:r>
    </w:p>
    <w:p>
      <w:pPr>
        <w:pageBreakBefore w:val="0"/>
        <w:kinsoku/>
        <w:wordWrap/>
        <w:topLinePunct/>
        <w:bidi w:val="0"/>
        <w:adjustRightInd w:val="0"/>
        <w:snapToGrid w:val="0"/>
        <w:spacing w:line="360" w:lineRule="auto"/>
        <w:ind w:left="0" w:leftChars="0" w:right="0" w:rightChars="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3、</w:t>
      </w:r>
      <w:r>
        <w:rPr>
          <w:rFonts w:hint="eastAsia" w:ascii="仿宋" w:hAnsi="仿宋" w:eastAsia="仿宋" w:cs="仿宋"/>
          <w:b/>
          <w:color w:val="auto"/>
          <w:sz w:val="24"/>
          <w:szCs w:val="24"/>
          <w:highlight w:val="none"/>
          <w:lang w:val="en-US" w:eastAsia="zh-CN"/>
        </w:rPr>
        <w:t>代理商参加投标的业绩应为代理商业绩，制造商参加投标的业绩应为制造商业绩。</w:t>
      </w:r>
    </w:p>
    <w:p>
      <w:pPr>
        <w:pageBreakBefore w:val="0"/>
        <w:kinsoku/>
        <w:wordWrap/>
        <w:topLinePunct/>
        <w:bidi w:val="0"/>
        <w:adjustRightInd w:val="0"/>
        <w:snapToGrid w:val="0"/>
        <w:spacing w:line="360" w:lineRule="auto"/>
        <w:ind w:left="0" w:leftChars="0" w:right="0" w:rightChars="0"/>
        <w:rPr>
          <w:rFonts w:hint="eastAsia" w:ascii="仿宋" w:hAnsi="仿宋" w:eastAsia="仿宋" w:cs="仿宋"/>
          <w:color w:val="auto"/>
          <w:sz w:val="24"/>
          <w:szCs w:val="24"/>
          <w:highlight w:val="none"/>
        </w:rPr>
      </w:pPr>
    </w:p>
    <w:p>
      <w:pPr>
        <w:pageBreakBefore w:val="0"/>
        <w:kinsoku/>
        <w:wordWrap/>
        <w:bidi w:val="0"/>
        <w:adjustRightInd w:val="0"/>
        <w:snapToGrid w:val="0"/>
        <w:spacing w:line="360" w:lineRule="auto"/>
        <w:ind w:left="0" w:leftChars="0" w:right="0" w:rightChars="0"/>
        <w:jc w:val="center"/>
        <w:rPr>
          <w:rFonts w:hint="eastAsia" w:ascii="仿宋" w:hAnsi="仿宋" w:eastAsia="仿宋" w:cs="仿宋"/>
          <w:b/>
          <w:bCs/>
          <w:color w:val="auto"/>
          <w:sz w:val="24"/>
          <w:szCs w:val="24"/>
          <w:highlight w:val="none"/>
          <w:lang w:eastAsia="zh-Hans"/>
        </w:rPr>
        <w:sectPr>
          <w:pgSz w:w="11906" w:h="16838"/>
          <w:pgMar w:top="1418" w:right="1588" w:bottom="1418" w:left="1588" w:header="851" w:footer="992" w:gutter="0"/>
          <w:cols w:space="720" w:num="1"/>
          <w:docGrid w:type="lines" w:linePitch="312" w:charSpace="0"/>
        </w:sectPr>
      </w:pPr>
      <w:r>
        <w:rPr>
          <w:rFonts w:hint="eastAsia" w:ascii="仿宋" w:hAnsi="仿宋" w:eastAsia="仿宋" w:cs="仿宋"/>
          <w:color w:val="auto"/>
          <w:sz w:val="24"/>
          <w:szCs w:val="24"/>
          <w:highlight w:val="none"/>
        </w:rPr>
        <w:br w:type="page"/>
      </w:r>
      <w:bookmarkStart w:id="495" w:name="_Toc152042600"/>
      <w:bookmarkStart w:id="496" w:name="_Toc144974879"/>
      <w:bookmarkStart w:id="497" w:name="_Toc247514303"/>
      <w:bookmarkStart w:id="498" w:name="_Toc514837990"/>
      <w:bookmarkStart w:id="499" w:name="_Toc247527851"/>
      <w:bookmarkStart w:id="500" w:name="_Toc152045811"/>
      <w:bookmarkStart w:id="501" w:name="_Toc265953297"/>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val="en-US" w:eastAsia="zh-CN"/>
        </w:rPr>
        <w:t>10</w:t>
      </w:r>
      <w:r>
        <w:rPr>
          <w:rFonts w:hint="eastAsia" w:ascii="仿宋" w:hAnsi="仿宋" w:eastAsia="仿宋" w:cs="仿宋"/>
          <w:b/>
          <w:bCs/>
          <w:color w:val="auto"/>
          <w:sz w:val="24"/>
          <w:szCs w:val="24"/>
          <w:highlight w:val="none"/>
        </w:rPr>
        <w:t>）</w:t>
      </w:r>
      <w:bookmarkEnd w:id="495"/>
      <w:bookmarkEnd w:id="496"/>
      <w:bookmarkEnd w:id="497"/>
      <w:bookmarkEnd w:id="498"/>
      <w:bookmarkEnd w:id="499"/>
      <w:bookmarkEnd w:id="500"/>
      <w:bookmarkEnd w:id="501"/>
      <w:r>
        <w:rPr>
          <w:rFonts w:hint="eastAsia" w:ascii="仿宋" w:hAnsi="仿宋" w:eastAsia="仿宋" w:cs="仿宋"/>
          <w:b/>
          <w:bCs/>
          <w:color w:val="auto"/>
          <w:sz w:val="24"/>
          <w:szCs w:val="24"/>
          <w:highlight w:val="none"/>
          <w:lang w:val="en-US" w:eastAsia="zh-CN"/>
        </w:rPr>
        <w:t>人员配备情况</w:t>
      </w:r>
      <w:r>
        <w:rPr>
          <w:rFonts w:hint="eastAsia" w:ascii="仿宋" w:hAnsi="仿宋" w:eastAsia="仿宋" w:cs="仿宋"/>
          <w:b/>
          <w:bCs/>
          <w:color w:val="auto"/>
          <w:sz w:val="24"/>
          <w:szCs w:val="24"/>
          <w:highlight w:val="none"/>
          <w:lang w:eastAsia="zh-Hans"/>
        </w:rPr>
        <w:t>（</w:t>
      </w:r>
      <w:r>
        <w:rPr>
          <w:rFonts w:hint="eastAsia" w:ascii="仿宋" w:hAnsi="仿宋" w:eastAsia="仿宋" w:cs="仿宋"/>
          <w:b/>
          <w:bCs/>
          <w:color w:val="auto"/>
          <w:sz w:val="24"/>
          <w:szCs w:val="24"/>
          <w:highlight w:val="none"/>
          <w:lang w:val="en-US" w:eastAsia="zh-Hans"/>
        </w:rPr>
        <w:t>格式自拟</w:t>
      </w:r>
      <w:r>
        <w:rPr>
          <w:rFonts w:hint="eastAsia" w:ascii="仿宋" w:hAnsi="仿宋" w:eastAsia="仿宋" w:cs="仿宋"/>
          <w:b/>
          <w:bCs/>
          <w:color w:val="auto"/>
          <w:sz w:val="24"/>
          <w:szCs w:val="24"/>
          <w:highlight w:val="none"/>
          <w:lang w:eastAsia="zh-Hans"/>
        </w:rPr>
        <w:t>，</w:t>
      </w:r>
      <w:r>
        <w:rPr>
          <w:rFonts w:hint="eastAsia" w:ascii="仿宋" w:hAnsi="仿宋" w:eastAsia="仿宋" w:cs="仿宋"/>
          <w:b/>
          <w:bCs/>
          <w:color w:val="auto"/>
          <w:sz w:val="24"/>
          <w:szCs w:val="24"/>
          <w:highlight w:val="none"/>
          <w:lang w:val="en-US" w:eastAsia="zh-Hans"/>
        </w:rPr>
        <w:t>内容响应招标文件</w:t>
      </w:r>
      <w:r>
        <w:rPr>
          <w:rFonts w:hint="eastAsia" w:ascii="仿宋" w:hAnsi="仿宋" w:eastAsia="仿宋" w:cs="仿宋"/>
          <w:b/>
          <w:bCs/>
          <w:color w:val="auto"/>
          <w:sz w:val="24"/>
          <w:szCs w:val="24"/>
          <w:highlight w:val="none"/>
          <w:lang w:eastAsia="zh-Hans"/>
        </w:rPr>
        <w:t>）</w:t>
      </w:r>
    </w:p>
    <w:p>
      <w:pPr>
        <w:pageBreakBefore w:val="0"/>
        <w:kinsoku/>
        <w:wordWrap/>
        <w:bidi w:val="0"/>
        <w:adjustRightInd w:val="0"/>
        <w:snapToGrid w:val="0"/>
        <w:spacing w:line="360" w:lineRule="auto"/>
        <w:ind w:left="0" w:leftChars="0" w:right="0" w:rightChars="0"/>
        <w:jc w:val="center"/>
        <w:rPr>
          <w:rFonts w:hint="eastAsia" w:ascii="仿宋" w:hAnsi="仿宋" w:eastAsia="仿宋" w:cs="仿宋"/>
          <w:b/>
          <w:bCs/>
          <w:color w:val="auto"/>
          <w:sz w:val="24"/>
          <w:szCs w:val="24"/>
          <w:highlight w:val="none"/>
          <w:lang w:eastAsia="zh-Hans"/>
        </w:rPr>
        <w:sectPr>
          <w:pgSz w:w="11906" w:h="16838"/>
          <w:pgMar w:top="1418" w:right="1588" w:bottom="1418" w:left="1588" w:header="851" w:footer="992" w:gutter="0"/>
          <w:cols w:space="720" w:num="1"/>
          <w:docGrid w:type="lines" w:linePitch="312" w:charSpace="0"/>
        </w:sectPr>
      </w:pP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11</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lang w:val="en-US" w:eastAsia="zh-Hans"/>
        </w:rPr>
        <w:t>技术培训方案</w:t>
      </w:r>
      <w:r>
        <w:rPr>
          <w:rFonts w:hint="eastAsia" w:ascii="仿宋" w:hAnsi="仿宋" w:eastAsia="仿宋" w:cs="仿宋"/>
          <w:b/>
          <w:bCs/>
          <w:color w:val="auto"/>
          <w:sz w:val="24"/>
          <w:szCs w:val="24"/>
          <w:highlight w:val="none"/>
          <w:lang w:eastAsia="zh-Hans"/>
        </w:rPr>
        <w:t>（</w:t>
      </w:r>
      <w:r>
        <w:rPr>
          <w:rFonts w:hint="eastAsia" w:ascii="仿宋" w:hAnsi="仿宋" w:eastAsia="仿宋" w:cs="仿宋"/>
          <w:b/>
          <w:bCs/>
          <w:color w:val="auto"/>
          <w:sz w:val="24"/>
          <w:szCs w:val="24"/>
          <w:highlight w:val="none"/>
          <w:lang w:val="en-US" w:eastAsia="zh-Hans"/>
        </w:rPr>
        <w:t>格式自拟</w:t>
      </w:r>
      <w:r>
        <w:rPr>
          <w:rFonts w:hint="eastAsia" w:ascii="仿宋" w:hAnsi="仿宋" w:eastAsia="仿宋" w:cs="仿宋"/>
          <w:b/>
          <w:bCs/>
          <w:color w:val="auto"/>
          <w:sz w:val="24"/>
          <w:szCs w:val="24"/>
          <w:highlight w:val="none"/>
          <w:lang w:eastAsia="zh-Hans"/>
        </w:rPr>
        <w:t>，</w:t>
      </w:r>
      <w:r>
        <w:rPr>
          <w:rFonts w:hint="eastAsia" w:ascii="仿宋" w:hAnsi="仿宋" w:eastAsia="仿宋" w:cs="仿宋"/>
          <w:b/>
          <w:bCs/>
          <w:color w:val="auto"/>
          <w:sz w:val="24"/>
          <w:szCs w:val="24"/>
          <w:highlight w:val="none"/>
          <w:lang w:val="en-US" w:eastAsia="zh-Hans"/>
        </w:rPr>
        <w:t>内容响应招标文件</w:t>
      </w:r>
      <w:r>
        <w:rPr>
          <w:rFonts w:hint="eastAsia" w:ascii="仿宋" w:hAnsi="仿宋" w:eastAsia="仿宋" w:cs="仿宋"/>
          <w:b/>
          <w:bCs/>
          <w:color w:val="auto"/>
          <w:sz w:val="24"/>
          <w:szCs w:val="24"/>
          <w:highlight w:val="none"/>
          <w:lang w:eastAsia="zh-Hans"/>
        </w:rPr>
        <w:t>）</w:t>
      </w:r>
      <w:bookmarkEnd w:id="484"/>
      <w:bookmarkEnd w:id="485"/>
      <w:bookmarkEnd w:id="486"/>
      <w:bookmarkEnd w:id="487"/>
    </w:p>
    <w:p>
      <w:pPr>
        <w:pStyle w:val="10"/>
        <w:jc w:val="center"/>
        <w:rPr>
          <w:rFonts w:hint="eastAsia" w:ascii="仿宋" w:hAnsi="仿宋" w:eastAsia="仿宋" w:cs="仿宋"/>
          <w:color w:val="auto"/>
          <w:sz w:val="24"/>
          <w:szCs w:val="24"/>
          <w:highlight w:val="none"/>
        </w:rPr>
      </w:pPr>
      <w:r>
        <w:rPr>
          <w:rFonts w:hint="eastAsia" w:ascii="仿宋" w:hAnsi="仿宋" w:eastAsia="仿宋" w:cs="仿宋"/>
          <w:b/>
          <w:bCs/>
          <w:color w:val="auto"/>
          <w:kern w:val="2"/>
          <w:sz w:val="24"/>
          <w:szCs w:val="24"/>
          <w:highlight w:val="none"/>
          <w:lang w:eastAsia="zh-CN" w:bidi="ar-SA"/>
        </w:rPr>
        <w:t>（</w:t>
      </w:r>
      <w:r>
        <w:rPr>
          <w:rFonts w:hint="eastAsia" w:ascii="仿宋" w:hAnsi="仿宋" w:eastAsia="仿宋" w:cs="仿宋"/>
          <w:b/>
          <w:bCs/>
          <w:color w:val="auto"/>
          <w:kern w:val="2"/>
          <w:sz w:val="24"/>
          <w:szCs w:val="24"/>
          <w:highlight w:val="none"/>
          <w:lang w:val="en-US" w:eastAsia="zh-CN" w:bidi="ar-SA"/>
        </w:rPr>
        <w:t>12</w:t>
      </w:r>
      <w:r>
        <w:rPr>
          <w:rFonts w:hint="eastAsia" w:ascii="仿宋" w:hAnsi="仿宋" w:eastAsia="仿宋" w:cs="仿宋"/>
          <w:b/>
          <w:bCs/>
          <w:color w:val="auto"/>
          <w:kern w:val="2"/>
          <w:sz w:val="24"/>
          <w:szCs w:val="24"/>
          <w:highlight w:val="none"/>
          <w:lang w:eastAsia="zh-Hans" w:bidi="ar-SA"/>
        </w:rPr>
        <w:t>）</w:t>
      </w:r>
      <w:r>
        <w:rPr>
          <w:rFonts w:hint="eastAsia" w:ascii="仿宋" w:hAnsi="仿宋" w:eastAsia="仿宋" w:cs="仿宋"/>
          <w:b/>
          <w:bCs/>
          <w:color w:val="auto"/>
          <w:kern w:val="2"/>
          <w:sz w:val="24"/>
          <w:szCs w:val="24"/>
          <w:highlight w:val="none"/>
          <w:lang w:val="en-US" w:eastAsia="zh-Hans" w:bidi="ar-SA"/>
        </w:rPr>
        <w:t>售后服务及质量保证方案（格式自拟</w:t>
      </w:r>
      <w:r>
        <w:rPr>
          <w:rFonts w:hint="eastAsia" w:ascii="仿宋" w:hAnsi="仿宋" w:eastAsia="仿宋" w:cs="仿宋"/>
          <w:b/>
          <w:bCs/>
          <w:color w:val="auto"/>
          <w:sz w:val="24"/>
          <w:szCs w:val="24"/>
          <w:highlight w:val="none"/>
          <w:lang w:eastAsia="zh-Hans"/>
        </w:rPr>
        <w:t>，</w:t>
      </w:r>
      <w:r>
        <w:rPr>
          <w:rFonts w:hint="eastAsia" w:ascii="仿宋" w:hAnsi="仿宋" w:eastAsia="仿宋" w:cs="仿宋"/>
          <w:b/>
          <w:bCs/>
          <w:color w:val="auto"/>
          <w:sz w:val="24"/>
          <w:szCs w:val="24"/>
          <w:highlight w:val="none"/>
          <w:lang w:val="en-US" w:eastAsia="zh-Hans"/>
        </w:rPr>
        <w:t>内容响应招标文件</w:t>
      </w:r>
      <w:r>
        <w:rPr>
          <w:rFonts w:hint="eastAsia" w:ascii="仿宋" w:hAnsi="仿宋" w:eastAsia="仿宋" w:cs="仿宋"/>
          <w:b/>
          <w:bCs/>
          <w:color w:val="auto"/>
          <w:kern w:val="2"/>
          <w:sz w:val="24"/>
          <w:szCs w:val="24"/>
          <w:highlight w:val="none"/>
          <w:lang w:val="en-US" w:eastAsia="zh-Hans" w:bidi="ar-SA"/>
        </w:rPr>
        <w:t>）</w:t>
      </w:r>
    </w:p>
    <w:p>
      <w:pPr>
        <w:pStyle w:val="10"/>
        <w:jc w:val="left"/>
        <w:rPr>
          <w:rFonts w:hint="eastAsia" w:ascii="仿宋" w:hAnsi="仿宋" w:eastAsia="仿宋" w:cs="仿宋"/>
          <w:b/>
          <w:bCs/>
          <w:color w:val="auto"/>
          <w:kern w:val="2"/>
          <w:sz w:val="24"/>
          <w:szCs w:val="24"/>
          <w:highlight w:val="none"/>
          <w:lang w:val="en-US" w:eastAsia="zh-CN" w:bidi="ar-SA"/>
        </w:rPr>
        <w:sectPr>
          <w:pgSz w:w="11906" w:h="16838"/>
          <w:pgMar w:top="1418" w:right="1588" w:bottom="1418" w:left="1588" w:header="851" w:footer="992" w:gutter="0"/>
          <w:cols w:space="720" w:num="1"/>
          <w:docGrid w:type="lines" w:linePitch="312" w:charSpace="0"/>
        </w:sectPr>
      </w:pPr>
    </w:p>
    <w:p>
      <w:pPr>
        <w:pStyle w:val="10"/>
        <w:numPr>
          <w:ilvl w:val="0"/>
          <w:numId w:val="3"/>
        </w:numPr>
        <w:ind w:left="0" w:leftChars="0" w:firstLine="0" w:firstLineChars="0"/>
        <w:jc w:val="center"/>
        <w:rPr>
          <w:rFonts w:hint="eastAsia" w:ascii="仿宋" w:hAnsi="仿宋" w:eastAsia="仿宋" w:cs="仿宋"/>
          <w:b/>
          <w:bCs/>
          <w:color w:val="auto"/>
          <w:kern w:val="2"/>
          <w:sz w:val="24"/>
          <w:szCs w:val="24"/>
          <w:highlight w:val="none"/>
          <w:lang w:val="en-US" w:eastAsia="zh-Hans" w:bidi="ar-SA"/>
        </w:rPr>
      </w:pPr>
      <w:r>
        <w:rPr>
          <w:rFonts w:hint="eastAsia" w:ascii="仿宋" w:hAnsi="仿宋" w:eastAsia="仿宋" w:cs="仿宋"/>
          <w:b/>
          <w:bCs/>
          <w:color w:val="auto"/>
          <w:kern w:val="2"/>
          <w:sz w:val="24"/>
          <w:szCs w:val="24"/>
          <w:highlight w:val="none"/>
          <w:lang w:val="en-US" w:eastAsia="zh-Hans" w:bidi="ar-SA"/>
        </w:rPr>
        <w:t>技术部分</w:t>
      </w:r>
    </w:p>
    <w:p>
      <w:pPr>
        <w:pStyle w:val="4"/>
        <w:keepNext/>
        <w:keepLines/>
        <w:pageBreakBefore w:val="0"/>
        <w:widowControl w:val="0"/>
        <w:kinsoku/>
        <w:wordWrap/>
        <w:overflowPunct/>
        <w:topLinePunct w:val="0"/>
        <w:autoSpaceDE/>
        <w:autoSpaceDN/>
        <w:bidi w:val="0"/>
        <w:adjustRightInd w:val="0"/>
        <w:snapToGrid w:val="0"/>
        <w:spacing w:before="0" w:beforeLines="0" w:after="0" w:afterLines="0" w:line="360" w:lineRule="auto"/>
        <w:ind w:left="0" w:leftChars="0" w:right="0" w:right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val="en-US" w:eastAsia="zh-Hans"/>
        </w:rPr>
        <w:t>规格功能</w:t>
      </w:r>
      <w:r>
        <w:rPr>
          <w:rFonts w:hint="eastAsia" w:ascii="仿宋" w:hAnsi="仿宋" w:eastAsia="仿宋" w:cs="仿宋"/>
          <w:color w:val="auto"/>
          <w:sz w:val="24"/>
          <w:szCs w:val="24"/>
          <w:highlight w:val="none"/>
          <w:lang w:eastAsia="zh-Hans"/>
        </w:rPr>
        <w:t>、</w:t>
      </w:r>
      <w:r>
        <w:rPr>
          <w:rFonts w:hint="eastAsia" w:ascii="仿宋" w:hAnsi="仿宋" w:eastAsia="仿宋" w:cs="仿宋"/>
          <w:color w:val="auto"/>
          <w:sz w:val="24"/>
          <w:szCs w:val="24"/>
          <w:highlight w:val="none"/>
        </w:rPr>
        <w:t>技术</w:t>
      </w:r>
      <w:r>
        <w:rPr>
          <w:rFonts w:hint="eastAsia" w:ascii="仿宋" w:hAnsi="仿宋" w:eastAsia="仿宋" w:cs="仿宋"/>
          <w:color w:val="auto"/>
          <w:sz w:val="24"/>
          <w:szCs w:val="24"/>
          <w:highlight w:val="none"/>
          <w:lang w:val="en-US" w:eastAsia="zh-Hans"/>
        </w:rPr>
        <w:t>参数偏离表</w:t>
      </w:r>
    </w:p>
    <w:tbl>
      <w:tblPr>
        <w:tblStyle w:val="21"/>
        <w:tblpPr w:leftFromText="180" w:rightFromText="180" w:vertAnchor="text" w:horzAnchor="page" w:tblpX="1389" w:tblpY="373"/>
        <w:tblOverlap w:val="never"/>
        <w:tblW w:w="512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6"/>
        <w:gridCol w:w="1497"/>
        <w:gridCol w:w="1877"/>
        <w:gridCol w:w="1885"/>
        <w:gridCol w:w="1345"/>
        <w:gridCol w:w="831"/>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80" w:hRule="atLeast"/>
        </w:trPr>
        <w:tc>
          <w:tcPr>
            <w:tcW w:w="248" w:type="pct"/>
            <w:noWrap w:val="0"/>
            <w:vAlign w:val="center"/>
          </w:tcPr>
          <w:p>
            <w:pPr>
              <w:spacing w:line="400" w:lineRule="atLeast"/>
              <w:jc w:val="center"/>
              <w:rPr>
                <w:rFonts w:hint="eastAsia" w:ascii="仿宋" w:hAnsi="仿宋" w:eastAsia="仿宋" w:cs="仿宋"/>
                <w:color w:val="auto"/>
                <w:sz w:val="24"/>
                <w:highlight w:val="none"/>
              </w:rPr>
            </w:pPr>
            <w:bookmarkStart w:id="502" w:name="_Toc9868031"/>
            <w:bookmarkStart w:id="503" w:name="_Toc37169317"/>
            <w:r>
              <w:rPr>
                <w:rFonts w:hint="eastAsia" w:ascii="仿宋" w:hAnsi="仿宋" w:eastAsia="仿宋" w:cs="仿宋"/>
                <w:color w:val="auto"/>
                <w:sz w:val="24"/>
                <w:highlight w:val="none"/>
              </w:rPr>
              <w:t>序号</w:t>
            </w:r>
          </w:p>
        </w:tc>
        <w:tc>
          <w:tcPr>
            <w:tcW w:w="816" w:type="pct"/>
            <w:noWrap w:val="0"/>
            <w:vAlign w:val="center"/>
          </w:tcPr>
          <w:p>
            <w:pPr>
              <w:spacing w:line="400" w:lineRule="atLeast"/>
              <w:jc w:val="center"/>
              <w:rPr>
                <w:rFonts w:hint="eastAsia" w:ascii="仿宋" w:hAnsi="仿宋" w:eastAsia="仿宋" w:cs="仿宋"/>
                <w:color w:val="auto"/>
                <w:sz w:val="24"/>
                <w:highlight w:val="none"/>
                <w:lang w:val="en-US" w:eastAsia="zh-Hans"/>
              </w:rPr>
            </w:pPr>
            <w:r>
              <w:rPr>
                <w:rFonts w:hint="eastAsia" w:ascii="仿宋" w:hAnsi="仿宋" w:eastAsia="仿宋" w:cs="仿宋"/>
                <w:color w:val="auto"/>
                <w:sz w:val="24"/>
                <w:highlight w:val="none"/>
                <w:lang w:val="en-US" w:eastAsia="zh-Hans"/>
              </w:rPr>
              <w:t>设备名称</w:t>
            </w:r>
          </w:p>
        </w:tc>
        <w:tc>
          <w:tcPr>
            <w:tcW w:w="1023" w:type="pct"/>
            <w:noWrap w:val="0"/>
            <w:vAlign w:val="center"/>
          </w:tcPr>
          <w:p>
            <w:pPr>
              <w:spacing w:line="400" w:lineRule="atLeas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招标文件要求规格</w:t>
            </w:r>
          </w:p>
        </w:tc>
        <w:tc>
          <w:tcPr>
            <w:tcW w:w="1027" w:type="pct"/>
            <w:noWrap w:val="0"/>
            <w:vAlign w:val="center"/>
          </w:tcPr>
          <w:p>
            <w:pPr>
              <w:spacing w:line="400" w:lineRule="atLeas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投标规格</w:t>
            </w:r>
          </w:p>
        </w:tc>
        <w:tc>
          <w:tcPr>
            <w:tcW w:w="733" w:type="pct"/>
            <w:noWrap w:val="0"/>
            <w:vAlign w:val="center"/>
          </w:tcPr>
          <w:p>
            <w:pPr>
              <w:spacing w:line="400" w:lineRule="atLeas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偏离</w:t>
            </w:r>
          </w:p>
        </w:tc>
        <w:tc>
          <w:tcPr>
            <w:tcW w:w="453" w:type="pct"/>
            <w:noWrap w:val="0"/>
            <w:vAlign w:val="center"/>
          </w:tcPr>
          <w:p>
            <w:pPr>
              <w:spacing w:line="400" w:lineRule="atLeas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说明</w:t>
            </w:r>
          </w:p>
        </w:tc>
        <w:tc>
          <w:tcPr>
            <w:tcW w:w="695" w:type="pct"/>
            <w:noWrap w:val="0"/>
            <w:vAlign w:val="center"/>
          </w:tcPr>
          <w:p>
            <w:pPr>
              <w:spacing w:line="400" w:lineRule="atLeas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248" w:type="pct"/>
            <w:noWrap w:val="0"/>
            <w:vAlign w:val="top"/>
          </w:tcPr>
          <w:p>
            <w:pPr>
              <w:spacing w:line="400" w:lineRule="atLeast"/>
              <w:rPr>
                <w:rFonts w:hint="eastAsia" w:ascii="仿宋" w:hAnsi="仿宋" w:eastAsia="仿宋" w:cs="仿宋"/>
                <w:color w:val="auto"/>
                <w:sz w:val="24"/>
                <w:highlight w:val="none"/>
              </w:rPr>
            </w:pPr>
          </w:p>
          <w:p>
            <w:pPr>
              <w:spacing w:line="400" w:lineRule="atLeast"/>
              <w:rPr>
                <w:rFonts w:hint="eastAsia" w:ascii="仿宋" w:hAnsi="仿宋" w:eastAsia="仿宋" w:cs="仿宋"/>
                <w:color w:val="auto"/>
                <w:sz w:val="24"/>
                <w:highlight w:val="none"/>
              </w:rPr>
            </w:pPr>
          </w:p>
        </w:tc>
        <w:tc>
          <w:tcPr>
            <w:tcW w:w="816" w:type="pct"/>
            <w:noWrap w:val="0"/>
            <w:vAlign w:val="top"/>
          </w:tcPr>
          <w:p>
            <w:pPr>
              <w:widowControl/>
              <w:spacing w:line="400" w:lineRule="atLeast"/>
              <w:jc w:val="left"/>
              <w:rPr>
                <w:rFonts w:hint="eastAsia" w:ascii="仿宋" w:hAnsi="仿宋" w:eastAsia="仿宋" w:cs="仿宋"/>
                <w:color w:val="auto"/>
                <w:sz w:val="24"/>
                <w:highlight w:val="none"/>
              </w:rPr>
            </w:pPr>
          </w:p>
          <w:p>
            <w:pPr>
              <w:spacing w:line="400" w:lineRule="atLeast"/>
              <w:rPr>
                <w:rFonts w:hint="eastAsia" w:ascii="仿宋" w:hAnsi="仿宋" w:eastAsia="仿宋" w:cs="仿宋"/>
                <w:color w:val="auto"/>
                <w:sz w:val="24"/>
                <w:highlight w:val="none"/>
              </w:rPr>
            </w:pPr>
          </w:p>
        </w:tc>
        <w:tc>
          <w:tcPr>
            <w:tcW w:w="1023" w:type="pct"/>
            <w:noWrap w:val="0"/>
            <w:vAlign w:val="top"/>
          </w:tcPr>
          <w:p>
            <w:pPr>
              <w:spacing w:line="400" w:lineRule="atLeast"/>
              <w:rPr>
                <w:rFonts w:hint="eastAsia" w:ascii="仿宋" w:hAnsi="仿宋" w:eastAsia="仿宋" w:cs="仿宋"/>
                <w:color w:val="auto"/>
                <w:sz w:val="24"/>
                <w:highlight w:val="none"/>
              </w:rPr>
            </w:pPr>
          </w:p>
        </w:tc>
        <w:tc>
          <w:tcPr>
            <w:tcW w:w="1027" w:type="pct"/>
            <w:noWrap w:val="0"/>
            <w:vAlign w:val="top"/>
          </w:tcPr>
          <w:p>
            <w:pPr>
              <w:spacing w:line="400" w:lineRule="atLeast"/>
              <w:rPr>
                <w:rFonts w:hint="eastAsia" w:ascii="仿宋" w:hAnsi="仿宋" w:eastAsia="仿宋" w:cs="仿宋"/>
                <w:color w:val="auto"/>
                <w:sz w:val="24"/>
                <w:highlight w:val="none"/>
              </w:rPr>
            </w:pPr>
          </w:p>
        </w:tc>
        <w:tc>
          <w:tcPr>
            <w:tcW w:w="733" w:type="pct"/>
            <w:noWrap w:val="0"/>
            <w:vAlign w:val="top"/>
          </w:tcPr>
          <w:p>
            <w:pPr>
              <w:spacing w:line="400" w:lineRule="atLeast"/>
              <w:rPr>
                <w:rFonts w:hint="eastAsia" w:ascii="仿宋" w:hAnsi="仿宋" w:eastAsia="仿宋" w:cs="仿宋"/>
                <w:color w:val="auto"/>
                <w:sz w:val="24"/>
                <w:highlight w:val="none"/>
              </w:rPr>
            </w:pPr>
          </w:p>
        </w:tc>
        <w:tc>
          <w:tcPr>
            <w:tcW w:w="453" w:type="pct"/>
            <w:noWrap w:val="0"/>
            <w:vAlign w:val="top"/>
          </w:tcPr>
          <w:p>
            <w:pPr>
              <w:spacing w:line="400" w:lineRule="atLeast"/>
              <w:rPr>
                <w:rFonts w:hint="eastAsia" w:ascii="仿宋" w:hAnsi="仿宋" w:eastAsia="仿宋" w:cs="仿宋"/>
                <w:color w:val="auto"/>
                <w:sz w:val="24"/>
                <w:highlight w:val="none"/>
              </w:rPr>
            </w:pPr>
          </w:p>
        </w:tc>
        <w:tc>
          <w:tcPr>
            <w:tcW w:w="695" w:type="pct"/>
            <w:noWrap w:val="0"/>
            <w:vAlign w:val="top"/>
          </w:tcPr>
          <w:p>
            <w:pPr>
              <w:spacing w:line="400" w:lineRule="atLeast"/>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trPr>
        <w:tc>
          <w:tcPr>
            <w:tcW w:w="248" w:type="pct"/>
            <w:noWrap w:val="0"/>
            <w:vAlign w:val="top"/>
          </w:tcPr>
          <w:p>
            <w:pPr>
              <w:spacing w:line="400" w:lineRule="atLeast"/>
              <w:rPr>
                <w:rFonts w:hint="eastAsia" w:ascii="仿宋" w:hAnsi="仿宋" w:eastAsia="仿宋" w:cs="仿宋"/>
                <w:color w:val="auto"/>
                <w:sz w:val="24"/>
                <w:highlight w:val="none"/>
              </w:rPr>
            </w:pPr>
          </w:p>
          <w:p>
            <w:pPr>
              <w:spacing w:line="400" w:lineRule="atLeast"/>
              <w:rPr>
                <w:rFonts w:hint="eastAsia" w:ascii="仿宋" w:hAnsi="仿宋" w:eastAsia="仿宋" w:cs="仿宋"/>
                <w:color w:val="auto"/>
                <w:sz w:val="24"/>
                <w:highlight w:val="none"/>
              </w:rPr>
            </w:pPr>
          </w:p>
        </w:tc>
        <w:tc>
          <w:tcPr>
            <w:tcW w:w="816" w:type="pct"/>
            <w:noWrap w:val="0"/>
            <w:vAlign w:val="top"/>
          </w:tcPr>
          <w:p>
            <w:pPr>
              <w:widowControl/>
              <w:spacing w:line="400" w:lineRule="atLeast"/>
              <w:jc w:val="left"/>
              <w:rPr>
                <w:rFonts w:hint="eastAsia" w:ascii="仿宋" w:hAnsi="仿宋" w:eastAsia="仿宋" w:cs="仿宋"/>
                <w:color w:val="auto"/>
                <w:sz w:val="24"/>
                <w:highlight w:val="none"/>
              </w:rPr>
            </w:pPr>
          </w:p>
          <w:p>
            <w:pPr>
              <w:spacing w:line="400" w:lineRule="atLeast"/>
              <w:rPr>
                <w:rFonts w:hint="eastAsia" w:ascii="仿宋" w:hAnsi="仿宋" w:eastAsia="仿宋" w:cs="仿宋"/>
                <w:color w:val="auto"/>
                <w:sz w:val="24"/>
                <w:highlight w:val="none"/>
              </w:rPr>
            </w:pPr>
          </w:p>
        </w:tc>
        <w:tc>
          <w:tcPr>
            <w:tcW w:w="1023" w:type="pct"/>
            <w:noWrap w:val="0"/>
            <w:vAlign w:val="top"/>
          </w:tcPr>
          <w:p>
            <w:pPr>
              <w:spacing w:line="400" w:lineRule="atLeast"/>
              <w:rPr>
                <w:rFonts w:hint="eastAsia" w:ascii="仿宋" w:hAnsi="仿宋" w:eastAsia="仿宋" w:cs="仿宋"/>
                <w:color w:val="auto"/>
                <w:sz w:val="24"/>
                <w:highlight w:val="none"/>
              </w:rPr>
            </w:pPr>
          </w:p>
        </w:tc>
        <w:tc>
          <w:tcPr>
            <w:tcW w:w="1027" w:type="pct"/>
            <w:noWrap w:val="0"/>
            <w:vAlign w:val="top"/>
          </w:tcPr>
          <w:p>
            <w:pPr>
              <w:spacing w:line="400" w:lineRule="atLeast"/>
              <w:rPr>
                <w:rFonts w:hint="eastAsia" w:ascii="仿宋" w:hAnsi="仿宋" w:eastAsia="仿宋" w:cs="仿宋"/>
                <w:color w:val="auto"/>
                <w:sz w:val="24"/>
                <w:highlight w:val="none"/>
              </w:rPr>
            </w:pPr>
          </w:p>
        </w:tc>
        <w:tc>
          <w:tcPr>
            <w:tcW w:w="733" w:type="pct"/>
            <w:noWrap w:val="0"/>
            <w:vAlign w:val="top"/>
          </w:tcPr>
          <w:p>
            <w:pPr>
              <w:spacing w:line="400" w:lineRule="atLeast"/>
              <w:rPr>
                <w:rFonts w:hint="eastAsia" w:ascii="仿宋" w:hAnsi="仿宋" w:eastAsia="仿宋" w:cs="仿宋"/>
                <w:color w:val="auto"/>
                <w:sz w:val="24"/>
                <w:highlight w:val="none"/>
              </w:rPr>
            </w:pPr>
          </w:p>
        </w:tc>
        <w:tc>
          <w:tcPr>
            <w:tcW w:w="453" w:type="pct"/>
            <w:noWrap w:val="0"/>
            <w:vAlign w:val="top"/>
          </w:tcPr>
          <w:p>
            <w:pPr>
              <w:spacing w:line="400" w:lineRule="atLeast"/>
              <w:rPr>
                <w:rFonts w:hint="eastAsia" w:ascii="仿宋" w:hAnsi="仿宋" w:eastAsia="仿宋" w:cs="仿宋"/>
                <w:color w:val="auto"/>
                <w:sz w:val="24"/>
                <w:highlight w:val="none"/>
              </w:rPr>
            </w:pPr>
          </w:p>
        </w:tc>
        <w:tc>
          <w:tcPr>
            <w:tcW w:w="695" w:type="pct"/>
            <w:noWrap w:val="0"/>
            <w:vAlign w:val="top"/>
          </w:tcPr>
          <w:p>
            <w:pPr>
              <w:spacing w:line="400" w:lineRule="atLeast"/>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248" w:type="pct"/>
            <w:noWrap w:val="0"/>
            <w:vAlign w:val="top"/>
          </w:tcPr>
          <w:p>
            <w:pPr>
              <w:spacing w:line="400" w:lineRule="atLeast"/>
              <w:rPr>
                <w:rFonts w:hint="eastAsia" w:ascii="仿宋" w:hAnsi="仿宋" w:eastAsia="仿宋" w:cs="仿宋"/>
                <w:color w:val="auto"/>
                <w:sz w:val="24"/>
                <w:highlight w:val="none"/>
              </w:rPr>
            </w:pPr>
          </w:p>
          <w:p>
            <w:pPr>
              <w:spacing w:line="400" w:lineRule="atLeast"/>
              <w:rPr>
                <w:rFonts w:hint="eastAsia" w:ascii="仿宋" w:hAnsi="仿宋" w:eastAsia="仿宋" w:cs="仿宋"/>
                <w:color w:val="auto"/>
                <w:sz w:val="24"/>
                <w:highlight w:val="none"/>
              </w:rPr>
            </w:pPr>
          </w:p>
        </w:tc>
        <w:tc>
          <w:tcPr>
            <w:tcW w:w="816" w:type="pct"/>
            <w:noWrap w:val="0"/>
            <w:vAlign w:val="top"/>
          </w:tcPr>
          <w:p>
            <w:pPr>
              <w:widowControl/>
              <w:spacing w:line="400" w:lineRule="atLeast"/>
              <w:jc w:val="left"/>
              <w:rPr>
                <w:rFonts w:hint="eastAsia" w:ascii="仿宋" w:hAnsi="仿宋" w:eastAsia="仿宋" w:cs="仿宋"/>
                <w:color w:val="auto"/>
                <w:sz w:val="24"/>
                <w:highlight w:val="none"/>
              </w:rPr>
            </w:pPr>
          </w:p>
          <w:p>
            <w:pPr>
              <w:spacing w:line="400" w:lineRule="atLeast"/>
              <w:rPr>
                <w:rFonts w:hint="eastAsia" w:ascii="仿宋" w:hAnsi="仿宋" w:eastAsia="仿宋" w:cs="仿宋"/>
                <w:color w:val="auto"/>
                <w:sz w:val="24"/>
                <w:highlight w:val="none"/>
              </w:rPr>
            </w:pPr>
          </w:p>
        </w:tc>
        <w:tc>
          <w:tcPr>
            <w:tcW w:w="1023" w:type="pct"/>
            <w:noWrap w:val="0"/>
            <w:vAlign w:val="top"/>
          </w:tcPr>
          <w:p>
            <w:pPr>
              <w:spacing w:line="400" w:lineRule="atLeast"/>
              <w:rPr>
                <w:rFonts w:hint="eastAsia" w:ascii="仿宋" w:hAnsi="仿宋" w:eastAsia="仿宋" w:cs="仿宋"/>
                <w:color w:val="auto"/>
                <w:sz w:val="24"/>
                <w:highlight w:val="none"/>
              </w:rPr>
            </w:pPr>
          </w:p>
        </w:tc>
        <w:tc>
          <w:tcPr>
            <w:tcW w:w="1027" w:type="pct"/>
            <w:noWrap w:val="0"/>
            <w:vAlign w:val="top"/>
          </w:tcPr>
          <w:p>
            <w:pPr>
              <w:spacing w:line="400" w:lineRule="atLeast"/>
              <w:rPr>
                <w:rFonts w:hint="eastAsia" w:ascii="仿宋" w:hAnsi="仿宋" w:eastAsia="仿宋" w:cs="仿宋"/>
                <w:color w:val="auto"/>
                <w:sz w:val="24"/>
                <w:highlight w:val="none"/>
              </w:rPr>
            </w:pPr>
          </w:p>
        </w:tc>
        <w:tc>
          <w:tcPr>
            <w:tcW w:w="733" w:type="pct"/>
            <w:noWrap w:val="0"/>
            <w:vAlign w:val="top"/>
          </w:tcPr>
          <w:p>
            <w:pPr>
              <w:spacing w:line="400" w:lineRule="atLeast"/>
              <w:rPr>
                <w:rFonts w:hint="eastAsia" w:ascii="仿宋" w:hAnsi="仿宋" w:eastAsia="仿宋" w:cs="仿宋"/>
                <w:color w:val="auto"/>
                <w:sz w:val="24"/>
                <w:highlight w:val="none"/>
              </w:rPr>
            </w:pPr>
          </w:p>
        </w:tc>
        <w:tc>
          <w:tcPr>
            <w:tcW w:w="453" w:type="pct"/>
            <w:noWrap w:val="0"/>
            <w:vAlign w:val="top"/>
          </w:tcPr>
          <w:p>
            <w:pPr>
              <w:spacing w:line="400" w:lineRule="atLeast"/>
              <w:rPr>
                <w:rFonts w:hint="eastAsia" w:ascii="仿宋" w:hAnsi="仿宋" w:eastAsia="仿宋" w:cs="仿宋"/>
                <w:color w:val="auto"/>
                <w:sz w:val="24"/>
                <w:highlight w:val="none"/>
              </w:rPr>
            </w:pPr>
          </w:p>
        </w:tc>
        <w:tc>
          <w:tcPr>
            <w:tcW w:w="695" w:type="pct"/>
            <w:noWrap w:val="0"/>
            <w:vAlign w:val="top"/>
          </w:tcPr>
          <w:p>
            <w:pPr>
              <w:spacing w:line="400" w:lineRule="atLeast"/>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248" w:type="pct"/>
            <w:noWrap w:val="0"/>
            <w:vAlign w:val="top"/>
          </w:tcPr>
          <w:p>
            <w:pPr>
              <w:spacing w:line="400" w:lineRule="atLeast"/>
              <w:rPr>
                <w:rFonts w:hint="eastAsia" w:ascii="仿宋" w:hAnsi="仿宋" w:eastAsia="仿宋" w:cs="仿宋"/>
                <w:color w:val="auto"/>
                <w:sz w:val="24"/>
                <w:highlight w:val="none"/>
              </w:rPr>
            </w:pPr>
          </w:p>
          <w:p>
            <w:pPr>
              <w:spacing w:line="400" w:lineRule="atLeast"/>
              <w:rPr>
                <w:rFonts w:hint="eastAsia" w:ascii="仿宋" w:hAnsi="仿宋" w:eastAsia="仿宋" w:cs="仿宋"/>
                <w:color w:val="auto"/>
                <w:sz w:val="24"/>
                <w:highlight w:val="none"/>
              </w:rPr>
            </w:pPr>
          </w:p>
        </w:tc>
        <w:tc>
          <w:tcPr>
            <w:tcW w:w="816" w:type="pct"/>
            <w:noWrap w:val="0"/>
            <w:vAlign w:val="top"/>
          </w:tcPr>
          <w:p>
            <w:pPr>
              <w:widowControl/>
              <w:spacing w:line="400" w:lineRule="atLeast"/>
              <w:jc w:val="left"/>
              <w:rPr>
                <w:rFonts w:hint="eastAsia" w:ascii="仿宋" w:hAnsi="仿宋" w:eastAsia="仿宋" w:cs="仿宋"/>
                <w:color w:val="auto"/>
                <w:sz w:val="24"/>
                <w:highlight w:val="none"/>
              </w:rPr>
            </w:pPr>
          </w:p>
          <w:p>
            <w:pPr>
              <w:spacing w:line="400" w:lineRule="atLeast"/>
              <w:rPr>
                <w:rFonts w:hint="eastAsia" w:ascii="仿宋" w:hAnsi="仿宋" w:eastAsia="仿宋" w:cs="仿宋"/>
                <w:color w:val="auto"/>
                <w:sz w:val="24"/>
                <w:highlight w:val="none"/>
              </w:rPr>
            </w:pPr>
          </w:p>
        </w:tc>
        <w:tc>
          <w:tcPr>
            <w:tcW w:w="1023" w:type="pct"/>
            <w:noWrap w:val="0"/>
            <w:vAlign w:val="top"/>
          </w:tcPr>
          <w:p>
            <w:pPr>
              <w:spacing w:line="400" w:lineRule="atLeast"/>
              <w:rPr>
                <w:rFonts w:hint="eastAsia" w:ascii="仿宋" w:hAnsi="仿宋" w:eastAsia="仿宋" w:cs="仿宋"/>
                <w:color w:val="auto"/>
                <w:sz w:val="24"/>
                <w:highlight w:val="none"/>
              </w:rPr>
            </w:pPr>
          </w:p>
        </w:tc>
        <w:tc>
          <w:tcPr>
            <w:tcW w:w="1027" w:type="pct"/>
            <w:noWrap w:val="0"/>
            <w:vAlign w:val="top"/>
          </w:tcPr>
          <w:p>
            <w:pPr>
              <w:spacing w:line="400" w:lineRule="atLeast"/>
              <w:rPr>
                <w:rFonts w:hint="eastAsia" w:ascii="仿宋" w:hAnsi="仿宋" w:eastAsia="仿宋" w:cs="仿宋"/>
                <w:color w:val="auto"/>
                <w:sz w:val="24"/>
                <w:highlight w:val="none"/>
              </w:rPr>
            </w:pPr>
          </w:p>
        </w:tc>
        <w:tc>
          <w:tcPr>
            <w:tcW w:w="733" w:type="pct"/>
            <w:noWrap w:val="0"/>
            <w:vAlign w:val="top"/>
          </w:tcPr>
          <w:p>
            <w:pPr>
              <w:spacing w:line="400" w:lineRule="atLeast"/>
              <w:rPr>
                <w:rFonts w:hint="eastAsia" w:ascii="仿宋" w:hAnsi="仿宋" w:eastAsia="仿宋" w:cs="仿宋"/>
                <w:color w:val="auto"/>
                <w:sz w:val="24"/>
                <w:highlight w:val="none"/>
              </w:rPr>
            </w:pPr>
          </w:p>
        </w:tc>
        <w:tc>
          <w:tcPr>
            <w:tcW w:w="453" w:type="pct"/>
            <w:noWrap w:val="0"/>
            <w:vAlign w:val="top"/>
          </w:tcPr>
          <w:p>
            <w:pPr>
              <w:spacing w:line="400" w:lineRule="atLeast"/>
              <w:rPr>
                <w:rFonts w:hint="eastAsia" w:ascii="仿宋" w:hAnsi="仿宋" w:eastAsia="仿宋" w:cs="仿宋"/>
                <w:color w:val="auto"/>
                <w:sz w:val="24"/>
                <w:highlight w:val="none"/>
              </w:rPr>
            </w:pPr>
          </w:p>
        </w:tc>
        <w:tc>
          <w:tcPr>
            <w:tcW w:w="695" w:type="pct"/>
            <w:noWrap w:val="0"/>
            <w:vAlign w:val="top"/>
          </w:tcPr>
          <w:p>
            <w:pPr>
              <w:spacing w:line="400" w:lineRule="atLeast"/>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248" w:type="pct"/>
            <w:noWrap w:val="0"/>
            <w:vAlign w:val="top"/>
          </w:tcPr>
          <w:p>
            <w:pPr>
              <w:spacing w:line="400" w:lineRule="atLeast"/>
              <w:rPr>
                <w:rFonts w:hint="eastAsia" w:ascii="仿宋" w:hAnsi="仿宋" w:eastAsia="仿宋" w:cs="仿宋"/>
                <w:color w:val="auto"/>
                <w:sz w:val="24"/>
                <w:highlight w:val="none"/>
              </w:rPr>
            </w:pPr>
          </w:p>
          <w:p>
            <w:pPr>
              <w:spacing w:line="400" w:lineRule="atLeast"/>
              <w:rPr>
                <w:rFonts w:hint="eastAsia" w:ascii="仿宋" w:hAnsi="仿宋" w:eastAsia="仿宋" w:cs="仿宋"/>
                <w:color w:val="auto"/>
                <w:sz w:val="24"/>
                <w:highlight w:val="none"/>
              </w:rPr>
            </w:pPr>
          </w:p>
        </w:tc>
        <w:tc>
          <w:tcPr>
            <w:tcW w:w="816" w:type="pct"/>
            <w:noWrap w:val="0"/>
            <w:vAlign w:val="top"/>
          </w:tcPr>
          <w:p>
            <w:pPr>
              <w:widowControl/>
              <w:spacing w:line="400" w:lineRule="atLeast"/>
              <w:jc w:val="left"/>
              <w:rPr>
                <w:rFonts w:hint="eastAsia" w:ascii="仿宋" w:hAnsi="仿宋" w:eastAsia="仿宋" w:cs="仿宋"/>
                <w:color w:val="auto"/>
                <w:sz w:val="24"/>
                <w:highlight w:val="none"/>
              </w:rPr>
            </w:pPr>
          </w:p>
          <w:p>
            <w:pPr>
              <w:spacing w:line="400" w:lineRule="atLeast"/>
              <w:rPr>
                <w:rFonts w:hint="eastAsia" w:ascii="仿宋" w:hAnsi="仿宋" w:eastAsia="仿宋" w:cs="仿宋"/>
                <w:color w:val="auto"/>
                <w:sz w:val="24"/>
                <w:highlight w:val="none"/>
              </w:rPr>
            </w:pPr>
          </w:p>
        </w:tc>
        <w:tc>
          <w:tcPr>
            <w:tcW w:w="1023" w:type="pct"/>
            <w:noWrap w:val="0"/>
            <w:vAlign w:val="top"/>
          </w:tcPr>
          <w:p>
            <w:pPr>
              <w:spacing w:line="400" w:lineRule="atLeast"/>
              <w:rPr>
                <w:rFonts w:hint="eastAsia" w:ascii="仿宋" w:hAnsi="仿宋" w:eastAsia="仿宋" w:cs="仿宋"/>
                <w:color w:val="auto"/>
                <w:sz w:val="24"/>
                <w:highlight w:val="none"/>
              </w:rPr>
            </w:pPr>
          </w:p>
        </w:tc>
        <w:tc>
          <w:tcPr>
            <w:tcW w:w="1027" w:type="pct"/>
            <w:noWrap w:val="0"/>
            <w:vAlign w:val="top"/>
          </w:tcPr>
          <w:p>
            <w:pPr>
              <w:spacing w:line="400" w:lineRule="atLeast"/>
              <w:rPr>
                <w:rFonts w:hint="eastAsia" w:ascii="仿宋" w:hAnsi="仿宋" w:eastAsia="仿宋" w:cs="仿宋"/>
                <w:color w:val="auto"/>
                <w:sz w:val="24"/>
                <w:highlight w:val="none"/>
              </w:rPr>
            </w:pPr>
          </w:p>
        </w:tc>
        <w:tc>
          <w:tcPr>
            <w:tcW w:w="733" w:type="pct"/>
            <w:noWrap w:val="0"/>
            <w:vAlign w:val="top"/>
          </w:tcPr>
          <w:p>
            <w:pPr>
              <w:spacing w:line="400" w:lineRule="atLeast"/>
              <w:rPr>
                <w:rFonts w:hint="eastAsia" w:ascii="仿宋" w:hAnsi="仿宋" w:eastAsia="仿宋" w:cs="仿宋"/>
                <w:color w:val="auto"/>
                <w:sz w:val="24"/>
                <w:highlight w:val="none"/>
              </w:rPr>
            </w:pPr>
          </w:p>
        </w:tc>
        <w:tc>
          <w:tcPr>
            <w:tcW w:w="453" w:type="pct"/>
            <w:noWrap w:val="0"/>
            <w:vAlign w:val="top"/>
          </w:tcPr>
          <w:p>
            <w:pPr>
              <w:spacing w:line="400" w:lineRule="atLeast"/>
              <w:rPr>
                <w:rFonts w:hint="eastAsia" w:ascii="仿宋" w:hAnsi="仿宋" w:eastAsia="仿宋" w:cs="仿宋"/>
                <w:color w:val="auto"/>
                <w:sz w:val="24"/>
                <w:highlight w:val="none"/>
              </w:rPr>
            </w:pPr>
          </w:p>
        </w:tc>
        <w:tc>
          <w:tcPr>
            <w:tcW w:w="695" w:type="pct"/>
            <w:noWrap w:val="0"/>
            <w:vAlign w:val="top"/>
          </w:tcPr>
          <w:p>
            <w:pPr>
              <w:spacing w:line="400" w:lineRule="atLeast"/>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248" w:type="pct"/>
            <w:noWrap w:val="0"/>
            <w:vAlign w:val="top"/>
          </w:tcPr>
          <w:p>
            <w:pPr>
              <w:spacing w:line="400" w:lineRule="atLeast"/>
              <w:rPr>
                <w:rFonts w:hint="eastAsia" w:ascii="仿宋" w:hAnsi="仿宋" w:eastAsia="仿宋" w:cs="仿宋"/>
                <w:color w:val="auto"/>
                <w:sz w:val="24"/>
                <w:highlight w:val="none"/>
              </w:rPr>
            </w:pPr>
          </w:p>
          <w:p>
            <w:pPr>
              <w:spacing w:line="400" w:lineRule="atLeast"/>
              <w:rPr>
                <w:rFonts w:hint="eastAsia" w:ascii="仿宋" w:hAnsi="仿宋" w:eastAsia="仿宋" w:cs="仿宋"/>
                <w:color w:val="auto"/>
                <w:sz w:val="24"/>
                <w:highlight w:val="none"/>
              </w:rPr>
            </w:pPr>
          </w:p>
        </w:tc>
        <w:tc>
          <w:tcPr>
            <w:tcW w:w="816" w:type="pct"/>
            <w:noWrap w:val="0"/>
            <w:vAlign w:val="top"/>
          </w:tcPr>
          <w:p>
            <w:pPr>
              <w:widowControl/>
              <w:spacing w:line="400" w:lineRule="atLeast"/>
              <w:jc w:val="left"/>
              <w:rPr>
                <w:rFonts w:hint="eastAsia" w:ascii="仿宋" w:hAnsi="仿宋" w:eastAsia="仿宋" w:cs="仿宋"/>
                <w:color w:val="auto"/>
                <w:sz w:val="24"/>
                <w:highlight w:val="none"/>
              </w:rPr>
            </w:pPr>
          </w:p>
          <w:p>
            <w:pPr>
              <w:spacing w:line="400" w:lineRule="atLeast"/>
              <w:rPr>
                <w:rFonts w:hint="eastAsia" w:ascii="仿宋" w:hAnsi="仿宋" w:eastAsia="仿宋" w:cs="仿宋"/>
                <w:color w:val="auto"/>
                <w:sz w:val="24"/>
                <w:highlight w:val="none"/>
              </w:rPr>
            </w:pPr>
          </w:p>
        </w:tc>
        <w:tc>
          <w:tcPr>
            <w:tcW w:w="1023" w:type="pct"/>
            <w:noWrap w:val="0"/>
            <w:vAlign w:val="top"/>
          </w:tcPr>
          <w:p>
            <w:pPr>
              <w:spacing w:line="400" w:lineRule="atLeast"/>
              <w:rPr>
                <w:rFonts w:hint="eastAsia" w:ascii="仿宋" w:hAnsi="仿宋" w:eastAsia="仿宋" w:cs="仿宋"/>
                <w:color w:val="auto"/>
                <w:sz w:val="24"/>
                <w:highlight w:val="none"/>
              </w:rPr>
            </w:pPr>
          </w:p>
        </w:tc>
        <w:tc>
          <w:tcPr>
            <w:tcW w:w="1027" w:type="pct"/>
            <w:noWrap w:val="0"/>
            <w:vAlign w:val="top"/>
          </w:tcPr>
          <w:p>
            <w:pPr>
              <w:spacing w:line="400" w:lineRule="atLeast"/>
              <w:rPr>
                <w:rFonts w:hint="eastAsia" w:ascii="仿宋" w:hAnsi="仿宋" w:eastAsia="仿宋" w:cs="仿宋"/>
                <w:color w:val="auto"/>
                <w:sz w:val="24"/>
                <w:highlight w:val="none"/>
              </w:rPr>
            </w:pPr>
          </w:p>
        </w:tc>
        <w:tc>
          <w:tcPr>
            <w:tcW w:w="733" w:type="pct"/>
            <w:noWrap w:val="0"/>
            <w:vAlign w:val="top"/>
          </w:tcPr>
          <w:p>
            <w:pPr>
              <w:spacing w:line="400" w:lineRule="atLeast"/>
              <w:rPr>
                <w:rFonts w:hint="eastAsia" w:ascii="仿宋" w:hAnsi="仿宋" w:eastAsia="仿宋" w:cs="仿宋"/>
                <w:color w:val="auto"/>
                <w:sz w:val="24"/>
                <w:highlight w:val="none"/>
              </w:rPr>
            </w:pPr>
          </w:p>
        </w:tc>
        <w:tc>
          <w:tcPr>
            <w:tcW w:w="453" w:type="pct"/>
            <w:noWrap w:val="0"/>
            <w:vAlign w:val="top"/>
          </w:tcPr>
          <w:p>
            <w:pPr>
              <w:spacing w:line="400" w:lineRule="atLeast"/>
              <w:rPr>
                <w:rFonts w:hint="eastAsia" w:ascii="仿宋" w:hAnsi="仿宋" w:eastAsia="仿宋" w:cs="仿宋"/>
                <w:color w:val="auto"/>
                <w:sz w:val="24"/>
                <w:highlight w:val="none"/>
              </w:rPr>
            </w:pPr>
          </w:p>
        </w:tc>
        <w:tc>
          <w:tcPr>
            <w:tcW w:w="695" w:type="pct"/>
            <w:noWrap w:val="0"/>
            <w:vAlign w:val="top"/>
          </w:tcPr>
          <w:p>
            <w:pPr>
              <w:spacing w:line="400" w:lineRule="atLeast"/>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trPr>
        <w:tc>
          <w:tcPr>
            <w:tcW w:w="248" w:type="pct"/>
            <w:noWrap w:val="0"/>
            <w:vAlign w:val="top"/>
          </w:tcPr>
          <w:p>
            <w:pPr>
              <w:spacing w:line="400" w:lineRule="atLeast"/>
              <w:rPr>
                <w:rFonts w:hint="eastAsia" w:ascii="仿宋" w:hAnsi="仿宋" w:eastAsia="仿宋" w:cs="仿宋"/>
                <w:color w:val="auto"/>
                <w:sz w:val="24"/>
                <w:highlight w:val="none"/>
              </w:rPr>
            </w:pPr>
          </w:p>
          <w:p>
            <w:pPr>
              <w:spacing w:line="400" w:lineRule="atLeast"/>
              <w:rPr>
                <w:rFonts w:hint="eastAsia" w:ascii="仿宋" w:hAnsi="仿宋" w:eastAsia="仿宋" w:cs="仿宋"/>
                <w:color w:val="auto"/>
                <w:sz w:val="24"/>
                <w:highlight w:val="none"/>
              </w:rPr>
            </w:pPr>
          </w:p>
        </w:tc>
        <w:tc>
          <w:tcPr>
            <w:tcW w:w="816" w:type="pct"/>
            <w:noWrap w:val="0"/>
            <w:vAlign w:val="top"/>
          </w:tcPr>
          <w:p>
            <w:pPr>
              <w:widowControl/>
              <w:spacing w:line="400" w:lineRule="atLeast"/>
              <w:jc w:val="left"/>
              <w:rPr>
                <w:rFonts w:hint="eastAsia" w:ascii="仿宋" w:hAnsi="仿宋" w:eastAsia="仿宋" w:cs="仿宋"/>
                <w:color w:val="auto"/>
                <w:sz w:val="24"/>
                <w:highlight w:val="none"/>
              </w:rPr>
            </w:pPr>
          </w:p>
          <w:p>
            <w:pPr>
              <w:spacing w:line="400" w:lineRule="atLeast"/>
              <w:rPr>
                <w:rFonts w:hint="eastAsia" w:ascii="仿宋" w:hAnsi="仿宋" w:eastAsia="仿宋" w:cs="仿宋"/>
                <w:color w:val="auto"/>
                <w:sz w:val="24"/>
                <w:highlight w:val="none"/>
              </w:rPr>
            </w:pPr>
          </w:p>
        </w:tc>
        <w:tc>
          <w:tcPr>
            <w:tcW w:w="1023" w:type="pct"/>
            <w:noWrap w:val="0"/>
            <w:vAlign w:val="top"/>
          </w:tcPr>
          <w:p>
            <w:pPr>
              <w:spacing w:line="400" w:lineRule="atLeast"/>
              <w:rPr>
                <w:rFonts w:hint="eastAsia" w:ascii="仿宋" w:hAnsi="仿宋" w:eastAsia="仿宋" w:cs="仿宋"/>
                <w:color w:val="auto"/>
                <w:sz w:val="24"/>
                <w:highlight w:val="none"/>
              </w:rPr>
            </w:pPr>
          </w:p>
        </w:tc>
        <w:tc>
          <w:tcPr>
            <w:tcW w:w="1027" w:type="pct"/>
            <w:noWrap w:val="0"/>
            <w:vAlign w:val="top"/>
          </w:tcPr>
          <w:p>
            <w:pPr>
              <w:spacing w:line="400" w:lineRule="atLeast"/>
              <w:rPr>
                <w:rFonts w:hint="eastAsia" w:ascii="仿宋" w:hAnsi="仿宋" w:eastAsia="仿宋" w:cs="仿宋"/>
                <w:color w:val="auto"/>
                <w:sz w:val="24"/>
                <w:highlight w:val="none"/>
              </w:rPr>
            </w:pPr>
          </w:p>
        </w:tc>
        <w:tc>
          <w:tcPr>
            <w:tcW w:w="733" w:type="pct"/>
            <w:noWrap w:val="0"/>
            <w:vAlign w:val="top"/>
          </w:tcPr>
          <w:p>
            <w:pPr>
              <w:spacing w:line="400" w:lineRule="atLeast"/>
              <w:rPr>
                <w:rFonts w:hint="eastAsia" w:ascii="仿宋" w:hAnsi="仿宋" w:eastAsia="仿宋" w:cs="仿宋"/>
                <w:color w:val="auto"/>
                <w:sz w:val="24"/>
                <w:highlight w:val="none"/>
              </w:rPr>
            </w:pPr>
          </w:p>
        </w:tc>
        <w:tc>
          <w:tcPr>
            <w:tcW w:w="453" w:type="pct"/>
            <w:noWrap w:val="0"/>
            <w:vAlign w:val="top"/>
          </w:tcPr>
          <w:p>
            <w:pPr>
              <w:spacing w:line="400" w:lineRule="atLeast"/>
              <w:rPr>
                <w:rFonts w:hint="eastAsia" w:ascii="仿宋" w:hAnsi="仿宋" w:eastAsia="仿宋" w:cs="仿宋"/>
                <w:color w:val="auto"/>
                <w:sz w:val="24"/>
                <w:highlight w:val="none"/>
              </w:rPr>
            </w:pPr>
          </w:p>
        </w:tc>
        <w:tc>
          <w:tcPr>
            <w:tcW w:w="695" w:type="pct"/>
            <w:noWrap w:val="0"/>
            <w:vAlign w:val="top"/>
          </w:tcPr>
          <w:p>
            <w:pPr>
              <w:spacing w:line="400" w:lineRule="atLeast"/>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trPr>
        <w:tc>
          <w:tcPr>
            <w:tcW w:w="248" w:type="pct"/>
            <w:noWrap w:val="0"/>
            <w:vAlign w:val="top"/>
          </w:tcPr>
          <w:p>
            <w:pPr>
              <w:spacing w:line="400" w:lineRule="atLeast"/>
              <w:rPr>
                <w:rFonts w:hint="eastAsia" w:ascii="仿宋" w:hAnsi="仿宋" w:eastAsia="仿宋" w:cs="仿宋"/>
                <w:color w:val="auto"/>
                <w:sz w:val="24"/>
                <w:highlight w:val="none"/>
              </w:rPr>
            </w:pPr>
          </w:p>
          <w:p>
            <w:pPr>
              <w:spacing w:line="400" w:lineRule="atLeast"/>
              <w:rPr>
                <w:rFonts w:hint="eastAsia" w:ascii="仿宋" w:hAnsi="仿宋" w:eastAsia="仿宋" w:cs="仿宋"/>
                <w:color w:val="auto"/>
                <w:sz w:val="24"/>
                <w:highlight w:val="none"/>
              </w:rPr>
            </w:pPr>
          </w:p>
        </w:tc>
        <w:tc>
          <w:tcPr>
            <w:tcW w:w="816" w:type="pct"/>
            <w:noWrap w:val="0"/>
            <w:vAlign w:val="top"/>
          </w:tcPr>
          <w:p>
            <w:pPr>
              <w:widowControl/>
              <w:spacing w:line="400" w:lineRule="atLeast"/>
              <w:jc w:val="left"/>
              <w:rPr>
                <w:rFonts w:hint="eastAsia" w:ascii="仿宋" w:hAnsi="仿宋" w:eastAsia="仿宋" w:cs="仿宋"/>
                <w:color w:val="auto"/>
                <w:sz w:val="24"/>
                <w:highlight w:val="none"/>
              </w:rPr>
            </w:pPr>
          </w:p>
          <w:p>
            <w:pPr>
              <w:spacing w:line="400" w:lineRule="atLeast"/>
              <w:rPr>
                <w:rFonts w:hint="eastAsia" w:ascii="仿宋" w:hAnsi="仿宋" w:eastAsia="仿宋" w:cs="仿宋"/>
                <w:color w:val="auto"/>
                <w:sz w:val="24"/>
                <w:highlight w:val="none"/>
              </w:rPr>
            </w:pPr>
          </w:p>
        </w:tc>
        <w:tc>
          <w:tcPr>
            <w:tcW w:w="1023" w:type="pct"/>
            <w:noWrap w:val="0"/>
            <w:vAlign w:val="top"/>
          </w:tcPr>
          <w:p>
            <w:pPr>
              <w:spacing w:line="400" w:lineRule="atLeast"/>
              <w:rPr>
                <w:rFonts w:hint="eastAsia" w:ascii="仿宋" w:hAnsi="仿宋" w:eastAsia="仿宋" w:cs="仿宋"/>
                <w:color w:val="auto"/>
                <w:sz w:val="24"/>
                <w:highlight w:val="none"/>
              </w:rPr>
            </w:pPr>
          </w:p>
        </w:tc>
        <w:tc>
          <w:tcPr>
            <w:tcW w:w="1027" w:type="pct"/>
            <w:noWrap w:val="0"/>
            <w:vAlign w:val="top"/>
          </w:tcPr>
          <w:p>
            <w:pPr>
              <w:spacing w:line="400" w:lineRule="atLeast"/>
              <w:rPr>
                <w:rFonts w:hint="eastAsia" w:ascii="仿宋" w:hAnsi="仿宋" w:eastAsia="仿宋" w:cs="仿宋"/>
                <w:color w:val="auto"/>
                <w:sz w:val="24"/>
                <w:highlight w:val="none"/>
              </w:rPr>
            </w:pPr>
          </w:p>
        </w:tc>
        <w:tc>
          <w:tcPr>
            <w:tcW w:w="733" w:type="pct"/>
            <w:noWrap w:val="0"/>
            <w:vAlign w:val="top"/>
          </w:tcPr>
          <w:p>
            <w:pPr>
              <w:spacing w:line="400" w:lineRule="atLeast"/>
              <w:rPr>
                <w:rFonts w:hint="eastAsia" w:ascii="仿宋" w:hAnsi="仿宋" w:eastAsia="仿宋" w:cs="仿宋"/>
                <w:color w:val="auto"/>
                <w:sz w:val="24"/>
                <w:highlight w:val="none"/>
              </w:rPr>
            </w:pPr>
          </w:p>
        </w:tc>
        <w:tc>
          <w:tcPr>
            <w:tcW w:w="453" w:type="pct"/>
            <w:noWrap w:val="0"/>
            <w:vAlign w:val="top"/>
          </w:tcPr>
          <w:p>
            <w:pPr>
              <w:spacing w:line="400" w:lineRule="atLeast"/>
              <w:rPr>
                <w:rFonts w:hint="eastAsia" w:ascii="仿宋" w:hAnsi="仿宋" w:eastAsia="仿宋" w:cs="仿宋"/>
                <w:color w:val="auto"/>
                <w:sz w:val="24"/>
                <w:highlight w:val="none"/>
              </w:rPr>
            </w:pPr>
          </w:p>
        </w:tc>
        <w:tc>
          <w:tcPr>
            <w:tcW w:w="695" w:type="pct"/>
            <w:noWrap w:val="0"/>
            <w:vAlign w:val="top"/>
          </w:tcPr>
          <w:p>
            <w:pPr>
              <w:spacing w:line="400" w:lineRule="atLeast"/>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trPr>
        <w:tc>
          <w:tcPr>
            <w:tcW w:w="248" w:type="pct"/>
            <w:noWrap w:val="0"/>
            <w:vAlign w:val="top"/>
          </w:tcPr>
          <w:p>
            <w:pPr>
              <w:spacing w:line="400" w:lineRule="atLeast"/>
              <w:rPr>
                <w:rFonts w:hint="eastAsia" w:ascii="仿宋" w:hAnsi="仿宋" w:eastAsia="仿宋" w:cs="仿宋"/>
                <w:color w:val="auto"/>
                <w:sz w:val="24"/>
                <w:highlight w:val="none"/>
              </w:rPr>
            </w:pPr>
          </w:p>
          <w:p>
            <w:pPr>
              <w:spacing w:line="400" w:lineRule="atLeast"/>
              <w:rPr>
                <w:rFonts w:hint="eastAsia" w:ascii="仿宋" w:hAnsi="仿宋" w:eastAsia="仿宋" w:cs="仿宋"/>
                <w:color w:val="auto"/>
                <w:sz w:val="24"/>
                <w:highlight w:val="none"/>
              </w:rPr>
            </w:pPr>
          </w:p>
        </w:tc>
        <w:tc>
          <w:tcPr>
            <w:tcW w:w="816" w:type="pct"/>
            <w:noWrap w:val="0"/>
            <w:vAlign w:val="top"/>
          </w:tcPr>
          <w:p>
            <w:pPr>
              <w:widowControl/>
              <w:spacing w:line="400" w:lineRule="atLeast"/>
              <w:jc w:val="left"/>
              <w:rPr>
                <w:rFonts w:hint="eastAsia" w:ascii="仿宋" w:hAnsi="仿宋" w:eastAsia="仿宋" w:cs="仿宋"/>
                <w:color w:val="auto"/>
                <w:sz w:val="24"/>
                <w:highlight w:val="none"/>
              </w:rPr>
            </w:pPr>
          </w:p>
          <w:p>
            <w:pPr>
              <w:spacing w:line="400" w:lineRule="atLeast"/>
              <w:rPr>
                <w:rFonts w:hint="eastAsia" w:ascii="仿宋" w:hAnsi="仿宋" w:eastAsia="仿宋" w:cs="仿宋"/>
                <w:color w:val="auto"/>
                <w:sz w:val="24"/>
                <w:highlight w:val="none"/>
              </w:rPr>
            </w:pPr>
          </w:p>
        </w:tc>
        <w:tc>
          <w:tcPr>
            <w:tcW w:w="1023" w:type="pct"/>
            <w:noWrap w:val="0"/>
            <w:vAlign w:val="top"/>
          </w:tcPr>
          <w:p>
            <w:pPr>
              <w:spacing w:line="400" w:lineRule="atLeast"/>
              <w:rPr>
                <w:rFonts w:hint="eastAsia" w:ascii="仿宋" w:hAnsi="仿宋" w:eastAsia="仿宋" w:cs="仿宋"/>
                <w:color w:val="auto"/>
                <w:sz w:val="24"/>
                <w:highlight w:val="none"/>
              </w:rPr>
            </w:pPr>
          </w:p>
        </w:tc>
        <w:tc>
          <w:tcPr>
            <w:tcW w:w="1027" w:type="pct"/>
            <w:noWrap w:val="0"/>
            <w:vAlign w:val="top"/>
          </w:tcPr>
          <w:p>
            <w:pPr>
              <w:spacing w:line="400" w:lineRule="atLeast"/>
              <w:rPr>
                <w:rFonts w:hint="eastAsia" w:ascii="仿宋" w:hAnsi="仿宋" w:eastAsia="仿宋" w:cs="仿宋"/>
                <w:color w:val="auto"/>
                <w:sz w:val="24"/>
                <w:highlight w:val="none"/>
              </w:rPr>
            </w:pPr>
          </w:p>
        </w:tc>
        <w:tc>
          <w:tcPr>
            <w:tcW w:w="733" w:type="pct"/>
            <w:noWrap w:val="0"/>
            <w:vAlign w:val="top"/>
          </w:tcPr>
          <w:p>
            <w:pPr>
              <w:spacing w:line="400" w:lineRule="atLeast"/>
              <w:rPr>
                <w:rFonts w:hint="eastAsia" w:ascii="仿宋" w:hAnsi="仿宋" w:eastAsia="仿宋" w:cs="仿宋"/>
                <w:color w:val="auto"/>
                <w:sz w:val="24"/>
                <w:highlight w:val="none"/>
              </w:rPr>
            </w:pPr>
          </w:p>
        </w:tc>
        <w:tc>
          <w:tcPr>
            <w:tcW w:w="453" w:type="pct"/>
            <w:noWrap w:val="0"/>
            <w:vAlign w:val="top"/>
          </w:tcPr>
          <w:p>
            <w:pPr>
              <w:spacing w:line="400" w:lineRule="atLeast"/>
              <w:rPr>
                <w:rFonts w:hint="eastAsia" w:ascii="仿宋" w:hAnsi="仿宋" w:eastAsia="仿宋" w:cs="仿宋"/>
                <w:color w:val="auto"/>
                <w:sz w:val="24"/>
                <w:highlight w:val="none"/>
              </w:rPr>
            </w:pPr>
          </w:p>
        </w:tc>
        <w:tc>
          <w:tcPr>
            <w:tcW w:w="695" w:type="pct"/>
            <w:noWrap w:val="0"/>
            <w:vAlign w:val="top"/>
          </w:tcPr>
          <w:p>
            <w:pPr>
              <w:spacing w:line="400" w:lineRule="atLeast"/>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trPr>
        <w:tc>
          <w:tcPr>
            <w:tcW w:w="248" w:type="pct"/>
            <w:noWrap w:val="0"/>
            <w:vAlign w:val="top"/>
          </w:tcPr>
          <w:p>
            <w:pPr>
              <w:spacing w:line="400" w:lineRule="atLeast"/>
              <w:rPr>
                <w:rFonts w:hint="eastAsia" w:ascii="仿宋" w:hAnsi="仿宋" w:eastAsia="仿宋" w:cs="仿宋"/>
                <w:color w:val="auto"/>
                <w:sz w:val="24"/>
                <w:highlight w:val="none"/>
              </w:rPr>
            </w:pPr>
          </w:p>
          <w:p>
            <w:pPr>
              <w:spacing w:line="400" w:lineRule="atLeast"/>
              <w:rPr>
                <w:rFonts w:hint="eastAsia" w:ascii="仿宋" w:hAnsi="仿宋" w:eastAsia="仿宋" w:cs="仿宋"/>
                <w:color w:val="auto"/>
                <w:sz w:val="24"/>
                <w:highlight w:val="none"/>
              </w:rPr>
            </w:pPr>
          </w:p>
        </w:tc>
        <w:tc>
          <w:tcPr>
            <w:tcW w:w="816" w:type="pct"/>
            <w:noWrap w:val="0"/>
            <w:vAlign w:val="top"/>
          </w:tcPr>
          <w:p>
            <w:pPr>
              <w:widowControl/>
              <w:spacing w:line="400" w:lineRule="atLeast"/>
              <w:jc w:val="left"/>
              <w:rPr>
                <w:rFonts w:hint="eastAsia" w:ascii="仿宋" w:hAnsi="仿宋" w:eastAsia="仿宋" w:cs="仿宋"/>
                <w:color w:val="auto"/>
                <w:sz w:val="24"/>
                <w:highlight w:val="none"/>
              </w:rPr>
            </w:pPr>
          </w:p>
          <w:p>
            <w:pPr>
              <w:spacing w:line="400" w:lineRule="atLeast"/>
              <w:rPr>
                <w:rFonts w:hint="eastAsia" w:ascii="仿宋" w:hAnsi="仿宋" w:eastAsia="仿宋" w:cs="仿宋"/>
                <w:color w:val="auto"/>
                <w:sz w:val="24"/>
                <w:highlight w:val="none"/>
              </w:rPr>
            </w:pPr>
          </w:p>
        </w:tc>
        <w:tc>
          <w:tcPr>
            <w:tcW w:w="1023" w:type="pct"/>
            <w:noWrap w:val="0"/>
            <w:vAlign w:val="top"/>
          </w:tcPr>
          <w:p>
            <w:pPr>
              <w:spacing w:line="400" w:lineRule="atLeast"/>
              <w:rPr>
                <w:rFonts w:hint="eastAsia" w:ascii="仿宋" w:hAnsi="仿宋" w:eastAsia="仿宋" w:cs="仿宋"/>
                <w:color w:val="auto"/>
                <w:sz w:val="24"/>
                <w:highlight w:val="none"/>
              </w:rPr>
            </w:pPr>
          </w:p>
        </w:tc>
        <w:tc>
          <w:tcPr>
            <w:tcW w:w="1027" w:type="pct"/>
            <w:noWrap w:val="0"/>
            <w:vAlign w:val="top"/>
          </w:tcPr>
          <w:p>
            <w:pPr>
              <w:spacing w:line="400" w:lineRule="atLeast"/>
              <w:rPr>
                <w:rFonts w:hint="eastAsia" w:ascii="仿宋" w:hAnsi="仿宋" w:eastAsia="仿宋" w:cs="仿宋"/>
                <w:color w:val="auto"/>
                <w:sz w:val="24"/>
                <w:highlight w:val="none"/>
              </w:rPr>
            </w:pPr>
          </w:p>
        </w:tc>
        <w:tc>
          <w:tcPr>
            <w:tcW w:w="733" w:type="pct"/>
            <w:noWrap w:val="0"/>
            <w:vAlign w:val="top"/>
          </w:tcPr>
          <w:p>
            <w:pPr>
              <w:spacing w:line="400" w:lineRule="atLeast"/>
              <w:rPr>
                <w:rFonts w:hint="eastAsia" w:ascii="仿宋" w:hAnsi="仿宋" w:eastAsia="仿宋" w:cs="仿宋"/>
                <w:color w:val="auto"/>
                <w:sz w:val="24"/>
                <w:highlight w:val="none"/>
              </w:rPr>
            </w:pPr>
          </w:p>
        </w:tc>
        <w:tc>
          <w:tcPr>
            <w:tcW w:w="453" w:type="pct"/>
            <w:noWrap w:val="0"/>
            <w:vAlign w:val="top"/>
          </w:tcPr>
          <w:p>
            <w:pPr>
              <w:spacing w:line="400" w:lineRule="atLeast"/>
              <w:rPr>
                <w:rFonts w:hint="eastAsia" w:ascii="仿宋" w:hAnsi="仿宋" w:eastAsia="仿宋" w:cs="仿宋"/>
                <w:color w:val="auto"/>
                <w:sz w:val="24"/>
                <w:highlight w:val="none"/>
              </w:rPr>
            </w:pPr>
          </w:p>
        </w:tc>
        <w:tc>
          <w:tcPr>
            <w:tcW w:w="695" w:type="pct"/>
            <w:noWrap w:val="0"/>
            <w:vAlign w:val="top"/>
          </w:tcPr>
          <w:p>
            <w:pPr>
              <w:spacing w:line="400" w:lineRule="atLeast"/>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trPr>
        <w:tc>
          <w:tcPr>
            <w:tcW w:w="248" w:type="pct"/>
            <w:noWrap w:val="0"/>
            <w:vAlign w:val="top"/>
          </w:tcPr>
          <w:p>
            <w:pPr>
              <w:spacing w:line="400" w:lineRule="atLeast"/>
              <w:rPr>
                <w:rFonts w:hint="eastAsia" w:ascii="仿宋" w:hAnsi="仿宋" w:eastAsia="仿宋" w:cs="仿宋"/>
                <w:color w:val="auto"/>
                <w:sz w:val="24"/>
                <w:highlight w:val="none"/>
              </w:rPr>
            </w:pPr>
          </w:p>
          <w:p>
            <w:pPr>
              <w:spacing w:line="400" w:lineRule="atLeast"/>
              <w:rPr>
                <w:rFonts w:hint="eastAsia" w:ascii="仿宋" w:hAnsi="仿宋" w:eastAsia="仿宋" w:cs="仿宋"/>
                <w:color w:val="auto"/>
                <w:sz w:val="24"/>
                <w:highlight w:val="none"/>
              </w:rPr>
            </w:pPr>
          </w:p>
        </w:tc>
        <w:tc>
          <w:tcPr>
            <w:tcW w:w="816" w:type="pct"/>
            <w:noWrap w:val="0"/>
            <w:vAlign w:val="top"/>
          </w:tcPr>
          <w:p>
            <w:pPr>
              <w:widowControl/>
              <w:spacing w:line="400" w:lineRule="atLeast"/>
              <w:jc w:val="left"/>
              <w:rPr>
                <w:rFonts w:hint="eastAsia" w:ascii="仿宋" w:hAnsi="仿宋" w:eastAsia="仿宋" w:cs="仿宋"/>
                <w:color w:val="auto"/>
                <w:sz w:val="24"/>
                <w:highlight w:val="none"/>
              </w:rPr>
            </w:pPr>
          </w:p>
          <w:p>
            <w:pPr>
              <w:spacing w:line="400" w:lineRule="atLeast"/>
              <w:rPr>
                <w:rFonts w:hint="eastAsia" w:ascii="仿宋" w:hAnsi="仿宋" w:eastAsia="仿宋" w:cs="仿宋"/>
                <w:color w:val="auto"/>
                <w:sz w:val="24"/>
                <w:highlight w:val="none"/>
              </w:rPr>
            </w:pPr>
          </w:p>
        </w:tc>
        <w:tc>
          <w:tcPr>
            <w:tcW w:w="1023" w:type="pct"/>
            <w:noWrap w:val="0"/>
            <w:vAlign w:val="top"/>
          </w:tcPr>
          <w:p>
            <w:pPr>
              <w:spacing w:line="400" w:lineRule="atLeast"/>
              <w:rPr>
                <w:rFonts w:hint="eastAsia" w:ascii="仿宋" w:hAnsi="仿宋" w:eastAsia="仿宋" w:cs="仿宋"/>
                <w:color w:val="auto"/>
                <w:sz w:val="24"/>
                <w:highlight w:val="none"/>
              </w:rPr>
            </w:pPr>
          </w:p>
        </w:tc>
        <w:tc>
          <w:tcPr>
            <w:tcW w:w="1027" w:type="pct"/>
            <w:noWrap w:val="0"/>
            <w:vAlign w:val="top"/>
          </w:tcPr>
          <w:p>
            <w:pPr>
              <w:spacing w:line="400" w:lineRule="atLeast"/>
              <w:rPr>
                <w:rFonts w:hint="eastAsia" w:ascii="仿宋" w:hAnsi="仿宋" w:eastAsia="仿宋" w:cs="仿宋"/>
                <w:color w:val="auto"/>
                <w:sz w:val="24"/>
                <w:highlight w:val="none"/>
              </w:rPr>
            </w:pPr>
          </w:p>
        </w:tc>
        <w:tc>
          <w:tcPr>
            <w:tcW w:w="733" w:type="pct"/>
            <w:noWrap w:val="0"/>
            <w:vAlign w:val="top"/>
          </w:tcPr>
          <w:p>
            <w:pPr>
              <w:spacing w:line="400" w:lineRule="atLeast"/>
              <w:rPr>
                <w:rFonts w:hint="eastAsia" w:ascii="仿宋" w:hAnsi="仿宋" w:eastAsia="仿宋" w:cs="仿宋"/>
                <w:color w:val="auto"/>
                <w:sz w:val="24"/>
                <w:highlight w:val="none"/>
              </w:rPr>
            </w:pPr>
          </w:p>
        </w:tc>
        <w:tc>
          <w:tcPr>
            <w:tcW w:w="453" w:type="pct"/>
            <w:noWrap w:val="0"/>
            <w:vAlign w:val="top"/>
          </w:tcPr>
          <w:p>
            <w:pPr>
              <w:spacing w:line="400" w:lineRule="atLeast"/>
              <w:rPr>
                <w:rFonts w:hint="eastAsia" w:ascii="仿宋" w:hAnsi="仿宋" w:eastAsia="仿宋" w:cs="仿宋"/>
                <w:color w:val="auto"/>
                <w:sz w:val="24"/>
                <w:highlight w:val="none"/>
              </w:rPr>
            </w:pPr>
          </w:p>
        </w:tc>
        <w:tc>
          <w:tcPr>
            <w:tcW w:w="695" w:type="pct"/>
            <w:noWrap w:val="0"/>
            <w:vAlign w:val="top"/>
          </w:tcPr>
          <w:p>
            <w:pPr>
              <w:spacing w:line="400" w:lineRule="atLeast"/>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trPr>
        <w:tc>
          <w:tcPr>
            <w:tcW w:w="248" w:type="pct"/>
            <w:noWrap w:val="0"/>
            <w:vAlign w:val="top"/>
          </w:tcPr>
          <w:p>
            <w:pPr>
              <w:spacing w:line="400" w:lineRule="atLeast"/>
              <w:rPr>
                <w:rFonts w:hint="eastAsia" w:ascii="仿宋" w:hAnsi="仿宋" w:eastAsia="仿宋" w:cs="仿宋"/>
                <w:color w:val="auto"/>
                <w:sz w:val="24"/>
                <w:highlight w:val="none"/>
              </w:rPr>
            </w:pPr>
          </w:p>
        </w:tc>
        <w:tc>
          <w:tcPr>
            <w:tcW w:w="816" w:type="pct"/>
            <w:noWrap w:val="0"/>
            <w:vAlign w:val="top"/>
          </w:tcPr>
          <w:p>
            <w:pPr>
              <w:spacing w:line="400" w:lineRule="atLeast"/>
              <w:rPr>
                <w:rFonts w:hint="eastAsia" w:ascii="仿宋" w:hAnsi="仿宋" w:eastAsia="仿宋" w:cs="仿宋"/>
                <w:color w:val="auto"/>
                <w:sz w:val="24"/>
                <w:highlight w:val="none"/>
              </w:rPr>
            </w:pPr>
          </w:p>
        </w:tc>
        <w:tc>
          <w:tcPr>
            <w:tcW w:w="1023" w:type="pct"/>
            <w:noWrap w:val="0"/>
            <w:vAlign w:val="top"/>
          </w:tcPr>
          <w:p>
            <w:pPr>
              <w:spacing w:line="400" w:lineRule="atLeast"/>
              <w:rPr>
                <w:rFonts w:hint="eastAsia" w:ascii="仿宋" w:hAnsi="仿宋" w:eastAsia="仿宋" w:cs="仿宋"/>
                <w:color w:val="auto"/>
                <w:sz w:val="24"/>
                <w:highlight w:val="none"/>
              </w:rPr>
            </w:pPr>
          </w:p>
          <w:p>
            <w:pPr>
              <w:spacing w:line="400" w:lineRule="atLeast"/>
              <w:rPr>
                <w:rFonts w:hint="eastAsia" w:ascii="仿宋" w:hAnsi="仿宋" w:eastAsia="仿宋" w:cs="仿宋"/>
                <w:color w:val="auto"/>
                <w:sz w:val="24"/>
                <w:highlight w:val="none"/>
              </w:rPr>
            </w:pPr>
          </w:p>
        </w:tc>
        <w:tc>
          <w:tcPr>
            <w:tcW w:w="1027" w:type="pct"/>
            <w:noWrap w:val="0"/>
            <w:vAlign w:val="top"/>
          </w:tcPr>
          <w:p>
            <w:pPr>
              <w:widowControl/>
              <w:spacing w:line="400" w:lineRule="atLeast"/>
              <w:jc w:val="left"/>
              <w:rPr>
                <w:rFonts w:hint="eastAsia" w:ascii="仿宋" w:hAnsi="仿宋" w:eastAsia="仿宋" w:cs="仿宋"/>
                <w:color w:val="auto"/>
                <w:sz w:val="24"/>
                <w:highlight w:val="none"/>
              </w:rPr>
            </w:pPr>
          </w:p>
          <w:p>
            <w:pPr>
              <w:spacing w:line="400" w:lineRule="atLeast"/>
              <w:rPr>
                <w:rFonts w:hint="eastAsia" w:ascii="仿宋" w:hAnsi="仿宋" w:eastAsia="仿宋" w:cs="仿宋"/>
                <w:color w:val="auto"/>
                <w:sz w:val="24"/>
                <w:highlight w:val="none"/>
              </w:rPr>
            </w:pPr>
          </w:p>
        </w:tc>
        <w:tc>
          <w:tcPr>
            <w:tcW w:w="733" w:type="pct"/>
            <w:noWrap w:val="0"/>
            <w:vAlign w:val="top"/>
          </w:tcPr>
          <w:p>
            <w:pPr>
              <w:spacing w:line="400" w:lineRule="atLeast"/>
              <w:rPr>
                <w:rFonts w:hint="eastAsia" w:ascii="仿宋" w:hAnsi="仿宋" w:eastAsia="仿宋" w:cs="仿宋"/>
                <w:color w:val="auto"/>
                <w:sz w:val="24"/>
                <w:highlight w:val="none"/>
              </w:rPr>
            </w:pPr>
          </w:p>
        </w:tc>
        <w:tc>
          <w:tcPr>
            <w:tcW w:w="453" w:type="pct"/>
            <w:noWrap w:val="0"/>
            <w:vAlign w:val="top"/>
          </w:tcPr>
          <w:p>
            <w:pPr>
              <w:spacing w:line="400" w:lineRule="atLeast"/>
              <w:rPr>
                <w:rFonts w:hint="eastAsia" w:ascii="仿宋" w:hAnsi="仿宋" w:eastAsia="仿宋" w:cs="仿宋"/>
                <w:color w:val="auto"/>
                <w:sz w:val="24"/>
                <w:highlight w:val="none"/>
              </w:rPr>
            </w:pPr>
          </w:p>
        </w:tc>
        <w:tc>
          <w:tcPr>
            <w:tcW w:w="695" w:type="pct"/>
            <w:noWrap w:val="0"/>
            <w:vAlign w:val="top"/>
          </w:tcPr>
          <w:p>
            <w:pPr>
              <w:spacing w:line="400" w:lineRule="atLeast"/>
              <w:rPr>
                <w:rFonts w:hint="eastAsia" w:ascii="仿宋" w:hAnsi="仿宋" w:eastAsia="仿宋" w:cs="仿宋"/>
                <w:color w:val="auto"/>
                <w:sz w:val="24"/>
                <w:highlight w:val="none"/>
              </w:rPr>
            </w:pPr>
          </w:p>
        </w:tc>
      </w:tr>
    </w:tbl>
    <w:p>
      <w:pPr>
        <w:spacing w:line="400" w:lineRule="atLeas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投标商名称（公章）：</w:t>
      </w:r>
      <w:r>
        <w:rPr>
          <w:rFonts w:hint="eastAsia" w:ascii="仿宋" w:hAnsi="仿宋" w:eastAsia="仿宋" w:cs="仿宋"/>
          <w:color w:val="auto"/>
          <w:sz w:val="24"/>
          <w:highlight w:val="none"/>
          <w:u w:val="single"/>
        </w:rPr>
        <w:t>　　　　　</w:t>
      </w:r>
      <w:r>
        <w:rPr>
          <w:rFonts w:hint="eastAsia" w:ascii="仿宋" w:hAnsi="仿宋" w:eastAsia="仿宋" w:cs="仿宋"/>
          <w:color w:val="auto"/>
          <w:sz w:val="24"/>
          <w:highlight w:val="none"/>
        </w:rPr>
        <w:t>项目编号：</w:t>
      </w:r>
      <w:r>
        <w:rPr>
          <w:rFonts w:hint="eastAsia" w:ascii="仿宋" w:hAnsi="仿宋" w:eastAsia="仿宋" w:cs="仿宋"/>
          <w:color w:val="auto"/>
          <w:sz w:val="24"/>
          <w:highlight w:val="none"/>
          <w:u w:val="single"/>
        </w:rPr>
        <w:t>　　　　　　　　　　　</w:t>
      </w:r>
    </w:p>
    <w:p>
      <w:pPr>
        <w:spacing w:line="400" w:lineRule="atLeas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注：与招标文件中“第</w:t>
      </w:r>
      <w:r>
        <w:rPr>
          <w:rFonts w:hint="eastAsia" w:ascii="仿宋" w:hAnsi="仿宋" w:eastAsia="仿宋" w:cs="仿宋"/>
          <w:b/>
          <w:bCs/>
          <w:color w:val="auto"/>
          <w:sz w:val="24"/>
          <w:highlight w:val="none"/>
          <w:lang w:val="en-US" w:eastAsia="zh-CN"/>
        </w:rPr>
        <w:t>六</w:t>
      </w:r>
      <w:r>
        <w:rPr>
          <w:rFonts w:hint="eastAsia" w:ascii="仿宋" w:hAnsi="仿宋" w:eastAsia="仿宋" w:cs="仿宋"/>
          <w:b/>
          <w:bCs/>
          <w:color w:val="auto"/>
          <w:sz w:val="24"/>
          <w:highlight w:val="none"/>
          <w:lang w:val="en-US" w:eastAsia="zh-Hans"/>
        </w:rPr>
        <w:t>章</w:t>
      </w:r>
      <w:r>
        <w:rPr>
          <w:rFonts w:hint="eastAsia" w:ascii="仿宋" w:hAnsi="仿宋" w:eastAsia="仿宋" w:cs="仿宋"/>
          <w:b/>
          <w:bCs/>
          <w:color w:val="auto"/>
          <w:sz w:val="24"/>
          <w:highlight w:val="none"/>
          <w:lang w:eastAsia="zh-Hans"/>
        </w:rPr>
        <w:t>（</w:t>
      </w:r>
      <w:r>
        <w:rPr>
          <w:rFonts w:hint="eastAsia" w:ascii="仿宋" w:hAnsi="仿宋" w:eastAsia="仿宋" w:cs="仿宋"/>
          <w:b/>
          <w:bCs/>
          <w:color w:val="auto"/>
          <w:sz w:val="24"/>
          <w:highlight w:val="none"/>
          <w:lang w:val="en-US" w:eastAsia="zh-CN"/>
        </w:rPr>
        <w:t>四</w:t>
      </w:r>
      <w:r>
        <w:rPr>
          <w:rFonts w:hint="eastAsia" w:ascii="仿宋" w:hAnsi="仿宋" w:eastAsia="仿宋" w:cs="仿宋"/>
          <w:b/>
          <w:bCs/>
          <w:color w:val="auto"/>
          <w:sz w:val="24"/>
          <w:highlight w:val="none"/>
          <w:lang w:eastAsia="zh-Hans"/>
        </w:rPr>
        <w:t>）</w:t>
      </w:r>
      <w:r>
        <w:rPr>
          <w:rFonts w:hint="eastAsia" w:ascii="仿宋" w:hAnsi="仿宋" w:eastAsia="仿宋" w:cs="仿宋"/>
          <w:b/>
          <w:bCs/>
          <w:color w:val="auto"/>
          <w:sz w:val="24"/>
          <w:highlight w:val="none"/>
          <w:lang w:val="en-US" w:eastAsia="zh-CN"/>
        </w:rPr>
        <w:t>采购内容及</w:t>
      </w:r>
      <w:r>
        <w:rPr>
          <w:rFonts w:hint="eastAsia" w:ascii="仿宋" w:hAnsi="仿宋" w:eastAsia="仿宋" w:cs="仿宋"/>
          <w:b/>
          <w:bCs/>
          <w:color w:val="auto"/>
          <w:sz w:val="24"/>
          <w:highlight w:val="none"/>
          <w:lang w:val="en-US" w:eastAsia="zh-Hans"/>
        </w:rPr>
        <w:t>技术</w:t>
      </w:r>
      <w:r>
        <w:rPr>
          <w:rFonts w:hint="eastAsia" w:ascii="仿宋" w:hAnsi="仿宋" w:eastAsia="仿宋" w:cs="仿宋"/>
          <w:b/>
          <w:bCs/>
          <w:color w:val="auto"/>
          <w:sz w:val="24"/>
          <w:highlight w:val="none"/>
          <w:lang w:val="en-US" w:eastAsia="zh-CN"/>
        </w:rPr>
        <w:t>参数</w:t>
      </w:r>
      <w:r>
        <w:rPr>
          <w:rFonts w:hint="eastAsia" w:ascii="仿宋" w:hAnsi="仿宋" w:eastAsia="仿宋" w:cs="仿宋"/>
          <w:b/>
          <w:bCs/>
          <w:color w:val="auto"/>
          <w:sz w:val="24"/>
          <w:highlight w:val="none"/>
        </w:rPr>
        <w:t>”</w:t>
      </w:r>
      <w:r>
        <w:rPr>
          <w:rFonts w:hint="eastAsia" w:ascii="仿宋" w:hAnsi="仿宋" w:eastAsia="仿宋" w:cs="仿宋"/>
          <w:b/>
          <w:bCs/>
          <w:color w:val="auto"/>
          <w:sz w:val="24"/>
          <w:highlight w:val="none"/>
          <w:lang w:val="en-US" w:eastAsia="zh-CN"/>
        </w:rPr>
        <w:t>各标项按照标项参数</w:t>
      </w:r>
      <w:r>
        <w:rPr>
          <w:rFonts w:hint="eastAsia" w:ascii="仿宋" w:hAnsi="仿宋" w:eastAsia="仿宋" w:cs="仿宋"/>
          <w:b/>
          <w:bCs/>
          <w:color w:val="auto"/>
          <w:sz w:val="24"/>
          <w:highlight w:val="none"/>
        </w:rPr>
        <w:t>逐条对应填写。</w:t>
      </w:r>
      <w:r>
        <w:rPr>
          <w:rFonts w:hint="eastAsia" w:ascii="仿宋" w:hAnsi="仿宋" w:eastAsia="仿宋" w:cs="仿宋"/>
          <w:b/>
          <w:bCs/>
          <w:color w:val="auto"/>
          <w:kern w:val="2"/>
          <w:sz w:val="24"/>
          <w:szCs w:val="24"/>
          <w:highlight w:val="none"/>
          <w:lang w:val="en-US" w:eastAsia="zh-Hans" w:bidi="ar-SA"/>
        </w:rPr>
        <w:t>须</w:t>
      </w:r>
      <w:r>
        <w:rPr>
          <w:rFonts w:hint="eastAsia" w:ascii="仿宋" w:hAnsi="仿宋" w:eastAsia="仿宋" w:cs="仿宋"/>
          <w:b/>
          <w:bCs/>
          <w:color w:val="auto"/>
          <w:sz w:val="24"/>
          <w:szCs w:val="24"/>
          <w:highlight w:val="none"/>
        </w:rPr>
        <w:t>附：</w:t>
      </w:r>
      <w:r>
        <w:rPr>
          <w:rFonts w:hint="eastAsia" w:ascii="仿宋" w:hAnsi="仿宋" w:eastAsia="仿宋" w:cs="仿宋"/>
          <w:b/>
          <w:bCs/>
          <w:color w:val="auto"/>
          <w:kern w:val="2"/>
          <w:sz w:val="24"/>
          <w:szCs w:val="24"/>
          <w:highlight w:val="none"/>
          <w:lang w:val="en-US" w:eastAsia="zh-Hans" w:bidi="ar-SA"/>
        </w:rPr>
        <w:t>制造商公开发布的正式印刷的产品样本、资料（非电脑打印版和复印件），或由有关政府部门或检测机构合法出具的文件或报告</w:t>
      </w:r>
    </w:p>
    <w:p>
      <w:pPr>
        <w:spacing w:line="400" w:lineRule="atLeast"/>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投标商代表签字：</w:t>
      </w:r>
      <w:r>
        <w:rPr>
          <w:rFonts w:hint="eastAsia" w:ascii="仿宋" w:hAnsi="仿宋" w:eastAsia="仿宋" w:cs="仿宋"/>
          <w:color w:val="auto"/>
          <w:sz w:val="24"/>
          <w:highlight w:val="none"/>
          <w:u w:val="single"/>
        </w:rPr>
        <w:t>　　　　　　　　　　　　　　　</w:t>
      </w:r>
      <w:bookmarkEnd w:id="502"/>
      <w:bookmarkEnd w:id="503"/>
    </w:p>
    <w:p>
      <w:pPr>
        <w:numPr>
          <w:ilvl w:val="0"/>
          <w:numId w:val="3"/>
        </w:numPr>
        <w:ind w:left="0" w:leftChars="0" w:firstLine="0" w:firstLineChars="0"/>
        <w:rPr>
          <w:rFonts w:hint="eastAsia"/>
          <w:lang w:val="en-US" w:eastAsia="zh-Hans"/>
        </w:rPr>
        <w:sectPr>
          <w:pgSz w:w="11906" w:h="16838"/>
          <w:pgMar w:top="1418" w:right="1588" w:bottom="1418" w:left="1588" w:header="851" w:footer="992" w:gutter="0"/>
          <w:cols w:space="720" w:num="1"/>
          <w:docGrid w:type="lines" w:linePitch="312" w:charSpace="0"/>
        </w:sectPr>
      </w:pPr>
    </w:p>
    <w:p>
      <w:pPr>
        <w:pStyle w:val="4"/>
        <w:pageBreakBefore w:val="0"/>
        <w:numPr>
          <w:ilvl w:val="0"/>
          <w:numId w:val="0"/>
        </w:numPr>
        <w:kinsoku/>
        <w:wordWrap/>
        <w:bidi w:val="0"/>
        <w:adjustRightInd w:val="0"/>
        <w:snapToGrid w:val="0"/>
        <w:spacing w:before="0" w:beforeLines="0" w:after="0" w:afterLines="0" w:line="360" w:lineRule="auto"/>
        <w:ind w:right="0" w:rightChars="0"/>
        <w:jc w:val="center"/>
        <w:rPr>
          <w:rFonts w:hint="eastAsia" w:ascii="仿宋" w:hAnsi="仿宋" w:eastAsia="仿宋" w:cs="仿宋"/>
          <w:b/>
          <w:bCs/>
          <w:color w:val="auto"/>
          <w:kern w:val="2"/>
          <w:sz w:val="24"/>
          <w:szCs w:val="24"/>
          <w:highlight w:val="none"/>
          <w:lang w:val="en-US" w:eastAsia="zh-Hans" w:bidi="ar-SA"/>
        </w:rPr>
        <w:sectPr>
          <w:pgSz w:w="11906" w:h="16838"/>
          <w:pgMar w:top="1418" w:right="1588" w:bottom="1418" w:left="1588" w:header="851" w:footer="992" w:gutter="0"/>
          <w:cols w:space="720" w:num="1"/>
          <w:docGrid w:type="lines" w:linePitch="312" w:charSpace="0"/>
        </w:sectPr>
      </w:pPr>
      <w:bookmarkStart w:id="504" w:name="_Toc514837993"/>
      <w:r>
        <w:rPr>
          <w:rFonts w:hint="eastAsia" w:ascii="仿宋" w:hAnsi="仿宋" w:eastAsia="仿宋" w:cs="仿宋"/>
          <w:b/>
          <w:bCs/>
          <w:color w:val="auto"/>
          <w:kern w:val="2"/>
          <w:sz w:val="24"/>
          <w:szCs w:val="24"/>
          <w:highlight w:val="none"/>
          <w:lang w:val="en-US" w:eastAsia="zh-CN" w:bidi="ar-SA"/>
        </w:rPr>
        <w:t>（2）</w:t>
      </w:r>
      <w:r>
        <w:rPr>
          <w:rFonts w:hint="eastAsia" w:ascii="仿宋" w:hAnsi="仿宋" w:eastAsia="仿宋" w:cs="仿宋"/>
          <w:b/>
          <w:bCs/>
          <w:color w:val="auto"/>
          <w:kern w:val="2"/>
          <w:sz w:val="24"/>
          <w:szCs w:val="24"/>
          <w:highlight w:val="none"/>
          <w:lang w:val="en-US" w:eastAsia="zh-Hans" w:bidi="ar-SA"/>
        </w:rPr>
        <w:t>整体方案</w:t>
      </w:r>
      <w:r>
        <w:rPr>
          <w:rFonts w:hint="eastAsia" w:ascii="仿宋" w:hAnsi="仿宋" w:eastAsia="仿宋" w:cs="仿宋"/>
          <w:b/>
          <w:bCs/>
          <w:color w:val="auto"/>
          <w:kern w:val="2"/>
          <w:sz w:val="24"/>
          <w:szCs w:val="24"/>
          <w:highlight w:val="none"/>
          <w:lang w:eastAsia="zh-Hans" w:bidi="ar-SA"/>
        </w:rPr>
        <w:t>（</w:t>
      </w:r>
      <w:r>
        <w:rPr>
          <w:rFonts w:hint="eastAsia" w:ascii="仿宋" w:hAnsi="仿宋" w:eastAsia="仿宋" w:cs="仿宋"/>
          <w:b/>
          <w:bCs/>
          <w:color w:val="auto"/>
          <w:kern w:val="2"/>
          <w:sz w:val="24"/>
          <w:szCs w:val="24"/>
          <w:highlight w:val="none"/>
          <w:lang w:val="en-US" w:eastAsia="zh-Hans" w:bidi="ar-SA"/>
        </w:rPr>
        <w:t>格式自拟</w:t>
      </w:r>
      <w:r>
        <w:rPr>
          <w:rFonts w:hint="eastAsia" w:ascii="仿宋" w:hAnsi="仿宋" w:eastAsia="仿宋" w:cs="仿宋"/>
          <w:b/>
          <w:bCs/>
          <w:color w:val="auto"/>
          <w:sz w:val="24"/>
          <w:szCs w:val="24"/>
          <w:highlight w:val="none"/>
          <w:lang w:eastAsia="zh-Hans"/>
        </w:rPr>
        <w:t>，</w:t>
      </w:r>
      <w:r>
        <w:rPr>
          <w:rFonts w:hint="eastAsia" w:ascii="仿宋" w:hAnsi="仿宋" w:eastAsia="仿宋" w:cs="仿宋"/>
          <w:b/>
          <w:bCs/>
          <w:color w:val="auto"/>
          <w:sz w:val="24"/>
          <w:szCs w:val="24"/>
          <w:highlight w:val="none"/>
          <w:lang w:val="en-US" w:eastAsia="zh-Hans"/>
        </w:rPr>
        <w:t>内容响应招标文件</w:t>
      </w:r>
      <w:r>
        <w:rPr>
          <w:rFonts w:hint="eastAsia" w:ascii="仿宋" w:hAnsi="仿宋" w:eastAsia="仿宋" w:cs="仿宋"/>
          <w:b/>
          <w:bCs/>
          <w:color w:val="auto"/>
          <w:kern w:val="2"/>
          <w:sz w:val="24"/>
          <w:szCs w:val="24"/>
          <w:highlight w:val="none"/>
          <w:lang w:val="en-US" w:eastAsia="zh-Hans" w:bidi="ar-SA"/>
        </w:rPr>
        <w:t>）</w:t>
      </w:r>
    </w:p>
    <w:p>
      <w:pPr>
        <w:pStyle w:val="4"/>
        <w:pageBreakBefore w:val="0"/>
        <w:numPr>
          <w:ilvl w:val="0"/>
          <w:numId w:val="0"/>
        </w:numPr>
        <w:kinsoku/>
        <w:wordWrap/>
        <w:bidi w:val="0"/>
        <w:adjustRightInd w:val="0"/>
        <w:snapToGrid w:val="0"/>
        <w:spacing w:before="0" w:beforeLines="0" w:after="0" w:afterLines="0" w:line="360" w:lineRule="auto"/>
        <w:ind w:right="0" w:rightChars="0"/>
        <w:jc w:val="center"/>
        <w:rPr>
          <w:rFonts w:hint="eastAsia" w:ascii="仿宋" w:hAnsi="仿宋" w:eastAsia="仿宋" w:cs="仿宋"/>
          <w:b/>
          <w:bCs/>
          <w:color w:val="auto"/>
          <w:kern w:val="2"/>
          <w:sz w:val="24"/>
          <w:szCs w:val="24"/>
          <w:highlight w:val="none"/>
          <w:lang w:val="en-US" w:eastAsia="zh-Hans" w:bidi="ar-SA"/>
        </w:rPr>
        <w:sectPr>
          <w:pgSz w:w="11906" w:h="16838"/>
          <w:pgMar w:top="1418" w:right="1588" w:bottom="1418" w:left="1588" w:header="851" w:footer="992" w:gutter="0"/>
          <w:cols w:space="720" w:num="1"/>
          <w:docGrid w:type="lines" w:linePitch="312" w:charSpace="0"/>
        </w:sect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val="en-US" w:eastAsia="zh-Hans"/>
        </w:rPr>
        <w:t>运输方案</w:t>
      </w:r>
      <w:r>
        <w:rPr>
          <w:rFonts w:hint="eastAsia" w:ascii="仿宋" w:hAnsi="仿宋" w:eastAsia="仿宋" w:cs="仿宋"/>
          <w:b/>
          <w:bCs/>
          <w:color w:val="auto"/>
          <w:kern w:val="2"/>
          <w:sz w:val="24"/>
          <w:szCs w:val="24"/>
          <w:highlight w:val="none"/>
          <w:lang w:eastAsia="zh-Hans" w:bidi="ar-SA"/>
        </w:rPr>
        <w:t>（</w:t>
      </w:r>
      <w:r>
        <w:rPr>
          <w:rFonts w:hint="eastAsia" w:ascii="仿宋" w:hAnsi="仿宋" w:eastAsia="仿宋" w:cs="仿宋"/>
          <w:b/>
          <w:bCs/>
          <w:color w:val="auto"/>
          <w:kern w:val="2"/>
          <w:sz w:val="24"/>
          <w:szCs w:val="24"/>
          <w:highlight w:val="none"/>
          <w:lang w:val="en-US" w:eastAsia="zh-Hans" w:bidi="ar-SA"/>
        </w:rPr>
        <w:t>格式自拟</w:t>
      </w:r>
      <w:r>
        <w:rPr>
          <w:rFonts w:hint="eastAsia" w:ascii="仿宋" w:hAnsi="仿宋" w:eastAsia="仿宋" w:cs="仿宋"/>
          <w:b/>
          <w:bCs/>
          <w:color w:val="auto"/>
          <w:sz w:val="24"/>
          <w:szCs w:val="24"/>
          <w:highlight w:val="none"/>
          <w:lang w:eastAsia="zh-Hans"/>
        </w:rPr>
        <w:t>，</w:t>
      </w:r>
      <w:r>
        <w:rPr>
          <w:rFonts w:hint="eastAsia" w:ascii="仿宋" w:hAnsi="仿宋" w:eastAsia="仿宋" w:cs="仿宋"/>
          <w:b/>
          <w:bCs/>
          <w:color w:val="auto"/>
          <w:sz w:val="24"/>
          <w:szCs w:val="24"/>
          <w:highlight w:val="none"/>
          <w:lang w:val="en-US" w:eastAsia="zh-Hans"/>
        </w:rPr>
        <w:t>内容响应招标文件</w:t>
      </w:r>
      <w:r>
        <w:rPr>
          <w:rFonts w:hint="eastAsia" w:ascii="仿宋" w:hAnsi="仿宋" w:eastAsia="仿宋" w:cs="仿宋"/>
          <w:b/>
          <w:bCs/>
          <w:color w:val="auto"/>
          <w:kern w:val="2"/>
          <w:sz w:val="24"/>
          <w:szCs w:val="24"/>
          <w:highlight w:val="none"/>
          <w:lang w:val="en-US" w:eastAsia="zh-Hans" w:bidi="ar-SA"/>
        </w:rPr>
        <w:t>）</w:t>
      </w:r>
    </w:p>
    <w:p>
      <w:pPr>
        <w:pStyle w:val="4"/>
        <w:pageBreakBefore w:val="0"/>
        <w:numPr>
          <w:ilvl w:val="0"/>
          <w:numId w:val="0"/>
        </w:numPr>
        <w:kinsoku/>
        <w:wordWrap/>
        <w:bidi w:val="0"/>
        <w:adjustRightInd w:val="0"/>
        <w:snapToGrid w:val="0"/>
        <w:spacing w:before="0" w:beforeLines="0" w:after="0" w:afterLines="0" w:line="360" w:lineRule="auto"/>
        <w:ind w:right="0" w:right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lang w:val="en-US" w:eastAsia="zh-Hans"/>
        </w:rPr>
        <w:t>可操作性</w:t>
      </w:r>
      <w:r>
        <w:rPr>
          <w:rFonts w:hint="eastAsia" w:ascii="仿宋" w:hAnsi="仿宋" w:eastAsia="仿宋" w:cs="仿宋"/>
          <w:color w:val="auto"/>
          <w:sz w:val="24"/>
          <w:szCs w:val="24"/>
          <w:highlight w:val="none"/>
          <w:lang w:eastAsia="zh-Hans"/>
        </w:rPr>
        <w:t>、</w:t>
      </w:r>
      <w:r>
        <w:rPr>
          <w:rFonts w:hint="eastAsia" w:ascii="仿宋" w:hAnsi="仿宋" w:eastAsia="仿宋" w:cs="仿宋"/>
          <w:color w:val="auto"/>
          <w:sz w:val="24"/>
          <w:szCs w:val="24"/>
          <w:highlight w:val="none"/>
          <w:lang w:val="en-US" w:eastAsia="zh-Hans"/>
        </w:rPr>
        <w:t>可维护性方案</w:t>
      </w:r>
      <w:r>
        <w:rPr>
          <w:rFonts w:hint="eastAsia" w:ascii="仿宋" w:hAnsi="仿宋" w:eastAsia="仿宋" w:cs="仿宋"/>
          <w:b/>
          <w:bCs/>
          <w:color w:val="auto"/>
          <w:kern w:val="2"/>
          <w:sz w:val="24"/>
          <w:szCs w:val="24"/>
          <w:highlight w:val="none"/>
          <w:lang w:eastAsia="zh-Hans" w:bidi="ar-SA"/>
        </w:rPr>
        <w:t>（</w:t>
      </w:r>
      <w:r>
        <w:rPr>
          <w:rFonts w:hint="eastAsia" w:ascii="仿宋" w:hAnsi="仿宋" w:eastAsia="仿宋" w:cs="仿宋"/>
          <w:b/>
          <w:bCs/>
          <w:color w:val="auto"/>
          <w:kern w:val="2"/>
          <w:sz w:val="24"/>
          <w:szCs w:val="24"/>
          <w:highlight w:val="none"/>
          <w:lang w:val="en-US" w:eastAsia="zh-Hans" w:bidi="ar-SA"/>
        </w:rPr>
        <w:t>格式自拟</w:t>
      </w:r>
      <w:r>
        <w:rPr>
          <w:rFonts w:hint="eastAsia" w:ascii="仿宋" w:hAnsi="仿宋" w:eastAsia="仿宋" w:cs="仿宋"/>
          <w:b/>
          <w:bCs/>
          <w:color w:val="auto"/>
          <w:sz w:val="24"/>
          <w:szCs w:val="24"/>
          <w:highlight w:val="none"/>
          <w:lang w:eastAsia="zh-Hans"/>
        </w:rPr>
        <w:t>，</w:t>
      </w:r>
      <w:r>
        <w:rPr>
          <w:rFonts w:hint="eastAsia" w:ascii="仿宋" w:hAnsi="仿宋" w:eastAsia="仿宋" w:cs="仿宋"/>
          <w:b/>
          <w:bCs/>
          <w:color w:val="auto"/>
          <w:sz w:val="24"/>
          <w:szCs w:val="24"/>
          <w:highlight w:val="none"/>
          <w:lang w:val="en-US" w:eastAsia="zh-Hans"/>
        </w:rPr>
        <w:t>内容响应招标文件</w:t>
      </w:r>
      <w:r>
        <w:rPr>
          <w:rFonts w:hint="eastAsia" w:ascii="仿宋" w:hAnsi="仿宋" w:eastAsia="仿宋" w:cs="仿宋"/>
          <w:b/>
          <w:bCs/>
          <w:color w:val="auto"/>
          <w:kern w:val="2"/>
          <w:sz w:val="24"/>
          <w:szCs w:val="24"/>
          <w:highlight w:val="none"/>
          <w:lang w:val="en-US" w:eastAsia="zh-Hans" w:bidi="ar-SA"/>
        </w:rPr>
        <w:t>）</w:t>
      </w:r>
      <w:bookmarkEnd w:id="504"/>
      <w:bookmarkStart w:id="505" w:name="_Toc514837995"/>
      <w:r>
        <w:rPr>
          <w:rFonts w:hint="eastAsia" w:ascii="仿宋" w:hAnsi="仿宋" w:eastAsia="仿宋" w:cs="仿宋"/>
          <w:b/>
          <w:color w:val="auto"/>
          <w:sz w:val="24"/>
          <w:szCs w:val="24"/>
          <w:highlight w:val="none"/>
        </w:rPr>
        <w:br w:type="page"/>
      </w:r>
      <w:bookmarkEnd w:id="505"/>
      <w:bookmarkStart w:id="506" w:name="_Toc514837996"/>
      <w:r>
        <w:rPr>
          <w:rFonts w:hint="eastAsia" w:ascii="仿宋" w:hAnsi="仿宋" w:eastAsia="仿宋" w:cs="仿宋"/>
          <w:b/>
          <w:color w:val="auto"/>
          <w:sz w:val="24"/>
          <w:szCs w:val="24"/>
          <w:highlight w:val="none"/>
          <w:lang w:eastAsia="zh-CN"/>
        </w:rPr>
        <w:t>（</w:t>
      </w:r>
      <w:r>
        <w:rPr>
          <w:rFonts w:hint="eastAsia" w:ascii="仿宋" w:hAnsi="仿宋" w:eastAsia="仿宋" w:cs="仿宋"/>
          <w:b/>
          <w:color w:val="auto"/>
          <w:sz w:val="24"/>
          <w:szCs w:val="24"/>
          <w:highlight w:val="none"/>
          <w:lang w:val="en-US" w:eastAsia="zh-CN"/>
        </w:rPr>
        <w:t>5</w:t>
      </w:r>
      <w:r>
        <w:rPr>
          <w:rFonts w:hint="eastAsia" w:ascii="仿宋" w:hAnsi="仿宋" w:eastAsia="仿宋" w:cs="仿宋"/>
          <w:b/>
          <w:color w:val="auto"/>
          <w:sz w:val="24"/>
          <w:szCs w:val="24"/>
          <w:highlight w:val="none"/>
          <w:lang w:eastAsia="zh-CN"/>
        </w:rPr>
        <w:t>）</w:t>
      </w:r>
      <w:r>
        <w:rPr>
          <w:rFonts w:hint="eastAsia" w:ascii="仿宋" w:hAnsi="仿宋" w:eastAsia="仿宋" w:cs="仿宋"/>
          <w:color w:val="auto"/>
          <w:sz w:val="24"/>
          <w:szCs w:val="24"/>
          <w:highlight w:val="none"/>
        </w:rPr>
        <w:t>其他资料</w:t>
      </w:r>
      <w:bookmarkEnd w:id="506"/>
    </w:p>
    <w:p>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0" w:firstLineChars="0"/>
        <w:textAlignment w:val="auto"/>
        <w:outlineLvl w:val="9"/>
        <w:rPr>
          <w:rFonts w:hint="eastAsia" w:ascii="仿宋" w:hAnsi="仿宋" w:eastAsia="仿宋" w:cs="仿宋"/>
          <w:color w:val="auto"/>
          <w:sz w:val="24"/>
          <w:szCs w:val="24"/>
          <w:highlight w:val="none"/>
          <w:lang w:val="en-US" w:eastAsia="zh-Hans"/>
        </w:rPr>
        <w:sectPr>
          <w:pgSz w:w="11906" w:h="16838"/>
          <w:pgMar w:top="1418" w:right="1588" w:bottom="1418" w:left="1588" w:header="851" w:footer="992" w:gutter="0"/>
          <w:cols w:space="720" w:num="1"/>
          <w:docGrid w:type="lines" w:linePitch="312" w:charSpace="0"/>
        </w:sect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Hans"/>
        </w:rPr>
        <w:t>其他技术支持资料</w:t>
      </w:r>
    </w:p>
    <w:p>
      <w:pPr>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firstLine="0" w:firstLineChars="0"/>
        <w:jc w:val="center"/>
        <w:textAlignment w:val="auto"/>
        <w:outlineLvl w:val="9"/>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bCs/>
          <w:color w:val="auto"/>
          <w:sz w:val="24"/>
          <w:szCs w:val="24"/>
          <w:highlight w:val="none"/>
        </w:rPr>
        <w:t>节能、环境标志产品优惠明细表</w:t>
      </w:r>
    </w:p>
    <w:p>
      <w:pPr>
        <w:spacing w:line="300" w:lineRule="auto"/>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(若有，请如实填写)</w:t>
      </w:r>
    </w:p>
    <w:p>
      <w:pPr>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（1）节能产品明细清单                        报价货币种类金额单位：元</w:t>
      </w:r>
    </w:p>
    <w:tbl>
      <w:tblPr>
        <w:tblStyle w:val="21"/>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0"/>
        <w:gridCol w:w="518"/>
        <w:gridCol w:w="1628"/>
        <w:gridCol w:w="1074"/>
        <w:gridCol w:w="1683"/>
        <w:gridCol w:w="2004"/>
        <w:gridCol w:w="715"/>
        <w:gridCol w:w="619"/>
        <w:gridCol w:w="7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0" w:type="dxa"/>
            <w:vAlign w:val="center"/>
          </w:tcPr>
          <w:p>
            <w:pPr>
              <w:spacing w:line="440" w:lineRule="exac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制造商</w:t>
            </w:r>
          </w:p>
        </w:tc>
        <w:tc>
          <w:tcPr>
            <w:tcW w:w="518" w:type="dxa"/>
            <w:vAlign w:val="center"/>
          </w:tcPr>
          <w:p>
            <w:pPr>
              <w:spacing w:line="440" w:lineRule="exac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品牌</w:t>
            </w:r>
          </w:p>
        </w:tc>
        <w:tc>
          <w:tcPr>
            <w:tcW w:w="1628" w:type="dxa"/>
            <w:vAlign w:val="center"/>
          </w:tcPr>
          <w:p>
            <w:pPr>
              <w:spacing w:line="440" w:lineRule="exac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产品名称、规格型号</w:t>
            </w:r>
          </w:p>
        </w:tc>
        <w:tc>
          <w:tcPr>
            <w:tcW w:w="1074" w:type="dxa"/>
            <w:vAlign w:val="center"/>
          </w:tcPr>
          <w:p>
            <w:pPr>
              <w:spacing w:line="440" w:lineRule="exac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节字标志认证证书号</w:t>
            </w:r>
          </w:p>
        </w:tc>
        <w:tc>
          <w:tcPr>
            <w:tcW w:w="1683" w:type="dxa"/>
            <w:vAlign w:val="center"/>
          </w:tcPr>
          <w:p>
            <w:pPr>
              <w:spacing w:line="440" w:lineRule="exac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节能产品认证证书有效截止日期</w:t>
            </w:r>
          </w:p>
        </w:tc>
        <w:tc>
          <w:tcPr>
            <w:tcW w:w="2004" w:type="dxa"/>
            <w:vAlign w:val="center"/>
          </w:tcPr>
          <w:p>
            <w:pPr>
              <w:spacing w:line="440" w:lineRule="exac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产品所在节能产品政府采购清单页码</w:t>
            </w:r>
          </w:p>
        </w:tc>
        <w:tc>
          <w:tcPr>
            <w:tcW w:w="715" w:type="dxa"/>
            <w:vAlign w:val="center"/>
          </w:tcPr>
          <w:p>
            <w:pPr>
              <w:spacing w:line="440" w:lineRule="exac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单位</w:t>
            </w:r>
          </w:p>
        </w:tc>
        <w:tc>
          <w:tcPr>
            <w:tcW w:w="619" w:type="dxa"/>
            <w:vAlign w:val="center"/>
          </w:tcPr>
          <w:p>
            <w:pPr>
              <w:spacing w:line="440" w:lineRule="exac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数量</w:t>
            </w:r>
          </w:p>
        </w:tc>
        <w:tc>
          <w:tcPr>
            <w:tcW w:w="753" w:type="dxa"/>
            <w:vAlign w:val="center"/>
          </w:tcPr>
          <w:p>
            <w:pPr>
              <w:spacing w:line="440" w:lineRule="exac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860" w:type="dxa"/>
            <w:vAlign w:val="center"/>
          </w:tcPr>
          <w:p>
            <w:pPr>
              <w:spacing w:line="440" w:lineRule="exact"/>
              <w:jc w:val="center"/>
              <w:rPr>
                <w:rFonts w:hint="eastAsia" w:ascii="仿宋" w:hAnsi="仿宋" w:eastAsia="仿宋" w:cs="仿宋"/>
                <w:color w:val="auto"/>
                <w:sz w:val="21"/>
                <w:szCs w:val="21"/>
                <w:highlight w:val="none"/>
              </w:rPr>
            </w:pPr>
          </w:p>
        </w:tc>
        <w:tc>
          <w:tcPr>
            <w:tcW w:w="518" w:type="dxa"/>
            <w:vAlign w:val="center"/>
          </w:tcPr>
          <w:p>
            <w:pPr>
              <w:spacing w:line="440" w:lineRule="exact"/>
              <w:jc w:val="center"/>
              <w:rPr>
                <w:rFonts w:hint="eastAsia" w:ascii="仿宋" w:hAnsi="仿宋" w:eastAsia="仿宋" w:cs="仿宋"/>
                <w:color w:val="auto"/>
                <w:sz w:val="21"/>
                <w:szCs w:val="21"/>
                <w:highlight w:val="none"/>
              </w:rPr>
            </w:pPr>
          </w:p>
        </w:tc>
        <w:tc>
          <w:tcPr>
            <w:tcW w:w="1628" w:type="dxa"/>
            <w:vAlign w:val="center"/>
          </w:tcPr>
          <w:p>
            <w:pPr>
              <w:spacing w:line="440" w:lineRule="exact"/>
              <w:jc w:val="center"/>
              <w:rPr>
                <w:rFonts w:hint="eastAsia" w:ascii="仿宋" w:hAnsi="仿宋" w:eastAsia="仿宋" w:cs="仿宋"/>
                <w:color w:val="auto"/>
                <w:sz w:val="21"/>
                <w:szCs w:val="21"/>
                <w:highlight w:val="none"/>
              </w:rPr>
            </w:pPr>
          </w:p>
        </w:tc>
        <w:tc>
          <w:tcPr>
            <w:tcW w:w="1074" w:type="dxa"/>
            <w:vAlign w:val="center"/>
          </w:tcPr>
          <w:p>
            <w:pPr>
              <w:spacing w:line="440" w:lineRule="exact"/>
              <w:jc w:val="center"/>
              <w:rPr>
                <w:rFonts w:hint="eastAsia" w:ascii="仿宋" w:hAnsi="仿宋" w:eastAsia="仿宋" w:cs="仿宋"/>
                <w:color w:val="auto"/>
                <w:sz w:val="21"/>
                <w:szCs w:val="21"/>
                <w:highlight w:val="none"/>
              </w:rPr>
            </w:pPr>
          </w:p>
        </w:tc>
        <w:tc>
          <w:tcPr>
            <w:tcW w:w="1683" w:type="dxa"/>
            <w:vAlign w:val="center"/>
          </w:tcPr>
          <w:p>
            <w:pPr>
              <w:spacing w:line="440" w:lineRule="exact"/>
              <w:jc w:val="center"/>
              <w:rPr>
                <w:rFonts w:hint="eastAsia" w:ascii="仿宋" w:hAnsi="仿宋" w:eastAsia="仿宋" w:cs="仿宋"/>
                <w:color w:val="auto"/>
                <w:sz w:val="21"/>
                <w:szCs w:val="21"/>
                <w:highlight w:val="none"/>
              </w:rPr>
            </w:pPr>
          </w:p>
        </w:tc>
        <w:tc>
          <w:tcPr>
            <w:tcW w:w="2004" w:type="dxa"/>
            <w:vAlign w:val="center"/>
          </w:tcPr>
          <w:p>
            <w:pPr>
              <w:spacing w:line="440" w:lineRule="exact"/>
              <w:jc w:val="center"/>
              <w:rPr>
                <w:rFonts w:hint="eastAsia" w:ascii="仿宋" w:hAnsi="仿宋" w:eastAsia="仿宋" w:cs="仿宋"/>
                <w:color w:val="auto"/>
                <w:sz w:val="21"/>
                <w:szCs w:val="21"/>
                <w:highlight w:val="none"/>
              </w:rPr>
            </w:pPr>
          </w:p>
        </w:tc>
        <w:tc>
          <w:tcPr>
            <w:tcW w:w="715" w:type="dxa"/>
            <w:vAlign w:val="center"/>
          </w:tcPr>
          <w:p>
            <w:pPr>
              <w:spacing w:line="440" w:lineRule="exact"/>
              <w:jc w:val="center"/>
              <w:rPr>
                <w:rFonts w:hint="eastAsia" w:ascii="仿宋" w:hAnsi="仿宋" w:eastAsia="仿宋" w:cs="仿宋"/>
                <w:color w:val="auto"/>
                <w:sz w:val="21"/>
                <w:szCs w:val="21"/>
                <w:highlight w:val="none"/>
              </w:rPr>
            </w:pPr>
          </w:p>
        </w:tc>
        <w:tc>
          <w:tcPr>
            <w:tcW w:w="619" w:type="dxa"/>
            <w:vAlign w:val="center"/>
          </w:tcPr>
          <w:p>
            <w:pPr>
              <w:spacing w:line="440" w:lineRule="exact"/>
              <w:jc w:val="center"/>
              <w:rPr>
                <w:rFonts w:hint="eastAsia" w:ascii="仿宋" w:hAnsi="仿宋" w:eastAsia="仿宋" w:cs="仿宋"/>
                <w:color w:val="auto"/>
                <w:sz w:val="21"/>
                <w:szCs w:val="21"/>
                <w:highlight w:val="none"/>
              </w:rPr>
            </w:pPr>
          </w:p>
        </w:tc>
        <w:tc>
          <w:tcPr>
            <w:tcW w:w="753" w:type="dxa"/>
            <w:vAlign w:val="center"/>
          </w:tcPr>
          <w:p>
            <w:pPr>
              <w:spacing w:line="440" w:lineRule="exact"/>
              <w:jc w:val="center"/>
              <w:rPr>
                <w:rFonts w:hint="eastAsia" w:ascii="仿宋" w:hAnsi="仿宋" w:eastAsia="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860" w:type="dxa"/>
            <w:vAlign w:val="center"/>
          </w:tcPr>
          <w:p>
            <w:pPr>
              <w:spacing w:line="440" w:lineRule="exact"/>
              <w:jc w:val="center"/>
              <w:rPr>
                <w:rFonts w:hint="eastAsia" w:ascii="仿宋" w:hAnsi="仿宋" w:eastAsia="仿宋" w:cs="仿宋"/>
                <w:color w:val="auto"/>
                <w:sz w:val="21"/>
                <w:szCs w:val="21"/>
                <w:highlight w:val="none"/>
              </w:rPr>
            </w:pPr>
          </w:p>
        </w:tc>
        <w:tc>
          <w:tcPr>
            <w:tcW w:w="518" w:type="dxa"/>
            <w:vAlign w:val="center"/>
          </w:tcPr>
          <w:p>
            <w:pPr>
              <w:spacing w:line="440" w:lineRule="exact"/>
              <w:jc w:val="center"/>
              <w:rPr>
                <w:rFonts w:hint="eastAsia" w:ascii="仿宋" w:hAnsi="仿宋" w:eastAsia="仿宋" w:cs="仿宋"/>
                <w:color w:val="auto"/>
                <w:sz w:val="21"/>
                <w:szCs w:val="21"/>
                <w:highlight w:val="none"/>
              </w:rPr>
            </w:pPr>
          </w:p>
        </w:tc>
        <w:tc>
          <w:tcPr>
            <w:tcW w:w="1628" w:type="dxa"/>
            <w:vAlign w:val="center"/>
          </w:tcPr>
          <w:p>
            <w:pPr>
              <w:spacing w:line="440" w:lineRule="exact"/>
              <w:jc w:val="center"/>
              <w:rPr>
                <w:rFonts w:hint="eastAsia" w:ascii="仿宋" w:hAnsi="仿宋" w:eastAsia="仿宋" w:cs="仿宋"/>
                <w:color w:val="auto"/>
                <w:sz w:val="21"/>
                <w:szCs w:val="21"/>
                <w:highlight w:val="none"/>
              </w:rPr>
            </w:pPr>
          </w:p>
        </w:tc>
        <w:tc>
          <w:tcPr>
            <w:tcW w:w="1074" w:type="dxa"/>
            <w:vAlign w:val="center"/>
          </w:tcPr>
          <w:p>
            <w:pPr>
              <w:spacing w:line="440" w:lineRule="exact"/>
              <w:jc w:val="center"/>
              <w:rPr>
                <w:rFonts w:hint="eastAsia" w:ascii="仿宋" w:hAnsi="仿宋" w:eastAsia="仿宋" w:cs="仿宋"/>
                <w:color w:val="auto"/>
                <w:sz w:val="21"/>
                <w:szCs w:val="21"/>
                <w:highlight w:val="none"/>
              </w:rPr>
            </w:pPr>
          </w:p>
        </w:tc>
        <w:tc>
          <w:tcPr>
            <w:tcW w:w="1683" w:type="dxa"/>
            <w:vAlign w:val="center"/>
          </w:tcPr>
          <w:p>
            <w:pPr>
              <w:spacing w:line="440" w:lineRule="exact"/>
              <w:jc w:val="center"/>
              <w:rPr>
                <w:rFonts w:hint="eastAsia" w:ascii="仿宋" w:hAnsi="仿宋" w:eastAsia="仿宋" w:cs="仿宋"/>
                <w:color w:val="auto"/>
                <w:sz w:val="21"/>
                <w:szCs w:val="21"/>
                <w:highlight w:val="none"/>
              </w:rPr>
            </w:pPr>
          </w:p>
        </w:tc>
        <w:tc>
          <w:tcPr>
            <w:tcW w:w="2004" w:type="dxa"/>
            <w:vAlign w:val="center"/>
          </w:tcPr>
          <w:p>
            <w:pPr>
              <w:spacing w:line="440" w:lineRule="exact"/>
              <w:jc w:val="center"/>
              <w:rPr>
                <w:rFonts w:hint="eastAsia" w:ascii="仿宋" w:hAnsi="仿宋" w:eastAsia="仿宋" w:cs="仿宋"/>
                <w:color w:val="auto"/>
                <w:sz w:val="21"/>
                <w:szCs w:val="21"/>
                <w:highlight w:val="none"/>
              </w:rPr>
            </w:pPr>
          </w:p>
        </w:tc>
        <w:tc>
          <w:tcPr>
            <w:tcW w:w="715" w:type="dxa"/>
            <w:vAlign w:val="center"/>
          </w:tcPr>
          <w:p>
            <w:pPr>
              <w:spacing w:line="440" w:lineRule="exact"/>
              <w:jc w:val="center"/>
              <w:rPr>
                <w:rFonts w:hint="eastAsia" w:ascii="仿宋" w:hAnsi="仿宋" w:eastAsia="仿宋" w:cs="仿宋"/>
                <w:color w:val="auto"/>
                <w:sz w:val="21"/>
                <w:szCs w:val="21"/>
                <w:highlight w:val="none"/>
              </w:rPr>
            </w:pPr>
          </w:p>
        </w:tc>
        <w:tc>
          <w:tcPr>
            <w:tcW w:w="619" w:type="dxa"/>
            <w:vAlign w:val="center"/>
          </w:tcPr>
          <w:p>
            <w:pPr>
              <w:spacing w:line="440" w:lineRule="exact"/>
              <w:jc w:val="center"/>
              <w:rPr>
                <w:rFonts w:hint="eastAsia" w:ascii="仿宋" w:hAnsi="仿宋" w:eastAsia="仿宋" w:cs="仿宋"/>
                <w:color w:val="auto"/>
                <w:sz w:val="21"/>
                <w:szCs w:val="21"/>
                <w:highlight w:val="none"/>
              </w:rPr>
            </w:pPr>
          </w:p>
        </w:tc>
        <w:tc>
          <w:tcPr>
            <w:tcW w:w="753" w:type="dxa"/>
            <w:vAlign w:val="center"/>
          </w:tcPr>
          <w:p>
            <w:pPr>
              <w:spacing w:line="440" w:lineRule="exact"/>
              <w:jc w:val="center"/>
              <w:rPr>
                <w:rFonts w:hint="eastAsia" w:ascii="仿宋" w:hAnsi="仿宋" w:eastAsia="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763" w:type="dxa"/>
            <w:gridSpan w:val="5"/>
            <w:vAlign w:val="center"/>
          </w:tcPr>
          <w:p>
            <w:pPr>
              <w:spacing w:line="440" w:lineRule="exac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合计金额</w:t>
            </w:r>
          </w:p>
        </w:tc>
        <w:tc>
          <w:tcPr>
            <w:tcW w:w="4091" w:type="dxa"/>
            <w:gridSpan w:val="4"/>
            <w:vAlign w:val="center"/>
          </w:tcPr>
          <w:p>
            <w:pPr>
              <w:spacing w:line="440" w:lineRule="exact"/>
              <w:rPr>
                <w:rFonts w:hint="eastAsia" w:ascii="仿宋" w:hAnsi="仿宋" w:eastAsia="仿宋" w:cs="仿宋"/>
                <w:color w:val="auto"/>
                <w:sz w:val="21"/>
                <w:szCs w:val="21"/>
                <w:highlight w:val="none"/>
              </w:rPr>
            </w:pPr>
          </w:p>
        </w:tc>
      </w:tr>
    </w:tbl>
    <w:p>
      <w:pPr>
        <w:spacing w:line="440" w:lineRule="exact"/>
        <w:rPr>
          <w:rFonts w:hint="eastAsia" w:ascii="仿宋" w:hAnsi="仿宋" w:eastAsia="仿宋" w:cs="仿宋"/>
          <w:color w:val="auto"/>
          <w:sz w:val="24"/>
          <w:szCs w:val="24"/>
          <w:highlight w:val="none"/>
        </w:rPr>
      </w:pPr>
    </w:p>
    <w:p>
      <w:pPr>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（2）环保产品明细清单                    报价货币种类金额单位：元</w:t>
      </w:r>
    </w:p>
    <w:tbl>
      <w:tblPr>
        <w:tblStyle w:val="21"/>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5"/>
        <w:gridCol w:w="855"/>
        <w:gridCol w:w="1159"/>
        <w:gridCol w:w="1496"/>
        <w:gridCol w:w="1498"/>
        <w:gridCol w:w="1888"/>
        <w:gridCol w:w="605"/>
        <w:gridCol w:w="678"/>
        <w:gridCol w:w="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5" w:type="dxa"/>
            <w:vAlign w:val="center"/>
          </w:tcPr>
          <w:p>
            <w:pPr>
              <w:spacing w:line="440" w:lineRule="exac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制造商</w:t>
            </w:r>
          </w:p>
        </w:tc>
        <w:tc>
          <w:tcPr>
            <w:tcW w:w="855" w:type="dxa"/>
            <w:vAlign w:val="center"/>
          </w:tcPr>
          <w:p>
            <w:pPr>
              <w:spacing w:line="440" w:lineRule="exac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品牌</w:t>
            </w:r>
          </w:p>
        </w:tc>
        <w:tc>
          <w:tcPr>
            <w:tcW w:w="1159" w:type="dxa"/>
            <w:vAlign w:val="center"/>
          </w:tcPr>
          <w:p>
            <w:pPr>
              <w:spacing w:line="440" w:lineRule="exac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产品名称、规格型号</w:t>
            </w:r>
          </w:p>
        </w:tc>
        <w:tc>
          <w:tcPr>
            <w:tcW w:w="1496" w:type="dxa"/>
            <w:vAlign w:val="center"/>
          </w:tcPr>
          <w:p>
            <w:pPr>
              <w:spacing w:line="440" w:lineRule="exac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中国环境标志认证证书编号</w:t>
            </w:r>
          </w:p>
        </w:tc>
        <w:tc>
          <w:tcPr>
            <w:tcW w:w="1498" w:type="dxa"/>
            <w:vAlign w:val="center"/>
          </w:tcPr>
          <w:p>
            <w:pPr>
              <w:spacing w:line="440" w:lineRule="exac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认证证书有效截止日期</w:t>
            </w:r>
          </w:p>
        </w:tc>
        <w:tc>
          <w:tcPr>
            <w:tcW w:w="1888" w:type="dxa"/>
            <w:vAlign w:val="center"/>
          </w:tcPr>
          <w:p>
            <w:pPr>
              <w:spacing w:line="440" w:lineRule="exac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产品所在环境标志产品政府采购清单页码</w:t>
            </w:r>
          </w:p>
        </w:tc>
        <w:tc>
          <w:tcPr>
            <w:tcW w:w="605" w:type="dxa"/>
            <w:vAlign w:val="center"/>
          </w:tcPr>
          <w:p>
            <w:pPr>
              <w:spacing w:line="440" w:lineRule="exac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单位</w:t>
            </w:r>
          </w:p>
        </w:tc>
        <w:tc>
          <w:tcPr>
            <w:tcW w:w="678" w:type="dxa"/>
            <w:vAlign w:val="center"/>
          </w:tcPr>
          <w:p>
            <w:pPr>
              <w:spacing w:line="440" w:lineRule="exac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数量</w:t>
            </w:r>
          </w:p>
        </w:tc>
        <w:tc>
          <w:tcPr>
            <w:tcW w:w="820" w:type="dxa"/>
            <w:vAlign w:val="center"/>
          </w:tcPr>
          <w:p>
            <w:pPr>
              <w:spacing w:line="440" w:lineRule="exac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5" w:type="dxa"/>
            <w:vAlign w:val="center"/>
          </w:tcPr>
          <w:p>
            <w:pPr>
              <w:spacing w:line="440" w:lineRule="exact"/>
              <w:jc w:val="center"/>
              <w:rPr>
                <w:rFonts w:hint="eastAsia" w:ascii="仿宋" w:hAnsi="仿宋" w:eastAsia="仿宋" w:cs="仿宋"/>
                <w:color w:val="auto"/>
                <w:sz w:val="21"/>
                <w:szCs w:val="21"/>
                <w:highlight w:val="none"/>
              </w:rPr>
            </w:pPr>
          </w:p>
        </w:tc>
        <w:tc>
          <w:tcPr>
            <w:tcW w:w="855" w:type="dxa"/>
            <w:vAlign w:val="center"/>
          </w:tcPr>
          <w:p>
            <w:pPr>
              <w:spacing w:line="440" w:lineRule="exact"/>
              <w:jc w:val="center"/>
              <w:rPr>
                <w:rFonts w:hint="eastAsia" w:ascii="仿宋" w:hAnsi="仿宋" w:eastAsia="仿宋" w:cs="仿宋"/>
                <w:color w:val="auto"/>
                <w:sz w:val="21"/>
                <w:szCs w:val="21"/>
                <w:highlight w:val="none"/>
              </w:rPr>
            </w:pPr>
          </w:p>
        </w:tc>
        <w:tc>
          <w:tcPr>
            <w:tcW w:w="1159" w:type="dxa"/>
            <w:vAlign w:val="center"/>
          </w:tcPr>
          <w:p>
            <w:pPr>
              <w:spacing w:line="440" w:lineRule="exact"/>
              <w:jc w:val="center"/>
              <w:rPr>
                <w:rFonts w:hint="eastAsia" w:ascii="仿宋" w:hAnsi="仿宋" w:eastAsia="仿宋" w:cs="仿宋"/>
                <w:color w:val="auto"/>
                <w:sz w:val="21"/>
                <w:szCs w:val="21"/>
                <w:highlight w:val="none"/>
              </w:rPr>
            </w:pPr>
          </w:p>
        </w:tc>
        <w:tc>
          <w:tcPr>
            <w:tcW w:w="1496" w:type="dxa"/>
            <w:vAlign w:val="center"/>
          </w:tcPr>
          <w:p>
            <w:pPr>
              <w:spacing w:line="440" w:lineRule="exact"/>
              <w:jc w:val="center"/>
              <w:rPr>
                <w:rFonts w:hint="eastAsia" w:ascii="仿宋" w:hAnsi="仿宋" w:eastAsia="仿宋" w:cs="仿宋"/>
                <w:color w:val="auto"/>
                <w:sz w:val="21"/>
                <w:szCs w:val="21"/>
                <w:highlight w:val="none"/>
              </w:rPr>
            </w:pPr>
          </w:p>
        </w:tc>
        <w:tc>
          <w:tcPr>
            <w:tcW w:w="1498" w:type="dxa"/>
            <w:vAlign w:val="center"/>
          </w:tcPr>
          <w:p>
            <w:pPr>
              <w:spacing w:line="440" w:lineRule="exact"/>
              <w:jc w:val="center"/>
              <w:rPr>
                <w:rFonts w:hint="eastAsia" w:ascii="仿宋" w:hAnsi="仿宋" w:eastAsia="仿宋" w:cs="仿宋"/>
                <w:color w:val="auto"/>
                <w:sz w:val="21"/>
                <w:szCs w:val="21"/>
                <w:highlight w:val="none"/>
              </w:rPr>
            </w:pPr>
          </w:p>
        </w:tc>
        <w:tc>
          <w:tcPr>
            <w:tcW w:w="1888" w:type="dxa"/>
            <w:vAlign w:val="center"/>
          </w:tcPr>
          <w:p>
            <w:pPr>
              <w:spacing w:line="440" w:lineRule="exact"/>
              <w:jc w:val="center"/>
              <w:rPr>
                <w:rFonts w:hint="eastAsia" w:ascii="仿宋" w:hAnsi="仿宋" w:eastAsia="仿宋" w:cs="仿宋"/>
                <w:color w:val="auto"/>
                <w:sz w:val="21"/>
                <w:szCs w:val="21"/>
                <w:highlight w:val="none"/>
              </w:rPr>
            </w:pPr>
          </w:p>
        </w:tc>
        <w:tc>
          <w:tcPr>
            <w:tcW w:w="605" w:type="dxa"/>
            <w:vAlign w:val="center"/>
          </w:tcPr>
          <w:p>
            <w:pPr>
              <w:spacing w:line="440" w:lineRule="exact"/>
              <w:jc w:val="center"/>
              <w:rPr>
                <w:rFonts w:hint="eastAsia" w:ascii="仿宋" w:hAnsi="仿宋" w:eastAsia="仿宋" w:cs="仿宋"/>
                <w:color w:val="auto"/>
                <w:sz w:val="21"/>
                <w:szCs w:val="21"/>
                <w:highlight w:val="none"/>
              </w:rPr>
            </w:pPr>
          </w:p>
        </w:tc>
        <w:tc>
          <w:tcPr>
            <w:tcW w:w="678" w:type="dxa"/>
            <w:vAlign w:val="center"/>
          </w:tcPr>
          <w:p>
            <w:pPr>
              <w:spacing w:line="440" w:lineRule="exact"/>
              <w:jc w:val="center"/>
              <w:rPr>
                <w:rFonts w:hint="eastAsia" w:ascii="仿宋" w:hAnsi="仿宋" w:eastAsia="仿宋" w:cs="仿宋"/>
                <w:color w:val="auto"/>
                <w:sz w:val="21"/>
                <w:szCs w:val="21"/>
                <w:highlight w:val="none"/>
              </w:rPr>
            </w:pPr>
          </w:p>
        </w:tc>
        <w:tc>
          <w:tcPr>
            <w:tcW w:w="820" w:type="dxa"/>
            <w:vAlign w:val="center"/>
          </w:tcPr>
          <w:p>
            <w:pPr>
              <w:spacing w:line="440" w:lineRule="exact"/>
              <w:jc w:val="center"/>
              <w:rPr>
                <w:rFonts w:hint="eastAsia" w:ascii="仿宋" w:hAnsi="仿宋" w:eastAsia="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5" w:type="dxa"/>
            <w:vAlign w:val="center"/>
          </w:tcPr>
          <w:p>
            <w:pPr>
              <w:spacing w:line="440" w:lineRule="exact"/>
              <w:jc w:val="center"/>
              <w:rPr>
                <w:rFonts w:hint="eastAsia" w:ascii="仿宋" w:hAnsi="仿宋" w:eastAsia="仿宋" w:cs="仿宋"/>
                <w:color w:val="auto"/>
                <w:sz w:val="21"/>
                <w:szCs w:val="21"/>
                <w:highlight w:val="none"/>
              </w:rPr>
            </w:pPr>
          </w:p>
        </w:tc>
        <w:tc>
          <w:tcPr>
            <w:tcW w:w="855" w:type="dxa"/>
            <w:vAlign w:val="center"/>
          </w:tcPr>
          <w:p>
            <w:pPr>
              <w:spacing w:line="440" w:lineRule="exact"/>
              <w:jc w:val="center"/>
              <w:rPr>
                <w:rFonts w:hint="eastAsia" w:ascii="仿宋" w:hAnsi="仿宋" w:eastAsia="仿宋" w:cs="仿宋"/>
                <w:color w:val="auto"/>
                <w:sz w:val="21"/>
                <w:szCs w:val="21"/>
                <w:highlight w:val="none"/>
              </w:rPr>
            </w:pPr>
          </w:p>
        </w:tc>
        <w:tc>
          <w:tcPr>
            <w:tcW w:w="1159" w:type="dxa"/>
            <w:vAlign w:val="center"/>
          </w:tcPr>
          <w:p>
            <w:pPr>
              <w:spacing w:line="440" w:lineRule="exact"/>
              <w:jc w:val="center"/>
              <w:rPr>
                <w:rFonts w:hint="eastAsia" w:ascii="仿宋" w:hAnsi="仿宋" w:eastAsia="仿宋" w:cs="仿宋"/>
                <w:color w:val="auto"/>
                <w:sz w:val="21"/>
                <w:szCs w:val="21"/>
                <w:highlight w:val="none"/>
              </w:rPr>
            </w:pPr>
          </w:p>
        </w:tc>
        <w:tc>
          <w:tcPr>
            <w:tcW w:w="1496" w:type="dxa"/>
            <w:vAlign w:val="center"/>
          </w:tcPr>
          <w:p>
            <w:pPr>
              <w:spacing w:line="440" w:lineRule="exact"/>
              <w:jc w:val="center"/>
              <w:rPr>
                <w:rFonts w:hint="eastAsia" w:ascii="仿宋" w:hAnsi="仿宋" w:eastAsia="仿宋" w:cs="仿宋"/>
                <w:color w:val="auto"/>
                <w:sz w:val="21"/>
                <w:szCs w:val="21"/>
                <w:highlight w:val="none"/>
              </w:rPr>
            </w:pPr>
          </w:p>
        </w:tc>
        <w:tc>
          <w:tcPr>
            <w:tcW w:w="1498" w:type="dxa"/>
            <w:vAlign w:val="center"/>
          </w:tcPr>
          <w:p>
            <w:pPr>
              <w:spacing w:line="440" w:lineRule="exact"/>
              <w:jc w:val="center"/>
              <w:rPr>
                <w:rFonts w:hint="eastAsia" w:ascii="仿宋" w:hAnsi="仿宋" w:eastAsia="仿宋" w:cs="仿宋"/>
                <w:color w:val="auto"/>
                <w:sz w:val="21"/>
                <w:szCs w:val="21"/>
                <w:highlight w:val="none"/>
              </w:rPr>
            </w:pPr>
          </w:p>
        </w:tc>
        <w:tc>
          <w:tcPr>
            <w:tcW w:w="1888" w:type="dxa"/>
            <w:vAlign w:val="center"/>
          </w:tcPr>
          <w:p>
            <w:pPr>
              <w:spacing w:line="440" w:lineRule="exact"/>
              <w:jc w:val="center"/>
              <w:rPr>
                <w:rFonts w:hint="eastAsia" w:ascii="仿宋" w:hAnsi="仿宋" w:eastAsia="仿宋" w:cs="仿宋"/>
                <w:color w:val="auto"/>
                <w:sz w:val="21"/>
                <w:szCs w:val="21"/>
                <w:highlight w:val="none"/>
              </w:rPr>
            </w:pPr>
          </w:p>
        </w:tc>
        <w:tc>
          <w:tcPr>
            <w:tcW w:w="605" w:type="dxa"/>
            <w:vAlign w:val="center"/>
          </w:tcPr>
          <w:p>
            <w:pPr>
              <w:spacing w:line="440" w:lineRule="exact"/>
              <w:jc w:val="center"/>
              <w:rPr>
                <w:rFonts w:hint="eastAsia" w:ascii="仿宋" w:hAnsi="仿宋" w:eastAsia="仿宋" w:cs="仿宋"/>
                <w:color w:val="auto"/>
                <w:sz w:val="21"/>
                <w:szCs w:val="21"/>
                <w:highlight w:val="none"/>
              </w:rPr>
            </w:pPr>
          </w:p>
        </w:tc>
        <w:tc>
          <w:tcPr>
            <w:tcW w:w="678" w:type="dxa"/>
            <w:vAlign w:val="center"/>
          </w:tcPr>
          <w:p>
            <w:pPr>
              <w:spacing w:line="440" w:lineRule="exact"/>
              <w:jc w:val="center"/>
              <w:rPr>
                <w:rFonts w:hint="eastAsia" w:ascii="仿宋" w:hAnsi="仿宋" w:eastAsia="仿宋" w:cs="仿宋"/>
                <w:color w:val="auto"/>
                <w:sz w:val="21"/>
                <w:szCs w:val="21"/>
                <w:highlight w:val="none"/>
              </w:rPr>
            </w:pPr>
          </w:p>
        </w:tc>
        <w:tc>
          <w:tcPr>
            <w:tcW w:w="820" w:type="dxa"/>
            <w:vAlign w:val="center"/>
          </w:tcPr>
          <w:p>
            <w:pPr>
              <w:spacing w:line="440" w:lineRule="exact"/>
              <w:jc w:val="center"/>
              <w:rPr>
                <w:rFonts w:hint="eastAsia" w:ascii="仿宋" w:hAnsi="仿宋" w:eastAsia="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863" w:type="dxa"/>
            <w:gridSpan w:val="5"/>
            <w:vAlign w:val="center"/>
          </w:tcPr>
          <w:p>
            <w:pPr>
              <w:spacing w:line="440" w:lineRule="exac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合计金额</w:t>
            </w:r>
          </w:p>
        </w:tc>
        <w:tc>
          <w:tcPr>
            <w:tcW w:w="3991" w:type="dxa"/>
            <w:gridSpan w:val="4"/>
            <w:vAlign w:val="center"/>
          </w:tcPr>
          <w:p>
            <w:pPr>
              <w:spacing w:line="440" w:lineRule="exact"/>
              <w:rPr>
                <w:rFonts w:hint="eastAsia" w:ascii="仿宋" w:hAnsi="仿宋" w:eastAsia="仿宋" w:cs="仿宋"/>
                <w:color w:val="auto"/>
                <w:sz w:val="21"/>
                <w:szCs w:val="21"/>
                <w:highlight w:val="none"/>
              </w:rPr>
            </w:pPr>
          </w:p>
        </w:tc>
      </w:tr>
    </w:tbl>
    <w:p>
      <w:pPr>
        <w:tabs>
          <w:tab w:val="left" w:pos="13000"/>
        </w:tabs>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w:t>
      </w:r>
    </w:p>
    <w:p>
      <w:pPr>
        <w:tabs>
          <w:tab w:val="left" w:pos="13000"/>
        </w:tabs>
        <w:spacing w:line="440" w:lineRule="exac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1、空调机、照明产品（包括双端荧光灯、自镇流荧光灯、单端荧光灯、管形荧光灯镇流器）、电视机、电热水器、计算机、打印机、显示器、便器、水嘴等九类产品为政府强制采购节能产品。</w:t>
      </w:r>
    </w:p>
    <w:p>
      <w:pPr>
        <w:spacing w:line="440" w:lineRule="exact"/>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2、若无货物属于优先采购节能、环境标志产品的，则不填写此表。</w:t>
      </w:r>
    </w:p>
    <w:p>
      <w:pPr>
        <w:adjustRightInd w:val="0"/>
        <w:snapToGrid w:val="0"/>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投标人（盖单位章）：</w:t>
      </w:r>
    </w:p>
    <w:p>
      <w:pPr>
        <w:adjustRightInd w:val="0"/>
        <w:snapToGrid w:val="0"/>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法定代表人或其委托代理人签字：</w:t>
      </w:r>
    </w:p>
    <w:p>
      <w:pPr>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日期：年月日</w:t>
      </w:r>
    </w:p>
    <w:p>
      <w:pPr>
        <w:pStyle w:val="5"/>
        <w:rPr>
          <w:rFonts w:hint="eastAsia" w:ascii="仿宋" w:hAnsi="仿宋" w:eastAsia="仿宋" w:cs="仿宋"/>
          <w:color w:val="auto"/>
          <w:highlight w:val="none"/>
        </w:rPr>
        <w:sectPr>
          <w:pgSz w:w="11906" w:h="16838"/>
          <w:pgMar w:top="1418" w:right="1588" w:bottom="1418" w:left="1588" w:header="851" w:footer="992" w:gutter="0"/>
          <w:cols w:space="720" w:num="1"/>
          <w:docGrid w:type="lines" w:linePitch="312" w:charSpace="0"/>
        </w:sectPr>
      </w:pPr>
    </w:p>
    <w:p>
      <w:pPr>
        <w:jc w:val="center"/>
        <w:rPr>
          <w:rFonts w:hint="eastAsia" w:ascii="仿宋" w:hAnsi="仿宋" w:eastAsia="仿宋" w:cs="仿宋"/>
          <w:color w:val="auto"/>
          <w:highlight w:val="none"/>
        </w:rPr>
      </w:pPr>
    </w:p>
    <w:p>
      <w:pPr>
        <w:keepNext w:val="0"/>
        <w:keepLines w:val="0"/>
        <w:pageBreakBefore w:val="0"/>
        <w:widowControl/>
        <w:numPr>
          <w:ilvl w:val="0"/>
          <w:numId w:val="13"/>
        </w:numPr>
        <w:kinsoku/>
        <w:wordWrap/>
        <w:overflowPunct/>
        <w:topLinePunct w:val="0"/>
        <w:autoSpaceDE/>
        <w:autoSpaceDN/>
        <w:bidi w:val="0"/>
        <w:adjustRightInd w:val="0"/>
        <w:snapToGrid w:val="0"/>
        <w:spacing w:line="360" w:lineRule="auto"/>
        <w:ind w:left="0" w:leftChars="0" w:right="0" w:rightChars="0" w:firstLine="0" w:firstLineChars="0"/>
        <w:jc w:val="center"/>
        <w:textAlignment w:val="auto"/>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节能、环境标志产品证明材料</w:t>
      </w:r>
    </w:p>
    <w:p>
      <w:pPr>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1.节能产品：应在</w:t>
      </w:r>
    </w:p>
    <w:p>
      <w:pPr>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中国政府采购网（ ht tp://www.ccgp.gov.cn ）</w:t>
      </w:r>
    </w:p>
    <w:p>
      <w:pPr>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国家发展改革委网站（ http://hzs.ndrc.gov.cn ）</w:t>
      </w:r>
    </w:p>
    <w:p>
      <w:pPr>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中国质量认证心网站（ http://www.cqc.com.cn ）</w:t>
      </w:r>
    </w:p>
    <w:p>
      <w:pPr>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2.环境标志产品：应在</w:t>
      </w:r>
    </w:p>
    <w:p>
      <w:pPr>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中国政府采购网（ http://www.ccgp.gov.cn ）</w:t>
      </w:r>
    </w:p>
    <w:p>
      <w:pPr>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国家环境保护部网（ http://www.sepa.gov.cn ）</w:t>
      </w:r>
    </w:p>
    <w:p>
      <w:pPr>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中国绿色采购网（ http://www.cgpn.cn ）</w:t>
      </w:r>
    </w:p>
    <w:p>
      <w:pPr>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3.属优先采购节能、环境标志产品须从以上权威媒体网站上下载的网页公告、目录清单、证书等，并注出所在位置。</w:t>
      </w:r>
    </w:p>
    <w:p>
      <w:pPr>
        <w:spacing w:line="440" w:lineRule="exact"/>
        <w:ind w:firstLine="480" w:firstLineChars="200"/>
        <w:jc w:val="left"/>
        <w:rPr>
          <w:rFonts w:hint="eastAsia" w:ascii="仿宋" w:hAnsi="仿宋" w:eastAsia="仿宋" w:cs="仿宋"/>
          <w:b/>
          <w:color w:val="auto"/>
          <w:kern w:val="0"/>
          <w:sz w:val="24"/>
          <w:szCs w:val="24"/>
          <w:highlight w:val="none"/>
        </w:rPr>
      </w:pPr>
      <w:r>
        <w:rPr>
          <w:rFonts w:hint="eastAsia" w:ascii="仿宋" w:hAnsi="仿宋" w:eastAsia="仿宋" w:cs="仿宋"/>
          <w:color w:val="auto"/>
          <w:sz w:val="24"/>
          <w:szCs w:val="24"/>
          <w:highlight w:val="none"/>
        </w:rPr>
        <w:t>4.证明材料加盖投标人公章。</w:t>
      </w:r>
    </w:p>
    <w:p>
      <w:pPr>
        <w:pStyle w:val="7"/>
        <w:numPr>
          <w:ilvl w:val="0"/>
          <w:numId w:val="0"/>
        </w:numPr>
        <w:rPr>
          <w:rFonts w:hint="eastAsia" w:ascii="仿宋" w:hAnsi="仿宋" w:eastAsia="仿宋" w:cs="仿宋"/>
          <w:color w:val="auto"/>
          <w:highlight w:val="none"/>
        </w:rPr>
        <w:sectPr>
          <w:pgSz w:w="11906" w:h="16838"/>
          <w:pgMar w:top="1418" w:right="1588" w:bottom="1418" w:left="1588" w:header="851" w:footer="992" w:gutter="0"/>
          <w:cols w:space="720" w:num="1"/>
          <w:docGrid w:type="lines" w:linePitch="312" w:charSpace="0"/>
        </w:sectPr>
      </w:pPr>
    </w:p>
    <w:p>
      <w:pPr>
        <w:pStyle w:val="7"/>
        <w:numPr>
          <w:ilvl w:val="0"/>
          <w:numId w:val="0"/>
        </w:numPr>
        <w:rPr>
          <w:rFonts w:hint="eastAsia" w:ascii="仿宋" w:hAnsi="仿宋" w:eastAsia="仿宋" w:cs="仿宋"/>
          <w:color w:val="auto"/>
          <w:highlight w:val="none"/>
        </w:rPr>
      </w:pPr>
    </w:p>
    <w:p>
      <w:pPr>
        <w:spacing w:line="440" w:lineRule="exact"/>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4、小微企业生产或销售的产品优惠明细表（若有，请如实填写）</w:t>
      </w:r>
    </w:p>
    <w:p>
      <w:pPr>
        <w:pStyle w:val="48"/>
        <w:spacing w:line="440" w:lineRule="exact"/>
        <w:ind w:left="0" w:firstLine="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报价货币种类：</w:t>
      </w:r>
    </w:p>
    <w:tbl>
      <w:tblPr>
        <w:tblStyle w:val="21"/>
        <w:tblW w:w="9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7"/>
        <w:gridCol w:w="2012"/>
        <w:gridCol w:w="1123"/>
        <w:gridCol w:w="1050"/>
        <w:gridCol w:w="1348"/>
        <w:gridCol w:w="1348"/>
        <w:gridCol w:w="1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07" w:type="dxa"/>
            <w:vAlign w:val="center"/>
          </w:tcPr>
          <w:p>
            <w:pPr>
              <w:tabs>
                <w:tab w:val="left" w:pos="5355"/>
              </w:tabs>
              <w:spacing w:line="440" w:lineRule="exac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w:t>
            </w:r>
          </w:p>
        </w:tc>
        <w:tc>
          <w:tcPr>
            <w:tcW w:w="2012" w:type="dxa"/>
            <w:vAlign w:val="center"/>
          </w:tcPr>
          <w:p>
            <w:pPr>
              <w:tabs>
                <w:tab w:val="left" w:pos="5355"/>
              </w:tabs>
              <w:spacing w:line="440" w:lineRule="exac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w:t>
            </w:r>
          </w:p>
        </w:tc>
        <w:tc>
          <w:tcPr>
            <w:tcW w:w="1123" w:type="dxa"/>
            <w:vAlign w:val="center"/>
          </w:tcPr>
          <w:p>
            <w:pPr>
              <w:tabs>
                <w:tab w:val="left" w:pos="5355"/>
              </w:tabs>
              <w:spacing w:line="440" w:lineRule="exac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w:t>
            </w:r>
          </w:p>
        </w:tc>
        <w:tc>
          <w:tcPr>
            <w:tcW w:w="1050" w:type="dxa"/>
            <w:vAlign w:val="center"/>
          </w:tcPr>
          <w:p>
            <w:pPr>
              <w:tabs>
                <w:tab w:val="left" w:pos="5355"/>
              </w:tabs>
              <w:spacing w:line="440" w:lineRule="exac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w:t>
            </w:r>
          </w:p>
        </w:tc>
        <w:tc>
          <w:tcPr>
            <w:tcW w:w="1348" w:type="dxa"/>
            <w:vAlign w:val="center"/>
          </w:tcPr>
          <w:p>
            <w:pPr>
              <w:tabs>
                <w:tab w:val="left" w:pos="5355"/>
              </w:tabs>
              <w:spacing w:line="440" w:lineRule="exac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5</w:t>
            </w:r>
          </w:p>
        </w:tc>
        <w:tc>
          <w:tcPr>
            <w:tcW w:w="1348" w:type="dxa"/>
            <w:vAlign w:val="center"/>
          </w:tcPr>
          <w:p>
            <w:pPr>
              <w:tabs>
                <w:tab w:val="left" w:pos="5355"/>
              </w:tabs>
              <w:spacing w:line="440" w:lineRule="exac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6</w:t>
            </w:r>
          </w:p>
        </w:tc>
        <w:tc>
          <w:tcPr>
            <w:tcW w:w="1766" w:type="dxa"/>
            <w:vAlign w:val="center"/>
          </w:tcPr>
          <w:p>
            <w:pPr>
              <w:tabs>
                <w:tab w:val="left" w:pos="5355"/>
              </w:tabs>
              <w:spacing w:line="440" w:lineRule="exac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07" w:type="dxa"/>
            <w:vAlign w:val="center"/>
          </w:tcPr>
          <w:p>
            <w:pPr>
              <w:tabs>
                <w:tab w:val="left" w:pos="5355"/>
              </w:tabs>
              <w:spacing w:line="440" w:lineRule="exac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标段（包）</w:t>
            </w:r>
          </w:p>
        </w:tc>
        <w:tc>
          <w:tcPr>
            <w:tcW w:w="2012" w:type="dxa"/>
            <w:vAlign w:val="center"/>
          </w:tcPr>
          <w:p>
            <w:pPr>
              <w:tabs>
                <w:tab w:val="left" w:pos="5355"/>
              </w:tabs>
              <w:spacing w:line="440" w:lineRule="exac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小型和微型企业产品名称</w:t>
            </w:r>
          </w:p>
        </w:tc>
        <w:tc>
          <w:tcPr>
            <w:tcW w:w="1123" w:type="dxa"/>
            <w:vAlign w:val="center"/>
          </w:tcPr>
          <w:p>
            <w:pPr>
              <w:tabs>
                <w:tab w:val="left" w:pos="5355"/>
              </w:tabs>
              <w:spacing w:line="440" w:lineRule="exac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数量</w:t>
            </w:r>
          </w:p>
        </w:tc>
        <w:tc>
          <w:tcPr>
            <w:tcW w:w="1050" w:type="dxa"/>
            <w:vAlign w:val="center"/>
          </w:tcPr>
          <w:p>
            <w:pPr>
              <w:tabs>
                <w:tab w:val="left" w:pos="5355"/>
              </w:tabs>
              <w:spacing w:line="440" w:lineRule="exac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报价（元）</w:t>
            </w:r>
          </w:p>
        </w:tc>
        <w:tc>
          <w:tcPr>
            <w:tcW w:w="1348" w:type="dxa"/>
            <w:vAlign w:val="center"/>
          </w:tcPr>
          <w:p>
            <w:pPr>
              <w:tabs>
                <w:tab w:val="left" w:pos="5355"/>
              </w:tabs>
              <w:spacing w:line="440" w:lineRule="exac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价格评审扣除金额（元）</w:t>
            </w:r>
          </w:p>
        </w:tc>
        <w:tc>
          <w:tcPr>
            <w:tcW w:w="1348" w:type="dxa"/>
            <w:vAlign w:val="center"/>
          </w:tcPr>
          <w:p>
            <w:pPr>
              <w:tabs>
                <w:tab w:val="left" w:pos="5355"/>
              </w:tabs>
              <w:spacing w:line="440" w:lineRule="exac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品牌型号规格</w:t>
            </w:r>
          </w:p>
        </w:tc>
        <w:tc>
          <w:tcPr>
            <w:tcW w:w="1766" w:type="dxa"/>
            <w:vAlign w:val="center"/>
          </w:tcPr>
          <w:p>
            <w:pPr>
              <w:tabs>
                <w:tab w:val="left" w:pos="5355"/>
              </w:tabs>
              <w:spacing w:line="440" w:lineRule="exac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制造商</w:t>
            </w:r>
          </w:p>
          <w:p>
            <w:pPr>
              <w:tabs>
                <w:tab w:val="left" w:pos="5355"/>
              </w:tabs>
              <w:spacing w:line="440" w:lineRule="exac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全称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07" w:type="dxa"/>
            <w:vAlign w:val="center"/>
          </w:tcPr>
          <w:p>
            <w:pPr>
              <w:tabs>
                <w:tab w:val="left" w:pos="5355"/>
              </w:tabs>
              <w:spacing w:line="440" w:lineRule="exact"/>
              <w:jc w:val="center"/>
              <w:rPr>
                <w:rFonts w:hint="eastAsia" w:ascii="仿宋" w:hAnsi="仿宋" w:eastAsia="仿宋" w:cs="仿宋"/>
                <w:color w:val="auto"/>
                <w:sz w:val="21"/>
                <w:szCs w:val="21"/>
                <w:highlight w:val="none"/>
              </w:rPr>
            </w:pPr>
          </w:p>
        </w:tc>
        <w:tc>
          <w:tcPr>
            <w:tcW w:w="2012" w:type="dxa"/>
          </w:tcPr>
          <w:p>
            <w:pPr>
              <w:tabs>
                <w:tab w:val="left" w:pos="5355"/>
              </w:tabs>
              <w:spacing w:line="440" w:lineRule="exact"/>
              <w:jc w:val="center"/>
              <w:rPr>
                <w:rFonts w:hint="eastAsia" w:ascii="仿宋" w:hAnsi="仿宋" w:eastAsia="仿宋" w:cs="仿宋"/>
                <w:color w:val="auto"/>
                <w:sz w:val="21"/>
                <w:szCs w:val="21"/>
                <w:highlight w:val="none"/>
              </w:rPr>
            </w:pPr>
          </w:p>
        </w:tc>
        <w:tc>
          <w:tcPr>
            <w:tcW w:w="1123" w:type="dxa"/>
            <w:vAlign w:val="center"/>
          </w:tcPr>
          <w:p>
            <w:pPr>
              <w:tabs>
                <w:tab w:val="left" w:pos="5355"/>
              </w:tabs>
              <w:spacing w:line="440" w:lineRule="exact"/>
              <w:jc w:val="center"/>
              <w:rPr>
                <w:rFonts w:hint="eastAsia" w:ascii="仿宋" w:hAnsi="仿宋" w:eastAsia="仿宋" w:cs="仿宋"/>
                <w:color w:val="auto"/>
                <w:sz w:val="21"/>
                <w:szCs w:val="21"/>
                <w:highlight w:val="none"/>
              </w:rPr>
            </w:pPr>
          </w:p>
        </w:tc>
        <w:tc>
          <w:tcPr>
            <w:tcW w:w="1050" w:type="dxa"/>
            <w:vAlign w:val="center"/>
          </w:tcPr>
          <w:p>
            <w:pPr>
              <w:tabs>
                <w:tab w:val="left" w:pos="5355"/>
              </w:tabs>
              <w:spacing w:line="440" w:lineRule="exact"/>
              <w:jc w:val="center"/>
              <w:rPr>
                <w:rFonts w:hint="eastAsia" w:ascii="仿宋" w:hAnsi="仿宋" w:eastAsia="仿宋" w:cs="仿宋"/>
                <w:color w:val="auto"/>
                <w:sz w:val="21"/>
                <w:szCs w:val="21"/>
                <w:highlight w:val="none"/>
              </w:rPr>
            </w:pPr>
          </w:p>
        </w:tc>
        <w:tc>
          <w:tcPr>
            <w:tcW w:w="1348" w:type="dxa"/>
            <w:vAlign w:val="center"/>
          </w:tcPr>
          <w:p>
            <w:pPr>
              <w:tabs>
                <w:tab w:val="left" w:pos="5355"/>
              </w:tabs>
              <w:spacing w:line="440" w:lineRule="exact"/>
              <w:jc w:val="center"/>
              <w:rPr>
                <w:rFonts w:hint="eastAsia" w:ascii="仿宋" w:hAnsi="仿宋" w:eastAsia="仿宋" w:cs="仿宋"/>
                <w:color w:val="auto"/>
                <w:sz w:val="21"/>
                <w:szCs w:val="21"/>
                <w:highlight w:val="none"/>
              </w:rPr>
            </w:pPr>
          </w:p>
        </w:tc>
        <w:tc>
          <w:tcPr>
            <w:tcW w:w="1348" w:type="dxa"/>
            <w:vAlign w:val="center"/>
          </w:tcPr>
          <w:p>
            <w:pPr>
              <w:tabs>
                <w:tab w:val="left" w:pos="5355"/>
              </w:tabs>
              <w:spacing w:line="440" w:lineRule="exact"/>
              <w:jc w:val="center"/>
              <w:rPr>
                <w:rFonts w:hint="eastAsia" w:ascii="仿宋" w:hAnsi="仿宋" w:eastAsia="仿宋" w:cs="仿宋"/>
                <w:color w:val="auto"/>
                <w:sz w:val="21"/>
                <w:szCs w:val="21"/>
                <w:highlight w:val="none"/>
              </w:rPr>
            </w:pPr>
          </w:p>
        </w:tc>
        <w:tc>
          <w:tcPr>
            <w:tcW w:w="1766" w:type="dxa"/>
            <w:vAlign w:val="center"/>
          </w:tcPr>
          <w:p>
            <w:pPr>
              <w:tabs>
                <w:tab w:val="left" w:pos="5355"/>
              </w:tabs>
              <w:spacing w:line="440" w:lineRule="exact"/>
              <w:jc w:val="center"/>
              <w:rPr>
                <w:rFonts w:hint="eastAsia" w:ascii="仿宋" w:hAnsi="仿宋" w:eastAsia="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07" w:type="dxa"/>
            <w:vAlign w:val="center"/>
          </w:tcPr>
          <w:p>
            <w:pPr>
              <w:tabs>
                <w:tab w:val="left" w:pos="5355"/>
              </w:tabs>
              <w:spacing w:line="440" w:lineRule="exact"/>
              <w:jc w:val="center"/>
              <w:rPr>
                <w:rFonts w:hint="eastAsia" w:ascii="仿宋" w:hAnsi="仿宋" w:eastAsia="仿宋" w:cs="仿宋"/>
                <w:color w:val="auto"/>
                <w:sz w:val="21"/>
                <w:szCs w:val="21"/>
                <w:highlight w:val="none"/>
              </w:rPr>
            </w:pPr>
          </w:p>
        </w:tc>
        <w:tc>
          <w:tcPr>
            <w:tcW w:w="2012" w:type="dxa"/>
          </w:tcPr>
          <w:p>
            <w:pPr>
              <w:tabs>
                <w:tab w:val="left" w:pos="5355"/>
              </w:tabs>
              <w:spacing w:line="440" w:lineRule="exact"/>
              <w:jc w:val="center"/>
              <w:rPr>
                <w:rFonts w:hint="eastAsia" w:ascii="仿宋" w:hAnsi="仿宋" w:eastAsia="仿宋" w:cs="仿宋"/>
                <w:color w:val="auto"/>
                <w:sz w:val="21"/>
                <w:szCs w:val="21"/>
                <w:highlight w:val="none"/>
              </w:rPr>
            </w:pPr>
          </w:p>
        </w:tc>
        <w:tc>
          <w:tcPr>
            <w:tcW w:w="1123" w:type="dxa"/>
            <w:vAlign w:val="center"/>
          </w:tcPr>
          <w:p>
            <w:pPr>
              <w:tabs>
                <w:tab w:val="left" w:pos="5355"/>
              </w:tabs>
              <w:spacing w:line="440" w:lineRule="exact"/>
              <w:jc w:val="center"/>
              <w:rPr>
                <w:rFonts w:hint="eastAsia" w:ascii="仿宋" w:hAnsi="仿宋" w:eastAsia="仿宋" w:cs="仿宋"/>
                <w:color w:val="auto"/>
                <w:sz w:val="21"/>
                <w:szCs w:val="21"/>
                <w:highlight w:val="none"/>
              </w:rPr>
            </w:pPr>
          </w:p>
        </w:tc>
        <w:tc>
          <w:tcPr>
            <w:tcW w:w="1050" w:type="dxa"/>
            <w:vAlign w:val="center"/>
          </w:tcPr>
          <w:p>
            <w:pPr>
              <w:tabs>
                <w:tab w:val="left" w:pos="5355"/>
              </w:tabs>
              <w:spacing w:line="440" w:lineRule="exact"/>
              <w:jc w:val="center"/>
              <w:rPr>
                <w:rFonts w:hint="eastAsia" w:ascii="仿宋" w:hAnsi="仿宋" w:eastAsia="仿宋" w:cs="仿宋"/>
                <w:color w:val="auto"/>
                <w:sz w:val="21"/>
                <w:szCs w:val="21"/>
                <w:highlight w:val="none"/>
              </w:rPr>
            </w:pPr>
          </w:p>
        </w:tc>
        <w:tc>
          <w:tcPr>
            <w:tcW w:w="1348" w:type="dxa"/>
            <w:vAlign w:val="center"/>
          </w:tcPr>
          <w:p>
            <w:pPr>
              <w:tabs>
                <w:tab w:val="left" w:pos="5355"/>
              </w:tabs>
              <w:spacing w:line="440" w:lineRule="exact"/>
              <w:jc w:val="center"/>
              <w:rPr>
                <w:rFonts w:hint="eastAsia" w:ascii="仿宋" w:hAnsi="仿宋" w:eastAsia="仿宋" w:cs="仿宋"/>
                <w:color w:val="auto"/>
                <w:sz w:val="21"/>
                <w:szCs w:val="21"/>
                <w:highlight w:val="none"/>
              </w:rPr>
            </w:pPr>
          </w:p>
        </w:tc>
        <w:tc>
          <w:tcPr>
            <w:tcW w:w="1348" w:type="dxa"/>
            <w:vAlign w:val="center"/>
          </w:tcPr>
          <w:p>
            <w:pPr>
              <w:tabs>
                <w:tab w:val="left" w:pos="5355"/>
              </w:tabs>
              <w:spacing w:line="440" w:lineRule="exact"/>
              <w:jc w:val="center"/>
              <w:rPr>
                <w:rFonts w:hint="eastAsia" w:ascii="仿宋" w:hAnsi="仿宋" w:eastAsia="仿宋" w:cs="仿宋"/>
                <w:color w:val="auto"/>
                <w:sz w:val="21"/>
                <w:szCs w:val="21"/>
                <w:highlight w:val="none"/>
              </w:rPr>
            </w:pPr>
          </w:p>
        </w:tc>
        <w:tc>
          <w:tcPr>
            <w:tcW w:w="1766" w:type="dxa"/>
            <w:vAlign w:val="center"/>
          </w:tcPr>
          <w:p>
            <w:pPr>
              <w:tabs>
                <w:tab w:val="left" w:pos="5355"/>
              </w:tabs>
              <w:spacing w:line="440" w:lineRule="exact"/>
              <w:jc w:val="center"/>
              <w:rPr>
                <w:rFonts w:hint="eastAsia" w:ascii="仿宋" w:hAnsi="仿宋" w:eastAsia="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07" w:type="dxa"/>
            <w:vAlign w:val="center"/>
          </w:tcPr>
          <w:p>
            <w:pPr>
              <w:tabs>
                <w:tab w:val="left" w:pos="5355"/>
              </w:tabs>
              <w:spacing w:line="440" w:lineRule="exact"/>
              <w:jc w:val="center"/>
              <w:rPr>
                <w:rFonts w:hint="eastAsia" w:ascii="仿宋" w:hAnsi="仿宋" w:eastAsia="仿宋" w:cs="仿宋"/>
                <w:color w:val="auto"/>
                <w:sz w:val="21"/>
                <w:szCs w:val="21"/>
                <w:highlight w:val="none"/>
              </w:rPr>
            </w:pPr>
          </w:p>
        </w:tc>
        <w:tc>
          <w:tcPr>
            <w:tcW w:w="8647" w:type="dxa"/>
            <w:gridSpan w:val="6"/>
            <w:vAlign w:val="center"/>
          </w:tcPr>
          <w:p>
            <w:pPr>
              <w:tabs>
                <w:tab w:val="left" w:pos="5355"/>
              </w:tabs>
              <w:spacing w:line="440" w:lineRule="exac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本标段（包）总计：           （元）</w:t>
            </w:r>
          </w:p>
        </w:tc>
      </w:tr>
    </w:tbl>
    <w:p>
      <w:pPr>
        <w:pStyle w:val="48"/>
        <w:spacing w:line="440" w:lineRule="exact"/>
        <w:ind w:left="0" w:firstLine="0"/>
        <w:rPr>
          <w:rFonts w:hint="eastAsia" w:ascii="仿宋" w:hAnsi="仿宋" w:eastAsia="仿宋" w:cs="仿宋"/>
          <w:bCs/>
          <w:color w:val="auto"/>
          <w:sz w:val="24"/>
          <w:szCs w:val="24"/>
          <w:highlight w:val="none"/>
        </w:rPr>
      </w:pPr>
    </w:p>
    <w:p>
      <w:pPr>
        <w:tabs>
          <w:tab w:val="left" w:pos="13000"/>
        </w:tabs>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w:t>
      </w:r>
    </w:p>
    <w:p>
      <w:pPr>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1、当一个标段（包）内有多个属于小型和微型企业的产品时， 投标人应按序号详细填写。</w:t>
      </w:r>
    </w:p>
    <w:p>
      <w:pPr>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2、栏目5=栏目4×招标文件规定的价格扣除比率的优惠幅度。</w:t>
      </w:r>
    </w:p>
    <w:p>
      <w:pPr>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3、若所供应的产品不具备此类评审优惠条件，本“中小价格扣除明细表” 不必填写。</w:t>
      </w:r>
    </w:p>
    <w:p>
      <w:pPr>
        <w:spacing w:line="440" w:lineRule="exact"/>
        <w:rPr>
          <w:rFonts w:hint="eastAsia" w:ascii="仿宋" w:hAnsi="仿宋" w:eastAsia="仿宋" w:cs="仿宋"/>
          <w:color w:val="auto"/>
          <w:sz w:val="24"/>
          <w:szCs w:val="24"/>
          <w:highlight w:val="none"/>
        </w:rPr>
      </w:pPr>
    </w:p>
    <w:p>
      <w:pPr>
        <w:adjustRightInd w:val="0"/>
        <w:snapToGrid w:val="0"/>
        <w:spacing w:line="440" w:lineRule="exact"/>
        <w:jc w:val="right"/>
        <w:rPr>
          <w:rFonts w:hint="eastAsia" w:ascii="仿宋" w:hAnsi="仿宋" w:eastAsia="仿宋" w:cs="仿宋"/>
          <w:color w:val="auto"/>
          <w:sz w:val="24"/>
          <w:szCs w:val="24"/>
          <w:highlight w:val="none"/>
        </w:rPr>
      </w:pPr>
    </w:p>
    <w:p>
      <w:pPr>
        <w:adjustRightInd w:val="0"/>
        <w:snapToGrid w:val="0"/>
        <w:spacing w:line="440" w:lineRule="exact"/>
        <w:jc w:val="righ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投标人（盖单位章）：</w:t>
      </w:r>
    </w:p>
    <w:p>
      <w:pPr>
        <w:adjustRightInd w:val="0"/>
        <w:snapToGrid w:val="0"/>
        <w:spacing w:line="440" w:lineRule="exact"/>
        <w:jc w:val="righ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法定代表人或其委托代理人签字：</w:t>
      </w:r>
    </w:p>
    <w:p>
      <w:pPr>
        <w:adjustRightInd w:val="0"/>
        <w:snapToGrid w:val="0"/>
        <w:spacing w:line="440" w:lineRule="exact"/>
        <w:jc w:val="righ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日期：年月日</w:t>
      </w:r>
    </w:p>
    <w:p>
      <w:pPr>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firstLine="0" w:firstLineChars="0"/>
        <w:jc w:val="center"/>
        <w:textAlignment w:val="auto"/>
        <w:outlineLvl w:val="9"/>
        <w:rPr>
          <w:rFonts w:hint="eastAsia" w:ascii="仿宋" w:hAnsi="仿宋" w:eastAsia="仿宋" w:cs="仿宋"/>
          <w:bCs/>
          <w:color w:val="auto"/>
          <w:sz w:val="24"/>
          <w:szCs w:val="24"/>
          <w:highlight w:val="none"/>
        </w:rPr>
        <w:sectPr>
          <w:pgSz w:w="11906" w:h="16838"/>
          <w:pgMar w:top="1418" w:right="1588" w:bottom="1418" w:left="1588" w:header="851" w:footer="992" w:gutter="0"/>
          <w:cols w:space="720" w:num="1"/>
          <w:docGrid w:type="lines" w:linePitch="312" w:charSpace="0"/>
        </w:sectPr>
      </w:pPr>
    </w:p>
    <w:p>
      <w:pPr>
        <w:pStyle w:val="7"/>
        <w:rPr>
          <w:rFonts w:hint="eastAsia" w:ascii="仿宋" w:hAnsi="仿宋" w:eastAsia="仿宋" w:cs="仿宋"/>
          <w:color w:val="auto"/>
          <w:highlight w:val="none"/>
        </w:rPr>
      </w:pPr>
    </w:p>
    <w:p>
      <w:pPr>
        <w:keepNext w:val="0"/>
        <w:keepLines w:val="0"/>
        <w:pageBreakBefore w:val="0"/>
        <w:widowControl/>
        <w:numPr>
          <w:ilvl w:val="0"/>
          <w:numId w:val="14"/>
        </w:numPr>
        <w:kinsoku/>
        <w:wordWrap/>
        <w:overflowPunct/>
        <w:topLinePunct w:val="0"/>
        <w:autoSpaceDE/>
        <w:autoSpaceDN/>
        <w:bidi w:val="0"/>
        <w:adjustRightInd w:val="0"/>
        <w:snapToGrid w:val="0"/>
        <w:spacing w:line="360" w:lineRule="auto"/>
        <w:ind w:left="0" w:leftChars="0" w:right="0" w:rightChars="0" w:firstLine="0" w:firstLineChars="0"/>
        <w:jc w:val="center"/>
        <w:textAlignment w:val="auto"/>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中小企业声明函</w:t>
      </w:r>
    </w:p>
    <w:p>
      <w:pPr>
        <w:spacing w:line="44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（中小微企业适用）</w:t>
      </w:r>
    </w:p>
    <w:p>
      <w:pPr>
        <w:spacing w:line="44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本公司郑重声明，根据《政府采购促进中小企业发展暂行办法》（财库[2011]181 号）的规定，本公司为______（请填写：大型、中型、小型、微型）企业。即，本公司同时满足以下条件：</w:t>
      </w:r>
    </w:p>
    <w:p>
      <w:pPr>
        <w:spacing w:line="44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1.根据《工业和信息化部、国家统计局、国家发展和改革委员会、财政部关于印发中小企业划型标准规定的通知》（工信部联企业[2011]300 号）规定的划分标准，本公司为______（请填写：大型、中型、小型、微型）企业。</w:t>
      </w:r>
    </w:p>
    <w:p>
      <w:pPr>
        <w:spacing w:line="44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2.本公司参加______单位的项目名称(第几包）采购活动（按投标形式选择填写）：</w:t>
      </w:r>
    </w:p>
    <w:p>
      <w:pPr>
        <w:spacing w:line="44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（1）□本公司为直接投标人提供本企业制造的货物，由本企业承担工程、提供服务。</w:t>
      </w:r>
    </w:p>
    <w:p>
      <w:pPr>
        <w:spacing w:line="44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（2）□本公司为代理商，提供其他______（请填写：中型、小型、微型）企业制造的货物。本条所称货物不包括使用大型企业注册商标的货物。（后附制造商投标人企业类型声明函）</w:t>
      </w:r>
    </w:p>
    <w:p>
      <w:pPr>
        <w:spacing w:line="44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（3）□本公司为联合体一方，提供本企业制造的货物，由本企业承担工程、提供服务。我公司提供协议合同金额占到共同投标协议合同总金额的比例为。</w:t>
      </w:r>
    </w:p>
    <w:p>
      <w:pPr>
        <w:spacing w:line="44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本公司对上述声明的真实性负责。如有虚假，将依法承担相应责任。</w:t>
      </w:r>
    </w:p>
    <w:p>
      <w:pPr>
        <w:spacing w:line="300" w:lineRule="auto"/>
        <w:ind w:firstLine="4320" w:firstLineChars="1800"/>
        <w:rPr>
          <w:rFonts w:hint="eastAsia" w:ascii="仿宋" w:hAnsi="仿宋" w:eastAsia="仿宋" w:cs="仿宋"/>
          <w:color w:val="auto"/>
          <w:kern w:val="0"/>
          <w:sz w:val="24"/>
          <w:highlight w:val="none"/>
        </w:rPr>
      </w:pPr>
    </w:p>
    <w:p>
      <w:pPr>
        <w:spacing w:line="440" w:lineRule="exact"/>
        <w:jc w:val="righ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企业名称（盖公章）：</w:t>
      </w:r>
    </w:p>
    <w:p>
      <w:pPr>
        <w:spacing w:line="440" w:lineRule="exact"/>
        <w:jc w:val="righ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法定代表人（负责人）或其授权代表(签字)：</w:t>
      </w:r>
    </w:p>
    <w:p>
      <w:pPr>
        <w:spacing w:line="440" w:lineRule="exact"/>
        <w:jc w:val="righ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日期：</w:t>
      </w:r>
    </w:p>
    <w:p>
      <w:pPr>
        <w:spacing w:line="440" w:lineRule="exac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注：小型、微型企业资格证明文件</w:t>
      </w:r>
    </w:p>
    <w:p>
      <w:pPr>
        <w:spacing w:line="440" w:lineRule="exac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1.投标人工商行政注册地管理部门出具的小微企业证明材料；</w:t>
      </w:r>
    </w:p>
    <w:p>
      <w:pPr>
        <w:spacing w:line="440" w:lineRule="exac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2.所代理产品生产厂家的属地主管部门出具的小微企业证明材料；</w:t>
      </w:r>
    </w:p>
    <w:p>
      <w:pPr>
        <w:spacing w:line="440" w:lineRule="exac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3.证明材料加盖投标人公章。</w:t>
      </w:r>
    </w:p>
    <w:p>
      <w:pPr>
        <w:spacing w:line="440" w:lineRule="exac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（若投标文件中无上述证明文件，则在评审时不考虑对该小、微企业的相关优惠。） </w:t>
      </w:r>
    </w:p>
    <w:p>
      <w:pPr>
        <w:pStyle w:val="7"/>
        <w:numPr>
          <w:ilvl w:val="0"/>
          <w:numId w:val="14"/>
        </w:numPr>
        <w:rPr>
          <w:rFonts w:hint="eastAsia" w:ascii="仿宋" w:hAnsi="仿宋" w:eastAsia="仿宋" w:cs="仿宋"/>
          <w:color w:val="auto"/>
          <w:highlight w:val="none"/>
        </w:rPr>
        <w:sectPr>
          <w:pgSz w:w="11906" w:h="16838"/>
          <w:pgMar w:top="1418" w:right="1588" w:bottom="1418" w:left="1588" w:header="851" w:footer="992" w:gutter="0"/>
          <w:cols w:space="720" w:num="1"/>
          <w:docGrid w:type="lines" w:linePitch="312" w:charSpace="0"/>
        </w:sectPr>
      </w:pPr>
    </w:p>
    <w:p>
      <w:pPr>
        <w:pStyle w:val="7"/>
        <w:rPr>
          <w:rFonts w:hint="eastAsia" w:ascii="仿宋" w:hAnsi="仿宋" w:eastAsia="仿宋" w:cs="仿宋"/>
          <w:color w:val="auto"/>
          <w:highlight w:val="none"/>
        </w:rPr>
      </w:pPr>
    </w:p>
    <w:p>
      <w:pPr>
        <w:keepNext w:val="0"/>
        <w:keepLines w:val="0"/>
        <w:pageBreakBefore w:val="0"/>
        <w:widowControl/>
        <w:numPr>
          <w:ilvl w:val="0"/>
          <w:numId w:val="15"/>
        </w:numPr>
        <w:kinsoku/>
        <w:wordWrap/>
        <w:overflowPunct/>
        <w:topLinePunct w:val="0"/>
        <w:autoSpaceDE/>
        <w:autoSpaceDN/>
        <w:bidi w:val="0"/>
        <w:adjustRightInd w:val="0"/>
        <w:snapToGrid w:val="0"/>
        <w:spacing w:line="360" w:lineRule="auto"/>
        <w:ind w:left="0" w:leftChars="0" w:right="0" w:rightChars="0" w:firstLine="0" w:firstLineChars="0"/>
        <w:jc w:val="center"/>
        <w:textAlignment w:val="auto"/>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监狱企业声明函</w:t>
      </w:r>
    </w:p>
    <w:p>
      <w:pPr>
        <w:pStyle w:val="7"/>
        <w:widowControl w:val="0"/>
        <w:numPr>
          <w:ilvl w:val="0"/>
          <w:numId w:val="0"/>
        </w:numPr>
        <w:overflowPunct w:val="0"/>
        <w:autoSpaceDE w:val="0"/>
        <w:autoSpaceDN w:val="0"/>
        <w:adjustRightInd w:val="0"/>
        <w:jc w:val="both"/>
        <w:textAlignment w:val="baseline"/>
        <w:rPr>
          <w:rFonts w:hint="eastAsia" w:ascii="仿宋" w:hAnsi="仿宋" w:eastAsia="仿宋" w:cs="仿宋"/>
          <w:color w:val="auto"/>
          <w:highlight w:val="none"/>
        </w:rPr>
      </w:pPr>
    </w:p>
    <w:p>
      <w:pPr>
        <w:spacing w:line="44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（监狱企业适用）</w:t>
      </w:r>
    </w:p>
    <w:p>
      <w:pPr>
        <w:spacing w:line="440" w:lineRule="exact"/>
        <w:ind w:firstLine="540" w:firstLineChars="225"/>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本公司郑重声明，根据《关于政府采购支持监狱企业发展有关问题的通知》（财库[2014]68号）的规定，本公司为监狱企业。</w:t>
      </w:r>
    </w:p>
    <w:p>
      <w:pPr>
        <w:spacing w:line="440" w:lineRule="exact"/>
        <w:ind w:firstLine="540" w:firstLineChars="225"/>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本公司参加______单位的</w:t>
      </w:r>
      <w:r>
        <w:rPr>
          <w:rFonts w:hint="eastAsia" w:ascii="仿宋" w:hAnsi="仿宋" w:eastAsia="仿宋" w:cs="仿宋"/>
          <w:color w:val="auto"/>
          <w:sz w:val="24"/>
          <w:highlight w:val="none"/>
          <w:u w:val="single"/>
        </w:rPr>
        <w:t>项目名称(第几包）</w:t>
      </w:r>
      <w:r>
        <w:rPr>
          <w:rFonts w:hint="eastAsia" w:ascii="仿宋" w:hAnsi="仿宋" w:eastAsia="仿宋" w:cs="仿宋"/>
          <w:color w:val="auto"/>
          <w:kern w:val="0"/>
          <w:sz w:val="24"/>
          <w:highlight w:val="none"/>
        </w:rPr>
        <w:t>采购活动，采购活动提供本企业（填写制造的货物，由本企业承担工程、提供服务）。</w:t>
      </w:r>
    </w:p>
    <w:p>
      <w:pPr>
        <w:spacing w:line="440" w:lineRule="exact"/>
        <w:ind w:firstLine="540" w:firstLineChars="225"/>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本条所称货物不包括使用大型企业注册商标的货物和服务。</w:t>
      </w:r>
    </w:p>
    <w:p>
      <w:pPr>
        <w:spacing w:line="440" w:lineRule="exact"/>
        <w:ind w:firstLine="540" w:firstLineChars="225"/>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本公司对上述声明的真实性负责。如有虚假，将依法承担相应责任。</w:t>
      </w:r>
    </w:p>
    <w:p>
      <w:pPr>
        <w:spacing w:line="440" w:lineRule="exact"/>
        <w:ind w:firstLine="4860" w:firstLineChars="2025"/>
        <w:rPr>
          <w:rFonts w:hint="eastAsia" w:ascii="仿宋" w:hAnsi="仿宋" w:eastAsia="仿宋" w:cs="仿宋"/>
          <w:color w:val="auto"/>
          <w:kern w:val="0"/>
          <w:sz w:val="24"/>
          <w:highlight w:val="none"/>
        </w:rPr>
      </w:pPr>
    </w:p>
    <w:p>
      <w:pPr>
        <w:spacing w:line="440" w:lineRule="exact"/>
        <w:jc w:val="righ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企业名称（盖公章）：</w:t>
      </w:r>
    </w:p>
    <w:p>
      <w:pPr>
        <w:spacing w:line="440" w:lineRule="exact"/>
        <w:jc w:val="righ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法定代表人（负责人）或其授权代表(签字)：</w:t>
      </w:r>
    </w:p>
    <w:p>
      <w:pPr>
        <w:tabs>
          <w:tab w:val="left" w:pos="2880"/>
        </w:tabs>
        <w:spacing w:line="440" w:lineRule="exact"/>
        <w:jc w:val="right"/>
        <w:rPr>
          <w:rFonts w:hint="eastAsia" w:ascii="仿宋" w:hAnsi="仿宋" w:eastAsia="仿宋" w:cs="仿宋"/>
          <w:color w:val="auto"/>
          <w:sz w:val="24"/>
          <w:szCs w:val="24"/>
          <w:highlight w:val="none"/>
        </w:rPr>
      </w:pPr>
      <w:r>
        <w:rPr>
          <w:rFonts w:hint="eastAsia" w:ascii="仿宋" w:hAnsi="仿宋" w:eastAsia="仿宋" w:cs="仿宋"/>
          <w:color w:val="auto"/>
          <w:kern w:val="0"/>
          <w:sz w:val="24"/>
          <w:highlight w:val="none"/>
        </w:rPr>
        <w:t>日期：</w:t>
      </w:r>
    </w:p>
    <w:p>
      <w:pPr>
        <w:spacing w:line="44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备注：1.监狱企业参加政府采购活动时，应当提供由省级以上监狱管理局、戒毒管理局（含新疆生产建设兵团）出具的属于监狱企业的证明文件，相关证明材料加盖投标人公章。</w:t>
      </w:r>
    </w:p>
    <w:p>
      <w:pPr>
        <w:tabs>
          <w:tab w:val="left" w:pos="3600"/>
        </w:tabs>
        <w:adjustRightInd w:val="0"/>
        <w:snapToGrid w:val="0"/>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highlight w:val="none"/>
        </w:rPr>
        <w:t>（若投标文件中无上述证明文件，则在评审时不考虑对监狱企业的相关优惠。）</w:t>
      </w:r>
    </w:p>
    <w:p>
      <w:pPr>
        <w:pStyle w:val="7"/>
        <w:widowControl w:val="0"/>
        <w:numPr>
          <w:ilvl w:val="0"/>
          <w:numId w:val="0"/>
        </w:numPr>
        <w:overflowPunct w:val="0"/>
        <w:autoSpaceDE w:val="0"/>
        <w:autoSpaceDN w:val="0"/>
        <w:adjustRightInd w:val="0"/>
        <w:jc w:val="both"/>
        <w:textAlignment w:val="baseline"/>
        <w:rPr>
          <w:rFonts w:hint="eastAsia" w:ascii="仿宋" w:hAnsi="仿宋" w:eastAsia="仿宋" w:cs="仿宋"/>
          <w:color w:val="auto"/>
          <w:highlight w:val="none"/>
        </w:rPr>
        <w:sectPr>
          <w:pgSz w:w="11906" w:h="16838"/>
          <w:pgMar w:top="1418" w:right="1588" w:bottom="1418" w:left="1588" w:header="851" w:footer="992" w:gutter="0"/>
          <w:cols w:space="720" w:num="1"/>
          <w:docGrid w:type="lines" w:linePitch="312" w:charSpace="0"/>
        </w:sectPr>
      </w:pPr>
    </w:p>
    <w:p>
      <w:pPr>
        <w:pStyle w:val="7"/>
        <w:rPr>
          <w:rFonts w:hint="eastAsia" w:ascii="仿宋" w:hAnsi="仿宋" w:eastAsia="仿宋" w:cs="仿宋"/>
          <w:color w:val="auto"/>
          <w:highlight w:val="none"/>
        </w:rPr>
      </w:pPr>
    </w:p>
    <w:p>
      <w:pPr>
        <w:keepNext w:val="0"/>
        <w:keepLines w:val="0"/>
        <w:pageBreakBefore w:val="0"/>
        <w:widowControl/>
        <w:numPr>
          <w:ilvl w:val="0"/>
          <w:numId w:val="15"/>
        </w:numPr>
        <w:kinsoku/>
        <w:wordWrap/>
        <w:overflowPunct/>
        <w:topLinePunct w:val="0"/>
        <w:autoSpaceDE/>
        <w:autoSpaceDN/>
        <w:bidi w:val="0"/>
        <w:adjustRightInd w:val="0"/>
        <w:snapToGrid w:val="0"/>
        <w:spacing w:line="360" w:lineRule="auto"/>
        <w:ind w:left="0" w:leftChars="0" w:right="0" w:rightChars="0" w:firstLine="0" w:firstLineChars="0"/>
        <w:jc w:val="center"/>
        <w:textAlignment w:val="auto"/>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残疾人福利性单位声明函</w:t>
      </w:r>
    </w:p>
    <w:p>
      <w:pPr>
        <w:pStyle w:val="7"/>
        <w:widowControl w:val="0"/>
        <w:numPr>
          <w:ilvl w:val="0"/>
          <w:numId w:val="0"/>
        </w:numPr>
        <w:overflowPunct w:val="0"/>
        <w:autoSpaceDE w:val="0"/>
        <w:autoSpaceDN w:val="0"/>
        <w:adjustRightInd w:val="0"/>
        <w:jc w:val="both"/>
        <w:textAlignment w:val="baseline"/>
        <w:rPr>
          <w:rFonts w:hint="eastAsia" w:ascii="仿宋" w:hAnsi="仿宋" w:eastAsia="仿宋" w:cs="仿宋"/>
          <w:color w:val="auto"/>
          <w:highlight w:val="none"/>
        </w:rPr>
      </w:pPr>
    </w:p>
    <w:p>
      <w:pPr>
        <w:widowControl/>
        <w:adjustRightInd w:val="0"/>
        <w:snapToGrid w:val="0"/>
        <w:spacing w:line="440" w:lineRule="exact"/>
        <w:ind w:firstLine="504" w:firstLineChars="200"/>
        <w:jc w:val="left"/>
        <w:rPr>
          <w:rFonts w:hint="eastAsia" w:ascii="仿宋" w:hAnsi="仿宋" w:eastAsia="仿宋" w:cs="仿宋"/>
          <w:color w:val="auto"/>
          <w:spacing w:val="6"/>
          <w:kern w:val="0"/>
          <w:sz w:val="24"/>
          <w:szCs w:val="24"/>
          <w:highlight w:val="none"/>
        </w:rPr>
      </w:pPr>
      <w:r>
        <w:rPr>
          <w:rFonts w:hint="eastAsia" w:ascii="仿宋" w:hAnsi="仿宋" w:eastAsia="仿宋" w:cs="仿宋"/>
          <w:color w:val="auto"/>
          <w:spacing w:val="6"/>
          <w:kern w:val="0"/>
          <w:sz w:val="24"/>
          <w:szCs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widowControl/>
        <w:adjustRightInd w:val="0"/>
        <w:snapToGrid w:val="0"/>
        <w:spacing w:line="440" w:lineRule="exact"/>
        <w:ind w:firstLine="504" w:firstLineChars="200"/>
        <w:jc w:val="left"/>
        <w:rPr>
          <w:rFonts w:hint="eastAsia" w:ascii="仿宋" w:hAnsi="仿宋" w:eastAsia="仿宋" w:cs="仿宋"/>
          <w:color w:val="auto"/>
          <w:spacing w:val="6"/>
          <w:kern w:val="0"/>
          <w:sz w:val="24"/>
          <w:szCs w:val="24"/>
          <w:highlight w:val="none"/>
        </w:rPr>
      </w:pPr>
      <w:r>
        <w:rPr>
          <w:rFonts w:hint="eastAsia" w:ascii="仿宋" w:hAnsi="仿宋" w:eastAsia="仿宋" w:cs="仿宋"/>
          <w:color w:val="auto"/>
          <w:spacing w:val="6"/>
          <w:kern w:val="0"/>
          <w:sz w:val="24"/>
          <w:szCs w:val="24"/>
          <w:highlight w:val="none"/>
        </w:rPr>
        <w:t xml:space="preserve">本单位对上述声明的真实性负责。如有虚假，将依法承担相应责任。 </w:t>
      </w:r>
    </w:p>
    <w:p>
      <w:pPr>
        <w:widowControl/>
        <w:adjustRightInd w:val="0"/>
        <w:snapToGrid w:val="0"/>
        <w:spacing w:line="440" w:lineRule="exact"/>
        <w:ind w:firstLine="504" w:firstLineChars="200"/>
        <w:jc w:val="left"/>
        <w:rPr>
          <w:rFonts w:hint="eastAsia" w:ascii="仿宋" w:hAnsi="仿宋" w:eastAsia="仿宋" w:cs="仿宋"/>
          <w:color w:val="auto"/>
          <w:spacing w:val="6"/>
          <w:kern w:val="0"/>
          <w:sz w:val="24"/>
          <w:szCs w:val="24"/>
          <w:highlight w:val="none"/>
        </w:rPr>
      </w:pPr>
    </w:p>
    <w:p>
      <w:pPr>
        <w:widowControl/>
        <w:adjustRightInd w:val="0"/>
        <w:snapToGrid w:val="0"/>
        <w:spacing w:line="440" w:lineRule="exact"/>
        <w:ind w:firstLine="5544" w:firstLineChars="2200"/>
        <w:jc w:val="right"/>
        <w:rPr>
          <w:rFonts w:hint="eastAsia" w:ascii="仿宋" w:hAnsi="仿宋" w:eastAsia="仿宋" w:cs="仿宋"/>
          <w:color w:val="auto"/>
          <w:spacing w:val="6"/>
          <w:kern w:val="0"/>
          <w:sz w:val="24"/>
          <w:szCs w:val="24"/>
          <w:highlight w:val="none"/>
        </w:rPr>
      </w:pPr>
      <w:r>
        <w:rPr>
          <w:rFonts w:hint="eastAsia" w:ascii="仿宋" w:hAnsi="仿宋" w:eastAsia="仿宋" w:cs="仿宋"/>
          <w:color w:val="auto"/>
          <w:spacing w:val="6"/>
          <w:kern w:val="0"/>
          <w:sz w:val="24"/>
          <w:szCs w:val="24"/>
          <w:highlight w:val="none"/>
        </w:rPr>
        <w:t>单位名称（盖章）：</w:t>
      </w:r>
    </w:p>
    <w:p>
      <w:pPr>
        <w:widowControl/>
        <w:adjustRightInd w:val="0"/>
        <w:snapToGrid w:val="0"/>
        <w:spacing w:line="440" w:lineRule="exact"/>
        <w:ind w:firstLine="504" w:firstLineChars="200"/>
        <w:jc w:val="right"/>
        <w:rPr>
          <w:rFonts w:hint="eastAsia" w:ascii="仿宋" w:hAnsi="仿宋" w:eastAsia="仿宋" w:cs="仿宋"/>
          <w:color w:val="auto"/>
          <w:spacing w:val="6"/>
          <w:kern w:val="0"/>
          <w:sz w:val="24"/>
          <w:szCs w:val="24"/>
          <w:highlight w:val="none"/>
        </w:rPr>
      </w:pPr>
      <w:r>
        <w:rPr>
          <w:rFonts w:hint="eastAsia" w:ascii="仿宋" w:hAnsi="仿宋" w:eastAsia="仿宋" w:cs="仿宋"/>
          <w:color w:val="auto"/>
          <w:spacing w:val="6"/>
          <w:kern w:val="0"/>
          <w:sz w:val="24"/>
          <w:szCs w:val="24"/>
          <w:highlight w:val="none"/>
        </w:rPr>
        <w:t>日期：</w:t>
      </w:r>
    </w:p>
    <w:p>
      <w:pPr>
        <w:widowControl/>
        <w:adjustRightInd w:val="0"/>
        <w:snapToGrid w:val="0"/>
        <w:spacing w:line="440" w:lineRule="exact"/>
        <w:ind w:firstLine="504" w:firstLineChars="200"/>
        <w:jc w:val="right"/>
        <w:rPr>
          <w:rFonts w:hint="eastAsia" w:ascii="仿宋" w:hAnsi="仿宋" w:eastAsia="仿宋" w:cs="仿宋"/>
          <w:color w:val="auto"/>
          <w:spacing w:val="6"/>
          <w:kern w:val="0"/>
          <w:sz w:val="24"/>
          <w:szCs w:val="24"/>
          <w:highlight w:val="none"/>
        </w:rPr>
      </w:pPr>
    </w:p>
    <w:p>
      <w:pPr>
        <w:widowControl/>
        <w:adjustRightInd w:val="0"/>
        <w:snapToGrid w:val="0"/>
        <w:spacing w:line="440" w:lineRule="exact"/>
        <w:ind w:firstLine="504" w:firstLineChars="200"/>
        <w:jc w:val="center"/>
        <w:rPr>
          <w:rFonts w:hint="eastAsia" w:ascii="仿宋" w:hAnsi="仿宋" w:eastAsia="仿宋" w:cs="仿宋"/>
          <w:color w:val="auto"/>
          <w:spacing w:val="6"/>
          <w:kern w:val="0"/>
          <w:sz w:val="24"/>
          <w:szCs w:val="24"/>
          <w:highlight w:val="none"/>
        </w:rPr>
      </w:pPr>
    </w:p>
    <w:p>
      <w:pPr>
        <w:widowControl/>
        <w:adjustRightInd w:val="0"/>
        <w:snapToGrid w:val="0"/>
        <w:spacing w:line="440" w:lineRule="exact"/>
        <w:ind w:firstLine="480" w:firstLineChars="20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8、投标人认为有必要提供的其他资料。</w:t>
      </w:r>
    </w:p>
    <w:p>
      <w:pPr>
        <w:pageBreakBefore w:val="0"/>
        <w:kinsoku/>
        <w:wordWrap/>
        <w:bidi w:val="0"/>
        <w:adjustRightInd w:val="0"/>
        <w:snapToGrid w:val="0"/>
        <w:spacing w:line="360" w:lineRule="auto"/>
        <w:ind w:left="0" w:leftChars="0" w:right="0" w:rightChars="0"/>
        <w:jc w:val="center"/>
        <w:rPr>
          <w:rFonts w:hint="eastAsia" w:ascii="仿宋" w:hAnsi="仿宋" w:eastAsia="仿宋" w:cs="仿宋"/>
          <w:b/>
          <w:color w:val="auto"/>
          <w:sz w:val="24"/>
          <w:szCs w:val="24"/>
          <w:highlight w:val="none"/>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jc w:val="center"/>
        <w:textAlignment w:val="auto"/>
        <w:outlineLvl w:val="9"/>
        <w:rPr>
          <w:rFonts w:hint="eastAsia" w:ascii="仿宋" w:hAnsi="仿宋" w:eastAsia="仿宋" w:cs="仿宋"/>
          <w:color w:val="auto"/>
          <w:sz w:val="24"/>
          <w:szCs w:val="24"/>
          <w:highlight w:val="none"/>
          <w:lang w:val="en-US" w:eastAsia="zh-Hans" w:bidi="ar"/>
        </w:rPr>
      </w:pPr>
      <w:r>
        <w:rPr>
          <w:rFonts w:hint="eastAsia" w:ascii="仿宋" w:hAnsi="仿宋" w:eastAsia="仿宋" w:cs="仿宋"/>
          <w:b/>
          <w:color w:val="auto"/>
          <w:sz w:val="24"/>
          <w:szCs w:val="24"/>
          <w:highlight w:val="none"/>
        </w:rPr>
        <w:t>项投标人根据情况自行选择，不享受相关政策的投标人无需提供。</w:t>
      </w:r>
    </w:p>
    <w:sectPr>
      <w:pgSz w:w="11906" w:h="16838"/>
      <w:pgMar w:top="1418" w:right="1588" w:bottom="1418"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00"/>
    <w:family w:val="auto"/>
    <w:pitch w:val="default"/>
    <w:sig w:usb0="00000000" w:usb1="00000000" w:usb2="00000000" w:usb3="00000000" w:csb0="00040000" w:csb1="00000000"/>
  </w:font>
  <w:font w:name="font-weight : 400">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font-weight : 700">
    <w:altName w:val="Segoe Print"/>
    <w:panose1 w:val="00000000000000000000"/>
    <w:charset w:val="00"/>
    <w:family w:val="auto"/>
    <w:pitch w:val="default"/>
    <w:sig w:usb0="00000000" w:usb1="00000000" w:usb2="00000000" w:usb3="00000000" w:csb0="00000000" w:csb1="00000000"/>
  </w:font>
  <w:font w:name="华文细黑">
    <w:altName w:val="微软雅黑"/>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5"/>
                            <w:rPr>
                              <w:rFonts w:hint="eastAsia"/>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OqXm5zwAAAAUBAAAPAAAAAAAAAAEAIAAAACIAAABkcnMvZG93&#10;bnJldi54bWxQSwECFAAUAAAACACHTuJAYXhMj9ABAACiAwAADgAAAAAAAAABACAAAAAeAQAAZHJz&#10;L2Uyb0RvYy54bWxQSwUGAAAAAAYABgBZAQAAYAUAAAAA&#10;">
              <v:fill on="f" focussize="0,0"/>
              <v:stroke on="f"/>
              <v:imagedata o:title=""/>
              <o:lock v:ext="edit" aspectratio="f"/>
              <v:textbox inset="0mm,0mm,0mm,0mm" style="mso-fit-shape-to-text:t;">
                <w:txbxContent>
                  <w:p>
                    <w:pPr>
                      <w:pStyle w:val="15"/>
                      <w:rPr>
                        <w:rFonts w:hint="eastAsia"/>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rPr>
                            <w:t>4</w:t>
                          </w:r>
                          <w:r>
                            <w:rPr>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&#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BeJUZ00QEAAKMDAAAOAAAAAAAAAAEAIAAAACIB&#10;AABkcnMvZTJvRG9jLnhtbFBLBQYAAAAABgAGAFkBAABlBQAAAAA=&#10;">
              <v:fill on="f" focussize="0,0"/>
              <v:stroke on="f" weight="1.25pt"/>
              <v:imagedata o:title=""/>
              <o:lock v:ext="edit" aspectratio="f"/>
              <v:textbox inset="0mm,0mm,0mm,0mm" style="mso-fit-shape-to-text:t;">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rPr>
                      <w:t>4</w:t>
                    </w:r>
                    <w:r>
                      <w:rPr>
                        <w:sz w:val="18"/>
                      </w:rP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posOffset>2490470</wp:posOffset>
              </wp:positionH>
              <wp:positionV relativeFrom="paragraph">
                <wp:posOffset>62230</wp:posOffset>
              </wp:positionV>
              <wp:extent cx="1473200" cy="28956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473200" cy="289560"/>
                      </a:xfrm>
                      <a:prstGeom prst="rect">
                        <a:avLst/>
                      </a:prstGeom>
                      <a:noFill/>
                      <a:ln w="9525">
                        <a:noFill/>
                      </a:ln>
                    </wps:spPr>
                    <wps:txbx>
                      <w:txbxContent>
                        <w:p>
                          <w:pPr>
                            <w:snapToGrid w:val="0"/>
                            <w:jc w:val="center"/>
                            <w:rPr>
                              <w:rFonts w:hint="eastAsia"/>
                              <w:sz w:val="18"/>
                            </w:rPr>
                          </w:pPr>
                        </w:p>
                      </w:txbxContent>
                    </wps:txbx>
                    <wps:bodyPr lIns="0" tIns="0" rIns="0" bIns="0" upright="0"/>
                  </wps:wsp>
                </a:graphicData>
              </a:graphic>
            </wp:anchor>
          </w:drawing>
        </mc:Choice>
        <mc:Fallback>
          <w:pict>
            <v:shape id="_x0000_s1026" o:spid="_x0000_s1026" o:spt="202" type="#_x0000_t202" style="position:absolute;left:0pt;margin-left:196.1pt;margin-top:4.9pt;height:22.8pt;width:116pt;mso-position-horizontal-relative:margin;z-index:251659264;mso-width-relative:page;mso-height-relative:page;" filled="f" stroked="f" coordsize="21600,21600" o:gfxdata="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HbDmkDXAAAACAEAAA8AAAAAAAAAAQAgAAAAIgAAAGRycy9kb3ducmV2&#10;LnhtbFBLAQIUABQAAAAIAIdO4kBWpN37xAEAAHsDAAAOAAAAAAAAAAEAIAAAACYBAABkcnMvZTJv&#10;RG9jLnhtbFBLBQYAAAAABgAGAFkBAABcBQAAAAA=&#10;">
              <v:fill on="f" focussize="0,0"/>
              <v:stroke on="f"/>
              <v:imagedata o:title=""/>
              <o:lock v:ext="edit" aspectratio="f"/>
              <v:textbox inset="0mm,0mm,0mm,0mm">
                <w:txbxContent>
                  <w:p>
                    <w:pPr>
                      <w:snapToGrid w:val="0"/>
                      <w:jc w:val="center"/>
                      <w:rPr>
                        <w:rFonts w:hint="eastAsia"/>
                        <w:sz w:val="18"/>
                      </w:rPr>
                    </w:pPr>
                  </w:p>
                </w:txbxContent>
              </v:textbox>
            </v:shape>
          </w:pict>
        </mc:Fallback>
      </mc:AlternateContent>
    </w:r>
  </w:p>
  <w:p>
    <w:pPr>
      <w:pStyle w:val="1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45CB17"/>
    <w:multiLevelType w:val="singleLevel"/>
    <w:tmpl w:val="8345CB17"/>
    <w:lvl w:ilvl="0" w:tentative="0">
      <w:start w:val="5"/>
      <w:numFmt w:val="chineseCounting"/>
      <w:suff w:val="space"/>
      <w:lvlText w:val="第%1章"/>
      <w:lvlJc w:val="left"/>
      <w:rPr>
        <w:rFonts w:hint="eastAsia"/>
      </w:rPr>
    </w:lvl>
  </w:abstractNum>
  <w:abstractNum w:abstractNumId="1">
    <w:nsid w:val="EEF5C417"/>
    <w:multiLevelType w:val="singleLevel"/>
    <w:tmpl w:val="EEF5C417"/>
    <w:lvl w:ilvl="0" w:tentative="0">
      <w:start w:val="4"/>
      <w:numFmt w:val="chineseCounting"/>
      <w:suff w:val="space"/>
      <w:lvlText w:val="第%1章"/>
      <w:lvlJc w:val="left"/>
      <w:rPr>
        <w:rFonts w:hint="eastAsia"/>
      </w:rPr>
    </w:lvl>
  </w:abstractNum>
  <w:abstractNum w:abstractNumId="2">
    <w:nsid w:val="00000023"/>
    <w:multiLevelType w:val="multilevel"/>
    <w:tmpl w:val="00000023"/>
    <w:lvl w:ilvl="0" w:tentative="0">
      <w:start w:val="1"/>
      <w:numFmt w:val="decimal"/>
      <w:pStyle w:val="20"/>
      <w:lvlText w:val="%1."/>
      <w:lvlJc w:val="left"/>
      <w:pPr>
        <w:ind w:left="420" w:hanging="420"/>
      </w:pPr>
      <w:rPr>
        <w:rFonts w:hint="eastAsia"/>
      </w:rPr>
    </w:lvl>
    <w:lvl w:ilvl="1" w:tentative="0">
      <w:start w:val="2"/>
      <w:numFmt w:val="decimal"/>
      <w:isLgl/>
      <w:lvlText w:val="%1.%2"/>
      <w:lvlJc w:val="left"/>
      <w:pPr>
        <w:ind w:left="2936" w:hanging="525"/>
      </w:pPr>
      <w:rPr>
        <w:rFonts w:hint="default" w:ascii="Times New Roman" w:hAnsi="Times New Roman" w:eastAsia="宋体" w:cs="Times New Roman"/>
      </w:rPr>
    </w:lvl>
    <w:lvl w:ilvl="2" w:tentative="0">
      <w:start w:val="3"/>
      <w:numFmt w:val="decimal"/>
      <w:isLgl/>
      <w:lvlText w:val="%1.%2.%3"/>
      <w:lvlJc w:val="left"/>
      <w:pPr>
        <w:ind w:left="3131" w:hanging="720"/>
      </w:pPr>
      <w:rPr>
        <w:rFonts w:hint="default" w:ascii="Times New Roman" w:hAnsi="Times New Roman" w:eastAsia="宋体" w:cs="Times New Roman"/>
      </w:rPr>
    </w:lvl>
    <w:lvl w:ilvl="3" w:tentative="0">
      <w:start w:val="1"/>
      <w:numFmt w:val="decimal"/>
      <w:isLgl/>
      <w:lvlText w:val="%1.%2.%3.%4"/>
      <w:lvlJc w:val="left"/>
      <w:pPr>
        <w:ind w:left="3131" w:hanging="720"/>
      </w:pPr>
      <w:rPr>
        <w:rFonts w:hint="default" w:ascii="Times New Roman" w:hAnsi="Times New Roman" w:eastAsia="宋体" w:cs="Times New Roman"/>
      </w:rPr>
    </w:lvl>
    <w:lvl w:ilvl="4" w:tentative="0">
      <w:start w:val="1"/>
      <w:numFmt w:val="decimal"/>
      <w:isLgl/>
      <w:lvlText w:val="%1.%2.%3.%4.%5"/>
      <w:lvlJc w:val="left"/>
      <w:pPr>
        <w:ind w:left="3491" w:hanging="1080"/>
      </w:pPr>
      <w:rPr>
        <w:rFonts w:hint="default" w:ascii="Times New Roman" w:hAnsi="Times New Roman" w:eastAsia="宋体" w:cs="Times New Roman"/>
      </w:rPr>
    </w:lvl>
    <w:lvl w:ilvl="5" w:tentative="0">
      <w:start w:val="1"/>
      <w:numFmt w:val="decimal"/>
      <w:isLgl/>
      <w:lvlText w:val="%1.%2.%3.%4.%5.%6"/>
      <w:lvlJc w:val="left"/>
      <w:pPr>
        <w:ind w:left="3491" w:hanging="1080"/>
      </w:pPr>
      <w:rPr>
        <w:rFonts w:hint="default" w:ascii="Times New Roman" w:hAnsi="Times New Roman" w:eastAsia="宋体" w:cs="Times New Roman"/>
      </w:rPr>
    </w:lvl>
    <w:lvl w:ilvl="6" w:tentative="0">
      <w:start w:val="1"/>
      <w:numFmt w:val="decimal"/>
      <w:isLgl/>
      <w:lvlText w:val="%1.%2.%3.%4.%5.%6.%7"/>
      <w:lvlJc w:val="left"/>
      <w:pPr>
        <w:ind w:left="3851" w:hanging="1440"/>
      </w:pPr>
      <w:rPr>
        <w:rFonts w:hint="default" w:ascii="Times New Roman" w:hAnsi="Times New Roman" w:eastAsia="宋体" w:cs="Times New Roman"/>
      </w:rPr>
    </w:lvl>
    <w:lvl w:ilvl="7" w:tentative="0">
      <w:start w:val="1"/>
      <w:numFmt w:val="decimal"/>
      <w:isLgl/>
      <w:lvlText w:val="%1.%2.%3.%4.%5.%6.%7.%8"/>
      <w:lvlJc w:val="left"/>
      <w:pPr>
        <w:ind w:left="3851" w:hanging="1440"/>
      </w:pPr>
      <w:rPr>
        <w:rFonts w:hint="default" w:ascii="Times New Roman" w:hAnsi="Times New Roman" w:eastAsia="宋体" w:cs="Times New Roman"/>
      </w:rPr>
    </w:lvl>
    <w:lvl w:ilvl="8" w:tentative="0">
      <w:start w:val="1"/>
      <w:numFmt w:val="decimal"/>
      <w:isLgl/>
      <w:lvlText w:val="%1.%2.%3.%4.%5.%6.%7.%8.%9"/>
      <w:lvlJc w:val="left"/>
      <w:pPr>
        <w:ind w:left="3851" w:hanging="1440"/>
      </w:pPr>
      <w:rPr>
        <w:rFonts w:hint="default" w:ascii="Times New Roman" w:hAnsi="Times New Roman" w:eastAsia="宋体" w:cs="Times New Roman"/>
      </w:rPr>
    </w:lvl>
  </w:abstractNum>
  <w:abstractNum w:abstractNumId="3">
    <w:nsid w:val="013458E2"/>
    <w:multiLevelType w:val="multilevel"/>
    <w:tmpl w:val="013458E2"/>
    <w:lvl w:ilvl="0" w:tentative="0">
      <w:start w:val="1"/>
      <w:numFmt w:val="decimal"/>
      <w:lvlText w:val="（%1）"/>
      <w:lvlJc w:val="left"/>
      <w:pPr>
        <w:ind w:left="1633" w:hanging="1065"/>
      </w:pPr>
      <w:rPr>
        <w:rFonts w:hint="default"/>
      </w:rPr>
    </w:lvl>
    <w:lvl w:ilvl="1" w:tentative="0">
      <w:start w:val="1"/>
      <w:numFmt w:val="lowerLetter"/>
      <w:lvlText w:val="%2)"/>
      <w:lvlJc w:val="left"/>
      <w:pPr>
        <w:ind w:left="1408" w:hanging="420"/>
      </w:pPr>
    </w:lvl>
    <w:lvl w:ilvl="2" w:tentative="0">
      <w:start w:val="1"/>
      <w:numFmt w:val="lowerRoman"/>
      <w:lvlText w:val="%3."/>
      <w:lvlJc w:val="right"/>
      <w:pPr>
        <w:ind w:left="1828" w:hanging="420"/>
      </w:pPr>
    </w:lvl>
    <w:lvl w:ilvl="3" w:tentative="0">
      <w:start w:val="1"/>
      <w:numFmt w:val="decimal"/>
      <w:lvlText w:val="%4."/>
      <w:lvlJc w:val="left"/>
      <w:pPr>
        <w:ind w:left="2248" w:hanging="420"/>
      </w:pPr>
    </w:lvl>
    <w:lvl w:ilvl="4" w:tentative="0">
      <w:start w:val="1"/>
      <w:numFmt w:val="lowerLetter"/>
      <w:lvlText w:val="%5)"/>
      <w:lvlJc w:val="left"/>
      <w:pPr>
        <w:ind w:left="2668" w:hanging="420"/>
      </w:pPr>
    </w:lvl>
    <w:lvl w:ilvl="5" w:tentative="0">
      <w:start w:val="1"/>
      <w:numFmt w:val="lowerRoman"/>
      <w:lvlText w:val="%6."/>
      <w:lvlJc w:val="right"/>
      <w:pPr>
        <w:ind w:left="3088" w:hanging="420"/>
      </w:pPr>
    </w:lvl>
    <w:lvl w:ilvl="6" w:tentative="0">
      <w:start w:val="1"/>
      <w:numFmt w:val="decimal"/>
      <w:lvlText w:val="%7."/>
      <w:lvlJc w:val="left"/>
      <w:pPr>
        <w:ind w:left="3508" w:hanging="420"/>
      </w:pPr>
    </w:lvl>
    <w:lvl w:ilvl="7" w:tentative="0">
      <w:start w:val="1"/>
      <w:numFmt w:val="lowerLetter"/>
      <w:lvlText w:val="%8)"/>
      <w:lvlJc w:val="left"/>
      <w:pPr>
        <w:ind w:left="3928" w:hanging="420"/>
      </w:pPr>
    </w:lvl>
    <w:lvl w:ilvl="8" w:tentative="0">
      <w:start w:val="1"/>
      <w:numFmt w:val="lowerRoman"/>
      <w:lvlText w:val="%9."/>
      <w:lvlJc w:val="right"/>
      <w:pPr>
        <w:ind w:left="4348" w:hanging="420"/>
      </w:pPr>
    </w:lvl>
  </w:abstractNum>
  <w:abstractNum w:abstractNumId="4">
    <w:nsid w:val="0A465BB9"/>
    <w:multiLevelType w:val="multilevel"/>
    <w:tmpl w:val="0A465BB9"/>
    <w:lvl w:ilvl="0" w:tentative="0">
      <w:start w:val="1"/>
      <w:numFmt w:val="decimal"/>
      <w:lvlText w:val="(%1)"/>
      <w:lvlJc w:val="left"/>
      <w:rPr>
        <w:rFonts w:ascii="宋体" w:hAnsi="宋体" w:eastAsia="宋体" w:cs="宋体"/>
        <w:b w:val="0"/>
        <w:bCs w:val="0"/>
        <w:i w:val="0"/>
        <w:iCs w:val="0"/>
        <w:smallCaps w:val="0"/>
        <w:strike w:val="0"/>
        <w:color w:val="000000"/>
        <w:spacing w:val="0"/>
        <w:w w:val="100"/>
        <w:position w:val="0"/>
        <w:sz w:val="22"/>
        <w:szCs w:val="22"/>
        <w:u w:val="none"/>
        <w:lang w:val="en-US" w:eastAsia="en-US" w:bidi="en-US"/>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5">
    <w:nsid w:val="60E43476"/>
    <w:multiLevelType w:val="singleLevel"/>
    <w:tmpl w:val="60E43476"/>
    <w:lvl w:ilvl="0" w:tentative="0">
      <w:start w:val="1"/>
      <w:numFmt w:val="chineseCounting"/>
      <w:suff w:val="nothing"/>
      <w:lvlText w:val="%1、"/>
      <w:lvlJc w:val="left"/>
    </w:lvl>
  </w:abstractNum>
  <w:abstractNum w:abstractNumId="6">
    <w:nsid w:val="60FAC4BA"/>
    <w:multiLevelType w:val="singleLevel"/>
    <w:tmpl w:val="60FAC4BA"/>
    <w:lvl w:ilvl="0" w:tentative="0">
      <w:start w:val="2"/>
      <w:numFmt w:val="decimal"/>
      <w:suff w:val="nothing"/>
      <w:lvlText w:val="（%1）"/>
      <w:lvlJc w:val="left"/>
    </w:lvl>
  </w:abstractNum>
  <w:abstractNum w:abstractNumId="7">
    <w:nsid w:val="60FAC6CB"/>
    <w:multiLevelType w:val="singleLevel"/>
    <w:tmpl w:val="60FAC6CB"/>
    <w:lvl w:ilvl="0" w:tentative="0">
      <w:start w:val="1"/>
      <w:numFmt w:val="decimal"/>
      <w:suff w:val="nothing"/>
      <w:lvlText w:val="（%1）"/>
      <w:lvlJc w:val="left"/>
    </w:lvl>
  </w:abstractNum>
  <w:abstractNum w:abstractNumId="8">
    <w:nsid w:val="60FF00BE"/>
    <w:multiLevelType w:val="singleLevel"/>
    <w:tmpl w:val="60FF00BE"/>
    <w:lvl w:ilvl="0" w:tentative="0">
      <w:start w:val="1"/>
      <w:numFmt w:val="decimal"/>
      <w:suff w:val="nothing"/>
      <w:lvlText w:val="%1、"/>
      <w:lvlJc w:val="left"/>
    </w:lvl>
  </w:abstractNum>
  <w:abstractNum w:abstractNumId="9">
    <w:nsid w:val="60FF2DDD"/>
    <w:multiLevelType w:val="singleLevel"/>
    <w:tmpl w:val="60FF2DDD"/>
    <w:lvl w:ilvl="0" w:tentative="0">
      <w:start w:val="3"/>
      <w:numFmt w:val="decimal"/>
      <w:suff w:val="nothing"/>
      <w:lvlText w:val="%1、"/>
      <w:lvlJc w:val="left"/>
    </w:lvl>
  </w:abstractNum>
  <w:abstractNum w:abstractNumId="10">
    <w:nsid w:val="60FF2E2C"/>
    <w:multiLevelType w:val="singleLevel"/>
    <w:tmpl w:val="60FF2E2C"/>
    <w:lvl w:ilvl="0" w:tentative="0">
      <w:start w:val="5"/>
      <w:numFmt w:val="decimal"/>
      <w:suff w:val="nothing"/>
      <w:lvlText w:val="%1、"/>
      <w:lvlJc w:val="left"/>
    </w:lvl>
  </w:abstractNum>
  <w:abstractNum w:abstractNumId="11">
    <w:nsid w:val="60FF2E56"/>
    <w:multiLevelType w:val="singleLevel"/>
    <w:tmpl w:val="60FF2E56"/>
    <w:lvl w:ilvl="0" w:tentative="0">
      <w:start w:val="6"/>
      <w:numFmt w:val="decimal"/>
      <w:suff w:val="nothing"/>
      <w:lvlText w:val="%1、"/>
      <w:lvlJc w:val="left"/>
    </w:lvl>
  </w:abstractNum>
  <w:abstractNum w:abstractNumId="12">
    <w:nsid w:val="60FF30EB"/>
    <w:multiLevelType w:val="singleLevel"/>
    <w:tmpl w:val="60FF30EB"/>
    <w:lvl w:ilvl="0" w:tentative="0">
      <w:start w:val="1"/>
      <w:numFmt w:val="decimal"/>
      <w:suff w:val="nothing"/>
      <w:lvlText w:val="%1）"/>
      <w:lvlJc w:val="left"/>
    </w:lvl>
  </w:abstractNum>
  <w:abstractNum w:abstractNumId="13">
    <w:nsid w:val="6E6F60ED"/>
    <w:multiLevelType w:val="multilevel"/>
    <w:tmpl w:val="6E6F60ED"/>
    <w:lvl w:ilvl="0" w:tentative="0">
      <w:start w:val="1"/>
      <w:numFmt w:val="decimal"/>
      <w:lvlText w:val="%1"/>
      <w:lvlJc w:val="left"/>
      <w:pPr>
        <w:ind w:left="432" w:hanging="432"/>
      </w:pPr>
    </w:lvl>
    <w:lvl w:ilvl="1" w:tentative="0">
      <w:start w:val="1"/>
      <w:numFmt w:val="decimal"/>
      <w:lvlText w:val="%1.%2"/>
      <w:lvlJc w:val="left"/>
      <w:pPr>
        <w:ind w:left="576" w:hanging="576"/>
      </w:pPr>
    </w:lvl>
    <w:lvl w:ilvl="2" w:tentative="0">
      <w:start w:val="1"/>
      <w:numFmt w:val="decimal"/>
      <w:pStyle w:val="52"/>
      <w:lvlText w:val="%1.%2.%3"/>
      <w:lvlJc w:val="left"/>
      <w:pPr>
        <w:ind w:left="720" w:hanging="720"/>
      </w:pPr>
    </w:lvl>
    <w:lvl w:ilvl="3" w:tentative="0">
      <w:start w:val="1"/>
      <w:numFmt w:val="decimal"/>
      <w:lvlText w:val="%1.%2.%3.%4"/>
      <w:lvlJc w:val="left"/>
      <w:pPr>
        <w:ind w:left="864" w:hanging="864"/>
      </w:pPr>
    </w:lvl>
    <w:lvl w:ilvl="4" w:tentative="0">
      <w:start w:val="1"/>
      <w:numFmt w:val="decimal"/>
      <w:lvlText w:val="%1.%2.%3.%4.%5"/>
      <w:lvlJc w:val="left"/>
      <w:pPr>
        <w:ind w:left="1008" w:hanging="1008"/>
      </w:pPr>
    </w:lvl>
    <w:lvl w:ilvl="5" w:tentative="0">
      <w:start w:val="1"/>
      <w:numFmt w:val="decimal"/>
      <w:lvlText w:val="%1.%2.%3.%4.%5.%6"/>
      <w:lvlJc w:val="left"/>
      <w:pPr>
        <w:ind w:left="1152" w:hanging="1152"/>
      </w:p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4" w:hanging="1584"/>
      </w:pPr>
    </w:lvl>
  </w:abstractNum>
  <w:abstractNum w:abstractNumId="14">
    <w:nsid w:val="714AC741"/>
    <w:multiLevelType w:val="singleLevel"/>
    <w:tmpl w:val="714AC741"/>
    <w:lvl w:ilvl="0" w:tentative="0">
      <w:start w:val="1"/>
      <w:numFmt w:val="decimal"/>
      <w:suff w:val="nothing"/>
      <w:lvlText w:val="%1、"/>
      <w:lvlJc w:val="left"/>
    </w:lvl>
  </w:abstractNum>
  <w:num w:numId="1">
    <w:abstractNumId w:val="2"/>
  </w:num>
  <w:num w:numId="2">
    <w:abstractNumId w:val="13"/>
  </w:num>
  <w:num w:numId="3">
    <w:abstractNumId w:val="5"/>
  </w:num>
  <w:num w:numId="4">
    <w:abstractNumId w:val="4"/>
  </w:num>
  <w:num w:numId="5">
    <w:abstractNumId w:val="8"/>
  </w:num>
  <w:num w:numId="6">
    <w:abstractNumId w:val="12"/>
  </w:num>
  <w:num w:numId="7">
    <w:abstractNumId w:val="14"/>
  </w:num>
  <w:num w:numId="8">
    <w:abstractNumId w:val="6"/>
  </w:num>
  <w:num w:numId="9">
    <w:abstractNumId w:val="7"/>
  </w:num>
  <w:num w:numId="10">
    <w:abstractNumId w:val="1"/>
  </w:num>
  <w:num w:numId="11">
    <w:abstractNumId w:val="0"/>
  </w:num>
  <w:num w:numId="12">
    <w:abstractNumId w:val="3"/>
  </w:num>
  <w:num w:numId="13">
    <w:abstractNumId w:val="9"/>
  </w:num>
  <w:num w:numId="14">
    <w:abstractNumId w:val="10"/>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M4ZDY4NGMzMzhkYTA5ZDdmMzQ1M2JjMjhmMGUxNjgifQ=="/>
  </w:docVars>
  <w:rsids>
    <w:rsidRoot w:val="7FFDAB24"/>
    <w:rsid w:val="00BE0202"/>
    <w:rsid w:val="06FB09B4"/>
    <w:rsid w:val="074678DE"/>
    <w:rsid w:val="0C9E24BF"/>
    <w:rsid w:val="0E461468"/>
    <w:rsid w:val="0E9659AD"/>
    <w:rsid w:val="10815A54"/>
    <w:rsid w:val="131A6FE6"/>
    <w:rsid w:val="151654DF"/>
    <w:rsid w:val="15F7BBC7"/>
    <w:rsid w:val="17703C20"/>
    <w:rsid w:val="19DA0DBA"/>
    <w:rsid w:val="1A711498"/>
    <w:rsid w:val="21BE4EA7"/>
    <w:rsid w:val="235356C5"/>
    <w:rsid w:val="26A77800"/>
    <w:rsid w:val="2DDA7358"/>
    <w:rsid w:val="2F9C042A"/>
    <w:rsid w:val="2FFA8CA7"/>
    <w:rsid w:val="35AD38D4"/>
    <w:rsid w:val="3625601B"/>
    <w:rsid w:val="36C79EDA"/>
    <w:rsid w:val="3B9D23F8"/>
    <w:rsid w:val="3BF3EAA2"/>
    <w:rsid w:val="3C095217"/>
    <w:rsid w:val="3C1B6F5A"/>
    <w:rsid w:val="3DE76B1C"/>
    <w:rsid w:val="3DFE36BB"/>
    <w:rsid w:val="3F1DF054"/>
    <w:rsid w:val="43040514"/>
    <w:rsid w:val="48701758"/>
    <w:rsid w:val="4AD66A58"/>
    <w:rsid w:val="4E193D1C"/>
    <w:rsid w:val="53E26C5D"/>
    <w:rsid w:val="5491502E"/>
    <w:rsid w:val="57245C47"/>
    <w:rsid w:val="57F7E9A5"/>
    <w:rsid w:val="5FFA6D3B"/>
    <w:rsid w:val="64500720"/>
    <w:rsid w:val="64BF5E5D"/>
    <w:rsid w:val="65DD2DAC"/>
    <w:rsid w:val="6BFC4092"/>
    <w:rsid w:val="6DEF6B39"/>
    <w:rsid w:val="6DF7010F"/>
    <w:rsid w:val="6E1F7594"/>
    <w:rsid w:val="6FF1CEEA"/>
    <w:rsid w:val="729D0BB2"/>
    <w:rsid w:val="76B51BD8"/>
    <w:rsid w:val="77511A33"/>
    <w:rsid w:val="78E9692B"/>
    <w:rsid w:val="7BAD0FFF"/>
    <w:rsid w:val="7BF2CB59"/>
    <w:rsid w:val="7BF7BEAC"/>
    <w:rsid w:val="7CFF24AE"/>
    <w:rsid w:val="7F797A2A"/>
    <w:rsid w:val="7FB70EFE"/>
    <w:rsid w:val="7FCBC78D"/>
    <w:rsid w:val="7FDD4280"/>
    <w:rsid w:val="7FEC386F"/>
    <w:rsid w:val="7FFAAF72"/>
    <w:rsid w:val="7FFDAB24"/>
    <w:rsid w:val="7FFECF19"/>
    <w:rsid w:val="8FFFF3E2"/>
    <w:rsid w:val="966735FD"/>
    <w:rsid w:val="9B6FBF3E"/>
    <w:rsid w:val="A5F7C281"/>
    <w:rsid w:val="AB3F2EF8"/>
    <w:rsid w:val="AB7AD5BD"/>
    <w:rsid w:val="ABFDABAC"/>
    <w:rsid w:val="B73EB43B"/>
    <w:rsid w:val="C3EFE21F"/>
    <w:rsid w:val="CC5A1DBE"/>
    <w:rsid w:val="D4696985"/>
    <w:rsid w:val="D6DE9DEA"/>
    <w:rsid w:val="DB6FC3D4"/>
    <w:rsid w:val="DC5ECFF7"/>
    <w:rsid w:val="DDDB4A6B"/>
    <w:rsid w:val="DDFAD062"/>
    <w:rsid w:val="DEFF166F"/>
    <w:rsid w:val="DEFF6CD8"/>
    <w:rsid w:val="DFDD46EE"/>
    <w:rsid w:val="DFDF467D"/>
    <w:rsid w:val="E2DF65F1"/>
    <w:rsid w:val="E7F766DA"/>
    <w:rsid w:val="E8C45B48"/>
    <w:rsid w:val="EBEBB4A5"/>
    <w:rsid w:val="ED1F9826"/>
    <w:rsid w:val="EDBBAACD"/>
    <w:rsid w:val="EEC3C56D"/>
    <w:rsid w:val="EF56538D"/>
    <w:rsid w:val="EFDFF177"/>
    <w:rsid w:val="EFF7B463"/>
    <w:rsid w:val="EFFF17F9"/>
    <w:rsid w:val="F7B7F933"/>
    <w:rsid w:val="F7F63A5C"/>
    <w:rsid w:val="F83FAB6E"/>
    <w:rsid w:val="F97E9ED5"/>
    <w:rsid w:val="FEE7C54F"/>
    <w:rsid w:val="FF2B2A48"/>
    <w:rsid w:val="FF3A5C92"/>
    <w:rsid w:val="FF769CF6"/>
    <w:rsid w:val="FF7FDEF2"/>
    <w:rsid w:val="FFBFA6B9"/>
    <w:rsid w:val="FFDFB70C"/>
    <w:rsid w:val="FFEEE7E5"/>
    <w:rsid w:val="FFFBD2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36"/>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240" w:beforeLines="0" w:after="240" w:afterLines="0"/>
      <w:jc w:val="center"/>
      <w:outlineLvl w:val="0"/>
    </w:pPr>
    <w:rPr>
      <w:rFonts w:ascii="Times New Roman" w:hAnsi="Times New Roman" w:eastAsia="宋体"/>
      <w:b/>
      <w:bCs/>
      <w:kern w:val="44"/>
      <w:sz w:val="36"/>
      <w:szCs w:val="44"/>
    </w:rPr>
  </w:style>
  <w:style w:type="paragraph" w:styleId="4">
    <w:name w:val="heading 2"/>
    <w:basedOn w:val="1"/>
    <w:next w:val="1"/>
    <w:unhideWhenUsed/>
    <w:qFormat/>
    <w:uiPriority w:val="0"/>
    <w:pPr>
      <w:keepNext/>
      <w:keepLines/>
      <w:spacing w:before="260" w:beforeLines="0" w:after="260" w:afterLines="0" w:line="416" w:lineRule="auto"/>
      <w:outlineLvl w:val="1"/>
    </w:pPr>
    <w:rPr>
      <w:rFonts w:ascii="Arial" w:hAnsi="Arial" w:eastAsia="黑体"/>
      <w:b/>
      <w:bCs/>
      <w:sz w:val="32"/>
      <w:szCs w:val="32"/>
    </w:rPr>
  </w:style>
  <w:style w:type="paragraph" w:styleId="5">
    <w:name w:val="heading 3"/>
    <w:basedOn w:val="1"/>
    <w:next w:val="1"/>
    <w:link w:val="38"/>
    <w:unhideWhenUsed/>
    <w:qFormat/>
    <w:uiPriority w:val="0"/>
    <w:pPr>
      <w:keepNext/>
      <w:keepLines/>
      <w:spacing w:before="260" w:beforeLines="0" w:after="260" w:afterLines="0" w:line="416" w:lineRule="auto"/>
      <w:outlineLvl w:val="2"/>
    </w:pPr>
    <w:rPr>
      <w:b/>
      <w:bCs/>
      <w:sz w:val="32"/>
      <w:szCs w:val="32"/>
    </w:rPr>
  </w:style>
  <w:style w:type="paragraph" w:styleId="6">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22">
    <w:name w:val="Default Paragraph Font"/>
    <w:semiHidden/>
    <w:qFormat/>
    <w:uiPriority w:val="0"/>
  </w:style>
  <w:style w:type="table" w:default="1" w:styleId="21">
    <w:name w:val="Normal Table"/>
    <w:semiHidden/>
    <w:qFormat/>
    <w:uiPriority w:val="0"/>
    <w:tblPr>
      <w:tblCellMar>
        <w:top w:w="0" w:type="dxa"/>
        <w:left w:w="108" w:type="dxa"/>
        <w:bottom w:w="0" w:type="dxa"/>
        <w:right w:w="108" w:type="dxa"/>
      </w:tblCellMar>
    </w:tblPr>
  </w:style>
  <w:style w:type="paragraph" w:styleId="2">
    <w:name w:val="toc 1"/>
    <w:basedOn w:val="1"/>
    <w:next w:val="1"/>
    <w:qFormat/>
    <w:uiPriority w:val="39"/>
    <w:pPr>
      <w:tabs>
        <w:tab w:val="right" w:leader="dot" w:pos="9628"/>
      </w:tabs>
      <w:spacing w:line="440" w:lineRule="exact"/>
      <w:jc w:val="center"/>
    </w:pPr>
    <w:rPr>
      <w:rFonts w:ascii="仿宋" w:hAnsi="仿宋" w:eastAsia="仿宋"/>
      <w:b/>
      <w:sz w:val="44"/>
      <w:szCs w:val="44"/>
    </w:rPr>
  </w:style>
  <w:style w:type="paragraph" w:styleId="7">
    <w:name w:val="Normal Indent"/>
    <w:basedOn w:val="1"/>
    <w:qFormat/>
    <w:uiPriority w:val="0"/>
    <w:pPr>
      <w:overflowPunct w:val="0"/>
      <w:autoSpaceDE w:val="0"/>
      <w:autoSpaceDN w:val="0"/>
      <w:adjustRightInd w:val="0"/>
      <w:ind w:firstLine="420"/>
      <w:textAlignment w:val="baseline"/>
    </w:pPr>
  </w:style>
  <w:style w:type="paragraph" w:styleId="8">
    <w:name w:val="annotation text"/>
    <w:basedOn w:val="1"/>
    <w:qFormat/>
    <w:uiPriority w:val="0"/>
    <w:pPr>
      <w:jc w:val="left"/>
    </w:pPr>
    <w:rPr>
      <w:rFonts w:eastAsia="宋体"/>
      <w:kern w:val="2"/>
      <w:sz w:val="21"/>
      <w:szCs w:val="24"/>
      <w:lang w:val="en-US" w:eastAsia="zh-CN" w:bidi="ar-SA"/>
    </w:rPr>
  </w:style>
  <w:style w:type="paragraph" w:styleId="9">
    <w:name w:val="Body Text"/>
    <w:basedOn w:val="1"/>
    <w:next w:val="10"/>
    <w:qFormat/>
    <w:uiPriority w:val="0"/>
    <w:pPr>
      <w:keepNext w:val="0"/>
      <w:keepLines w:val="0"/>
      <w:widowControl w:val="0"/>
      <w:suppressLineNumbers w:val="0"/>
      <w:ind w:left="120"/>
      <w:jc w:val="both"/>
    </w:pPr>
    <w:rPr>
      <w:rFonts w:ascii="宋体" w:hAnsi="宋体"/>
      <w:szCs w:val="21"/>
    </w:rPr>
  </w:style>
  <w:style w:type="paragraph" w:styleId="10">
    <w:name w:val="Body Text First Indent"/>
    <w:basedOn w:val="9"/>
    <w:next w:val="1"/>
    <w:qFormat/>
    <w:uiPriority w:val="0"/>
    <w:pPr>
      <w:ind w:firstLine="420" w:firstLineChars="100"/>
    </w:pPr>
  </w:style>
  <w:style w:type="paragraph" w:styleId="11">
    <w:name w:val="Body Text Indent"/>
    <w:basedOn w:val="1"/>
    <w:qFormat/>
    <w:uiPriority w:val="0"/>
    <w:pPr>
      <w:widowControl w:val="0"/>
      <w:autoSpaceDE w:val="0"/>
      <w:autoSpaceDN w:val="0"/>
      <w:adjustRightInd w:val="0"/>
      <w:spacing w:line="315" w:lineRule="atLeast"/>
      <w:ind w:firstLine="424" w:firstLineChars="202"/>
      <w:jc w:val="both"/>
    </w:pPr>
    <w:rPr>
      <w:rFonts w:ascii="宋体"/>
      <w:sz w:val="21"/>
      <w:szCs w:val="20"/>
    </w:rPr>
  </w:style>
  <w:style w:type="paragraph" w:styleId="12">
    <w:name w:val="Plain Text"/>
    <w:basedOn w:val="1"/>
    <w:qFormat/>
    <w:uiPriority w:val="0"/>
    <w:rPr>
      <w:rFonts w:ascii="宋体" w:hAnsi="Courier New"/>
    </w:rPr>
  </w:style>
  <w:style w:type="paragraph" w:styleId="13">
    <w:name w:val="Date"/>
    <w:basedOn w:val="1"/>
    <w:next w:val="1"/>
    <w:qFormat/>
    <w:uiPriority w:val="0"/>
    <w:pPr>
      <w:ind w:left="100" w:leftChars="2500"/>
    </w:pPr>
  </w:style>
  <w:style w:type="paragraph" w:styleId="14">
    <w:name w:val="Body Text Indent 2"/>
    <w:basedOn w:val="1"/>
    <w:qFormat/>
    <w:uiPriority w:val="0"/>
    <w:pPr>
      <w:spacing w:after="120" w:afterLines="0" w:line="480" w:lineRule="auto"/>
      <w:ind w:left="420" w:leftChars="200"/>
    </w:pPr>
  </w:style>
  <w:style w:type="paragraph" w:styleId="15">
    <w:name w:val="footer"/>
    <w:basedOn w:val="1"/>
    <w:qFormat/>
    <w:uiPriority w:val="0"/>
    <w:pPr>
      <w:tabs>
        <w:tab w:val="center" w:pos="4153"/>
        <w:tab w:val="right" w:pos="8306"/>
      </w:tabs>
      <w:snapToGrid w:val="0"/>
      <w:jc w:val="left"/>
    </w:pPr>
    <w:rPr>
      <w:sz w:val="18"/>
      <w:szCs w:val="18"/>
    </w:rPr>
  </w:style>
  <w:style w:type="paragraph" w:styleId="1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7">
    <w:name w:val="Body Text 2"/>
    <w:basedOn w:val="1"/>
    <w:qFormat/>
    <w:uiPriority w:val="0"/>
    <w:pPr>
      <w:spacing w:after="120" w:line="480" w:lineRule="auto"/>
    </w:pPr>
    <w:rPr>
      <w:szCs w:val="22"/>
    </w:rPr>
  </w:style>
  <w:style w:type="paragraph" w:styleId="1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9">
    <w:name w:val="Normal (Web)"/>
    <w:basedOn w:val="1"/>
    <w:qFormat/>
    <w:uiPriority w:val="0"/>
    <w:pPr>
      <w:spacing w:beforeAutospacing="1" w:afterAutospacing="1"/>
      <w:jc w:val="left"/>
    </w:pPr>
    <w:rPr>
      <w:rFonts w:cs="Times New Roman"/>
      <w:kern w:val="0"/>
      <w:sz w:val="24"/>
    </w:rPr>
  </w:style>
  <w:style w:type="paragraph" w:styleId="20">
    <w:name w:val="Title"/>
    <w:basedOn w:val="1"/>
    <w:next w:val="1"/>
    <w:qFormat/>
    <w:uiPriority w:val="0"/>
    <w:pPr>
      <w:numPr>
        <w:ilvl w:val="0"/>
        <w:numId w:val="1"/>
      </w:numPr>
      <w:spacing w:before="240" w:after="240"/>
      <w:outlineLvl w:val="0"/>
    </w:pPr>
    <w:rPr>
      <w:rFonts w:ascii="Cambria" w:hAnsi="Cambria" w:eastAsia="黑体"/>
      <w:b/>
      <w:bCs/>
      <w:sz w:val="28"/>
      <w:szCs w:val="32"/>
    </w:rPr>
  </w:style>
  <w:style w:type="character" w:styleId="23">
    <w:name w:val="Strong"/>
    <w:qFormat/>
    <w:uiPriority w:val="0"/>
    <w:rPr>
      <w:b/>
    </w:rPr>
  </w:style>
  <w:style w:type="character" w:styleId="24">
    <w:name w:val="page number"/>
    <w:basedOn w:val="22"/>
    <w:qFormat/>
    <w:uiPriority w:val="0"/>
  </w:style>
  <w:style w:type="character" w:styleId="25">
    <w:name w:val="FollowedHyperlink"/>
    <w:basedOn w:val="22"/>
    <w:qFormat/>
    <w:uiPriority w:val="0"/>
    <w:rPr>
      <w:color w:val="800080"/>
      <w:u w:val="single"/>
    </w:rPr>
  </w:style>
  <w:style w:type="character" w:styleId="26">
    <w:name w:val="Hyperlink"/>
    <w:qFormat/>
    <w:uiPriority w:val="0"/>
    <w:rPr>
      <w:color w:val="699676"/>
      <w:u w:val="none"/>
    </w:rPr>
  </w:style>
  <w:style w:type="character" w:styleId="27">
    <w:name w:val="annotation reference"/>
    <w:qFormat/>
    <w:uiPriority w:val="0"/>
    <w:rPr>
      <w:sz w:val="21"/>
      <w:szCs w:val="21"/>
    </w:rPr>
  </w:style>
  <w:style w:type="character" w:styleId="28">
    <w:name w:val="HTML Sample"/>
    <w:basedOn w:val="22"/>
    <w:qFormat/>
    <w:uiPriority w:val="0"/>
    <w:rPr>
      <w:rFonts w:ascii="Courier New" w:hAnsi="Courier New"/>
    </w:rPr>
  </w:style>
  <w:style w:type="paragraph" w:customStyle="1" w:styleId="29">
    <w:name w:val="中文正文、"/>
    <w:basedOn w:val="1"/>
    <w:qFormat/>
    <w:uiPriority w:val="0"/>
    <w:pPr>
      <w:spacing w:line="360" w:lineRule="auto"/>
      <w:ind w:firstLine="420" w:firstLineChars="200"/>
      <w:jc w:val="left"/>
    </w:pPr>
    <w:rPr>
      <w:szCs w:val="21"/>
    </w:rPr>
  </w:style>
  <w:style w:type="paragraph" w:customStyle="1" w:styleId="30">
    <w:name w:val="样式 标题 3 + (中文) 黑体 小四 非加粗 段前: 7.8 磅 段后: 0 磅 行距: 固定值 20 磅"/>
    <w:basedOn w:val="5"/>
    <w:qFormat/>
    <w:uiPriority w:val="0"/>
    <w:pPr>
      <w:spacing w:before="0" w:beforeLines="0" w:after="0" w:afterLines="0" w:line="400" w:lineRule="exact"/>
    </w:pPr>
    <w:rPr>
      <w:rFonts w:eastAsia="黑体" w:cs="宋体"/>
      <w:b w:val="0"/>
      <w:bCs w:val="0"/>
      <w:sz w:val="24"/>
      <w:szCs w:val="20"/>
    </w:rPr>
  </w:style>
  <w:style w:type="character" w:customStyle="1" w:styleId="31">
    <w:name w:val="样式 宋体 四号"/>
    <w:qFormat/>
    <w:uiPriority w:val="0"/>
    <w:rPr>
      <w:rFonts w:ascii="宋体" w:hAnsi="宋体" w:eastAsia="仿宋_GB2312"/>
      <w:sz w:val="28"/>
    </w:rPr>
  </w:style>
  <w:style w:type="paragraph" w:customStyle="1" w:styleId="32">
    <w:name w:val="样式 居中"/>
    <w:basedOn w:val="1"/>
    <w:qFormat/>
    <w:uiPriority w:val="0"/>
    <w:pPr>
      <w:adjustRightInd w:val="0"/>
      <w:snapToGrid w:val="0"/>
      <w:jc w:val="center"/>
    </w:pPr>
    <w:rPr>
      <w:rFonts w:cs="宋体"/>
      <w:b/>
      <w:szCs w:val="20"/>
    </w:rPr>
  </w:style>
  <w:style w:type="paragraph" w:customStyle="1" w:styleId="33">
    <w:name w:val="blockquote"/>
    <w:basedOn w:val="1"/>
    <w:qFormat/>
    <w:uiPriority w:val="0"/>
    <w:pPr>
      <w:widowControl/>
      <w:spacing w:before="100" w:beforeLines="0" w:beforeAutospacing="1" w:after="100" w:afterLines="0" w:afterAutospacing="1"/>
      <w:jc w:val="left"/>
    </w:pPr>
    <w:rPr>
      <w:rFonts w:ascii="宋体" w:hAnsi="宋体" w:cs="宋体"/>
      <w:kern w:val="0"/>
      <w:sz w:val="24"/>
    </w:rPr>
  </w:style>
  <w:style w:type="paragraph" w:customStyle="1" w:styleId="34">
    <w:name w:val="WPSOffice手动目录 1"/>
    <w:qFormat/>
    <w:uiPriority w:val="0"/>
    <w:pPr>
      <w:ind w:leftChars="0"/>
    </w:pPr>
    <w:rPr>
      <w:rFonts w:ascii="Times New Roman" w:hAnsi="Times New Roman" w:eastAsia="宋体" w:cs="Times New Roman"/>
      <w:sz w:val="20"/>
      <w:szCs w:val="20"/>
    </w:rPr>
  </w:style>
  <w:style w:type="paragraph" w:customStyle="1" w:styleId="35">
    <w:name w:val="WPSOffice手动目录 2"/>
    <w:qFormat/>
    <w:uiPriority w:val="0"/>
    <w:pPr>
      <w:ind w:leftChars="200"/>
    </w:pPr>
    <w:rPr>
      <w:rFonts w:ascii="Times New Roman" w:hAnsi="Times New Roman" w:eastAsia="宋体" w:cs="Times New Roman"/>
      <w:sz w:val="20"/>
      <w:szCs w:val="20"/>
    </w:rPr>
  </w:style>
  <w:style w:type="character" w:customStyle="1" w:styleId="36">
    <w:name w:val="NormalCharacter"/>
    <w:link w:val="1"/>
    <w:qFormat/>
    <w:uiPriority w:val="0"/>
    <w:rPr>
      <w:rFonts w:ascii="Times New Roman" w:hAnsi="Times New Roman" w:eastAsia="宋体" w:cs="Times New Roman"/>
      <w:kern w:val="2"/>
      <w:sz w:val="21"/>
      <w:szCs w:val="24"/>
      <w:lang w:val="en-US" w:eastAsia="zh-CN" w:bidi="ar-SA"/>
    </w:rPr>
  </w:style>
  <w:style w:type="character" w:customStyle="1" w:styleId="37">
    <w:name w:val="font41"/>
    <w:qFormat/>
    <w:uiPriority w:val="0"/>
    <w:rPr>
      <w:rFonts w:hint="eastAsia" w:ascii="宋体" w:hAnsi="宋体" w:eastAsia="宋体" w:cs="宋体"/>
      <w:color w:val="000000"/>
      <w:sz w:val="20"/>
      <w:szCs w:val="20"/>
      <w:u w:val="none"/>
    </w:rPr>
  </w:style>
  <w:style w:type="character" w:customStyle="1" w:styleId="38">
    <w:name w:val="标题 3 Char"/>
    <w:link w:val="5"/>
    <w:qFormat/>
    <w:uiPriority w:val="0"/>
    <w:rPr>
      <w:b/>
      <w:bCs/>
      <w:sz w:val="32"/>
      <w:szCs w:val="32"/>
    </w:rPr>
  </w:style>
  <w:style w:type="character" w:customStyle="1" w:styleId="39">
    <w:name w:val="font21"/>
    <w:basedOn w:val="22"/>
    <w:qFormat/>
    <w:uiPriority w:val="0"/>
    <w:rPr>
      <w:rFonts w:ascii="font-weight : 400" w:hAnsi="font-weight : 400" w:eastAsia="font-weight : 400" w:cs="font-weight : 400"/>
      <w:color w:val="000000"/>
      <w:sz w:val="24"/>
      <w:szCs w:val="24"/>
      <w:u w:val="none"/>
    </w:rPr>
  </w:style>
  <w:style w:type="character" w:customStyle="1" w:styleId="40">
    <w:name w:val="font01"/>
    <w:basedOn w:val="22"/>
    <w:qFormat/>
    <w:uiPriority w:val="0"/>
    <w:rPr>
      <w:rFonts w:hint="eastAsia" w:ascii="宋体" w:hAnsi="宋体" w:eastAsia="宋体" w:cs="宋体"/>
      <w:color w:val="000000"/>
      <w:sz w:val="24"/>
      <w:szCs w:val="24"/>
      <w:u w:val="none"/>
    </w:rPr>
  </w:style>
  <w:style w:type="paragraph" w:customStyle="1" w:styleId="41">
    <w:name w:val="_Style 2"/>
    <w:basedOn w:val="1"/>
    <w:qFormat/>
    <w:uiPriority w:val="1"/>
    <w:pPr>
      <w:ind w:firstLine="420" w:firstLineChars="200"/>
    </w:pPr>
    <w:rPr>
      <w:rFonts w:ascii="Calibri" w:hAnsi="Calibri"/>
      <w:szCs w:val="22"/>
    </w:rPr>
  </w:style>
  <w:style w:type="paragraph" w:customStyle="1" w:styleId="42">
    <w:name w:val="目录样式1"/>
    <w:basedOn w:val="1"/>
    <w:qFormat/>
    <w:uiPriority w:val="0"/>
    <w:rPr>
      <w:rFonts w:ascii="黑体" w:hAnsi="宋体" w:eastAsia="黑体"/>
      <w:sz w:val="24"/>
      <w:szCs w:val="20"/>
    </w:rPr>
  </w:style>
  <w:style w:type="paragraph" w:customStyle="1" w:styleId="43">
    <w:name w:val="正文文字"/>
    <w:basedOn w:val="1"/>
    <w:qFormat/>
    <w:uiPriority w:val="99"/>
    <w:pPr>
      <w:widowControl/>
      <w:spacing w:line="2375" w:lineRule="atLeast"/>
      <w:ind w:firstLine="419"/>
      <w:textAlignment w:val="baseline"/>
    </w:pPr>
    <w:rPr>
      <w:rFonts w:ascii="宋体"/>
      <w:color w:val="000000"/>
      <w:kern w:val="0"/>
      <w:sz w:val="28"/>
    </w:rPr>
  </w:style>
  <w:style w:type="character" w:customStyle="1" w:styleId="44">
    <w:name w:val="font11"/>
    <w:basedOn w:val="22"/>
    <w:qFormat/>
    <w:uiPriority w:val="0"/>
    <w:rPr>
      <w:rFonts w:ascii="font-weight : 700" w:hAnsi="font-weight : 700" w:eastAsia="font-weight : 700" w:cs="font-weight : 700"/>
      <w:color w:val="000000"/>
      <w:sz w:val="21"/>
      <w:szCs w:val="21"/>
      <w:u w:val="none"/>
    </w:rPr>
  </w:style>
  <w:style w:type="paragraph" w:customStyle="1" w:styleId="45">
    <w:name w:val="List Paragraph"/>
    <w:basedOn w:val="1"/>
    <w:qFormat/>
    <w:uiPriority w:val="34"/>
    <w:pPr>
      <w:ind w:firstLine="420" w:firstLineChars="200"/>
    </w:pPr>
    <w:rPr>
      <w:sz w:val="21"/>
    </w:rPr>
  </w:style>
  <w:style w:type="paragraph" w:customStyle="1" w:styleId="46">
    <w:name w:val="缺省文本"/>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47">
    <w:name w:val="样式 样式 样式 样式 标题 2 + 宋体 五号 非加粗 黑色 + 段前: 6 磅 段后: 0 磅 行距: 单倍行距 + 段前:..."/>
    <w:basedOn w:val="1"/>
    <w:qFormat/>
    <w:uiPriority w:val="0"/>
    <w:pPr>
      <w:keepNext/>
      <w:keepLines/>
      <w:adjustRightInd w:val="0"/>
      <w:spacing w:before="240"/>
      <w:textAlignment w:val="baseline"/>
      <w:outlineLvl w:val="1"/>
    </w:pPr>
    <w:rPr>
      <w:rFonts w:ascii="宋体" w:hAnsi="宋体"/>
      <w:b/>
      <w:bCs/>
      <w:kern w:val="0"/>
    </w:rPr>
  </w:style>
  <w:style w:type="paragraph" w:customStyle="1" w:styleId="48">
    <w:name w:val="样式1"/>
    <w:basedOn w:val="1"/>
    <w:qFormat/>
    <w:uiPriority w:val="0"/>
    <w:pPr>
      <w:tabs>
        <w:tab w:val="left" w:pos="480"/>
      </w:tabs>
      <w:adjustRightInd w:val="0"/>
      <w:ind w:left="480" w:hanging="480"/>
      <w:textAlignment w:val="baseline"/>
    </w:pPr>
    <w:rPr>
      <w:rFonts w:ascii="宋体" w:hAnsi="宋体"/>
      <w:kern w:val="0"/>
      <w:szCs w:val="21"/>
    </w:rPr>
  </w:style>
  <w:style w:type="paragraph" w:customStyle="1" w:styleId="49">
    <w:name w:val="普通 (Web)"/>
    <w:basedOn w:val="1"/>
    <w:qFormat/>
    <w:uiPriority w:val="0"/>
    <w:pPr>
      <w:widowControl/>
      <w:spacing w:before="100" w:beforeAutospacing="1" w:after="100" w:afterAutospacing="1"/>
      <w:jc w:val="left"/>
    </w:pPr>
    <w:rPr>
      <w:rFonts w:ascii="宋体" w:hAnsi="宋体"/>
      <w:kern w:val="0"/>
      <w:sz w:val="24"/>
    </w:rPr>
  </w:style>
  <w:style w:type="paragraph" w:customStyle="1" w:styleId="50">
    <w:name w:val="日期_0"/>
    <w:basedOn w:val="51"/>
    <w:next w:val="51"/>
    <w:qFormat/>
    <w:uiPriority w:val="0"/>
    <w:pPr>
      <w:ind w:left="100" w:leftChars="2500"/>
    </w:pPr>
    <w:rPr>
      <w:kern w:val="0"/>
      <w:sz w:val="20"/>
    </w:rPr>
  </w:style>
  <w:style w:type="paragraph" w:customStyle="1" w:styleId="51">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2">
    <w:name w:val="标题 3_0"/>
    <w:basedOn w:val="53"/>
    <w:next w:val="53"/>
    <w:qFormat/>
    <w:uiPriority w:val="9"/>
    <w:pPr>
      <w:keepNext/>
      <w:keepLines/>
      <w:numPr>
        <w:ilvl w:val="2"/>
        <w:numId w:val="2"/>
      </w:numPr>
      <w:spacing w:before="260" w:after="260" w:line="416" w:lineRule="auto"/>
      <w:outlineLvl w:val="2"/>
    </w:pPr>
    <w:rPr>
      <w:rFonts w:ascii="Times New Roman" w:hAnsi="Times New Roman" w:eastAsia="华文细黑"/>
      <w:kern w:val="0"/>
      <w:sz w:val="36"/>
      <w:szCs w:val="20"/>
    </w:rPr>
  </w:style>
  <w:style w:type="paragraph" w:customStyle="1" w:styleId="53">
    <w:name w:val="正文_2"/>
    <w:qFormat/>
    <w:uiPriority w:val="0"/>
    <w:pPr>
      <w:widowControl w:val="0"/>
      <w:jc w:val="both"/>
    </w:pPr>
    <w:rPr>
      <w:rFonts w:ascii="Calibri" w:hAnsi="Calibri" w:eastAsia="宋体" w:cs="Times New Roman"/>
      <w:kern w:val="2"/>
      <w:sz w:val="21"/>
      <w:szCs w:val="22"/>
      <w:lang w:val="en-US" w:eastAsia="zh-CN" w:bidi="ar-SA"/>
    </w:rPr>
  </w:style>
  <w:style w:type="paragraph" w:customStyle="1" w:styleId="54">
    <w:name w:val="B正文"/>
    <w:basedOn w:val="1"/>
    <w:qFormat/>
    <w:uiPriority w:val="0"/>
    <w:pPr>
      <w:widowControl/>
      <w:spacing w:line="360" w:lineRule="auto"/>
      <w:ind w:firstLine="200" w:firstLineChars="200"/>
    </w:pPr>
    <w:rPr>
      <w:rFonts w:ascii="宋体" w:hAnsi="宋体"/>
      <w:kern w:val="0"/>
      <w:sz w:val="24"/>
      <w:szCs w:val="20"/>
    </w:rPr>
  </w:style>
  <w:style w:type="paragraph" w:customStyle="1" w:styleId="55">
    <w:name w:val="标准小四"/>
    <w:basedOn w:val="1"/>
    <w:qFormat/>
    <w:uiPriority w:val="0"/>
    <w:pPr>
      <w:spacing w:line="360" w:lineRule="auto"/>
      <w:ind w:firstLine="480" w:firstLineChars="200"/>
    </w:pPr>
    <w:rPr>
      <w:rFonts w:ascii="Arial" w:hAnsi="Arial"/>
      <w:sz w:val="24"/>
      <w:szCs w:val="21"/>
    </w:rPr>
  </w:style>
  <w:style w:type="paragraph" w:customStyle="1" w:styleId="56">
    <w:name w:val="样式 首行缩进:  0.85 厘米 段前: 2.5 磅 段后: 6 磅 行距: 1.5 倍行距"/>
    <w:basedOn w:val="1"/>
    <w:qFormat/>
    <w:uiPriority w:val="0"/>
    <w:pPr>
      <w:spacing w:before="50" w:after="120" w:line="360" w:lineRule="auto"/>
      <w:ind w:firstLine="480"/>
    </w:pPr>
    <w:rPr>
      <w:rFonts w:cs="宋体"/>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glossaryDocument" Target="glossary/document.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13ab6eca-d3c5-451d-9287-c105b3981ec1}"/>
        <w:style w:val=""/>
        <w:category>
          <w:name w:val="常规"/>
          <w:gallery w:val="placeholder"/>
        </w:category>
        <w:types>
          <w:type w:val="bbPlcHdr"/>
        </w:types>
        <w:behaviors>
          <w:behavior w:val="content"/>
        </w:behaviors>
        <w:description w:val=""/>
        <w:guid w:val="{13ab6eca-d3c5-451d-9287-c105b3981ec1}"/>
      </w:docPartPr>
      <w:docPartBody>
        <w:p>
          <w:r>
            <w:rPr>
              <w:color w:val="808080"/>
            </w:rPr>
            <w:t>单击此处输入文字。</w:t>
          </w:r>
        </w:p>
      </w:docPartBody>
    </w:docPart>
    <w:docPart>
      <w:docPartPr>
        <w:name w:val="{24d9f258-283b-4be9-971f-2db4518d93a5}"/>
        <w:style w:val=""/>
        <w:category>
          <w:name w:val="常规"/>
          <w:gallery w:val="placeholder"/>
        </w:category>
        <w:types>
          <w:type w:val="bbPlcHdr"/>
        </w:types>
        <w:behaviors>
          <w:behavior w:val="content"/>
        </w:behaviors>
        <w:description w:val=""/>
        <w:guid w:val="{24d9f258-283b-4be9-971f-2db4518d93a5}"/>
      </w:docPartPr>
      <w:docPartBody>
        <w:p>
          <w:r>
            <w:rPr>
              <w:color w:val="808080"/>
            </w:rPr>
            <w:t>单击此处输入文字。</w:t>
          </w:r>
        </w:p>
      </w:docPartBody>
    </w:docPart>
    <w:docPart>
      <w:docPartPr>
        <w:name w:val="{3d868eec-8c5d-478a-879e-35d47cae5540}"/>
        <w:style w:val=""/>
        <w:category>
          <w:name w:val="常规"/>
          <w:gallery w:val="placeholder"/>
        </w:category>
        <w:types>
          <w:type w:val="bbPlcHdr"/>
        </w:types>
        <w:behaviors>
          <w:behavior w:val="content"/>
        </w:behaviors>
        <w:description w:val=""/>
        <w:guid w:val="{3d868eec-8c5d-478a-879e-35d47cae5540}"/>
      </w:docPartPr>
      <w:docPartBody>
        <w:p>
          <w:r>
            <w:rPr>
              <w:color w:val="808080"/>
            </w:rPr>
            <w:t>单击此处输入文字。</w:t>
          </w:r>
        </w:p>
      </w:docPartBody>
    </w:docPart>
    <w:docPart>
      <w:docPartPr>
        <w:name w:val="{9c6c7a6b-4bda-4759-b627-154a6bbda8bd}"/>
        <w:style w:val=""/>
        <w:category>
          <w:name w:val="常规"/>
          <w:gallery w:val="placeholder"/>
        </w:category>
        <w:types>
          <w:type w:val="bbPlcHdr"/>
        </w:types>
        <w:behaviors>
          <w:behavior w:val="content"/>
        </w:behaviors>
        <w:description w:val=""/>
        <w:guid w:val="{9c6c7a6b-4bda-4759-b627-154a6bbda8bd}"/>
      </w:docPartPr>
      <w:docPartBody>
        <w:p>
          <w:r>
            <w:rPr>
              <w:color w:val="808080"/>
            </w:rPr>
            <w:t>单击此处输入文字。</w:t>
          </w:r>
        </w:p>
      </w:docPartBody>
    </w:docPart>
    <w:docPart>
      <w:docPartPr>
        <w:name w:val="{32d05670-1a36-49cd-8545-b23a40f19d7d}"/>
        <w:style w:val=""/>
        <w:category>
          <w:name w:val="常规"/>
          <w:gallery w:val="placeholder"/>
        </w:category>
        <w:types>
          <w:type w:val="bbPlcHdr"/>
        </w:types>
        <w:behaviors>
          <w:behavior w:val="content"/>
        </w:behaviors>
        <w:description w:val=""/>
        <w:guid w:val="{32d05670-1a36-49cd-8545-b23a40f19d7d}"/>
      </w:docPartPr>
      <w:docPartBody>
        <w:p>
          <w:r>
            <w:rPr>
              <w:color w:val="808080"/>
            </w:rPr>
            <w:t>单击此处输入文字。</w:t>
          </w:r>
        </w:p>
      </w:docPartBody>
    </w:docPart>
    <w:docPart>
      <w:docPartPr>
        <w:name w:val="{4afa0626-4e6f-4935-a23f-5ebb38a499cd}"/>
        <w:style w:val=""/>
        <w:category>
          <w:name w:val="常规"/>
          <w:gallery w:val="placeholder"/>
        </w:category>
        <w:types>
          <w:type w:val="bbPlcHdr"/>
        </w:types>
        <w:behaviors>
          <w:behavior w:val="content"/>
        </w:behaviors>
        <w:description w:val=""/>
        <w:guid w:val="{4afa0626-4e6f-4935-a23f-5ebb38a499cd}"/>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177</Pages>
  <Words>98342</Words>
  <Characters>118143</Characters>
  <Lines>0</Lines>
  <Paragraphs>0</Paragraphs>
  <TotalTime>22</TotalTime>
  <ScaleCrop>false</ScaleCrop>
  <LinksUpToDate>false</LinksUpToDate>
  <CharactersWithSpaces>122208</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2021-07-18T13:17:00Z</dcterms:created>
  <dc:creator>apple</dc:creator>
  <cp:lastModifiedBy>叮咚叮咚</cp:lastModifiedBy>
  <cp:lastPrinted>2022-01-24T09:27:00Z</cp:lastPrinted>
  <dcterms:modified xsi:type="dcterms:W3CDTF">2022-08-08T05:28:37Z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FB4DEB54CA4C4789B362BFD9035902D2</vt:lpwstr>
  </property>
</Properties>
</file>