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21"/>
          <w:rFonts w:ascii="宋体" w:hAnsi="宋体" w:cs="宋体"/>
          <w:color w:val="auto"/>
          <w:highlight w:val="none"/>
        </w:rPr>
      </w:pPr>
    </w:p>
    <w:p>
      <w:pPr>
        <w:pStyle w:val="26"/>
        <w:rPr>
          <w:color w:val="auto"/>
          <w:highlight w:val="none"/>
        </w:rPr>
      </w:pPr>
    </w:p>
    <w:p>
      <w:pPr>
        <w:tabs>
          <w:tab w:val="left" w:pos="1134"/>
          <w:tab w:val="left" w:pos="5481"/>
          <w:tab w:val="left" w:pos="5859"/>
        </w:tabs>
        <w:jc w:val="center"/>
        <w:rPr>
          <w:rStyle w:val="21"/>
          <w:rFonts w:ascii="宋体" w:hAnsi="宋体" w:cs="宋体"/>
          <w:color w:val="auto"/>
          <w:sz w:val="72"/>
          <w:szCs w:val="72"/>
          <w:highlight w:val="none"/>
        </w:rPr>
      </w:pPr>
      <w:r>
        <w:rPr>
          <w:rStyle w:val="21"/>
          <w:rFonts w:hint="eastAsia" w:ascii="宋体" w:hAnsi="宋体" w:cs="宋体"/>
          <w:b/>
          <w:bCs/>
          <w:color w:val="auto"/>
          <w:sz w:val="32"/>
          <w:szCs w:val="40"/>
          <w:highlight w:val="none"/>
          <w:u w:val="single"/>
        </w:rPr>
        <w:t>“兵团全民健康信息系统软件项目”师级医院实施项目</w:t>
      </w:r>
    </w:p>
    <w:p>
      <w:pPr>
        <w:tabs>
          <w:tab w:val="left" w:pos="1134"/>
          <w:tab w:val="left" w:pos="5481"/>
          <w:tab w:val="left" w:pos="5859"/>
        </w:tabs>
        <w:jc w:val="center"/>
        <w:rPr>
          <w:rStyle w:val="21"/>
          <w:rFonts w:ascii="宋体" w:hAnsi="宋体" w:cs="宋体"/>
          <w:color w:val="auto"/>
          <w:sz w:val="72"/>
          <w:szCs w:val="72"/>
          <w:highlight w:val="none"/>
        </w:rPr>
      </w:pPr>
    </w:p>
    <w:p>
      <w:pPr>
        <w:tabs>
          <w:tab w:val="left" w:pos="1134"/>
          <w:tab w:val="left" w:pos="5481"/>
          <w:tab w:val="left" w:pos="5859"/>
        </w:tabs>
        <w:jc w:val="center"/>
        <w:rPr>
          <w:rStyle w:val="21"/>
          <w:rFonts w:ascii="宋体" w:hAnsi="宋体" w:cs="宋体"/>
          <w:b/>
          <w:bCs/>
          <w:color w:val="auto"/>
          <w:sz w:val="72"/>
          <w:szCs w:val="72"/>
          <w:highlight w:val="none"/>
        </w:rPr>
      </w:pPr>
      <w:r>
        <w:rPr>
          <w:rStyle w:val="21"/>
          <w:rFonts w:hint="eastAsia" w:ascii="宋体" w:hAnsi="宋体" w:cs="宋体"/>
          <w:b/>
          <w:bCs/>
          <w:color w:val="auto"/>
          <w:sz w:val="72"/>
          <w:szCs w:val="72"/>
          <w:highlight w:val="none"/>
        </w:rPr>
        <w:t>公开招标文件</w:t>
      </w:r>
    </w:p>
    <w:p>
      <w:pPr>
        <w:tabs>
          <w:tab w:val="left" w:pos="1134"/>
          <w:tab w:val="left" w:pos="5160"/>
        </w:tabs>
        <w:jc w:val="center"/>
        <w:rPr>
          <w:rStyle w:val="21"/>
          <w:rFonts w:ascii="宋体" w:hAnsi="宋体" w:cs="宋体"/>
          <w:b/>
          <w:bCs/>
          <w:color w:val="auto"/>
          <w:sz w:val="72"/>
          <w:szCs w:val="72"/>
          <w:highlight w:val="none"/>
        </w:rPr>
      </w:pPr>
      <w:r>
        <w:rPr>
          <w:rStyle w:val="21"/>
          <w:rFonts w:hint="eastAsia" w:ascii="宋体" w:hAnsi="宋体" w:cs="宋体"/>
          <w:b/>
          <w:bCs/>
          <w:color w:val="auto"/>
          <w:sz w:val="72"/>
          <w:szCs w:val="72"/>
          <w:highlight w:val="none"/>
        </w:rPr>
        <w:t>（服务类）</w:t>
      </w:r>
    </w:p>
    <w:p>
      <w:pPr>
        <w:tabs>
          <w:tab w:val="left" w:pos="1134"/>
          <w:tab w:val="left" w:pos="5481"/>
          <w:tab w:val="left" w:pos="5859"/>
        </w:tabs>
        <w:jc w:val="center"/>
        <w:rPr>
          <w:rStyle w:val="21"/>
          <w:rFonts w:hint="default" w:ascii="宋体" w:hAnsi="宋体" w:eastAsia="宋体" w:cs="宋体"/>
          <w:b/>
          <w:bCs/>
          <w:color w:val="auto"/>
          <w:sz w:val="32"/>
          <w:highlight w:val="none"/>
          <w:lang w:val="en-US" w:eastAsia="zh-CN"/>
        </w:rPr>
      </w:pPr>
      <w:r>
        <w:rPr>
          <w:rStyle w:val="21"/>
          <w:rFonts w:hint="eastAsia" w:ascii="宋体" w:hAnsi="宋体" w:cs="宋体"/>
          <w:b/>
          <w:bCs/>
          <w:color w:val="auto"/>
          <w:sz w:val="32"/>
          <w:highlight w:val="none"/>
        </w:rPr>
        <w:t>招标编号：XJCC-ZB-2022-</w:t>
      </w:r>
      <w:r>
        <w:rPr>
          <w:rStyle w:val="21"/>
          <w:rFonts w:hint="eastAsia" w:ascii="宋体" w:hAnsi="宋体" w:cs="宋体"/>
          <w:b/>
          <w:bCs/>
          <w:color w:val="auto"/>
          <w:sz w:val="32"/>
          <w:highlight w:val="none"/>
          <w:lang w:val="en-US" w:eastAsia="zh-CN"/>
        </w:rPr>
        <w:t>160</w:t>
      </w:r>
    </w:p>
    <w:p>
      <w:pPr>
        <w:pStyle w:val="2"/>
        <w:ind w:firstLine="0" w:firstLineChars="0"/>
        <w:rPr>
          <w:color w:val="auto"/>
          <w:highlight w:val="none"/>
        </w:rPr>
      </w:pPr>
    </w:p>
    <w:p>
      <w:pPr>
        <w:tabs>
          <w:tab w:val="left" w:pos="1134"/>
          <w:tab w:val="left" w:pos="5481"/>
          <w:tab w:val="left" w:pos="5859"/>
        </w:tabs>
        <w:jc w:val="center"/>
        <w:rPr>
          <w:rStyle w:val="21"/>
          <w:rFonts w:ascii="宋体" w:hAnsi="宋体" w:cs="宋体"/>
          <w:b/>
          <w:color w:val="auto"/>
          <w:sz w:val="32"/>
          <w:highlight w:val="none"/>
        </w:rPr>
      </w:pPr>
    </w:p>
    <w:p>
      <w:pPr>
        <w:pStyle w:val="44"/>
        <w:spacing w:line="240" w:lineRule="auto"/>
        <w:ind w:left="0" w:leftChars="0" w:firstLineChars="0"/>
        <w:rPr>
          <w:rStyle w:val="21"/>
          <w:rFonts w:ascii="宋体" w:hAnsi="宋体" w:cs="宋体"/>
          <w:b/>
          <w:color w:val="auto"/>
          <w:sz w:val="32"/>
          <w:highlight w:val="none"/>
        </w:rPr>
      </w:pPr>
      <w:r>
        <w:rPr>
          <w:rStyle w:val="21"/>
          <w:rFonts w:hint="eastAsia" w:ascii="宋体" w:hAnsi="宋体" w:cs="宋体"/>
          <w:b/>
          <w:color w:val="auto"/>
          <w:sz w:val="32"/>
          <w:highlight w:val="none"/>
        </w:rPr>
        <w:t>采购人：新疆生产建设兵团医院（盖章）</w:t>
      </w:r>
    </w:p>
    <w:p>
      <w:pPr>
        <w:pStyle w:val="44"/>
        <w:spacing w:line="240" w:lineRule="auto"/>
        <w:ind w:left="0" w:leftChars="0" w:firstLineChars="0"/>
        <w:rPr>
          <w:rStyle w:val="21"/>
          <w:rFonts w:ascii="宋体" w:hAnsi="宋体" w:cs="宋体"/>
          <w:b/>
          <w:color w:val="auto"/>
          <w:sz w:val="32"/>
          <w:highlight w:val="none"/>
        </w:rPr>
      </w:pPr>
      <w:r>
        <w:rPr>
          <w:rStyle w:val="21"/>
          <w:rFonts w:hint="eastAsia" w:ascii="宋体" w:hAnsi="宋体" w:cs="宋体"/>
          <w:b/>
          <w:color w:val="auto"/>
          <w:sz w:val="32"/>
          <w:highlight w:val="none"/>
        </w:rPr>
        <w:t>联系人：夏丽</w:t>
      </w:r>
    </w:p>
    <w:p>
      <w:pPr>
        <w:pStyle w:val="44"/>
        <w:spacing w:line="240" w:lineRule="auto"/>
        <w:ind w:left="0" w:leftChars="0" w:firstLineChars="0"/>
        <w:rPr>
          <w:rStyle w:val="21"/>
          <w:rFonts w:ascii="宋体" w:hAnsi="宋体" w:cs="宋体"/>
          <w:b/>
          <w:color w:val="auto"/>
          <w:sz w:val="32"/>
          <w:highlight w:val="none"/>
        </w:rPr>
      </w:pPr>
      <w:r>
        <w:rPr>
          <w:rStyle w:val="21"/>
          <w:rFonts w:hint="eastAsia" w:ascii="宋体" w:hAnsi="宋体" w:cs="宋体"/>
          <w:b/>
          <w:color w:val="auto"/>
          <w:sz w:val="32"/>
          <w:highlight w:val="none"/>
        </w:rPr>
        <w:t>联系电话：0991-7580</w:t>
      </w:r>
      <w:r>
        <w:rPr>
          <w:rStyle w:val="21"/>
          <w:rFonts w:ascii="宋体" w:hAnsi="宋体" w:cs="宋体"/>
          <w:b/>
          <w:color w:val="auto"/>
          <w:sz w:val="32"/>
          <w:highlight w:val="none"/>
        </w:rPr>
        <w:t>5</w:t>
      </w:r>
      <w:r>
        <w:rPr>
          <w:rStyle w:val="21"/>
          <w:rFonts w:hint="eastAsia" w:ascii="宋体" w:hAnsi="宋体" w:cs="宋体"/>
          <w:b/>
          <w:color w:val="auto"/>
          <w:sz w:val="32"/>
          <w:highlight w:val="none"/>
        </w:rPr>
        <w:t>93</w:t>
      </w:r>
    </w:p>
    <w:p>
      <w:pPr>
        <w:pStyle w:val="44"/>
        <w:spacing w:line="240" w:lineRule="auto"/>
        <w:ind w:left="0" w:leftChars="0" w:firstLineChars="0"/>
        <w:rPr>
          <w:rStyle w:val="21"/>
          <w:rFonts w:ascii="宋体" w:hAnsi="宋体" w:cs="宋体"/>
          <w:b/>
          <w:color w:val="auto"/>
          <w:sz w:val="32"/>
          <w:highlight w:val="none"/>
        </w:rPr>
      </w:pPr>
      <w:r>
        <w:rPr>
          <w:rStyle w:val="21"/>
          <w:rFonts w:hint="eastAsia" w:ascii="宋体" w:hAnsi="宋体" w:cs="宋体"/>
          <w:b/>
          <w:color w:val="auto"/>
          <w:sz w:val="32"/>
          <w:highlight w:val="none"/>
        </w:rPr>
        <w:t>联系地址：乌鲁木齐市天山区青年路232号</w:t>
      </w:r>
    </w:p>
    <w:p>
      <w:pPr>
        <w:pStyle w:val="44"/>
        <w:spacing w:line="240" w:lineRule="auto"/>
        <w:ind w:left="0" w:leftChars="0" w:firstLineChars="0"/>
        <w:rPr>
          <w:rStyle w:val="21"/>
          <w:rFonts w:ascii="宋体" w:hAnsi="宋体" w:cs="宋体"/>
          <w:b/>
          <w:color w:val="auto"/>
          <w:sz w:val="32"/>
          <w:highlight w:val="none"/>
          <w:u w:val="single" w:color="000000"/>
        </w:rPr>
      </w:pPr>
      <w:r>
        <w:rPr>
          <w:rStyle w:val="21"/>
          <w:rFonts w:hint="eastAsia" w:ascii="宋体" w:hAnsi="宋体" w:cs="宋体"/>
          <w:b/>
          <w:color w:val="auto"/>
          <w:sz w:val="32"/>
          <w:highlight w:val="none"/>
        </w:rPr>
        <w:t>代理机构：新疆诚成工程项目管理有限公司（盖章）</w:t>
      </w:r>
    </w:p>
    <w:p>
      <w:pPr>
        <w:pStyle w:val="44"/>
        <w:spacing w:line="240" w:lineRule="auto"/>
        <w:ind w:left="0" w:leftChars="0" w:firstLineChars="0"/>
        <w:rPr>
          <w:rStyle w:val="21"/>
          <w:rFonts w:ascii="宋体" w:hAnsi="宋体" w:cs="宋体"/>
          <w:b/>
          <w:color w:val="auto"/>
          <w:sz w:val="32"/>
          <w:highlight w:val="none"/>
        </w:rPr>
      </w:pPr>
      <w:r>
        <w:rPr>
          <w:rStyle w:val="21"/>
          <w:rFonts w:hint="eastAsia" w:ascii="宋体" w:hAnsi="宋体" w:cs="宋体"/>
          <w:b/>
          <w:color w:val="auto"/>
          <w:sz w:val="32"/>
          <w:highlight w:val="none"/>
        </w:rPr>
        <w:t>联系人：赵雅琦  李颖</w:t>
      </w:r>
    </w:p>
    <w:p>
      <w:pPr>
        <w:pStyle w:val="44"/>
        <w:spacing w:line="240" w:lineRule="auto"/>
        <w:ind w:left="0" w:leftChars="0" w:firstLineChars="0"/>
        <w:rPr>
          <w:rStyle w:val="21"/>
          <w:rFonts w:ascii="宋体" w:hAnsi="宋体" w:cs="宋体"/>
          <w:b/>
          <w:color w:val="auto"/>
          <w:sz w:val="32"/>
          <w:highlight w:val="none"/>
        </w:rPr>
      </w:pPr>
      <w:r>
        <w:rPr>
          <w:rStyle w:val="21"/>
          <w:rFonts w:hint="eastAsia" w:ascii="宋体" w:hAnsi="宋体" w:cs="宋体"/>
          <w:b/>
          <w:color w:val="auto"/>
          <w:sz w:val="32"/>
          <w:highlight w:val="none"/>
        </w:rPr>
        <w:t>联系电话：1999021096218690136275</w:t>
      </w:r>
    </w:p>
    <w:p>
      <w:pPr>
        <w:pStyle w:val="44"/>
        <w:spacing w:line="240" w:lineRule="auto"/>
        <w:ind w:left="0" w:leftChars="0" w:firstLineChars="0"/>
        <w:rPr>
          <w:rStyle w:val="21"/>
          <w:rFonts w:ascii="宋体" w:hAnsi="宋体" w:cs="宋体"/>
          <w:b/>
          <w:color w:val="auto"/>
          <w:sz w:val="32"/>
          <w:highlight w:val="none"/>
        </w:rPr>
      </w:pPr>
      <w:r>
        <w:rPr>
          <w:rStyle w:val="21"/>
          <w:rFonts w:hint="eastAsia" w:ascii="宋体" w:hAnsi="宋体" w:cs="宋体"/>
          <w:b/>
          <w:color w:val="auto"/>
          <w:sz w:val="32"/>
          <w:highlight w:val="none"/>
        </w:rPr>
        <w:t>联系地址：新疆维吾尔自治区乌鲁木齐市水磨沟区红光</w:t>
      </w:r>
    </w:p>
    <w:p>
      <w:pPr>
        <w:pStyle w:val="44"/>
        <w:spacing w:line="240" w:lineRule="auto"/>
        <w:ind w:left="0" w:leftChars="0" w:firstLine="2249" w:firstLineChars="700"/>
        <w:rPr>
          <w:rStyle w:val="21"/>
          <w:rFonts w:ascii="宋体" w:hAnsi="宋体" w:cs="宋体"/>
          <w:b/>
          <w:color w:val="auto"/>
          <w:sz w:val="28"/>
          <w:szCs w:val="22"/>
          <w:highlight w:val="none"/>
        </w:rPr>
      </w:pPr>
      <w:r>
        <w:rPr>
          <w:rStyle w:val="21"/>
          <w:rFonts w:hint="eastAsia" w:ascii="宋体" w:hAnsi="宋体" w:cs="宋体"/>
          <w:b/>
          <w:color w:val="auto"/>
          <w:sz w:val="32"/>
          <w:highlight w:val="none"/>
        </w:rPr>
        <w:t>山路2588号绿地中心101栋1806室</w:t>
      </w:r>
    </w:p>
    <w:p>
      <w:pPr>
        <w:pStyle w:val="44"/>
        <w:spacing w:line="240" w:lineRule="auto"/>
        <w:ind w:left="1747" w:firstLine="551"/>
        <w:rPr>
          <w:rStyle w:val="21"/>
          <w:rFonts w:ascii="宋体" w:hAnsi="宋体" w:cs="宋体"/>
          <w:b/>
          <w:color w:val="auto"/>
          <w:sz w:val="28"/>
          <w:szCs w:val="22"/>
          <w:highlight w:val="none"/>
        </w:rPr>
      </w:pPr>
    </w:p>
    <w:p>
      <w:pPr>
        <w:pStyle w:val="44"/>
        <w:spacing w:line="240" w:lineRule="auto"/>
        <w:ind w:left="1747" w:firstLine="630"/>
        <w:rPr>
          <w:rStyle w:val="21"/>
          <w:rFonts w:ascii="宋体" w:hAnsi="宋体" w:cs="宋体"/>
          <w:b/>
          <w:color w:val="auto"/>
          <w:sz w:val="32"/>
          <w:highlight w:val="none"/>
        </w:rPr>
      </w:pPr>
      <w:r>
        <w:rPr>
          <w:rStyle w:val="21"/>
          <w:rFonts w:hint="eastAsia" w:ascii="宋体" w:hAnsi="宋体" w:cs="宋体"/>
          <w:b/>
          <w:color w:val="auto"/>
          <w:sz w:val="32"/>
          <w:highlight w:val="none"/>
        </w:rPr>
        <w:t>日期：2022年1</w:t>
      </w:r>
      <w:r>
        <w:rPr>
          <w:rStyle w:val="21"/>
          <w:rFonts w:ascii="宋体" w:hAnsi="宋体" w:cs="宋体"/>
          <w:b/>
          <w:color w:val="auto"/>
          <w:sz w:val="32"/>
          <w:highlight w:val="none"/>
        </w:rPr>
        <w:t>1</w:t>
      </w:r>
      <w:r>
        <w:rPr>
          <w:rStyle w:val="21"/>
          <w:rFonts w:hint="eastAsia" w:ascii="宋体" w:hAnsi="宋体" w:cs="宋体"/>
          <w:b/>
          <w:color w:val="auto"/>
          <w:sz w:val="32"/>
          <w:highlight w:val="none"/>
        </w:rPr>
        <w:t>月</w:t>
      </w:r>
    </w:p>
    <w:p>
      <w:pPr>
        <w:pStyle w:val="47"/>
        <w:tabs>
          <w:tab w:val="right" w:leader="dot" w:pos="8312"/>
        </w:tabs>
        <w:rPr>
          <w:rStyle w:val="21"/>
          <w:rFonts w:ascii="宋体" w:hAnsi="宋体" w:cs="宋体"/>
          <w:color w:val="auto"/>
          <w:highlight w:val="none"/>
        </w:rPr>
      </w:pPr>
    </w:p>
    <w:p>
      <w:pPr>
        <w:jc w:val="center"/>
        <w:rPr>
          <w:rFonts w:ascii="宋体" w:hAnsi="宋体" w:cs="宋体"/>
          <w:color w:val="auto"/>
          <w:highlight w:val="none"/>
        </w:rPr>
        <w:sectPr>
          <w:headerReference r:id="rId3" w:type="default"/>
          <w:footerReference r:id="rId5" w:type="default"/>
          <w:headerReference r:id="rId4" w:type="even"/>
          <w:pgSz w:w="11906" w:h="16838"/>
          <w:pgMar w:top="1440" w:right="1797" w:bottom="1440" w:left="1797" w:header="851" w:footer="992" w:gutter="0"/>
          <w:pgNumType w:start="0"/>
          <w:cols w:space="425" w:num="1"/>
          <w:titlePg/>
          <w:docGrid w:type="lines" w:linePitch="312" w:charSpace="0"/>
        </w:sectPr>
      </w:pPr>
    </w:p>
    <w:sdt>
      <w:sdtPr>
        <w:rPr>
          <w:rFonts w:hint="eastAsia" w:ascii="宋体" w:hAnsi="宋体" w:cs="宋体"/>
          <w:color w:val="auto"/>
          <w:highlight w:val="none"/>
        </w:rPr>
        <w:id w:val="147459581"/>
        <w15:color w:val="DBDBDB"/>
      </w:sdtPr>
      <w:sdtEndPr>
        <w:rPr>
          <w:rFonts w:hint="eastAsia" w:ascii="宋体" w:hAnsi="宋体" w:cs="宋体"/>
          <w:bCs/>
          <w:color w:val="auto"/>
          <w:sz w:val="24"/>
          <w:szCs w:val="24"/>
          <w:highlight w:val="none"/>
          <w:lang w:val="zh-CN"/>
        </w:rPr>
      </w:sdtEndPr>
      <w:sdtContent>
        <w:p>
          <w:pPr>
            <w:jc w:val="center"/>
            <w:rPr>
              <w:rFonts w:ascii="宋体" w:hAnsi="宋体" w:cs="宋体"/>
              <w:color w:val="auto"/>
              <w:sz w:val="24"/>
              <w:szCs w:val="28"/>
              <w:highlight w:val="none"/>
            </w:rPr>
          </w:pPr>
          <w:r>
            <w:rPr>
              <w:rFonts w:hint="eastAsia" w:ascii="宋体" w:hAnsi="宋体" w:cs="宋体"/>
              <w:color w:val="auto"/>
              <w:sz w:val="24"/>
              <w:szCs w:val="28"/>
              <w:highlight w:val="none"/>
            </w:rPr>
            <w:t>目录</w:t>
          </w:r>
        </w:p>
        <w:p>
          <w:pPr>
            <w:pStyle w:val="13"/>
            <w:tabs>
              <w:tab w:val="right" w:leader="dot" w:pos="8302"/>
            </w:tabs>
            <w:rPr>
              <w:rFonts w:asciiTheme="minorHAnsi" w:hAnsiTheme="minorHAnsi" w:eastAsiaTheme="minorEastAsia"/>
              <w:color w:val="auto"/>
              <w:highlight w:val="none"/>
            </w:rPr>
          </w:pPr>
          <w:r>
            <w:rPr>
              <w:rStyle w:val="21"/>
              <w:rFonts w:hint="eastAsia" w:ascii="Times New Roman" w:hAnsi="Times New Roman"/>
              <w:b/>
              <w:color w:val="auto"/>
              <w:kern w:val="0"/>
              <w:sz w:val="20"/>
              <w:szCs w:val="20"/>
              <w:highlight w:val="none"/>
            </w:rPr>
            <w:fldChar w:fldCharType="begin"/>
          </w:r>
          <w:r>
            <w:rPr>
              <w:rStyle w:val="21"/>
              <w:rFonts w:hint="eastAsia" w:ascii="宋体" w:hAnsi="宋体" w:cs="宋体"/>
              <w:b/>
              <w:bCs/>
              <w:color w:val="auto"/>
              <w:sz w:val="24"/>
              <w:szCs w:val="24"/>
              <w:highlight w:val="none"/>
              <w:lang w:val="zh-CN"/>
            </w:rPr>
            <w:instrText xml:space="preserve">TOC \o "1-1" \h \u </w:instrText>
          </w:r>
          <w:r>
            <w:rPr>
              <w:rStyle w:val="21"/>
              <w:rFonts w:hint="eastAsia" w:ascii="Times New Roman" w:hAnsi="Times New Roman"/>
              <w:b/>
              <w:color w:val="auto"/>
              <w:kern w:val="0"/>
              <w:sz w:val="20"/>
              <w:szCs w:val="20"/>
              <w:highlight w:val="none"/>
            </w:rPr>
            <w:fldChar w:fldCharType="separate"/>
          </w:r>
          <w:r>
            <w:rPr>
              <w:color w:val="auto"/>
              <w:highlight w:val="none"/>
            </w:rPr>
            <w:fldChar w:fldCharType="begin"/>
          </w:r>
          <w:r>
            <w:rPr>
              <w:color w:val="auto"/>
              <w:highlight w:val="none"/>
            </w:rPr>
            <w:instrText xml:space="preserve"> HYPERLINK \l "_Toc111025230" </w:instrText>
          </w:r>
          <w:r>
            <w:rPr>
              <w:color w:val="auto"/>
              <w:highlight w:val="none"/>
            </w:rPr>
            <w:fldChar w:fldCharType="separate"/>
          </w:r>
          <w:r>
            <w:rPr>
              <w:rStyle w:val="23"/>
              <w:rFonts w:ascii="宋体" w:hAnsi="宋体" w:cs="宋体"/>
              <w:b/>
              <w:color w:val="auto"/>
              <w:highlight w:val="none"/>
            </w:rPr>
            <w:t>第一部分招标公告</w:t>
          </w:r>
          <w:r>
            <w:rPr>
              <w:color w:val="auto"/>
              <w:highlight w:val="none"/>
            </w:rPr>
            <w:tab/>
          </w:r>
          <w:r>
            <w:rPr>
              <w:color w:val="auto"/>
              <w:highlight w:val="none"/>
            </w:rPr>
            <w:fldChar w:fldCharType="begin"/>
          </w:r>
          <w:r>
            <w:rPr>
              <w:color w:val="auto"/>
              <w:highlight w:val="none"/>
            </w:rPr>
            <w:instrText xml:space="preserve"> PAGEREF _Toc111025230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"_Toc111025231" </w:instrText>
          </w:r>
          <w:r>
            <w:rPr>
              <w:color w:val="auto"/>
              <w:highlight w:val="none"/>
            </w:rPr>
            <w:fldChar w:fldCharType="separate"/>
          </w:r>
          <w:r>
            <w:rPr>
              <w:rStyle w:val="23"/>
              <w:rFonts w:ascii="宋体" w:hAnsi="宋体" w:cs="Times New Roman"/>
              <w:b/>
              <w:bCs/>
              <w:color w:val="auto"/>
              <w:kern w:val="44"/>
              <w:highlight w:val="none"/>
            </w:rPr>
            <w:t>1.项目背景</w:t>
          </w:r>
          <w:r>
            <w:rPr>
              <w:color w:val="auto"/>
              <w:highlight w:val="none"/>
            </w:rPr>
            <w:tab/>
          </w:r>
          <w:r>
            <w:rPr>
              <w:color w:val="auto"/>
              <w:highlight w:val="none"/>
            </w:rPr>
            <w:fldChar w:fldCharType="begin"/>
          </w:r>
          <w:r>
            <w:rPr>
              <w:color w:val="auto"/>
              <w:highlight w:val="none"/>
            </w:rPr>
            <w:instrText xml:space="preserve"> PAGEREF _Toc111025231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"_Toc111025232" </w:instrText>
          </w:r>
          <w:r>
            <w:rPr>
              <w:color w:val="auto"/>
              <w:highlight w:val="none"/>
            </w:rPr>
            <w:fldChar w:fldCharType="separate"/>
          </w:r>
          <w:r>
            <w:rPr>
              <w:rStyle w:val="23"/>
              <w:rFonts w:ascii="宋体" w:hAnsi="宋体" w:cs="Times New Roman"/>
              <w:b/>
              <w:bCs/>
              <w:color w:val="auto"/>
              <w:kern w:val="44"/>
              <w:highlight w:val="none"/>
            </w:rPr>
            <w:t>2.信息化现状</w:t>
          </w:r>
          <w:r>
            <w:rPr>
              <w:color w:val="auto"/>
              <w:highlight w:val="none"/>
            </w:rPr>
            <w:tab/>
          </w:r>
          <w:r>
            <w:rPr>
              <w:color w:val="auto"/>
              <w:highlight w:val="none"/>
            </w:rPr>
            <w:fldChar w:fldCharType="begin"/>
          </w:r>
          <w:r>
            <w:rPr>
              <w:color w:val="auto"/>
              <w:highlight w:val="none"/>
            </w:rPr>
            <w:instrText xml:space="preserve"> PAGEREF _Toc111025232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"_Toc111025233" </w:instrText>
          </w:r>
          <w:r>
            <w:rPr>
              <w:color w:val="auto"/>
              <w:highlight w:val="none"/>
            </w:rPr>
            <w:fldChar w:fldCharType="separate"/>
          </w:r>
          <w:r>
            <w:rPr>
              <w:rStyle w:val="23"/>
              <w:rFonts w:ascii="宋体" w:hAnsi="宋体" w:cs="Times New Roman"/>
              <w:b/>
              <w:bCs/>
              <w:color w:val="auto"/>
              <w:kern w:val="44"/>
              <w:highlight w:val="none"/>
            </w:rPr>
            <w:t>3.项目建设目标</w:t>
          </w:r>
          <w:r>
            <w:rPr>
              <w:color w:val="auto"/>
              <w:highlight w:val="none"/>
            </w:rPr>
            <w:tab/>
          </w:r>
          <w:r>
            <w:rPr>
              <w:color w:val="auto"/>
              <w:highlight w:val="none"/>
            </w:rPr>
            <w:fldChar w:fldCharType="begin"/>
          </w:r>
          <w:r>
            <w:rPr>
              <w:color w:val="auto"/>
              <w:highlight w:val="none"/>
            </w:rPr>
            <w:instrText xml:space="preserve"> PAGEREF _Toc111025233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"_Toc111025234" </w:instrText>
          </w:r>
          <w:r>
            <w:rPr>
              <w:color w:val="auto"/>
              <w:highlight w:val="none"/>
            </w:rPr>
            <w:fldChar w:fldCharType="separate"/>
          </w:r>
          <w:r>
            <w:rPr>
              <w:rStyle w:val="23"/>
              <w:rFonts w:ascii="宋体" w:hAnsi="宋体" w:cs="Times New Roman"/>
              <w:b/>
              <w:bCs/>
              <w:color w:val="auto"/>
              <w:kern w:val="44"/>
              <w:highlight w:val="none"/>
              <w:lang w:val="zh-CN"/>
            </w:rPr>
            <w:t>4.项目采购清单</w:t>
          </w:r>
          <w:r>
            <w:rPr>
              <w:color w:val="auto"/>
              <w:highlight w:val="none"/>
            </w:rPr>
            <w:tab/>
          </w:r>
          <w:r>
            <w:rPr>
              <w:color w:val="auto"/>
              <w:highlight w:val="none"/>
            </w:rPr>
            <w:fldChar w:fldCharType="begin"/>
          </w:r>
          <w:r>
            <w:rPr>
              <w:color w:val="auto"/>
              <w:highlight w:val="none"/>
            </w:rPr>
            <w:instrText xml:space="preserve"> PAGEREF _Toc111025234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"_Toc111025235" </w:instrText>
          </w:r>
          <w:r>
            <w:rPr>
              <w:color w:val="auto"/>
              <w:highlight w:val="none"/>
            </w:rPr>
            <w:fldChar w:fldCharType="separate"/>
          </w:r>
          <w:r>
            <w:rPr>
              <w:rStyle w:val="23"/>
              <w:rFonts w:ascii="宋体" w:hAnsi="宋体" w:cs="Times New Roman"/>
              <w:b/>
              <w:bCs/>
              <w:color w:val="auto"/>
              <w:kern w:val="44"/>
              <w:highlight w:val="none"/>
              <w:lang w:val="zh-CN"/>
            </w:rPr>
            <w:t>5.技术要求</w:t>
          </w:r>
          <w:r>
            <w:rPr>
              <w:color w:val="auto"/>
              <w:highlight w:val="none"/>
            </w:rPr>
            <w:tab/>
          </w:r>
          <w:r>
            <w:rPr>
              <w:color w:val="auto"/>
              <w:highlight w:val="none"/>
            </w:rPr>
            <w:fldChar w:fldCharType="begin"/>
          </w:r>
          <w:r>
            <w:rPr>
              <w:color w:val="auto"/>
              <w:highlight w:val="none"/>
            </w:rPr>
            <w:instrText xml:space="preserve"> PAGEREF _Toc111025235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"_Toc111025236" </w:instrText>
          </w:r>
          <w:r>
            <w:rPr>
              <w:color w:val="auto"/>
              <w:highlight w:val="none"/>
            </w:rPr>
            <w:fldChar w:fldCharType="separate"/>
          </w:r>
          <w:r>
            <w:rPr>
              <w:rStyle w:val="23"/>
              <w:rFonts w:ascii="宋体" w:hAnsi="宋体" w:cs="Times New Roman"/>
              <w:b/>
              <w:bCs/>
              <w:color w:val="auto"/>
              <w:kern w:val="44"/>
              <w:highlight w:val="none"/>
              <w:lang w:val="zh-CN"/>
            </w:rPr>
            <w:t>6.技术条款及其他相关要求</w:t>
          </w:r>
          <w:r>
            <w:rPr>
              <w:color w:val="auto"/>
              <w:highlight w:val="none"/>
            </w:rPr>
            <w:tab/>
          </w:r>
          <w:r>
            <w:rPr>
              <w:color w:val="auto"/>
              <w:highlight w:val="none"/>
            </w:rPr>
            <w:fldChar w:fldCharType="begin"/>
          </w:r>
          <w:r>
            <w:rPr>
              <w:color w:val="auto"/>
              <w:highlight w:val="none"/>
            </w:rPr>
            <w:instrText xml:space="preserve"> PAGEREF _Toc111025236 \h </w:instrText>
          </w:r>
          <w:r>
            <w:rPr>
              <w:color w:val="auto"/>
              <w:highlight w:val="none"/>
            </w:rPr>
            <w:fldChar w:fldCharType="separate"/>
          </w:r>
          <w:r>
            <w:rPr>
              <w:color w:val="auto"/>
              <w:highlight w:val="none"/>
            </w:rPr>
            <w:t>187</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"_Toc111025237" </w:instrText>
          </w:r>
          <w:r>
            <w:rPr>
              <w:color w:val="auto"/>
              <w:highlight w:val="none"/>
            </w:rPr>
            <w:fldChar w:fldCharType="separate"/>
          </w:r>
          <w:r>
            <w:rPr>
              <w:rStyle w:val="23"/>
              <w:rFonts w:ascii="宋体" w:hAnsi="宋体" w:cs="宋体"/>
              <w:b/>
              <w:color w:val="auto"/>
              <w:highlight w:val="none"/>
            </w:rPr>
            <w:t>第四部分评审方法（综合评分法）</w:t>
          </w:r>
          <w:r>
            <w:rPr>
              <w:color w:val="auto"/>
              <w:highlight w:val="none"/>
            </w:rPr>
            <w:tab/>
          </w:r>
          <w:r>
            <w:rPr>
              <w:color w:val="auto"/>
              <w:highlight w:val="none"/>
            </w:rPr>
            <w:fldChar w:fldCharType="begin"/>
          </w:r>
          <w:r>
            <w:rPr>
              <w:color w:val="auto"/>
              <w:highlight w:val="none"/>
            </w:rPr>
            <w:instrText xml:space="preserve"> PAGEREF _Toc111025237 \h </w:instrText>
          </w:r>
          <w:r>
            <w:rPr>
              <w:color w:val="auto"/>
              <w:highlight w:val="none"/>
            </w:rPr>
            <w:fldChar w:fldCharType="separate"/>
          </w:r>
          <w:r>
            <w:rPr>
              <w:color w:val="auto"/>
              <w:highlight w:val="none"/>
            </w:rPr>
            <w:t>201</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"_Toc111025238" </w:instrText>
          </w:r>
          <w:r>
            <w:rPr>
              <w:color w:val="auto"/>
              <w:highlight w:val="none"/>
            </w:rPr>
            <w:fldChar w:fldCharType="separate"/>
          </w:r>
          <w:r>
            <w:rPr>
              <w:rStyle w:val="23"/>
              <w:rFonts w:ascii="宋体" w:hAnsi="宋体" w:cs="宋体"/>
              <w:b/>
              <w:color w:val="auto"/>
              <w:highlight w:val="none"/>
            </w:rPr>
            <w:t>第六部分投标文件格式</w:t>
          </w:r>
          <w:r>
            <w:rPr>
              <w:color w:val="auto"/>
              <w:highlight w:val="none"/>
            </w:rPr>
            <w:tab/>
          </w:r>
          <w:r>
            <w:rPr>
              <w:color w:val="auto"/>
              <w:highlight w:val="none"/>
            </w:rPr>
            <w:fldChar w:fldCharType="begin"/>
          </w:r>
          <w:r>
            <w:rPr>
              <w:color w:val="auto"/>
              <w:highlight w:val="none"/>
            </w:rPr>
            <w:instrText xml:space="preserve"> PAGEREF _Toc111025238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"_Toc111025239" </w:instrText>
          </w:r>
          <w:r>
            <w:rPr>
              <w:color w:val="auto"/>
              <w:highlight w:val="none"/>
            </w:rPr>
            <w:fldChar w:fldCharType="separate"/>
          </w:r>
          <w:r>
            <w:rPr>
              <w:rStyle w:val="23"/>
              <w:rFonts w:ascii="宋体" w:hAnsi="宋体" w:cs="宋体"/>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_Toc111025239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"_Toc111025240" </w:instrText>
          </w:r>
          <w:r>
            <w:rPr>
              <w:color w:val="auto"/>
              <w:highlight w:val="none"/>
            </w:rPr>
            <w:fldChar w:fldCharType="separate"/>
          </w:r>
          <w:r>
            <w:rPr>
              <w:rStyle w:val="23"/>
              <w:rFonts w:ascii="宋体" w:hAnsi="宋体" w:cs="宋体"/>
              <w:color w:val="auto"/>
              <w:highlight w:val="none"/>
            </w:rPr>
            <w:t>一、投标文件封面</w:t>
          </w:r>
          <w:r>
            <w:rPr>
              <w:color w:val="auto"/>
              <w:highlight w:val="none"/>
            </w:rPr>
            <w:tab/>
          </w:r>
          <w:r>
            <w:rPr>
              <w:color w:val="auto"/>
              <w:highlight w:val="none"/>
            </w:rPr>
            <w:fldChar w:fldCharType="begin"/>
          </w:r>
          <w:r>
            <w:rPr>
              <w:color w:val="auto"/>
              <w:highlight w:val="none"/>
            </w:rPr>
            <w:instrText xml:space="preserve"> PAGEREF _Toc111025240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"_Toc111025241" </w:instrText>
          </w:r>
          <w:r>
            <w:rPr>
              <w:color w:val="auto"/>
              <w:highlight w:val="none"/>
            </w:rPr>
            <w:fldChar w:fldCharType="separate"/>
          </w:r>
          <w:r>
            <w:rPr>
              <w:rStyle w:val="23"/>
              <w:rFonts w:ascii="宋体" w:hAnsi="宋体" w:cs="宋体"/>
              <w:color w:val="auto"/>
              <w:highlight w:val="none"/>
            </w:rPr>
            <w:t>二、资格审查材料</w:t>
          </w:r>
          <w:r>
            <w:rPr>
              <w:color w:val="auto"/>
              <w:highlight w:val="none"/>
            </w:rPr>
            <w:tab/>
          </w:r>
          <w:r>
            <w:rPr>
              <w:color w:val="auto"/>
              <w:highlight w:val="none"/>
            </w:rPr>
            <w:fldChar w:fldCharType="begin"/>
          </w:r>
          <w:r>
            <w:rPr>
              <w:color w:val="auto"/>
              <w:highlight w:val="none"/>
            </w:rPr>
            <w:instrText xml:space="preserve"> PAGEREF _Toc111025241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"_Toc111025242" </w:instrText>
          </w:r>
          <w:r>
            <w:rPr>
              <w:color w:val="auto"/>
              <w:highlight w:val="none"/>
            </w:rPr>
            <w:fldChar w:fldCharType="separate"/>
          </w:r>
          <w:r>
            <w:rPr>
              <w:rStyle w:val="23"/>
              <w:rFonts w:ascii="宋体" w:hAnsi="宋体" w:cs="宋体"/>
              <w:color w:val="auto"/>
              <w:highlight w:val="none"/>
            </w:rPr>
            <w:t>三、商务文件</w:t>
          </w:r>
          <w:r>
            <w:rPr>
              <w:color w:val="auto"/>
              <w:highlight w:val="none"/>
            </w:rPr>
            <w:tab/>
          </w:r>
          <w:r>
            <w:rPr>
              <w:color w:val="auto"/>
              <w:highlight w:val="none"/>
            </w:rPr>
            <w:fldChar w:fldCharType="begin"/>
          </w:r>
          <w:r>
            <w:rPr>
              <w:color w:val="auto"/>
              <w:highlight w:val="none"/>
            </w:rPr>
            <w:instrText xml:space="preserve"> PAGEREF _Toc111025242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"_Toc111025243" </w:instrText>
          </w:r>
          <w:r>
            <w:rPr>
              <w:color w:val="auto"/>
              <w:highlight w:val="none"/>
            </w:rPr>
            <w:fldChar w:fldCharType="separate"/>
          </w:r>
          <w:r>
            <w:rPr>
              <w:rStyle w:val="23"/>
              <w:rFonts w:ascii="宋体" w:hAnsi="宋体" w:cs="宋体"/>
              <w:color w:val="auto"/>
              <w:highlight w:val="none"/>
            </w:rPr>
            <w:t>四、投标人自行编写的技术文件</w:t>
          </w:r>
          <w:r>
            <w:rPr>
              <w:color w:val="auto"/>
              <w:highlight w:val="none"/>
            </w:rPr>
            <w:tab/>
          </w:r>
          <w:r>
            <w:rPr>
              <w:color w:val="auto"/>
              <w:highlight w:val="none"/>
            </w:rPr>
            <w:fldChar w:fldCharType="begin"/>
          </w:r>
          <w:r>
            <w:rPr>
              <w:color w:val="auto"/>
              <w:highlight w:val="none"/>
            </w:rPr>
            <w:instrText xml:space="preserve"> PAGEREF _Toc111025243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"_Toc111025244" </w:instrText>
          </w:r>
          <w:r>
            <w:rPr>
              <w:color w:val="auto"/>
              <w:highlight w:val="none"/>
            </w:rPr>
            <w:fldChar w:fldCharType="separate"/>
          </w:r>
          <w:r>
            <w:rPr>
              <w:rStyle w:val="23"/>
              <w:rFonts w:ascii="宋体" w:hAnsi="宋体" w:cs="宋体"/>
              <w:color w:val="auto"/>
              <w:highlight w:val="none"/>
            </w:rPr>
            <w:t>五、投标人自行编写的服务文件</w:t>
          </w:r>
          <w:r>
            <w:rPr>
              <w:color w:val="auto"/>
              <w:highlight w:val="none"/>
            </w:rPr>
            <w:tab/>
          </w:r>
          <w:r>
            <w:rPr>
              <w:color w:val="auto"/>
              <w:highlight w:val="none"/>
            </w:rPr>
            <w:fldChar w:fldCharType="begin"/>
          </w:r>
          <w:r>
            <w:rPr>
              <w:color w:val="auto"/>
              <w:highlight w:val="none"/>
            </w:rPr>
            <w:instrText xml:space="preserve"> PAGEREF _Toc111025244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"_Toc111025245" </w:instrText>
          </w:r>
          <w:r>
            <w:rPr>
              <w:color w:val="auto"/>
              <w:highlight w:val="none"/>
            </w:rPr>
            <w:fldChar w:fldCharType="separate"/>
          </w:r>
          <w:r>
            <w:rPr>
              <w:rStyle w:val="23"/>
              <w:rFonts w:ascii="宋体" w:hAnsi="宋体" w:cs="宋体"/>
              <w:color w:val="auto"/>
              <w:highlight w:val="none"/>
            </w:rPr>
            <w:t>二、资格审查材料</w:t>
          </w:r>
          <w:r>
            <w:rPr>
              <w:color w:val="auto"/>
              <w:highlight w:val="none"/>
            </w:rPr>
            <w:tab/>
          </w:r>
          <w:r>
            <w:rPr>
              <w:color w:val="auto"/>
              <w:highlight w:val="none"/>
            </w:rPr>
            <w:fldChar w:fldCharType="begin"/>
          </w:r>
          <w:r>
            <w:rPr>
              <w:color w:val="auto"/>
              <w:highlight w:val="none"/>
            </w:rPr>
            <w:instrText xml:space="preserve"> PAGEREF _Toc111025245 \h </w:instrText>
          </w:r>
          <w:r>
            <w:rPr>
              <w:color w:val="auto"/>
              <w:highlight w:val="none"/>
            </w:rPr>
            <w:fldChar w:fldCharType="separate"/>
          </w:r>
          <w:r>
            <w:rPr>
              <w:color w:val="auto"/>
              <w:highlight w:val="none"/>
            </w:rPr>
            <w:t>226</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"_Toc111025246" </w:instrText>
          </w:r>
          <w:r>
            <w:rPr>
              <w:color w:val="auto"/>
              <w:highlight w:val="none"/>
            </w:rPr>
            <w:fldChar w:fldCharType="separate"/>
          </w:r>
          <w:r>
            <w:rPr>
              <w:rStyle w:val="23"/>
              <w:rFonts w:ascii="宋体" w:hAnsi="宋体" w:cs="宋体"/>
              <w:color w:val="auto"/>
              <w:highlight w:val="none"/>
            </w:rPr>
            <w:t>三、商务文件</w:t>
          </w:r>
          <w:r>
            <w:rPr>
              <w:color w:val="auto"/>
              <w:highlight w:val="none"/>
            </w:rPr>
            <w:tab/>
          </w:r>
          <w:r>
            <w:rPr>
              <w:color w:val="auto"/>
              <w:highlight w:val="none"/>
            </w:rPr>
            <w:fldChar w:fldCharType="begin"/>
          </w:r>
          <w:r>
            <w:rPr>
              <w:color w:val="auto"/>
              <w:highlight w:val="none"/>
            </w:rPr>
            <w:instrText xml:space="preserve"> PAGEREF _Toc111025246 \h </w:instrText>
          </w:r>
          <w:r>
            <w:rPr>
              <w:color w:val="auto"/>
              <w:highlight w:val="none"/>
            </w:rPr>
            <w:fldChar w:fldCharType="separate"/>
          </w:r>
          <w:r>
            <w:rPr>
              <w:color w:val="auto"/>
              <w:highlight w:val="none"/>
            </w:rPr>
            <w:t>236</w:t>
          </w:r>
          <w:r>
            <w:rPr>
              <w:color w:val="auto"/>
              <w:highlight w:val="none"/>
            </w:rPr>
            <w:fldChar w:fldCharType="end"/>
          </w:r>
          <w:r>
            <w:rPr>
              <w:color w:val="auto"/>
              <w:highlight w:val="none"/>
            </w:rPr>
            <w:fldChar w:fldCharType="end"/>
          </w:r>
        </w:p>
        <w:p>
          <w:pPr>
            <w:pStyle w:val="13"/>
            <w:tabs>
              <w:tab w:val="right" w:leader="dot" w:pos="8302"/>
            </w:tabs>
            <w:rPr>
              <w:rFonts w:asciiTheme="minorHAnsi" w:hAnsiTheme="minorHAnsi" w:eastAsiaTheme="minorEastAsia"/>
              <w:color w:val="auto"/>
              <w:highlight w:val="none"/>
            </w:rPr>
          </w:pPr>
          <w:r>
            <w:rPr>
              <w:color w:val="auto"/>
              <w:highlight w:val="none"/>
            </w:rPr>
            <w:fldChar w:fldCharType="begin"/>
          </w:r>
          <w:r>
            <w:rPr>
              <w:color w:val="auto"/>
              <w:highlight w:val="none"/>
            </w:rPr>
            <w:instrText xml:space="preserve"> HYPERLINK \l "_Toc111025247" </w:instrText>
          </w:r>
          <w:r>
            <w:rPr>
              <w:color w:val="auto"/>
              <w:highlight w:val="none"/>
            </w:rPr>
            <w:fldChar w:fldCharType="separate"/>
          </w:r>
          <w:r>
            <w:rPr>
              <w:rStyle w:val="23"/>
              <w:rFonts w:ascii="宋体" w:hAnsi="宋体" w:cs="宋体"/>
              <w:color w:val="auto"/>
              <w:highlight w:val="none"/>
            </w:rPr>
            <w:t>四、技术文件</w:t>
          </w:r>
          <w:r>
            <w:rPr>
              <w:color w:val="auto"/>
              <w:highlight w:val="none"/>
            </w:rPr>
            <w:tab/>
          </w:r>
          <w:r>
            <w:rPr>
              <w:color w:val="auto"/>
              <w:highlight w:val="none"/>
            </w:rPr>
            <w:fldChar w:fldCharType="begin"/>
          </w:r>
          <w:r>
            <w:rPr>
              <w:color w:val="auto"/>
              <w:highlight w:val="none"/>
            </w:rPr>
            <w:instrText xml:space="preserve"> PAGEREF _Toc111025247 \h </w:instrText>
          </w:r>
          <w:r>
            <w:rPr>
              <w:color w:val="auto"/>
              <w:highlight w:val="none"/>
            </w:rPr>
            <w:fldChar w:fldCharType="separate"/>
          </w:r>
          <w:r>
            <w:rPr>
              <w:color w:val="auto"/>
              <w:highlight w:val="none"/>
            </w:rPr>
            <w:t>248</w:t>
          </w:r>
          <w:r>
            <w:rPr>
              <w:color w:val="auto"/>
              <w:highlight w:val="none"/>
            </w:rPr>
            <w:fldChar w:fldCharType="end"/>
          </w:r>
          <w:r>
            <w:rPr>
              <w:color w:val="auto"/>
              <w:highlight w:val="none"/>
            </w:rPr>
            <w:fldChar w:fldCharType="end"/>
          </w:r>
        </w:p>
        <w:p>
          <w:pPr>
            <w:rPr>
              <w:rStyle w:val="21"/>
              <w:rFonts w:ascii="宋体" w:hAnsi="宋体" w:cs="宋体"/>
              <w:b/>
              <w:bCs/>
              <w:color w:val="auto"/>
              <w:sz w:val="24"/>
              <w:szCs w:val="24"/>
              <w:highlight w:val="none"/>
              <w:lang w:val="zh-CN"/>
            </w:rPr>
          </w:pPr>
          <w:r>
            <w:rPr>
              <w:rFonts w:hint="eastAsia" w:ascii="宋体" w:hAnsi="宋体" w:cs="宋体"/>
              <w:bCs/>
              <w:color w:val="auto"/>
              <w:sz w:val="24"/>
              <w:szCs w:val="24"/>
              <w:highlight w:val="none"/>
              <w:lang w:val="zh-CN"/>
            </w:rPr>
            <w:fldChar w:fldCharType="end"/>
          </w:r>
        </w:p>
      </w:sdtContent>
    </w:sdt>
    <w:p>
      <w:pPr>
        <w:rPr>
          <w:rStyle w:val="21"/>
          <w:rFonts w:ascii="宋体" w:hAnsi="宋体" w:cs="宋体"/>
          <w:color w:val="auto"/>
          <w:highlight w:val="none"/>
        </w:rPr>
      </w:pPr>
      <w:r>
        <w:rPr>
          <w:rStyle w:val="21"/>
          <w:rFonts w:hint="eastAsia" w:ascii="宋体" w:hAnsi="宋体" w:cs="宋体"/>
          <w:b/>
          <w:bCs/>
          <w:color w:val="auto"/>
          <w:highlight w:val="none"/>
          <w:lang w:val="zh-CN"/>
        </w:rPr>
        <w:br w:type="page"/>
      </w:r>
    </w:p>
    <w:p>
      <w:pPr>
        <w:pStyle w:val="44"/>
        <w:tabs>
          <w:tab w:val="left" w:pos="0"/>
        </w:tabs>
        <w:spacing w:line="240" w:lineRule="auto"/>
        <w:ind w:left="0" w:leftChars="0" w:firstLineChars="0"/>
        <w:jc w:val="center"/>
        <w:outlineLvl w:val="0"/>
        <w:rPr>
          <w:rStyle w:val="21"/>
          <w:rFonts w:ascii="宋体" w:hAnsi="宋体" w:cs="宋体"/>
          <w:b/>
          <w:color w:val="auto"/>
          <w:sz w:val="36"/>
          <w:highlight w:val="none"/>
        </w:rPr>
      </w:pPr>
      <w:bookmarkStart w:id="0" w:name="_Toc111025230"/>
      <w:r>
        <w:rPr>
          <w:rStyle w:val="21"/>
          <w:rFonts w:hint="eastAsia" w:ascii="宋体" w:hAnsi="宋体" w:cs="宋体"/>
          <w:b/>
          <w:color w:val="auto"/>
          <w:sz w:val="36"/>
          <w:highlight w:val="none"/>
        </w:rPr>
        <w:t>第一部分招标公告</w:t>
      </w:r>
      <w:bookmarkEnd w:id="0"/>
    </w:p>
    <w:p>
      <w:pPr>
        <w:rPr>
          <w:rStyle w:val="21"/>
          <w:rFonts w:ascii="宋体" w:hAnsi="宋体" w:cs="宋体"/>
          <w:color w:val="auto"/>
          <w:highlight w:val="none"/>
        </w:rPr>
      </w:pPr>
    </w:p>
    <w:tbl>
      <w:tblPr>
        <w:tblStyle w:val="18"/>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9280" w:type="dxa"/>
            <w:tcBorders>
              <w:top w:val="single" w:color="000000" w:sz="4" w:space="0"/>
              <w:left w:val="single" w:color="000000" w:sz="4" w:space="0"/>
              <w:bottom w:val="single" w:color="000000" w:sz="4" w:space="0"/>
              <w:right w:val="single" w:color="000000" w:sz="4" w:space="0"/>
            </w:tcBorders>
          </w:tcPr>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项目概况</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u w:val="single"/>
              </w:rPr>
              <w:t>“兵团全民健康信息系统软件项目”师级医院实施项目</w:t>
            </w:r>
            <w:r>
              <w:rPr>
                <w:rStyle w:val="21"/>
                <w:rFonts w:hint="eastAsia" w:ascii="宋体" w:hAnsi="宋体" w:cs="宋体"/>
                <w:color w:val="auto"/>
                <w:szCs w:val="24"/>
                <w:highlight w:val="none"/>
              </w:rPr>
              <w:t>的潜在供应商应在</w:t>
            </w:r>
            <w:r>
              <w:rPr>
                <w:rStyle w:val="21"/>
                <w:rFonts w:hint="eastAsia" w:ascii="宋体" w:hAnsi="宋体" w:cs="宋体"/>
                <w:color w:val="auto"/>
                <w:szCs w:val="24"/>
                <w:highlight w:val="none"/>
                <w:u w:val="single" w:color="000000"/>
              </w:rPr>
              <w:t>政采云平台https://www.zcygov.cn/线上</w:t>
            </w:r>
            <w:r>
              <w:rPr>
                <w:rStyle w:val="21"/>
                <w:rFonts w:hint="eastAsia" w:ascii="宋体" w:hAnsi="宋体" w:cs="宋体"/>
                <w:color w:val="auto"/>
                <w:szCs w:val="24"/>
                <w:highlight w:val="none"/>
              </w:rPr>
              <w:t>获取（下载）招标文件，并于</w:t>
            </w:r>
            <w:r>
              <w:rPr>
                <w:rStyle w:val="21"/>
                <w:rFonts w:ascii="宋体" w:hAnsi="宋体" w:cs="宋体"/>
                <w:color w:val="auto"/>
                <w:szCs w:val="24"/>
                <w:highlight w:val="none"/>
                <w:u w:val="single" w:color="000000"/>
              </w:rPr>
              <w:t>2022年</w:t>
            </w:r>
            <w:r>
              <w:rPr>
                <w:rStyle w:val="21"/>
                <w:rFonts w:hint="eastAsia" w:ascii="宋体" w:hAnsi="宋体" w:cs="宋体"/>
                <w:color w:val="auto"/>
                <w:szCs w:val="24"/>
                <w:highlight w:val="none"/>
                <w:u w:val="single" w:color="000000"/>
                <w:lang w:val="en-US" w:eastAsia="zh-CN"/>
              </w:rPr>
              <w:t>12</w:t>
            </w:r>
            <w:r>
              <w:rPr>
                <w:rStyle w:val="21"/>
                <w:rFonts w:hint="eastAsia" w:ascii="宋体" w:hAnsi="宋体" w:cs="宋体"/>
                <w:color w:val="auto"/>
                <w:szCs w:val="24"/>
                <w:highlight w:val="none"/>
                <w:u w:val="single" w:color="000000"/>
              </w:rPr>
              <w:t>月</w:t>
            </w:r>
            <w:r>
              <w:rPr>
                <w:rStyle w:val="21"/>
                <w:rFonts w:hint="eastAsia" w:ascii="宋体" w:hAnsi="宋体" w:cs="宋体"/>
                <w:color w:val="auto"/>
                <w:szCs w:val="24"/>
                <w:highlight w:val="none"/>
                <w:u w:val="single" w:color="000000"/>
                <w:lang w:val="en-US" w:eastAsia="zh-CN"/>
              </w:rPr>
              <w:t>07</w:t>
            </w:r>
            <w:r>
              <w:rPr>
                <w:rStyle w:val="21"/>
                <w:rFonts w:hint="eastAsia" w:ascii="宋体" w:hAnsi="宋体" w:cs="宋体"/>
                <w:color w:val="auto"/>
                <w:szCs w:val="24"/>
                <w:highlight w:val="none"/>
                <w:u w:val="single" w:color="000000"/>
              </w:rPr>
              <w:t>日</w:t>
            </w:r>
            <w:r>
              <w:rPr>
                <w:rStyle w:val="21"/>
                <w:rFonts w:ascii="宋体" w:hAnsi="宋体" w:cs="宋体"/>
                <w:color w:val="auto"/>
                <w:szCs w:val="24"/>
                <w:highlight w:val="none"/>
                <w:u w:val="single" w:color="000000"/>
              </w:rPr>
              <w:t>11:00</w:t>
            </w:r>
            <w:r>
              <w:rPr>
                <w:rStyle w:val="21"/>
                <w:rFonts w:hint="eastAsia" w:ascii="宋体" w:hAnsi="宋体" w:cs="宋体"/>
                <w:color w:val="auto"/>
                <w:szCs w:val="24"/>
                <w:highlight w:val="none"/>
              </w:rPr>
              <w:t>（北京时间）前递交（上传）投标文件。</w:t>
            </w:r>
          </w:p>
        </w:tc>
      </w:tr>
    </w:tbl>
    <w:p>
      <w:pPr>
        <w:pStyle w:val="56"/>
        <w:snapToGrid w:val="0"/>
        <w:spacing w:line="360" w:lineRule="auto"/>
        <w:rPr>
          <w:rStyle w:val="21"/>
          <w:rFonts w:ascii="宋体" w:hAnsi="宋体" w:cs="宋体"/>
          <w:color w:val="auto"/>
          <w:szCs w:val="24"/>
          <w:highlight w:val="none"/>
        </w:rPr>
      </w:pPr>
      <w:r>
        <w:rPr>
          <w:rStyle w:val="20"/>
          <w:rFonts w:hint="eastAsia" w:ascii="宋体" w:hAnsi="宋体" w:cs="宋体"/>
          <w:color w:val="auto"/>
          <w:szCs w:val="24"/>
          <w:highlight w:val="none"/>
        </w:rPr>
        <w:t>一、项目基本情况</w:t>
      </w:r>
    </w:p>
    <w:p>
      <w:pPr>
        <w:pStyle w:val="56"/>
        <w:snapToGrid w:val="0"/>
        <w:spacing w:line="360" w:lineRule="auto"/>
        <w:rPr>
          <w:rStyle w:val="21"/>
          <w:rFonts w:hint="default" w:ascii="宋体" w:hAnsi="宋体" w:eastAsia="宋体" w:cs="宋体"/>
          <w:color w:val="auto"/>
          <w:szCs w:val="24"/>
          <w:highlight w:val="none"/>
          <w:lang w:val="en-US" w:eastAsia="zh-CN"/>
        </w:rPr>
      </w:pPr>
      <w:r>
        <w:rPr>
          <w:rStyle w:val="21"/>
          <w:rFonts w:hint="eastAsia" w:ascii="宋体" w:hAnsi="宋体" w:cs="宋体"/>
          <w:color w:val="auto"/>
          <w:szCs w:val="24"/>
          <w:highlight w:val="none"/>
        </w:rPr>
        <w:t>项目编号：XJCC-ZB-2022-</w:t>
      </w:r>
      <w:r>
        <w:rPr>
          <w:rStyle w:val="21"/>
          <w:rFonts w:hint="eastAsia" w:ascii="宋体" w:hAnsi="宋体" w:cs="宋体"/>
          <w:color w:val="auto"/>
          <w:szCs w:val="24"/>
          <w:highlight w:val="none"/>
          <w:lang w:val="en-US" w:eastAsia="zh-CN"/>
        </w:rPr>
        <w:t>160</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项目名称：“兵团全民健康信息系统软件项目”师级医院实施项目</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预算总金额（元）：8118.00万元</w:t>
      </w:r>
      <w:bookmarkStart w:id="118" w:name="_GoBack"/>
      <w:bookmarkEnd w:id="118"/>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最高限价（元）：8118.00万元</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采购需求：</w:t>
      </w:r>
    </w:p>
    <w:tbl>
      <w:tblPr>
        <w:tblStyle w:val="18"/>
        <w:tblW w:w="9896" w:type="dxa"/>
        <w:jc w:val="center"/>
        <w:tblLayout w:type="fixed"/>
        <w:tblCellMar>
          <w:top w:w="0" w:type="dxa"/>
          <w:left w:w="0" w:type="dxa"/>
          <w:bottom w:w="0" w:type="dxa"/>
          <w:right w:w="0" w:type="dxa"/>
        </w:tblCellMar>
      </w:tblPr>
      <w:tblGrid>
        <w:gridCol w:w="778"/>
        <w:gridCol w:w="2741"/>
        <w:gridCol w:w="1868"/>
        <w:gridCol w:w="705"/>
        <w:gridCol w:w="521"/>
        <w:gridCol w:w="2073"/>
        <w:gridCol w:w="1210"/>
      </w:tblGrid>
      <w:tr>
        <w:tblPrEx>
          <w:tblCellMar>
            <w:top w:w="0" w:type="dxa"/>
            <w:left w:w="0" w:type="dxa"/>
            <w:bottom w:w="0" w:type="dxa"/>
            <w:right w:w="0" w:type="dxa"/>
          </w:tblCellMar>
        </w:tblPrEx>
        <w:trPr>
          <w:trHeight w:val="303" w:hRule="atLeast"/>
          <w:jc w:val="center"/>
        </w:trPr>
        <w:tc>
          <w:tcPr>
            <w:tcW w:w="778" w:type="dxa"/>
            <w:tcBorders>
              <w:top w:val="single" w:color="000000" w:sz="4" w:space="0"/>
              <w:left w:val="single" w:color="000000" w:sz="4" w:space="0"/>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包号</w:t>
            </w:r>
          </w:p>
        </w:tc>
        <w:tc>
          <w:tcPr>
            <w:tcW w:w="2741" w:type="dxa"/>
            <w:tcBorders>
              <w:top w:val="single" w:color="000000" w:sz="4" w:space="0"/>
              <w:left w:val="nil"/>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分包名称</w:t>
            </w:r>
          </w:p>
        </w:tc>
        <w:tc>
          <w:tcPr>
            <w:tcW w:w="1868" w:type="dxa"/>
            <w:tcBorders>
              <w:top w:val="single" w:color="000000" w:sz="4" w:space="0"/>
              <w:left w:val="nil"/>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简要规格描述</w:t>
            </w:r>
          </w:p>
        </w:tc>
        <w:tc>
          <w:tcPr>
            <w:tcW w:w="705" w:type="dxa"/>
            <w:tcBorders>
              <w:top w:val="single" w:color="000000" w:sz="4" w:space="0"/>
              <w:left w:val="nil"/>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数量</w:t>
            </w:r>
          </w:p>
        </w:tc>
        <w:tc>
          <w:tcPr>
            <w:tcW w:w="521" w:type="dxa"/>
            <w:tcBorders>
              <w:top w:val="single" w:color="000000" w:sz="4" w:space="0"/>
              <w:left w:val="single" w:color="000000" w:sz="4" w:space="0"/>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单位</w:t>
            </w:r>
          </w:p>
        </w:tc>
        <w:tc>
          <w:tcPr>
            <w:tcW w:w="2073" w:type="dxa"/>
            <w:tcBorders>
              <w:top w:val="single" w:color="000000" w:sz="4" w:space="0"/>
              <w:left w:val="nil"/>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预算总金额</w:t>
            </w:r>
          </w:p>
        </w:tc>
        <w:tc>
          <w:tcPr>
            <w:tcW w:w="1210" w:type="dxa"/>
            <w:tcBorders>
              <w:top w:val="single" w:color="000000" w:sz="4" w:space="0"/>
              <w:left w:val="nil"/>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备注</w:t>
            </w:r>
          </w:p>
        </w:tc>
      </w:tr>
      <w:tr>
        <w:tblPrEx>
          <w:tblCellMar>
            <w:top w:w="0" w:type="dxa"/>
            <w:left w:w="0" w:type="dxa"/>
            <w:bottom w:w="0" w:type="dxa"/>
            <w:right w:w="0" w:type="dxa"/>
          </w:tblCellMar>
        </w:tblPrEx>
        <w:trPr>
          <w:trHeight w:val="569" w:hRule="atLeast"/>
          <w:jc w:val="center"/>
        </w:trPr>
        <w:tc>
          <w:tcPr>
            <w:tcW w:w="778" w:type="dxa"/>
            <w:tcBorders>
              <w:top w:val="nil"/>
              <w:left w:val="single" w:color="000000" w:sz="4" w:space="0"/>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1</w:t>
            </w:r>
          </w:p>
        </w:tc>
        <w:tc>
          <w:tcPr>
            <w:tcW w:w="2741" w:type="dxa"/>
            <w:tcBorders>
              <w:top w:val="nil"/>
              <w:left w:val="nil"/>
              <w:bottom w:val="single" w:color="000000" w:sz="4" w:space="0"/>
              <w:right w:val="single" w:color="000000" w:sz="4" w:space="0"/>
            </w:tcBorders>
            <w:noWrap/>
            <w:vAlign w:val="center"/>
          </w:tcPr>
          <w:p>
            <w:pPr>
              <w:pStyle w:val="56"/>
              <w:snapToGrid w:val="0"/>
              <w:spacing w:line="360" w:lineRule="auto"/>
              <w:jc w:val="center"/>
              <w:textAlignment w:val="center"/>
              <w:rPr>
                <w:rStyle w:val="21"/>
                <w:rFonts w:ascii="宋体" w:hAnsi="宋体" w:cs="宋体"/>
                <w:color w:val="auto"/>
                <w:szCs w:val="24"/>
                <w:highlight w:val="none"/>
              </w:rPr>
            </w:pPr>
            <w:r>
              <w:rPr>
                <w:rStyle w:val="21"/>
                <w:rFonts w:hint="eastAsia" w:ascii="宋体" w:hAnsi="宋体" w:cs="宋体"/>
                <w:color w:val="auto"/>
                <w:szCs w:val="24"/>
                <w:highlight w:val="none"/>
              </w:rPr>
              <w:t>“兵团全民健康信息系统软件项目”师级医院实施项目</w:t>
            </w:r>
          </w:p>
        </w:tc>
        <w:tc>
          <w:tcPr>
            <w:tcW w:w="1868" w:type="dxa"/>
            <w:tcBorders>
              <w:top w:val="nil"/>
              <w:left w:val="nil"/>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详见招标文件</w:t>
            </w:r>
          </w:p>
        </w:tc>
        <w:tc>
          <w:tcPr>
            <w:tcW w:w="705" w:type="dxa"/>
            <w:tcBorders>
              <w:top w:val="nil"/>
              <w:left w:val="nil"/>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1</w:t>
            </w:r>
          </w:p>
        </w:tc>
        <w:tc>
          <w:tcPr>
            <w:tcW w:w="521" w:type="dxa"/>
            <w:tcBorders>
              <w:top w:val="nil"/>
              <w:left w:val="single" w:color="000000" w:sz="4" w:space="0"/>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批</w:t>
            </w:r>
          </w:p>
        </w:tc>
        <w:tc>
          <w:tcPr>
            <w:tcW w:w="2073" w:type="dxa"/>
            <w:tcBorders>
              <w:top w:val="nil"/>
              <w:left w:val="nil"/>
              <w:bottom w:val="single" w:color="000000" w:sz="4" w:space="0"/>
              <w:right w:val="single" w:color="000000" w:sz="4" w:space="0"/>
            </w:tcBorders>
            <w:noWrap/>
            <w:vAlign w:val="center"/>
          </w:tcPr>
          <w:p>
            <w:pPr>
              <w:pStyle w:val="56"/>
              <w:snapToGrid w:val="0"/>
              <w:spacing w:line="360" w:lineRule="auto"/>
              <w:jc w:val="center"/>
              <w:textAlignment w:val="top"/>
              <w:rPr>
                <w:rStyle w:val="21"/>
                <w:rFonts w:ascii="宋体" w:hAnsi="宋体" w:cs="宋体"/>
                <w:color w:val="auto"/>
                <w:szCs w:val="24"/>
                <w:highlight w:val="none"/>
              </w:rPr>
            </w:pPr>
            <w:r>
              <w:rPr>
                <w:rStyle w:val="21"/>
                <w:rFonts w:hint="eastAsia" w:ascii="宋体" w:hAnsi="宋体" w:cs="宋体"/>
                <w:color w:val="auto"/>
                <w:szCs w:val="24"/>
                <w:highlight w:val="none"/>
              </w:rPr>
              <w:t>8118.00万元</w:t>
            </w:r>
          </w:p>
        </w:tc>
        <w:tc>
          <w:tcPr>
            <w:tcW w:w="1210" w:type="dxa"/>
            <w:tcBorders>
              <w:top w:val="nil"/>
              <w:left w:val="nil"/>
              <w:bottom w:val="single" w:color="000000" w:sz="4" w:space="0"/>
              <w:right w:val="single" w:color="000000" w:sz="4" w:space="0"/>
            </w:tcBorders>
            <w:noWrap/>
            <w:vAlign w:val="center"/>
          </w:tcPr>
          <w:p>
            <w:pPr>
              <w:pStyle w:val="56"/>
              <w:snapToGrid w:val="0"/>
              <w:spacing w:line="360" w:lineRule="auto"/>
              <w:jc w:val="center"/>
              <w:rPr>
                <w:rStyle w:val="21"/>
                <w:rFonts w:ascii="宋体" w:hAnsi="宋体" w:cs="宋体"/>
                <w:color w:val="auto"/>
                <w:szCs w:val="24"/>
                <w:highlight w:val="none"/>
              </w:rPr>
            </w:pPr>
            <w:r>
              <w:rPr>
                <w:rStyle w:val="21"/>
                <w:rFonts w:hint="eastAsia" w:ascii="宋体" w:hAnsi="宋体" w:cs="宋体"/>
                <w:color w:val="auto"/>
                <w:szCs w:val="24"/>
                <w:highlight w:val="none"/>
              </w:rPr>
              <w:t>无</w:t>
            </w:r>
          </w:p>
        </w:tc>
      </w:tr>
    </w:tbl>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合同履约期限：</w:t>
      </w:r>
      <w:r>
        <w:rPr>
          <w:rFonts w:hint="eastAsia" w:ascii="宋体" w:hAnsi="宋体" w:cs="宋体"/>
          <w:color w:val="auto"/>
          <w:kern w:val="0"/>
          <w:szCs w:val="21"/>
          <w:highlight w:val="none"/>
        </w:rPr>
        <w:t>实施工期不超过6个月。</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本项目（是/否）接受联合体投标：不接受联合体投标。</w:t>
      </w:r>
    </w:p>
    <w:p>
      <w:pPr>
        <w:pStyle w:val="56"/>
        <w:snapToGrid w:val="0"/>
        <w:spacing w:line="360" w:lineRule="auto"/>
        <w:rPr>
          <w:rStyle w:val="21"/>
          <w:rFonts w:ascii="宋体" w:hAnsi="宋体" w:cs="宋体"/>
          <w:color w:val="auto"/>
          <w:szCs w:val="24"/>
          <w:highlight w:val="none"/>
        </w:rPr>
      </w:pPr>
      <w:r>
        <w:rPr>
          <w:rStyle w:val="20"/>
          <w:rFonts w:hint="eastAsia" w:ascii="宋体" w:hAnsi="宋体" w:cs="宋体"/>
          <w:color w:val="auto"/>
          <w:szCs w:val="24"/>
          <w:highlight w:val="none"/>
        </w:rPr>
        <w:t>二、申请人的资格要求：</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1.满足《中华人民共和国政府采购法》第二十二条规定；</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2.落实政府采购政策需满足的资格要求：</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（1）财政部、国家发展改革委《关于印发《节能产品政府采购实施意见》的通知》（财库[2004]185号文）；</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（2）《财政部、环保总局关于环境标志产品政府采购实施的意见》（财库[2006]90号）；</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（3）财政部、工业和信息化部《关于印发《</w:t>
      </w:r>
      <w:r>
        <w:rPr>
          <w:rStyle w:val="21"/>
          <w:rFonts w:hint="eastAsia" w:ascii="宋体" w:hAnsi="宋体" w:cs="宋体"/>
          <w:color w:val="auto"/>
          <w:highlight w:val="none"/>
        </w:rPr>
        <w:t>政府采购促进中小企业发展管理办法</w:t>
      </w:r>
      <w:r>
        <w:rPr>
          <w:rStyle w:val="21"/>
          <w:rFonts w:hint="eastAsia" w:ascii="宋体" w:hAnsi="宋体" w:cs="宋体"/>
          <w:color w:val="auto"/>
          <w:szCs w:val="24"/>
          <w:highlight w:val="none"/>
        </w:rPr>
        <w:t>》（财库〔2020〕46号文）；</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（4）财政部、司法部《关于政府采购支持监狱企业发展有关问题的通知》（财库[2014]68号文）；</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（5）财政部、民政部、中国残疾人联合会《关于促进残疾人就业政府采购政策的通知》（财库[2017]141号）（中小企业优惠、监狱企业、节能产品、环境标志产品等）</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3.本项目的特定资格要求：</w:t>
      </w:r>
    </w:p>
    <w:p>
      <w:pPr>
        <w:pStyle w:val="56"/>
        <w:snapToGrid w:val="0"/>
        <w:spacing w:line="360" w:lineRule="auto"/>
        <w:rPr>
          <w:rStyle w:val="20"/>
          <w:rFonts w:ascii="宋体" w:hAnsi="宋体" w:cs="宋体"/>
          <w:b w:val="0"/>
          <w:bCs w:val="0"/>
          <w:color w:val="auto"/>
          <w:szCs w:val="24"/>
          <w:highlight w:val="none"/>
        </w:rPr>
      </w:pPr>
      <w:r>
        <w:rPr>
          <w:rStyle w:val="20"/>
          <w:rFonts w:hint="eastAsia" w:ascii="宋体" w:hAnsi="宋体" w:cs="宋体"/>
          <w:b w:val="0"/>
          <w:bCs w:val="0"/>
          <w:color w:val="auto"/>
          <w:szCs w:val="24"/>
          <w:highlight w:val="none"/>
        </w:rPr>
        <w:t>3.1符合《中华人民共和国政府采购法》第二十二条的相关规定；</w:t>
      </w:r>
    </w:p>
    <w:p>
      <w:pPr>
        <w:pStyle w:val="56"/>
        <w:snapToGrid w:val="0"/>
        <w:spacing w:line="360" w:lineRule="auto"/>
        <w:rPr>
          <w:rStyle w:val="20"/>
          <w:rFonts w:ascii="宋体" w:hAnsi="宋体" w:cs="宋体"/>
          <w:b w:val="0"/>
          <w:bCs w:val="0"/>
          <w:color w:val="auto"/>
          <w:szCs w:val="24"/>
          <w:highlight w:val="none"/>
        </w:rPr>
      </w:pPr>
      <w:r>
        <w:rPr>
          <w:rStyle w:val="20"/>
          <w:rFonts w:hint="eastAsia" w:ascii="宋体" w:hAnsi="宋体" w:cs="宋体"/>
          <w:b w:val="0"/>
          <w:bCs w:val="0"/>
          <w:color w:val="auto"/>
          <w:szCs w:val="24"/>
          <w:highlight w:val="none"/>
        </w:rPr>
        <w:t>3.2具有有效的“一证一码”或“三证合一”的营业执照；</w:t>
      </w:r>
    </w:p>
    <w:p>
      <w:pPr>
        <w:pStyle w:val="56"/>
        <w:snapToGrid w:val="0"/>
        <w:spacing w:line="360" w:lineRule="auto"/>
        <w:jc w:val="left"/>
        <w:rPr>
          <w:rStyle w:val="20"/>
          <w:rFonts w:ascii="宋体" w:hAnsi="宋体" w:cs="宋体"/>
          <w:b w:val="0"/>
          <w:bCs w:val="0"/>
          <w:color w:val="auto"/>
          <w:szCs w:val="24"/>
          <w:highlight w:val="none"/>
        </w:rPr>
      </w:pPr>
      <w:r>
        <w:rPr>
          <w:rStyle w:val="20"/>
          <w:rFonts w:hint="eastAsia" w:ascii="宋体" w:hAnsi="宋体" w:cs="宋体"/>
          <w:b w:val="0"/>
          <w:bCs w:val="0"/>
          <w:color w:val="auto"/>
          <w:szCs w:val="24"/>
          <w:highlight w:val="none"/>
        </w:rPr>
        <w:t>3.3凡拟参加本次招标项目的投标人，如在“信用中国”网站（www.creditchina.gov.vn）、中国政府采购网（www.ccgp.gov.vn）被列入失信被执行人、重大税收违法失信主体、政府采购严重违法失信行为记录名单的（尚在处罚期内的），将拒绝其参本次政府采购活动；</w:t>
      </w:r>
    </w:p>
    <w:p>
      <w:pPr>
        <w:pStyle w:val="56"/>
        <w:snapToGrid w:val="0"/>
        <w:spacing w:line="360" w:lineRule="auto"/>
        <w:jc w:val="left"/>
        <w:rPr>
          <w:rStyle w:val="20"/>
          <w:rFonts w:ascii="宋体" w:hAnsi="宋体" w:cs="宋体"/>
          <w:b w:val="0"/>
          <w:bCs w:val="0"/>
          <w:color w:val="auto"/>
          <w:szCs w:val="24"/>
          <w:highlight w:val="none"/>
        </w:rPr>
      </w:pPr>
      <w:r>
        <w:rPr>
          <w:rStyle w:val="20"/>
          <w:rFonts w:hint="eastAsia" w:ascii="宋体" w:hAnsi="宋体" w:cs="宋体"/>
          <w:b w:val="0"/>
          <w:bCs w:val="0"/>
          <w:color w:val="auto"/>
          <w:szCs w:val="24"/>
          <w:highlight w:val="none"/>
        </w:rPr>
        <w:t>3.4供应商近三年无行贿犯罪记录证明（在中国裁判文书网（http://wenshu.court.gov.cn/）查询，查询时间必须在公告期内）；</w:t>
      </w:r>
    </w:p>
    <w:p>
      <w:pPr>
        <w:pStyle w:val="56"/>
        <w:snapToGrid w:val="0"/>
        <w:spacing w:line="360" w:lineRule="auto"/>
        <w:rPr>
          <w:rStyle w:val="20"/>
          <w:rFonts w:ascii="宋体" w:hAnsi="宋体" w:cs="宋体"/>
          <w:b w:val="0"/>
          <w:bCs w:val="0"/>
          <w:color w:val="auto"/>
          <w:szCs w:val="24"/>
          <w:highlight w:val="none"/>
        </w:rPr>
      </w:pPr>
      <w:r>
        <w:rPr>
          <w:rStyle w:val="20"/>
          <w:rFonts w:hint="eastAsia" w:ascii="宋体" w:hAnsi="宋体" w:cs="宋体"/>
          <w:b w:val="0"/>
          <w:bCs w:val="0"/>
          <w:color w:val="auto"/>
          <w:szCs w:val="24"/>
          <w:highlight w:val="none"/>
        </w:rPr>
        <w:t>3.5本项目不接受联合体投标。</w:t>
      </w:r>
    </w:p>
    <w:p>
      <w:pPr>
        <w:pStyle w:val="56"/>
        <w:snapToGrid w:val="0"/>
        <w:spacing w:line="360" w:lineRule="auto"/>
        <w:rPr>
          <w:rStyle w:val="20"/>
          <w:rFonts w:ascii="宋体" w:hAnsi="宋体" w:cs="宋体"/>
          <w:color w:val="auto"/>
          <w:szCs w:val="24"/>
          <w:highlight w:val="none"/>
        </w:rPr>
      </w:pPr>
      <w:r>
        <w:rPr>
          <w:rStyle w:val="20"/>
          <w:rFonts w:hint="eastAsia" w:ascii="宋体" w:hAnsi="宋体" w:cs="宋体"/>
          <w:color w:val="auto"/>
          <w:szCs w:val="24"/>
          <w:highlight w:val="none"/>
        </w:rPr>
        <w:t>三、获取采购文件</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时间：2022年</w:t>
      </w:r>
      <w:r>
        <w:rPr>
          <w:rStyle w:val="21"/>
          <w:rFonts w:hint="eastAsia" w:ascii="宋体" w:hAnsi="宋体" w:cs="宋体"/>
          <w:color w:val="auto"/>
          <w:szCs w:val="24"/>
          <w:highlight w:val="none"/>
          <w:lang w:val="en-US" w:eastAsia="zh-CN"/>
        </w:rPr>
        <w:t>11</w:t>
      </w:r>
      <w:r>
        <w:rPr>
          <w:rStyle w:val="21"/>
          <w:rFonts w:hint="eastAsia" w:ascii="宋体" w:hAnsi="宋体" w:cs="宋体"/>
          <w:color w:val="auto"/>
          <w:szCs w:val="24"/>
          <w:highlight w:val="none"/>
        </w:rPr>
        <w:t>月</w:t>
      </w:r>
      <w:r>
        <w:rPr>
          <w:rStyle w:val="21"/>
          <w:rFonts w:hint="eastAsia" w:ascii="宋体" w:hAnsi="宋体" w:cs="宋体"/>
          <w:color w:val="auto"/>
          <w:szCs w:val="24"/>
          <w:highlight w:val="none"/>
          <w:lang w:val="en-US" w:eastAsia="zh-CN"/>
        </w:rPr>
        <w:t>17</w:t>
      </w:r>
      <w:r>
        <w:rPr>
          <w:rStyle w:val="21"/>
          <w:rFonts w:hint="eastAsia" w:ascii="宋体" w:hAnsi="宋体" w:cs="宋体"/>
          <w:color w:val="auto"/>
          <w:szCs w:val="24"/>
          <w:highlight w:val="none"/>
        </w:rPr>
        <w:t>日至2022年</w:t>
      </w:r>
      <w:r>
        <w:rPr>
          <w:rStyle w:val="21"/>
          <w:rFonts w:hint="eastAsia" w:ascii="宋体" w:hAnsi="宋体" w:cs="宋体"/>
          <w:color w:val="auto"/>
          <w:szCs w:val="24"/>
          <w:highlight w:val="none"/>
          <w:lang w:val="en-US" w:eastAsia="zh-CN"/>
        </w:rPr>
        <w:t>11</w:t>
      </w:r>
      <w:r>
        <w:rPr>
          <w:rStyle w:val="21"/>
          <w:rFonts w:hint="eastAsia" w:ascii="宋体" w:hAnsi="宋体" w:cs="宋体"/>
          <w:color w:val="auto"/>
          <w:szCs w:val="24"/>
          <w:highlight w:val="none"/>
        </w:rPr>
        <w:t>月</w:t>
      </w:r>
      <w:r>
        <w:rPr>
          <w:rStyle w:val="21"/>
          <w:rFonts w:hint="eastAsia" w:ascii="宋体" w:hAnsi="宋体" w:cs="宋体"/>
          <w:color w:val="auto"/>
          <w:szCs w:val="24"/>
          <w:highlight w:val="none"/>
          <w:lang w:val="en-US" w:eastAsia="zh-CN"/>
        </w:rPr>
        <w:t>24</w:t>
      </w:r>
      <w:r>
        <w:rPr>
          <w:rStyle w:val="21"/>
          <w:rFonts w:hint="eastAsia" w:ascii="宋体" w:hAnsi="宋体" w:cs="宋体"/>
          <w:color w:val="auto"/>
          <w:szCs w:val="24"/>
          <w:highlight w:val="none"/>
        </w:rPr>
        <w:t>日，每天上午10:00至13:30，下午15:30至19:00（北京时间，法定节假日除外）</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地点：政采云平台线上获取</w:t>
      </w:r>
    </w:p>
    <w:p>
      <w:pPr>
        <w:pStyle w:val="56"/>
        <w:snapToGrid w:val="0"/>
        <w:spacing w:line="360" w:lineRule="auto"/>
        <w:jc w:val="left"/>
        <w:rPr>
          <w:rStyle w:val="21"/>
          <w:rFonts w:ascii="宋体" w:hAnsi="宋体" w:cs="宋体"/>
          <w:color w:val="auto"/>
          <w:szCs w:val="24"/>
          <w:highlight w:val="none"/>
        </w:rPr>
      </w:pPr>
      <w:r>
        <w:rPr>
          <w:rStyle w:val="21"/>
          <w:rFonts w:hint="eastAsia" w:ascii="宋体" w:hAnsi="宋体" w:cs="宋体"/>
          <w:color w:val="auto"/>
          <w:szCs w:val="24"/>
          <w:highlight w:val="none"/>
        </w:rPr>
        <w:t>方式：“供应商登录政采云平台https://www.zcygov.cn/在线申请获取采购文件（进入“项目采购”应用，在获取采购文件菜单中选择项目，申请获取采购文件）”或点击链接：https://www.zcygov.cn/bidding-entrust/#/acquirepurfile/list</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售价（元）：0元</w:t>
      </w:r>
    </w:p>
    <w:p>
      <w:pPr>
        <w:pStyle w:val="56"/>
        <w:snapToGrid w:val="0"/>
        <w:spacing w:line="360" w:lineRule="auto"/>
        <w:rPr>
          <w:rStyle w:val="20"/>
          <w:rFonts w:ascii="宋体" w:hAnsi="宋体" w:cs="宋体"/>
          <w:color w:val="auto"/>
          <w:szCs w:val="24"/>
          <w:highlight w:val="none"/>
        </w:rPr>
      </w:pPr>
      <w:r>
        <w:rPr>
          <w:rStyle w:val="20"/>
          <w:rFonts w:hint="eastAsia" w:ascii="宋体" w:hAnsi="宋体" w:cs="宋体"/>
          <w:color w:val="auto"/>
          <w:szCs w:val="24"/>
          <w:highlight w:val="none"/>
        </w:rPr>
        <w:t>四、提交投标文件截止时间、开标时间和地点</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提交投标文件截止时间：2022年</w:t>
      </w:r>
      <w:r>
        <w:rPr>
          <w:rStyle w:val="21"/>
          <w:rFonts w:hint="eastAsia" w:ascii="宋体" w:hAnsi="宋体" w:cs="宋体"/>
          <w:color w:val="auto"/>
          <w:szCs w:val="24"/>
          <w:highlight w:val="none"/>
          <w:lang w:val="en-US" w:eastAsia="zh-CN"/>
        </w:rPr>
        <w:t>12</w:t>
      </w:r>
      <w:r>
        <w:rPr>
          <w:rStyle w:val="21"/>
          <w:rFonts w:hint="eastAsia" w:ascii="宋体" w:hAnsi="宋体" w:cs="宋体"/>
          <w:color w:val="auto"/>
          <w:szCs w:val="24"/>
          <w:highlight w:val="none"/>
        </w:rPr>
        <w:t>月</w:t>
      </w:r>
      <w:r>
        <w:rPr>
          <w:rStyle w:val="21"/>
          <w:rFonts w:hint="eastAsia" w:ascii="宋体" w:hAnsi="宋体" w:cs="宋体"/>
          <w:color w:val="auto"/>
          <w:szCs w:val="24"/>
          <w:highlight w:val="none"/>
          <w:lang w:val="en-US" w:eastAsia="zh-CN"/>
        </w:rPr>
        <w:t>07</w:t>
      </w:r>
      <w:r>
        <w:rPr>
          <w:rStyle w:val="21"/>
          <w:rFonts w:hint="eastAsia" w:ascii="宋体" w:hAnsi="宋体" w:cs="宋体"/>
          <w:color w:val="auto"/>
          <w:szCs w:val="24"/>
          <w:highlight w:val="none"/>
        </w:rPr>
        <w:t>日11:00（北京时间）</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投标地点（网址）：政采云平台https://www.zcygov.cn/</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开标时间：2022年</w:t>
      </w:r>
      <w:r>
        <w:rPr>
          <w:rStyle w:val="21"/>
          <w:rFonts w:hint="eastAsia" w:ascii="宋体" w:hAnsi="宋体" w:cs="宋体"/>
          <w:color w:val="auto"/>
          <w:szCs w:val="24"/>
          <w:highlight w:val="none"/>
          <w:lang w:val="en-US" w:eastAsia="zh-CN"/>
        </w:rPr>
        <w:t>12</w:t>
      </w:r>
      <w:r>
        <w:rPr>
          <w:rStyle w:val="21"/>
          <w:rFonts w:hint="eastAsia" w:ascii="宋体" w:hAnsi="宋体" w:cs="宋体"/>
          <w:color w:val="auto"/>
          <w:szCs w:val="24"/>
          <w:highlight w:val="none"/>
        </w:rPr>
        <w:t>月</w:t>
      </w:r>
      <w:r>
        <w:rPr>
          <w:rStyle w:val="21"/>
          <w:rFonts w:hint="eastAsia" w:ascii="宋体" w:hAnsi="宋体" w:cs="宋体"/>
          <w:color w:val="auto"/>
          <w:szCs w:val="24"/>
          <w:highlight w:val="none"/>
          <w:lang w:val="en-US" w:eastAsia="zh-CN"/>
        </w:rPr>
        <w:t>07</w:t>
      </w:r>
      <w:r>
        <w:rPr>
          <w:rStyle w:val="21"/>
          <w:rFonts w:hint="eastAsia" w:ascii="宋体" w:hAnsi="宋体" w:cs="宋体"/>
          <w:color w:val="auto"/>
          <w:szCs w:val="24"/>
          <w:highlight w:val="none"/>
        </w:rPr>
        <w:t>日11:00（北京时间）</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开标地点：新疆维吾尔自治区乌鲁木齐市水磨沟区红光山路2588号绿地中心101栋1806室新疆诚成工程项目管理有限公司开标室</w:t>
      </w:r>
    </w:p>
    <w:p>
      <w:pPr>
        <w:pStyle w:val="56"/>
        <w:snapToGrid w:val="0"/>
        <w:spacing w:line="360" w:lineRule="auto"/>
        <w:rPr>
          <w:rStyle w:val="20"/>
          <w:rFonts w:ascii="宋体" w:hAnsi="宋体" w:cs="宋体"/>
          <w:color w:val="auto"/>
          <w:szCs w:val="24"/>
          <w:highlight w:val="none"/>
        </w:rPr>
      </w:pPr>
      <w:r>
        <w:rPr>
          <w:rStyle w:val="20"/>
          <w:rFonts w:hint="eastAsia" w:ascii="宋体" w:hAnsi="宋体" w:cs="宋体"/>
          <w:color w:val="auto"/>
          <w:szCs w:val="24"/>
          <w:highlight w:val="none"/>
        </w:rPr>
        <w:t>五、公告期限</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自本公告发布之日起5个工作日。</w:t>
      </w:r>
    </w:p>
    <w:p>
      <w:pPr>
        <w:pStyle w:val="56"/>
        <w:snapToGrid w:val="0"/>
        <w:spacing w:line="360" w:lineRule="auto"/>
        <w:rPr>
          <w:rStyle w:val="20"/>
          <w:rFonts w:ascii="宋体" w:hAnsi="宋体" w:cs="宋体"/>
          <w:color w:val="auto"/>
          <w:szCs w:val="24"/>
          <w:highlight w:val="none"/>
        </w:rPr>
      </w:pPr>
      <w:r>
        <w:rPr>
          <w:rStyle w:val="20"/>
          <w:rFonts w:hint="eastAsia" w:ascii="宋体" w:hAnsi="宋体" w:cs="宋体"/>
          <w:color w:val="auto"/>
          <w:szCs w:val="24"/>
          <w:highlight w:val="none"/>
        </w:rPr>
        <w:t>六、其他补充事宜</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1、本项目实行网上投标，采用电子投标文件。</w:t>
      </w:r>
    </w:p>
    <w:p>
      <w:pPr>
        <w:pStyle w:val="56"/>
        <w:snapToGrid w:val="0"/>
        <w:spacing w:line="360" w:lineRule="auto"/>
        <w:rPr>
          <w:rStyle w:val="21"/>
          <w:rFonts w:ascii="宋体" w:hAnsi="宋体" w:cs="宋体"/>
          <w:color w:val="auto"/>
          <w:szCs w:val="24"/>
          <w:highlight w:val="none"/>
        </w:rPr>
      </w:pPr>
      <w:r>
        <w:rPr>
          <w:rStyle w:val="21"/>
          <w:rFonts w:hint="eastAsia" w:ascii="宋体" w:hAnsi="宋体" w:cs="宋体"/>
          <w:color w:val="auto"/>
          <w:szCs w:val="24"/>
          <w:highlight w:val="none"/>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56"/>
        <w:snapToGrid w:val="0"/>
        <w:spacing w:line="360" w:lineRule="auto"/>
        <w:jc w:val="left"/>
        <w:rPr>
          <w:rStyle w:val="21"/>
          <w:rFonts w:ascii="宋体" w:hAnsi="宋体" w:cs="宋体"/>
          <w:color w:val="auto"/>
          <w:szCs w:val="24"/>
          <w:highlight w:val="none"/>
        </w:rPr>
      </w:pPr>
      <w:r>
        <w:rPr>
          <w:rStyle w:val="21"/>
          <w:rFonts w:hint="eastAsia" w:ascii="宋体" w:hAnsi="宋体" w:cs="宋体"/>
          <w:color w:val="auto"/>
          <w:szCs w:val="24"/>
          <w:highlight w:val="none"/>
        </w:rPr>
        <w:t>3、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56"/>
        <w:snapToGrid w:val="0"/>
        <w:spacing w:line="360" w:lineRule="auto"/>
        <w:rPr>
          <w:rStyle w:val="20"/>
          <w:rFonts w:ascii="宋体" w:hAnsi="宋体" w:cs="宋体"/>
          <w:color w:val="auto"/>
          <w:szCs w:val="24"/>
          <w:highlight w:val="none"/>
        </w:rPr>
      </w:pPr>
      <w:r>
        <w:rPr>
          <w:rStyle w:val="20"/>
          <w:rFonts w:hint="eastAsia" w:ascii="宋体" w:hAnsi="宋体" w:cs="宋体"/>
          <w:color w:val="auto"/>
          <w:szCs w:val="24"/>
          <w:highlight w:val="none"/>
        </w:rPr>
        <w:t>七、凡对本次招标提出询问，请按以下方式联系</w:t>
      </w:r>
    </w:p>
    <w:p>
      <w:pPr>
        <w:pStyle w:val="56"/>
        <w:snapToGrid w:val="0"/>
        <w:spacing w:line="360" w:lineRule="auto"/>
        <w:ind w:firstLine="510"/>
        <w:rPr>
          <w:rStyle w:val="21"/>
          <w:rFonts w:ascii="宋体" w:hAnsi="宋体" w:cs="宋体"/>
          <w:color w:val="auto"/>
          <w:szCs w:val="24"/>
          <w:highlight w:val="none"/>
        </w:rPr>
      </w:pPr>
      <w:r>
        <w:rPr>
          <w:rStyle w:val="21"/>
          <w:rFonts w:hint="eastAsia" w:ascii="宋体" w:hAnsi="宋体" w:cs="宋体"/>
          <w:color w:val="auto"/>
          <w:szCs w:val="24"/>
          <w:highlight w:val="none"/>
        </w:rPr>
        <w:t>1、采购人信息:</w:t>
      </w:r>
    </w:p>
    <w:p>
      <w:pPr>
        <w:pStyle w:val="56"/>
        <w:snapToGrid w:val="0"/>
        <w:spacing w:line="360" w:lineRule="auto"/>
        <w:ind w:firstLine="510"/>
        <w:rPr>
          <w:rStyle w:val="21"/>
          <w:rFonts w:ascii="宋体" w:hAnsi="宋体" w:cs="宋体"/>
          <w:color w:val="auto"/>
          <w:szCs w:val="24"/>
          <w:highlight w:val="none"/>
        </w:rPr>
      </w:pPr>
      <w:r>
        <w:rPr>
          <w:rStyle w:val="21"/>
          <w:rFonts w:hint="eastAsia" w:ascii="宋体" w:hAnsi="宋体" w:cs="宋体"/>
          <w:color w:val="auto"/>
          <w:szCs w:val="24"/>
          <w:highlight w:val="none"/>
        </w:rPr>
        <w:t>名称:新疆生产建设兵团医院</w:t>
      </w:r>
    </w:p>
    <w:p>
      <w:pPr>
        <w:pStyle w:val="56"/>
        <w:snapToGrid w:val="0"/>
        <w:spacing w:line="360" w:lineRule="auto"/>
        <w:ind w:firstLine="510"/>
        <w:rPr>
          <w:rStyle w:val="21"/>
          <w:rFonts w:ascii="宋体" w:hAnsi="宋体" w:cs="宋体"/>
          <w:color w:val="auto"/>
          <w:szCs w:val="24"/>
          <w:highlight w:val="none"/>
        </w:rPr>
      </w:pPr>
      <w:r>
        <w:rPr>
          <w:rStyle w:val="21"/>
          <w:rFonts w:hint="eastAsia" w:ascii="宋体" w:hAnsi="宋体" w:cs="宋体"/>
          <w:color w:val="auto"/>
          <w:szCs w:val="24"/>
          <w:highlight w:val="none"/>
        </w:rPr>
        <w:t>地址:乌鲁木齐市天山区青年路232号</w:t>
      </w:r>
    </w:p>
    <w:p>
      <w:pPr>
        <w:pStyle w:val="56"/>
        <w:snapToGrid w:val="0"/>
        <w:spacing w:line="360" w:lineRule="auto"/>
        <w:ind w:firstLine="510"/>
        <w:rPr>
          <w:rStyle w:val="21"/>
          <w:rFonts w:ascii="宋体" w:hAnsi="宋体" w:cs="宋体"/>
          <w:color w:val="auto"/>
          <w:szCs w:val="24"/>
          <w:highlight w:val="none"/>
        </w:rPr>
      </w:pPr>
      <w:r>
        <w:rPr>
          <w:rStyle w:val="21"/>
          <w:rFonts w:hint="eastAsia" w:ascii="宋体" w:hAnsi="宋体" w:cs="宋体"/>
          <w:color w:val="auto"/>
          <w:szCs w:val="24"/>
          <w:highlight w:val="none"/>
        </w:rPr>
        <w:t>项目联系人：夏丽</w:t>
      </w:r>
    </w:p>
    <w:p>
      <w:pPr>
        <w:pStyle w:val="56"/>
        <w:snapToGrid w:val="0"/>
        <w:spacing w:line="360" w:lineRule="auto"/>
        <w:ind w:firstLine="510"/>
        <w:rPr>
          <w:rStyle w:val="21"/>
          <w:rFonts w:ascii="宋体" w:hAnsi="宋体" w:cs="宋体"/>
          <w:color w:val="auto"/>
          <w:szCs w:val="24"/>
          <w:highlight w:val="none"/>
        </w:rPr>
      </w:pPr>
      <w:r>
        <w:rPr>
          <w:rStyle w:val="21"/>
          <w:rFonts w:hint="eastAsia" w:ascii="宋体" w:hAnsi="宋体" w:cs="宋体"/>
          <w:color w:val="auto"/>
          <w:szCs w:val="24"/>
          <w:highlight w:val="none"/>
        </w:rPr>
        <w:t>联系方式:0991-7580593</w:t>
      </w:r>
    </w:p>
    <w:p>
      <w:pPr>
        <w:pStyle w:val="56"/>
        <w:snapToGrid w:val="0"/>
        <w:spacing w:line="360" w:lineRule="auto"/>
        <w:ind w:firstLine="510"/>
        <w:rPr>
          <w:rStyle w:val="21"/>
          <w:rFonts w:ascii="宋体" w:hAnsi="宋体" w:cs="宋体"/>
          <w:color w:val="auto"/>
          <w:szCs w:val="24"/>
          <w:highlight w:val="none"/>
        </w:rPr>
      </w:pPr>
      <w:r>
        <w:rPr>
          <w:rStyle w:val="21"/>
          <w:rFonts w:hint="eastAsia" w:ascii="宋体" w:hAnsi="宋体" w:cs="宋体"/>
          <w:color w:val="auto"/>
          <w:szCs w:val="24"/>
          <w:highlight w:val="none"/>
        </w:rPr>
        <w:t>2、采购代理机构信息:</w:t>
      </w:r>
    </w:p>
    <w:p>
      <w:pPr>
        <w:pStyle w:val="56"/>
        <w:snapToGrid w:val="0"/>
        <w:spacing w:line="360" w:lineRule="auto"/>
        <w:ind w:firstLine="510"/>
        <w:rPr>
          <w:rStyle w:val="21"/>
          <w:rFonts w:ascii="宋体" w:hAnsi="宋体" w:cs="宋体"/>
          <w:color w:val="auto"/>
          <w:szCs w:val="24"/>
          <w:highlight w:val="none"/>
        </w:rPr>
      </w:pPr>
      <w:r>
        <w:rPr>
          <w:rStyle w:val="21"/>
          <w:rFonts w:hint="eastAsia" w:ascii="宋体" w:hAnsi="宋体" w:cs="宋体"/>
          <w:color w:val="auto"/>
          <w:szCs w:val="24"/>
          <w:highlight w:val="none"/>
        </w:rPr>
        <w:t>名称:新疆诚成工程项目管理有限公司</w:t>
      </w:r>
    </w:p>
    <w:p>
      <w:pPr>
        <w:pStyle w:val="56"/>
        <w:snapToGrid w:val="0"/>
        <w:spacing w:line="360" w:lineRule="auto"/>
        <w:ind w:firstLine="510"/>
        <w:rPr>
          <w:rStyle w:val="21"/>
          <w:rFonts w:ascii="宋体" w:hAnsi="宋体" w:cs="宋体"/>
          <w:color w:val="auto"/>
          <w:szCs w:val="24"/>
          <w:highlight w:val="none"/>
        </w:rPr>
      </w:pPr>
      <w:r>
        <w:rPr>
          <w:rStyle w:val="21"/>
          <w:rFonts w:hint="eastAsia" w:ascii="宋体" w:hAnsi="宋体" w:cs="宋体"/>
          <w:color w:val="auto"/>
          <w:szCs w:val="24"/>
          <w:highlight w:val="none"/>
        </w:rPr>
        <w:t>地址:新疆维吾尔自治区乌鲁木齐市水磨沟区红光山路2588号绿地中心101栋1806室</w:t>
      </w:r>
    </w:p>
    <w:p>
      <w:pPr>
        <w:pStyle w:val="56"/>
        <w:snapToGrid w:val="0"/>
        <w:spacing w:line="360" w:lineRule="auto"/>
        <w:ind w:firstLine="510"/>
        <w:rPr>
          <w:rStyle w:val="21"/>
          <w:rFonts w:ascii="宋体" w:hAnsi="宋体" w:cs="宋体"/>
          <w:color w:val="auto"/>
          <w:szCs w:val="24"/>
          <w:highlight w:val="none"/>
        </w:rPr>
      </w:pPr>
      <w:r>
        <w:rPr>
          <w:rStyle w:val="21"/>
          <w:rFonts w:hint="eastAsia" w:ascii="宋体" w:hAnsi="宋体" w:cs="宋体"/>
          <w:color w:val="auto"/>
          <w:szCs w:val="24"/>
          <w:highlight w:val="none"/>
        </w:rPr>
        <w:t>项目联系人:赵雅琦 李颖</w:t>
      </w:r>
    </w:p>
    <w:p>
      <w:pPr>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电话:19990210962 18690136275</w:t>
      </w:r>
    </w:p>
    <w:p>
      <w:pPr>
        <w:pStyle w:val="26"/>
        <w:jc w:val="center"/>
        <w:rPr>
          <w:rStyle w:val="21"/>
          <w:rFonts w:ascii="宋体" w:hAnsi="宋体" w:cs="宋体"/>
          <w:b/>
          <w:color w:val="auto"/>
          <w:sz w:val="36"/>
          <w:highlight w:val="none"/>
        </w:rPr>
      </w:pPr>
      <w:r>
        <w:rPr>
          <w:rStyle w:val="21"/>
          <w:rFonts w:ascii="宋体" w:hAnsi="宋体" w:cs="宋体"/>
          <w:color w:val="auto"/>
          <w:sz w:val="24"/>
          <w:szCs w:val="24"/>
          <w:highlight w:val="none"/>
        </w:rPr>
        <w:br w:type="page"/>
      </w:r>
      <w:r>
        <w:rPr>
          <w:rStyle w:val="21"/>
          <w:rFonts w:hint="eastAsia" w:ascii="宋体" w:hAnsi="宋体" w:cs="宋体"/>
          <w:b/>
          <w:color w:val="auto"/>
          <w:sz w:val="36"/>
          <w:highlight w:val="none"/>
        </w:rPr>
        <w:t>第二部分投标人须知</w:t>
      </w:r>
    </w:p>
    <w:p>
      <w:pPr>
        <w:spacing w:line="500" w:lineRule="exact"/>
        <w:jc w:val="center"/>
        <w:rPr>
          <w:rStyle w:val="21"/>
          <w:rFonts w:ascii="宋体" w:hAnsi="宋体" w:cs="宋体"/>
          <w:b/>
          <w:color w:val="auto"/>
          <w:sz w:val="28"/>
          <w:szCs w:val="28"/>
          <w:highlight w:val="none"/>
        </w:rPr>
      </w:pPr>
      <w:r>
        <w:rPr>
          <w:rStyle w:val="21"/>
          <w:rFonts w:hint="eastAsia" w:ascii="宋体" w:hAnsi="宋体" w:cs="宋体"/>
          <w:b/>
          <w:color w:val="auto"/>
          <w:sz w:val="28"/>
          <w:szCs w:val="28"/>
          <w:highlight w:val="none"/>
        </w:rPr>
        <w:t>投标人须知前附表</w:t>
      </w:r>
    </w:p>
    <w:tbl>
      <w:tblPr>
        <w:tblStyle w:val="18"/>
        <w:tblW w:w="10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424"/>
        <w:gridCol w:w="7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序号</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内容</w:t>
            </w:r>
          </w:p>
        </w:tc>
        <w:tc>
          <w:tcPr>
            <w:tcW w:w="7481" w:type="dxa"/>
            <w:tcBorders>
              <w:top w:val="single" w:color="000000" w:sz="4" w:space="0"/>
              <w:left w:val="single" w:color="000000" w:sz="4" w:space="0"/>
              <w:bottom w:val="single" w:color="000000" w:sz="4" w:space="0"/>
              <w:right w:val="single" w:color="000000" w:sz="4" w:space="0"/>
            </w:tcBorders>
            <w:vAlign w:val="center"/>
          </w:tcPr>
          <w:p>
            <w:pPr>
              <w:pStyle w:val="63"/>
              <w:numPr>
                <w:ilvl w:val="0"/>
                <w:numId w:val="0"/>
              </w:numPr>
              <w:spacing w:before="0" w:after="0" w:line="360" w:lineRule="auto"/>
              <w:jc w:val="center"/>
              <w:rPr>
                <w:rStyle w:val="21"/>
                <w:rFonts w:ascii="宋体" w:hAnsi="宋体" w:eastAsia="宋体"/>
                <w:bCs w:val="0"/>
                <w:color w:val="auto"/>
                <w:sz w:val="24"/>
                <w:szCs w:val="24"/>
                <w:highlight w:val="none"/>
              </w:rPr>
            </w:pPr>
            <w:r>
              <w:rPr>
                <w:rStyle w:val="21"/>
                <w:rFonts w:hint="eastAsia" w:ascii="宋体" w:hAnsi="宋体" w:eastAsia="宋体"/>
                <w:bCs w:val="0"/>
                <w:color w:val="auto"/>
                <w:sz w:val="24"/>
                <w:szCs w:val="24"/>
                <w:highlight w:val="none"/>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w:t>
            </w:r>
          </w:p>
        </w:tc>
        <w:tc>
          <w:tcPr>
            <w:tcW w:w="2424" w:type="dxa"/>
            <w:tcBorders>
              <w:top w:val="single" w:color="000000" w:sz="4" w:space="0"/>
              <w:left w:val="single" w:color="000000" w:sz="4" w:space="0"/>
              <w:bottom w:val="single" w:color="000000" w:sz="4" w:space="0"/>
              <w:right w:val="single" w:color="000000" w:sz="4" w:space="0"/>
            </w:tcBorders>
            <w:vAlign w:val="center"/>
          </w:tcPr>
          <w:p>
            <w:pPr>
              <w:pStyle w:val="63"/>
              <w:numPr>
                <w:ilvl w:val="0"/>
                <w:numId w:val="0"/>
              </w:numPr>
              <w:spacing w:before="0" w:after="0" w:line="360" w:lineRule="auto"/>
              <w:jc w:val="center"/>
              <w:rPr>
                <w:rStyle w:val="21"/>
                <w:rFonts w:ascii="宋体" w:hAnsi="宋体" w:eastAsia="宋体"/>
                <w:bCs w:val="0"/>
                <w:color w:val="auto"/>
                <w:sz w:val="24"/>
                <w:szCs w:val="24"/>
                <w:highlight w:val="none"/>
              </w:rPr>
            </w:pPr>
            <w:r>
              <w:rPr>
                <w:rStyle w:val="21"/>
                <w:rFonts w:hint="eastAsia" w:ascii="宋体" w:hAnsi="宋体" w:eastAsia="宋体"/>
                <w:bCs w:val="0"/>
                <w:color w:val="auto"/>
                <w:sz w:val="24"/>
                <w:szCs w:val="24"/>
                <w:highlight w:val="none"/>
              </w:rPr>
              <w:t>项目名称</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“兵团全民健康信息系统软件项目”师级医院实施项目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w:t>
            </w:r>
          </w:p>
        </w:tc>
        <w:tc>
          <w:tcPr>
            <w:tcW w:w="2424" w:type="dxa"/>
            <w:tcBorders>
              <w:top w:val="single" w:color="000000" w:sz="4" w:space="0"/>
              <w:left w:val="single" w:color="000000" w:sz="4" w:space="0"/>
              <w:bottom w:val="single" w:color="000000" w:sz="4" w:space="0"/>
              <w:right w:val="single" w:color="000000" w:sz="4" w:space="0"/>
            </w:tcBorders>
            <w:vAlign w:val="center"/>
          </w:tcPr>
          <w:p>
            <w:pPr>
              <w:pStyle w:val="63"/>
              <w:numPr>
                <w:ilvl w:val="0"/>
                <w:numId w:val="0"/>
              </w:numPr>
              <w:spacing w:before="0" w:after="0" w:line="360" w:lineRule="auto"/>
              <w:jc w:val="center"/>
              <w:rPr>
                <w:rStyle w:val="21"/>
                <w:rFonts w:ascii="宋体" w:hAnsi="宋体" w:eastAsia="宋体"/>
                <w:bCs w:val="0"/>
                <w:color w:val="auto"/>
                <w:sz w:val="24"/>
                <w:szCs w:val="24"/>
                <w:highlight w:val="none"/>
              </w:rPr>
            </w:pPr>
            <w:r>
              <w:rPr>
                <w:rStyle w:val="21"/>
                <w:rFonts w:hint="eastAsia" w:ascii="宋体" w:hAnsi="宋体" w:eastAsia="宋体"/>
                <w:bCs w:val="0"/>
                <w:color w:val="auto"/>
                <w:sz w:val="24"/>
                <w:szCs w:val="24"/>
                <w:highlight w:val="none"/>
              </w:rPr>
              <w:t>采购人</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名称：</w:t>
            </w:r>
            <w:r>
              <w:rPr>
                <w:rStyle w:val="21"/>
                <w:rFonts w:hint="eastAsia" w:ascii="宋体" w:hAnsi="宋体" w:cs="宋体"/>
                <w:color w:val="auto"/>
                <w:kern w:val="0"/>
                <w:sz w:val="24"/>
                <w:highlight w:val="none"/>
                <w:u w:val="single"/>
              </w:rPr>
              <w:t>新疆生产建设兵团医院</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地址：</w:t>
            </w:r>
            <w:r>
              <w:rPr>
                <w:rStyle w:val="21"/>
                <w:rFonts w:hint="eastAsia" w:ascii="宋体" w:hAnsi="宋体" w:cs="宋体"/>
                <w:color w:val="auto"/>
                <w:kern w:val="0"/>
                <w:sz w:val="24"/>
                <w:highlight w:val="none"/>
                <w:u w:val="single"/>
              </w:rPr>
              <w:t>乌鲁木齐市天山区青年路232号</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联系人：</w:t>
            </w:r>
            <w:r>
              <w:rPr>
                <w:rStyle w:val="21"/>
                <w:rFonts w:hint="eastAsia" w:ascii="宋体" w:hAnsi="宋体" w:cs="宋体"/>
                <w:color w:val="auto"/>
                <w:kern w:val="0"/>
                <w:sz w:val="24"/>
                <w:highlight w:val="none"/>
                <w:u w:val="single"/>
              </w:rPr>
              <w:t>夏丽</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联系电话：</w:t>
            </w:r>
            <w:r>
              <w:rPr>
                <w:rStyle w:val="21"/>
                <w:rFonts w:hint="eastAsia" w:ascii="宋体" w:hAnsi="宋体" w:cs="宋体"/>
                <w:color w:val="auto"/>
                <w:kern w:val="0"/>
                <w:sz w:val="24"/>
                <w:highlight w:val="none"/>
                <w:u w:val="single"/>
              </w:rPr>
              <w:t>0991-7580593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3</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采购代理机构</w:t>
            </w:r>
          </w:p>
        </w:tc>
        <w:tc>
          <w:tcPr>
            <w:tcW w:w="7481" w:type="dxa"/>
            <w:tcBorders>
              <w:top w:val="single" w:color="000000" w:sz="4" w:space="0"/>
              <w:left w:val="single" w:color="000000" w:sz="4" w:space="0"/>
              <w:bottom w:val="single" w:color="000000" w:sz="4" w:space="0"/>
              <w:right w:val="single" w:color="000000" w:sz="4" w:space="0"/>
            </w:tcBorders>
            <w:vAlign w:val="center"/>
          </w:tcPr>
          <w:p>
            <w:pPr>
              <w:pStyle w:val="83"/>
              <w:rPr>
                <w:rStyle w:val="21"/>
                <w:rFonts w:ascii="宋体" w:hAnsi="宋体" w:cs="宋体"/>
                <w:color w:val="auto"/>
                <w:sz w:val="24"/>
                <w:highlight w:val="none"/>
                <w:u w:val="single" w:color="000000"/>
              </w:rPr>
            </w:pPr>
            <w:r>
              <w:rPr>
                <w:rStyle w:val="21"/>
                <w:rFonts w:hint="eastAsia" w:ascii="宋体" w:hAnsi="宋体" w:cs="宋体"/>
                <w:color w:val="auto"/>
                <w:sz w:val="24"/>
                <w:highlight w:val="none"/>
              </w:rPr>
              <w:t>名称：</w:t>
            </w:r>
            <w:r>
              <w:rPr>
                <w:rStyle w:val="21"/>
                <w:rFonts w:hint="eastAsia" w:ascii="宋体" w:hAnsi="宋体" w:cs="宋体"/>
                <w:color w:val="auto"/>
                <w:sz w:val="24"/>
                <w:highlight w:val="none"/>
                <w:u w:val="single" w:color="000000"/>
              </w:rPr>
              <w:t>新疆诚成工程项目管理有限公司</w:t>
            </w:r>
          </w:p>
          <w:p>
            <w:pPr>
              <w:pStyle w:val="83"/>
              <w:rPr>
                <w:rStyle w:val="21"/>
                <w:rFonts w:ascii="宋体" w:hAnsi="宋体" w:cs="宋体"/>
                <w:color w:val="auto"/>
                <w:sz w:val="24"/>
                <w:highlight w:val="none"/>
                <w:u w:val="single" w:color="000000"/>
              </w:rPr>
            </w:pPr>
            <w:r>
              <w:rPr>
                <w:rStyle w:val="21"/>
                <w:rFonts w:hint="eastAsia" w:ascii="宋体" w:hAnsi="宋体" w:cs="宋体"/>
                <w:color w:val="auto"/>
                <w:sz w:val="24"/>
                <w:highlight w:val="none"/>
              </w:rPr>
              <w:t>地址：</w:t>
            </w:r>
            <w:r>
              <w:rPr>
                <w:rStyle w:val="21"/>
                <w:rFonts w:hint="eastAsia" w:ascii="宋体" w:hAnsi="宋体" w:cs="宋体"/>
                <w:color w:val="auto"/>
                <w:sz w:val="24"/>
                <w:highlight w:val="none"/>
                <w:u w:val="single" w:color="000000"/>
              </w:rPr>
              <w:t>新疆维吾尔自治区乌鲁木齐市水磨沟区红光山路2588号绿地中心101栋1806室</w:t>
            </w:r>
          </w:p>
          <w:p>
            <w:pPr>
              <w:pStyle w:val="83"/>
              <w:rPr>
                <w:rStyle w:val="21"/>
                <w:rFonts w:ascii="宋体" w:hAnsi="宋体" w:cs="宋体"/>
                <w:color w:val="auto"/>
                <w:sz w:val="24"/>
                <w:highlight w:val="none"/>
                <w:u w:val="single" w:color="000000"/>
              </w:rPr>
            </w:pPr>
            <w:r>
              <w:rPr>
                <w:rStyle w:val="21"/>
                <w:rFonts w:hint="eastAsia" w:ascii="宋体" w:hAnsi="宋体" w:cs="宋体"/>
                <w:color w:val="auto"/>
                <w:sz w:val="24"/>
                <w:highlight w:val="none"/>
              </w:rPr>
              <w:t>联系人：</w:t>
            </w:r>
            <w:r>
              <w:rPr>
                <w:rStyle w:val="21"/>
                <w:rFonts w:hint="eastAsia" w:ascii="宋体" w:hAnsi="宋体" w:cs="宋体"/>
                <w:color w:val="auto"/>
                <w:sz w:val="24"/>
                <w:highlight w:val="none"/>
                <w:u w:val="single" w:color="000000"/>
              </w:rPr>
              <w:t>赵雅琦 李颖</w:t>
            </w:r>
          </w:p>
          <w:p>
            <w:pPr>
              <w:pStyle w:val="83"/>
              <w:rPr>
                <w:rStyle w:val="21"/>
                <w:rFonts w:ascii="宋体" w:hAnsi="宋体" w:cs="宋体"/>
                <w:color w:val="auto"/>
                <w:sz w:val="24"/>
                <w:highlight w:val="none"/>
                <w:u w:val="single" w:color="000000"/>
              </w:rPr>
            </w:pPr>
            <w:r>
              <w:rPr>
                <w:rStyle w:val="21"/>
                <w:rFonts w:hint="eastAsia" w:ascii="宋体" w:hAnsi="宋体" w:cs="宋体"/>
                <w:color w:val="auto"/>
                <w:sz w:val="24"/>
                <w:highlight w:val="none"/>
              </w:rPr>
              <w:t>联系电话：</w:t>
            </w:r>
            <w:r>
              <w:rPr>
                <w:rStyle w:val="21"/>
                <w:rFonts w:hint="eastAsia" w:ascii="宋体" w:hAnsi="宋体" w:cs="宋体"/>
                <w:color w:val="auto"/>
                <w:sz w:val="24"/>
                <w:highlight w:val="none"/>
                <w:u w:val="single" w:color="000000"/>
              </w:rPr>
              <w:t>19990210962 18690136275</w:t>
            </w:r>
          </w:p>
          <w:p>
            <w:pPr>
              <w:spacing w:line="360" w:lineRule="auto"/>
              <w:rPr>
                <w:rStyle w:val="21"/>
                <w:rFonts w:ascii="宋体" w:hAnsi="宋体" w:cs="宋体"/>
                <w:color w:val="auto"/>
                <w:sz w:val="24"/>
                <w:highlight w:val="none"/>
              </w:rPr>
            </w:pPr>
            <w:r>
              <w:rPr>
                <w:rStyle w:val="21"/>
                <w:rFonts w:hint="eastAsia" w:ascii="宋体" w:hAnsi="宋体" w:cs="宋体"/>
                <w:color w:val="auto"/>
                <w:sz w:val="24"/>
                <w:szCs w:val="24"/>
                <w:highlight w:val="none"/>
              </w:rPr>
              <w:t>电子邮件：</w:t>
            </w:r>
            <w:r>
              <w:rPr>
                <w:rStyle w:val="21"/>
                <w:rFonts w:hint="eastAsia" w:ascii="宋体" w:hAnsi="宋体" w:cs="宋体"/>
                <w:color w:val="auto"/>
                <w:sz w:val="24"/>
                <w:szCs w:val="24"/>
                <w:highlight w:val="none"/>
                <w:u w:val="single"/>
              </w:rPr>
              <w:t>450378115@q</w:t>
            </w:r>
            <w:r>
              <w:rPr>
                <w:rStyle w:val="21"/>
                <w:rFonts w:hint="eastAsia" w:ascii="宋体" w:hAnsi="宋体" w:cs="宋体"/>
                <w:color w:val="auto"/>
                <w:sz w:val="24"/>
                <w:szCs w:val="24"/>
                <w:highlight w:val="none"/>
                <w:u w:val="single" w:color="000000"/>
              </w:rPr>
              <w:t>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4</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采购内容</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详见招标文件第三部分采购需求；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5</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投标人资格要求</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1.满足《中华人民共和国政府采购法》第二十二条规定；</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2.落实政府采购政策需满足的资格要求：</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（1）财政部、国家发展改革委《关于印发《节能产品政府采购实施意见》的通知》（财库[2004]185号文）；</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（2）《财政部、环保总局关于环境标志产品政府采购实施的意见》（财库[2006]90号）；</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（3）财政部、工业和信息化部《关于印发《政府采购促进中小企业发展管理办法》的通知》（财库〔2020〕46号文）；</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（4）财政部、司法部《关于政府采购支持监狱企业发展有关问题的通知》（财库[2014]68号文）；</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（5）财政部、民政部、中国残疾人联合会《关于促进残疾人就业政府采购政策的通知》（财库[2017]141号）（中小企业优惠、监狱企业、节能产品、环境标志产品等）</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3.本项目的特定资格要求：</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3.1符合《中华人民共和国政府采购法》第二十二条的相关规定；</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3.2具有有效的“一证一码”或“三证合一”的营业执照；</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3.3凡拟参加本次招标项目的投标人，如在“信用中国”网站（www.creditchina.gov.vn）、中国政府采购网（www.ccgp.gov.vn）被列入失信被执行人、重大税收违法失信主体、政府采购严重违法失信行为记录名单的（尚在处罚期内的），将拒绝其参本次政府采购活动；</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3.4供应商近三年无行贿犯罪记录证明（在中国裁判文书网（http://wenshu.court.gov.cn/）查询，查询时间必须在公告期内）；</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3.5本项目不接受联合体投标。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6</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sz w:val="24"/>
                <w:highlight w:val="none"/>
              </w:rPr>
            </w:pPr>
            <w:r>
              <w:rPr>
                <w:rStyle w:val="21"/>
                <w:rFonts w:hint="eastAsia" w:ascii="宋体" w:hAnsi="宋体" w:cs="宋体"/>
                <w:b/>
                <w:color w:val="auto"/>
                <w:sz w:val="24"/>
                <w:highlight w:val="none"/>
              </w:rPr>
              <w:t>是否允许联合体投标</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☑否</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□是</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应满足要求：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8</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sz w:val="24"/>
                <w:highlight w:val="none"/>
              </w:rPr>
            </w:pPr>
            <w:r>
              <w:rPr>
                <w:rStyle w:val="21"/>
                <w:rFonts w:hint="eastAsia" w:ascii="宋体" w:hAnsi="宋体" w:cs="宋体"/>
                <w:b/>
                <w:color w:val="auto"/>
                <w:sz w:val="24"/>
                <w:highlight w:val="none"/>
              </w:rPr>
              <w:t>是否允许投报进口产品</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□是</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4"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9</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sz w:val="24"/>
                <w:highlight w:val="none"/>
              </w:rPr>
            </w:pPr>
            <w:r>
              <w:rPr>
                <w:rStyle w:val="21"/>
                <w:rFonts w:hint="eastAsia" w:ascii="宋体" w:hAnsi="宋体" w:cs="宋体"/>
                <w:b/>
                <w:color w:val="auto"/>
                <w:sz w:val="24"/>
                <w:highlight w:val="none"/>
              </w:rPr>
              <w:t>是否允许投标人将项目非主体、非关键性工作交由他人完成</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☑否</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□是</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中标人按照合同约定或者经采购人同意，可以将项目非主体、非关键性工作分包交由他人完成。此时，接受分包的人应当具备相应的资格条件，并不得再次分包。</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分包内容要求：</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分包金额要求：</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接受分包的第三人资质要求：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10</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sz w:val="24"/>
                <w:highlight w:val="none"/>
              </w:rPr>
            </w:pPr>
            <w:r>
              <w:rPr>
                <w:rStyle w:val="21"/>
                <w:rFonts w:hint="eastAsia" w:ascii="宋体" w:hAnsi="宋体" w:cs="宋体"/>
                <w:b/>
                <w:color w:val="auto"/>
                <w:sz w:val="24"/>
                <w:highlight w:val="none"/>
              </w:rPr>
              <w:t>踏勘现场</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☑自行踏勘</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联系人：李润润 联系电话：0991-7580597、13579939238</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□统一组织</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联系人：</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联系电话：</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踏勘时间：</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踏勘地点：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11</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sz w:val="24"/>
                <w:highlight w:val="none"/>
              </w:rPr>
            </w:pPr>
            <w:r>
              <w:rPr>
                <w:rStyle w:val="21"/>
                <w:rFonts w:hint="eastAsia" w:ascii="宋体" w:hAnsi="宋体" w:cs="宋体"/>
                <w:b/>
                <w:color w:val="auto"/>
                <w:sz w:val="24"/>
                <w:highlight w:val="none"/>
              </w:rPr>
              <w:t>答疑接受时间</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bCs/>
                <w:color w:val="auto"/>
                <w:sz w:val="24"/>
                <w:highlight w:val="none"/>
              </w:rPr>
            </w:pPr>
            <w:r>
              <w:rPr>
                <w:rStyle w:val="21"/>
                <w:rFonts w:hint="eastAsia" w:ascii="宋体" w:hAnsi="宋体" w:cs="宋体"/>
                <w:color w:val="auto"/>
                <w:kern w:val="0"/>
                <w:sz w:val="24"/>
                <w:highlight w:val="none"/>
              </w:rPr>
              <w:t>投标截止日期15天</w:t>
            </w:r>
            <w:r>
              <w:rPr>
                <w:rStyle w:val="21"/>
                <w:rFonts w:hint="eastAsia" w:ascii="宋体" w:hAnsi="宋体" w:cs="宋体"/>
                <w:bCs/>
                <w:color w:val="auto"/>
                <w:sz w:val="24"/>
                <w:highlight w:val="none"/>
              </w:rPr>
              <w:t>前接受投标人疑问或澄清要求（逾期不予受理）。</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联系人：赵雅琦 李颖</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联系电话：19990210962 18690136275</w:t>
            </w:r>
          </w:p>
          <w:p>
            <w:pPr>
              <w:spacing w:line="360" w:lineRule="auto"/>
              <w:rPr>
                <w:rStyle w:val="21"/>
                <w:rFonts w:ascii="宋体" w:hAnsi="宋体" w:cs="宋体"/>
                <w:color w:val="auto"/>
                <w:sz w:val="24"/>
                <w:highlight w:val="none"/>
              </w:rPr>
            </w:pPr>
            <w:r>
              <w:rPr>
                <w:rStyle w:val="21"/>
                <w:rFonts w:hint="eastAsia" w:ascii="宋体" w:hAnsi="宋体" w:cs="宋体"/>
                <w:color w:val="auto"/>
                <w:kern w:val="0"/>
                <w:sz w:val="24"/>
                <w:highlight w:val="none"/>
              </w:rPr>
              <w:t>提交方式：以加盖供应商公章的书面形式（参照财政部令第94号）</w:t>
            </w:r>
          </w:p>
          <w:p>
            <w:pPr>
              <w:spacing w:line="360" w:lineRule="auto"/>
              <w:rPr>
                <w:rStyle w:val="21"/>
                <w:rFonts w:ascii="宋体" w:hAnsi="宋体" w:cs="宋体"/>
                <w:b/>
                <w:bCs/>
                <w:color w:val="auto"/>
                <w:sz w:val="24"/>
                <w:highlight w:val="none"/>
              </w:rPr>
            </w:pPr>
            <w:r>
              <w:rPr>
                <w:rStyle w:val="21"/>
                <w:rFonts w:hint="eastAsia" w:ascii="宋体" w:hAnsi="宋体" w:cs="宋体"/>
                <w:bCs/>
                <w:color w:val="auto"/>
                <w:sz w:val="24"/>
                <w:highlight w:val="none"/>
              </w:rPr>
              <w:t>注：澄清、修改文件发出后，投标人必须使用最新的澄清文件制作电子投标文件，否则将无法完成上传。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12</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sz w:val="24"/>
                <w:highlight w:val="none"/>
              </w:rPr>
            </w:pPr>
            <w:r>
              <w:rPr>
                <w:rStyle w:val="21"/>
                <w:rFonts w:hint="eastAsia" w:ascii="宋体" w:hAnsi="宋体" w:cs="宋体"/>
                <w:b/>
                <w:color w:val="auto"/>
                <w:sz w:val="24"/>
                <w:highlight w:val="none"/>
              </w:rPr>
              <w:t>投标有效期</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lang w:val="zh-CN"/>
              </w:rPr>
              <w:t>自投标截止之日起90日历天。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13</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投标截止时间（开标时间）</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截止时间：2022年</w:t>
            </w:r>
            <w:r>
              <w:rPr>
                <w:rStyle w:val="21"/>
                <w:rFonts w:hint="eastAsia" w:ascii="宋体" w:hAnsi="宋体" w:cs="宋体"/>
                <w:color w:val="auto"/>
                <w:sz w:val="24"/>
                <w:highlight w:val="none"/>
                <w:lang w:val="en-US" w:eastAsia="zh-CN"/>
              </w:rPr>
              <w:t>12</w:t>
            </w:r>
            <w:r>
              <w:rPr>
                <w:rStyle w:val="21"/>
                <w:rFonts w:hint="eastAsia" w:ascii="宋体" w:hAnsi="宋体" w:cs="宋体"/>
                <w:color w:val="auto"/>
                <w:sz w:val="24"/>
                <w:highlight w:val="none"/>
              </w:rPr>
              <w:t>月</w:t>
            </w:r>
            <w:r>
              <w:rPr>
                <w:rStyle w:val="21"/>
                <w:rFonts w:hint="eastAsia" w:ascii="宋体" w:hAnsi="宋体" w:cs="宋体"/>
                <w:color w:val="auto"/>
                <w:sz w:val="24"/>
                <w:highlight w:val="none"/>
                <w:lang w:val="en-US" w:eastAsia="zh-CN"/>
              </w:rPr>
              <w:t>07</w:t>
            </w:r>
            <w:r>
              <w:rPr>
                <w:rStyle w:val="21"/>
                <w:rFonts w:hint="eastAsia" w:ascii="宋体" w:hAnsi="宋体" w:cs="宋体"/>
                <w:color w:val="auto"/>
                <w:sz w:val="24"/>
                <w:highlight w:val="none"/>
              </w:rPr>
              <w:t>日11:00（北京时间）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14</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投标人在投标截止</w:t>
            </w:r>
          </w:p>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时间前提交的文件</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sz w:val="24"/>
                <w:highlight w:val="none"/>
              </w:rPr>
              <w:t>投标文件（具体要求见本表第15项）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15</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投标文件份数</w:t>
            </w:r>
          </w:p>
        </w:tc>
        <w:tc>
          <w:tcPr>
            <w:tcW w:w="7481" w:type="dxa"/>
            <w:tcBorders>
              <w:top w:val="single" w:color="000000" w:sz="4" w:space="0"/>
              <w:left w:val="single" w:color="000000" w:sz="4" w:space="0"/>
              <w:bottom w:val="single" w:color="000000" w:sz="4" w:space="0"/>
              <w:right w:val="single" w:color="000000" w:sz="4" w:space="0"/>
            </w:tcBorders>
            <w:vAlign w:val="center"/>
          </w:tcPr>
          <w:p>
            <w:pPr>
              <w:pStyle w:val="178"/>
              <w:spacing w:line="400" w:lineRule="exact"/>
              <w:rPr>
                <w:rStyle w:val="21"/>
                <w:rFonts w:ascii="宋体" w:hAnsi="宋体" w:cs="宋体"/>
                <w:b/>
                <w:color w:val="auto"/>
                <w:sz w:val="24"/>
                <w:highlight w:val="none"/>
              </w:rPr>
            </w:pPr>
            <w:r>
              <w:rPr>
                <w:rStyle w:val="21"/>
                <w:rFonts w:hint="eastAsia" w:ascii="宋体" w:hAnsi="宋体" w:cs="宋体"/>
                <w:b/>
                <w:color w:val="auto"/>
                <w:sz w:val="24"/>
                <w:highlight w:val="none"/>
              </w:rPr>
              <w:t>投标文件包括：</w:t>
            </w:r>
          </w:p>
          <w:p>
            <w:pPr>
              <w:pStyle w:val="178"/>
              <w:numPr>
                <w:ilvl w:val="0"/>
                <w:numId w:val="2"/>
              </w:numPr>
              <w:spacing w:line="400" w:lineRule="exact"/>
              <w:rPr>
                <w:rStyle w:val="21"/>
                <w:rFonts w:ascii="宋体" w:hAnsi="宋体" w:cs="宋体"/>
                <w:b/>
                <w:color w:val="auto"/>
                <w:sz w:val="24"/>
                <w:highlight w:val="none"/>
              </w:rPr>
            </w:pPr>
            <w:r>
              <w:rPr>
                <w:rStyle w:val="21"/>
                <w:rFonts w:hint="eastAsia" w:ascii="宋体" w:hAnsi="宋体" w:cs="宋体"/>
                <w:b/>
                <w:color w:val="auto"/>
                <w:sz w:val="24"/>
                <w:highlight w:val="none"/>
              </w:rPr>
              <w:t>加密的电子投标文件，在投标截止时间前通过兵团政采云http://ccgp-bingtuan.gov.cn/上传；</w:t>
            </w:r>
          </w:p>
          <w:p>
            <w:pPr>
              <w:pStyle w:val="178"/>
              <w:spacing w:line="400" w:lineRule="exact"/>
              <w:rPr>
                <w:rStyle w:val="21"/>
                <w:rFonts w:ascii="宋体" w:hAnsi="宋体" w:cs="宋体"/>
                <w:b/>
                <w:color w:val="auto"/>
                <w:sz w:val="24"/>
                <w:highlight w:val="none"/>
              </w:rPr>
            </w:pPr>
            <w:r>
              <w:rPr>
                <w:rStyle w:val="21"/>
                <w:rFonts w:hint="eastAsia" w:ascii="宋体" w:hAnsi="宋体" w:cs="宋体"/>
                <w:b/>
                <w:color w:val="auto"/>
                <w:sz w:val="24"/>
                <w:highlight w:val="none"/>
              </w:rPr>
              <w:t>2、未加密的电子投标文件（文件格式为PDF版本）U盘1份，做好标示，密封提交；</w:t>
            </w:r>
          </w:p>
          <w:p>
            <w:pPr>
              <w:pStyle w:val="178"/>
              <w:spacing w:line="400" w:lineRule="exact"/>
              <w:rPr>
                <w:rStyle w:val="21"/>
                <w:rFonts w:ascii="宋体" w:hAnsi="宋体" w:cs="宋体"/>
                <w:b/>
                <w:color w:val="auto"/>
                <w:sz w:val="24"/>
                <w:highlight w:val="none"/>
              </w:rPr>
            </w:pPr>
            <w:r>
              <w:rPr>
                <w:rStyle w:val="21"/>
                <w:rFonts w:hint="eastAsia" w:ascii="宋体" w:hAnsi="宋体" w:cs="宋体"/>
                <w:b/>
                <w:color w:val="auto"/>
                <w:sz w:val="24"/>
                <w:highlight w:val="none"/>
              </w:rPr>
              <w:t>3、未加密的纸质版投标文件3份，其中正本1份、副本2份,密封提交。</w:t>
            </w:r>
          </w:p>
          <w:p>
            <w:pPr>
              <w:pStyle w:val="178"/>
              <w:spacing w:line="400" w:lineRule="exact"/>
              <w:rPr>
                <w:rStyle w:val="21"/>
                <w:rFonts w:ascii="宋体" w:hAnsi="宋体" w:cs="宋体"/>
                <w:color w:val="auto"/>
                <w:sz w:val="24"/>
                <w:highlight w:val="none"/>
              </w:rPr>
            </w:pPr>
            <w:r>
              <w:rPr>
                <w:rStyle w:val="21"/>
                <w:rFonts w:hint="eastAsia" w:ascii="宋体" w:hAnsi="宋体" w:cs="宋体"/>
                <w:color w:val="auto"/>
                <w:sz w:val="24"/>
                <w:highlight w:val="none"/>
              </w:rPr>
              <w:t>注：加密的电子投标文件为使用政采云提供的电子投标文件制作工具制作生成的加密版投标文件。未加密的电子投标文件应与加密的电子投标文件为同时生成的版本。</w:t>
            </w:r>
          </w:p>
          <w:p>
            <w:pPr>
              <w:pStyle w:val="178"/>
              <w:spacing w:line="400" w:lineRule="exact"/>
              <w:rPr>
                <w:rStyle w:val="21"/>
                <w:rFonts w:ascii="宋体" w:hAnsi="宋体" w:cs="宋体"/>
                <w:b/>
                <w:color w:val="auto"/>
                <w:sz w:val="24"/>
                <w:highlight w:val="none"/>
              </w:rPr>
            </w:pPr>
            <w:r>
              <w:rPr>
                <w:rStyle w:val="21"/>
                <w:rFonts w:hint="eastAsia" w:ascii="宋体" w:hAnsi="宋体" w:cs="宋体"/>
                <w:b/>
                <w:color w:val="auto"/>
                <w:sz w:val="24"/>
                <w:highlight w:val="none"/>
              </w:rPr>
              <w:t>4、所有投标文件信袋封口处均应加贴封条，封条上应写明：</w:t>
            </w:r>
          </w:p>
          <w:p>
            <w:pPr>
              <w:pStyle w:val="178"/>
              <w:spacing w:line="400" w:lineRule="exact"/>
              <w:rPr>
                <w:rStyle w:val="21"/>
                <w:rFonts w:ascii="宋体" w:hAnsi="宋体" w:cs="宋体"/>
                <w:color w:val="auto"/>
                <w:sz w:val="24"/>
                <w:highlight w:val="none"/>
              </w:rPr>
            </w:pPr>
            <w:r>
              <w:rPr>
                <w:rStyle w:val="21"/>
                <w:rFonts w:hint="eastAsia" w:ascii="宋体" w:hAnsi="宋体" w:cs="宋体"/>
                <w:color w:val="auto"/>
                <w:sz w:val="24"/>
                <w:highlight w:val="none"/>
              </w:rPr>
              <w:t>⑴采购代理机构：</w:t>
            </w:r>
          </w:p>
          <w:p>
            <w:pPr>
              <w:pStyle w:val="178"/>
              <w:spacing w:line="400" w:lineRule="exact"/>
              <w:rPr>
                <w:rStyle w:val="21"/>
                <w:rFonts w:ascii="宋体" w:hAnsi="宋体" w:cs="宋体"/>
                <w:color w:val="auto"/>
                <w:sz w:val="24"/>
                <w:highlight w:val="none"/>
              </w:rPr>
            </w:pPr>
            <w:r>
              <w:rPr>
                <w:rStyle w:val="21"/>
                <w:rFonts w:hint="eastAsia" w:ascii="宋体" w:hAnsi="宋体" w:cs="宋体"/>
                <w:color w:val="auto"/>
                <w:sz w:val="24"/>
                <w:highlight w:val="none"/>
              </w:rPr>
              <w:t>⑵项目名称：</w:t>
            </w:r>
          </w:p>
          <w:p>
            <w:pPr>
              <w:pStyle w:val="178"/>
              <w:spacing w:line="400" w:lineRule="exact"/>
              <w:rPr>
                <w:rStyle w:val="21"/>
                <w:rFonts w:ascii="宋体" w:hAnsi="宋体" w:cs="宋体"/>
                <w:color w:val="auto"/>
                <w:sz w:val="24"/>
                <w:highlight w:val="none"/>
              </w:rPr>
            </w:pPr>
            <w:r>
              <w:rPr>
                <w:rStyle w:val="21"/>
                <w:rFonts w:hint="eastAsia" w:ascii="宋体" w:hAnsi="宋体" w:cs="宋体"/>
                <w:color w:val="auto"/>
                <w:sz w:val="24"/>
                <w:highlight w:val="none"/>
              </w:rPr>
              <w:t>⑶项目编号：</w:t>
            </w:r>
          </w:p>
          <w:p>
            <w:pPr>
              <w:pStyle w:val="178"/>
              <w:spacing w:line="400" w:lineRule="exact"/>
              <w:rPr>
                <w:rStyle w:val="21"/>
                <w:rFonts w:ascii="宋体" w:hAnsi="宋体" w:cs="宋体"/>
                <w:color w:val="auto"/>
                <w:sz w:val="24"/>
                <w:highlight w:val="none"/>
              </w:rPr>
            </w:pPr>
            <w:r>
              <w:rPr>
                <w:rStyle w:val="21"/>
                <w:rFonts w:hint="eastAsia" w:ascii="宋体" w:hAnsi="宋体" w:cs="宋体"/>
                <w:color w:val="auto"/>
                <w:sz w:val="24"/>
                <w:highlight w:val="none"/>
              </w:rPr>
              <w:t>⑷供应商企业名称、地址、授权代表姓名、联系电话：</w:t>
            </w:r>
          </w:p>
          <w:p>
            <w:pPr>
              <w:pStyle w:val="178"/>
              <w:spacing w:line="400" w:lineRule="exact"/>
              <w:rPr>
                <w:rStyle w:val="21"/>
                <w:rFonts w:ascii="宋体" w:hAnsi="宋体" w:cs="宋体"/>
                <w:color w:val="auto"/>
                <w:sz w:val="24"/>
                <w:highlight w:val="none"/>
              </w:rPr>
            </w:pPr>
            <w:r>
              <w:rPr>
                <w:rStyle w:val="21"/>
                <w:rFonts w:hint="eastAsia" w:ascii="宋体" w:hAnsi="宋体" w:cs="宋体"/>
                <w:color w:val="auto"/>
                <w:sz w:val="24"/>
                <w:highlight w:val="none"/>
              </w:rPr>
              <w:t>⑸注明“开标前不准启封”，“正本”、“副本”、“电子投标文件”。</w:t>
            </w:r>
          </w:p>
          <w:p>
            <w:pPr>
              <w:pStyle w:val="178"/>
              <w:spacing w:line="400" w:lineRule="exact"/>
              <w:rPr>
                <w:rStyle w:val="21"/>
                <w:rFonts w:ascii="宋体" w:hAnsi="宋体" w:cs="宋体"/>
                <w:color w:val="auto"/>
                <w:sz w:val="24"/>
                <w:highlight w:val="none"/>
              </w:rPr>
            </w:pPr>
            <w:r>
              <w:rPr>
                <w:rStyle w:val="21"/>
                <w:rFonts w:hint="eastAsia" w:ascii="宋体" w:hAnsi="宋体" w:cs="宋体"/>
                <w:color w:val="auto"/>
                <w:sz w:val="24"/>
                <w:highlight w:val="none"/>
              </w:rPr>
              <w:t>5、未按本须知要求密封、标记和投递的投标文件，采购代理机构不对其后果负责。</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备注：因投标人自身原因导致解密失败的，将导致其投标被拒绝且投标文件被退回；但因网上招标系统故障导致所有投标人均解密失败时，投标人使用未加密的电子投标文件进行开评标。未递交加密的电子投标文件、未加密的电子投标文件（U盘1份）及未加密的纸质版投标文件3份，将导致投标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16</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开标时间及地点</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开标时间：同投标截止时间</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开标地点：兵团政采云http://ccgp-bingtuan.gov.cn/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17</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评标委员会的组成</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评标委员会构成</w:t>
            </w:r>
            <w:r>
              <w:rPr>
                <w:rStyle w:val="21"/>
                <w:rFonts w:hint="eastAsia" w:ascii="宋体" w:hAnsi="宋体" w:cs="宋体"/>
                <w:b/>
                <w:color w:val="auto"/>
                <w:sz w:val="24"/>
                <w:highlight w:val="none"/>
              </w:rPr>
              <w:t>：</w:t>
            </w:r>
            <w:r>
              <w:rPr>
                <w:rStyle w:val="21"/>
                <w:rFonts w:hint="eastAsia" w:ascii="宋体" w:hAnsi="宋体" w:cs="宋体"/>
                <w:bCs/>
                <w:color w:val="auto"/>
                <w:sz w:val="24"/>
                <w:highlight w:val="none"/>
              </w:rPr>
              <w:t>7</w:t>
            </w:r>
            <w:r>
              <w:rPr>
                <w:rStyle w:val="21"/>
                <w:rFonts w:hint="eastAsia" w:ascii="宋体" w:hAnsi="宋体" w:cs="宋体"/>
                <w:color w:val="auto"/>
                <w:sz w:val="24"/>
                <w:highlight w:val="none"/>
              </w:rPr>
              <w:t>人，其中招标人代表2人</w:t>
            </w:r>
            <w:r>
              <w:rPr>
                <w:rStyle w:val="24"/>
                <w:rFonts w:hint="eastAsia"/>
                <w:color w:val="auto"/>
                <w:highlight w:val="none"/>
              </w:rPr>
              <w:t>，</w:t>
            </w:r>
            <w:r>
              <w:rPr>
                <w:rStyle w:val="21"/>
                <w:rFonts w:hint="eastAsia" w:ascii="宋体" w:hAnsi="宋体" w:cs="宋体"/>
                <w:color w:val="auto"/>
                <w:sz w:val="24"/>
                <w:highlight w:val="none"/>
              </w:rPr>
              <w:t>专家库专家5人。</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评委确定方式：</w:t>
            </w:r>
          </w:p>
          <w:p>
            <w:pPr>
              <w:spacing w:line="360" w:lineRule="auto"/>
              <w:rPr>
                <w:rStyle w:val="21"/>
                <w:rFonts w:ascii="宋体" w:hAnsi="宋体" w:cs="宋体"/>
                <w:b/>
                <w:color w:val="auto"/>
                <w:sz w:val="24"/>
                <w:highlight w:val="none"/>
              </w:rPr>
            </w:pPr>
            <w:r>
              <w:rPr>
                <w:rStyle w:val="21"/>
                <w:rFonts w:hint="eastAsia" w:ascii="宋体" w:hAnsi="宋体" w:cs="宋体"/>
                <w:b/>
                <w:color w:val="auto"/>
                <w:sz w:val="24"/>
                <w:highlight w:val="none"/>
              </w:rPr>
              <w:t>开标前于政采云专家库随机抽取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18</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投标保证金</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21"/>
                <w:rFonts w:hint="default" w:ascii="宋体" w:hAnsi="宋体" w:eastAsia="宋体" w:cs="宋体"/>
                <w:bCs/>
                <w:color w:val="auto"/>
                <w:kern w:val="0"/>
                <w:sz w:val="24"/>
                <w:szCs w:val="24"/>
                <w:highlight w:val="none"/>
                <w:lang w:val="en-US" w:eastAsia="zh-CN"/>
              </w:rPr>
            </w:pPr>
            <w:r>
              <w:rPr>
                <w:rStyle w:val="21"/>
                <w:rFonts w:hint="eastAsia" w:ascii="宋体" w:hAnsi="宋体" w:cs="宋体"/>
                <w:bCs/>
                <w:color w:val="auto"/>
                <w:kern w:val="0"/>
                <w:sz w:val="24"/>
                <w:szCs w:val="24"/>
                <w:highlight w:val="none"/>
              </w:rPr>
              <w:t>投标保证金额为：</w:t>
            </w:r>
            <w:r>
              <w:rPr>
                <w:rStyle w:val="21"/>
                <w:rFonts w:hint="eastAsia" w:ascii="宋体" w:hAnsi="宋体" w:cs="宋体"/>
                <w:bCs/>
                <w:color w:val="auto"/>
                <w:kern w:val="0"/>
                <w:sz w:val="24"/>
                <w:szCs w:val="24"/>
                <w:highlight w:val="none"/>
                <w:lang w:val="en-US" w:eastAsia="zh-CN"/>
              </w:rPr>
              <w:t>800000.00</w:t>
            </w:r>
            <w:r>
              <w:rPr>
                <w:rStyle w:val="21"/>
                <w:rFonts w:hint="eastAsia" w:ascii="宋体" w:hAnsi="宋体" w:cs="宋体"/>
                <w:bCs/>
                <w:color w:val="auto"/>
                <w:kern w:val="0"/>
                <w:sz w:val="24"/>
                <w:szCs w:val="24"/>
                <w:highlight w:val="none"/>
              </w:rPr>
              <w:t>元整</w:t>
            </w:r>
            <w:r>
              <w:rPr>
                <w:rStyle w:val="21"/>
                <w:rFonts w:hint="eastAsia" w:ascii="宋体" w:hAnsi="宋体" w:cs="宋体"/>
                <w:bCs/>
                <w:color w:val="auto"/>
                <w:kern w:val="0"/>
                <w:sz w:val="24"/>
                <w:szCs w:val="24"/>
                <w:highlight w:val="none"/>
                <w:lang w:eastAsia="zh-CN"/>
              </w:rPr>
              <w:t>，</w:t>
            </w:r>
            <w:r>
              <w:rPr>
                <w:rStyle w:val="21"/>
                <w:rFonts w:hint="eastAsia" w:ascii="宋体" w:hAnsi="宋体" w:cs="宋体"/>
                <w:bCs/>
                <w:color w:val="auto"/>
                <w:kern w:val="0"/>
                <w:sz w:val="24"/>
                <w:szCs w:val="24"/>
                <w:highlight w:val="none"/>
                <w:lang w:val="en-US" w:eastAsia="zh-CN"/>
              </w:rPr>
              <w:t>捌拾万元整。</w:t>
            </w:r>
          </w:p>
          <w:p>
            <w:pPr>
              <w:spacing w:line="360" w:lineRule="auto"/>
              <w:jc w:val="left"/>
              <w:rPr>
                <w:rStyle w:val="21"/>
                <w:rFonts w:ascii="宋体" w:hAnsi="宋体" w:cs="宋体"/>
                <w:bCs/>
                <w:color w:val="auto"/>
                <w:kern w:val="0"/>
                <w:sz w:val="24"/>
                <w:szCs w:val="24"/>
                <w:highlight w:val="none"/>
              </w:rPr>
            </w:pPr>
            <w:r>
              <w:rPr>
                <w:rStyle w:val="21"/>
                <w:rFonts w:hint="eastAsia" w:ascii="宋体" w:hAnsi="宋体" w:cs="宋体"/>
                <w:bCs/>
                <w:color w:val="auto"/>
                <w:kern w:val="0"/>
                <w:sz w:val="24"/>
                <w:szCs w:val="24"/>
                <w:highlight w:val="none"/>
              </w:rPr>
              <w:t>投标保证金缴纳方式：</w:t>
            </w:r>
            <w:r>
              <w:rPr>
                <w:rFonts w:hint="eastAsia" w:ascii="宋体" w:hAnsi="宋体" w:cs="宋体"/>
                <w:color w:val="auto"/>
                <w:kern w:val="0"/>
                <w:sz w:val="24"/>
                <w:szCs w:val="24"/>
                <w:highlight w:val="none"/>
              </w:rPr>
              <w:t>转账或电汇或银行保函等非现金形式</w:t>
            </w:r>
          </w:p>
          <w:p>
            <w:pPr>
              <w:spacing w:line="360" w:lineRule="auto"/>
              <w:jc w:val="left"/>
              <w:rPr>
                <w:rStyle w:val="21"/>
                <w:rFonts w:ascii="宋体" w:hAnsi="宋体" w:cs="宋体"/>
                <w:bCs/>
                <w:color w:val="auto"/>
                <w:kern w:val="0"/>
                <w:sz w:val="24"/>
                <w:szCs w:val="24"/>
                <w:highlight w:val="none"/>
              </w:rPr>
            </w:pPr>
            <w:r>
              <w:rPr>
                <w:rFonts w:hint="eastAsia" w:ascii="宋体" w:hAnsi="宋体" w:cs="宋体"/>
                <w:color w:val="auto"/>
                <w:kern w:val="0"/>
                <w:sz w:val="24"/>
                <w:szCs w:val="24"/>
                <w:highlight w:val="none"/>
              </w:rPr>
              <w:t>（1）若采用转账或电汇时，</w:t>
            </w:r>
            <w:r>
              <w:rPr>
                <w:rStyle w:val="21"/>
                <w:rFonts w:hint="eastAsia" w:ascii="宋体" w:hAnsi="宋体" w:cs="宋体"/>
                <w:bCs/>
                <w:color w:val="auto"/>
                <w:kern w:val="0"/>
                <w:sz w:val="24"/>
                <w:szCs w:val="24"/>
                <w:highlight w:val="none"/>
              </w:rPr>
              <w:t>投标保证金于2022年</w:t>
            </w:r>
            <w:r>
              <w:rPr>
                <w:rStyle w:val="21"/>
                <w:rFonts w:hint="eastAsia" w:ascii="宋体" w:hAnsi="宋体" w:cs="宋体"/>
                <w:bCs/>
                <w:color w:val="auto"/>
                <w:kern w:val="0"/>
                <w:sz w:val="24"/>
                <w:szCs w:val="24"/>
                <w:highlight w:val="none"/>
                <w:lang w:val="en-US" w:eastAsia="zh-CN"/>
              </w:rPr>
              <w:t>12</w:t>
            </w:r>
            <w:r>
              <w:rPr>
                <w:rStyle w:val="21"/>
                <w:rFonts w:hint="eastAsia" w:ascii="宋体" w:hAnsi="宋体" w:cs="宋体"/>
                <w:bCs/>
                <w:color w:val="auto"/>
                <w:kern w:val="0"/>
                <w:sz w:val="24"/>
                <w:szCs w:val="24"/>
                <w:highlight w:val="none"/>
              </w:rPr>
              <w:t>月</w:t>
            </w:r>
            <w:r>
              <w:rPr>
                <w:rStyle w:val="21"/>
                <w:rFonts w:hint="eastAsia" w:ascii="宋体" w:hAnsi="宋体" w:cs="宋体"/>
                <w:bCs/>
                <w:color w:val="auto"/>
                <w:kern w:val="0"/>
                <w:sz w:val="24"/>
                <w:szCs w:val="24"/>
                <w:highlight w:val="none"/>
                <w:lang w:val="en-US" w:eastAsia="zh-CN"/>
              </w:rPr>
              <w:t>07</w:t>
            </w:r>
            <w:r>
              <w:rPr>
                <w:rStyle w:val="21"/>
                <w:rFonts w:hint="eastAsia" w:ascii="宋体" w:hAnsi="宋体" w:cs="宋体"/>
                <w:bCs/>
                <w:color w:val="auto"/>
                <w:kern w:val="0"/>
                <w:sz w:val="24"/>
                <w:szCs w:val="24"/>
                <w:highlight w:val="none"/>
              </w:rPr>
              <w:t>日11时00分（北京时间，以到帐时间为准）之前从供应商基本账户或法人账户以银行电汇形式或网银汇至新疆诚成工程项目管理有限公司账户，否则其投标文件将被拒绝评审，供应商提交投标保证金应充分考虑资金在途时间。</w:t>
            </w:r>
          </w:p>
          <w:p>
            <w:pPr>
              <w:spacing w:line="360" w:lineRule="auto"/>
              <w:jc w:val="left"/>
              <w:rPr>
                <w:rStyle w:val="21"/>
                <w:rFonts w:ascii="宋体" w:hAnsi="宋体" w:cs="宋体"/>
                <w:bCs/>
                <w:color w:val="auto"/>
                <w:kern w:val="0"/>
                <w:sz w:val="24"/>
                <w:szCs w:val="24"/>
                <w:highlight w:val="none"/>
              </w:rPr>
            </w:pPr>
            <w:r>
              <w:rPr>
                <w:rStyle w:val="21"/>
                <w:rFonts w:hint="eastAsia" w:ascii="宋体" w:hAnsi="宋体" w:cs="宋体"/>
                <w:bCs/>
                <w:color w:val="auto"/>
                <w:kern w:val="0"/>
                <w:sz w:val="24"/>
                <w:szCs w:val="24"/>
                <w:highlight w:val="none"/>
              </w:rPr>
              <w:t>注：供应商向银行办理投标保证金汇（转）款时，应在用途栏（备注栏）准确注明"</w:t>
            </w:r>
            <w:r>
              <w:rPr>
                <w:rStyle w:val="21"/>
                <w:rFonts w:hint="eastAsia" w:ascii="宋体" w:hAnsi="宋体" w:cs="宋体"/>
                <w:b/>
                <w:color w:val="auto"/>
                <w:kern w:val="0"/>
                <w:sz w:val="24"/>
                <w:szCs w:val="24"/>
                <w:highlight w:val="none"/>
              </w:rPr>
              <w:t>本项目招标编号（例如：XJCC-ZB-2022-</w:t>
            </w:r>
            <w:r>
              <w:rPr>
                <w:rStyle w:val="21"/>
                <w:rFonts w:hint="eastAsia" w:ascii="宋体" w:hAnsi="宋体" w:cs="宋体"/>
                <w:b/>
                <w:color w:val="auto"/>
                <w:kern w:val="0"/>
                <w:sz w:val="24"/>
                <w:szCs w:val="24"/>
                <w:highlight w:val="none"/>
                <w:lang w:val="en-US" w:eastAsia="zh-CN"/>
              </w:rPr>
              <w:t>160</w:t>
            </w:r>
            <w:r>
              <w:rPr>
                <w:rStyle w:val="21"/>
                <w:rFonts w:hint="eastAsia" w:ascii="宋体" w:hAnsi="宋体" w:cs="宋体"/>
                <w:b/>
                <w:color w:val="auto"/>
                <w:kern w:val="0"/>
                <w:sz w:val="24"/>
                <w:szCs w:val="24"/>
                <w:highlight w:val="none"/>
              </w:rPr>
              <w:t xml:space="preserve"> 投标保证金）</w:t>
            </w:r>
            <w:r>
              <w:rPr>
                <w:rStyle w:val="21"/>
                <w:rFonts w:hint="eastAsia" w:ascii="宋体" w:hAnsi="宋体" w:cs="宋体"/>
                <w:bCs/>
                <w:color w:val="auto"/>
                <w:kern w:val="0"/>
                <w:sz w:val="24"/>
                <w:szCs w:val="24"/>
                <w:highlight w:val="none"/>
              </w:rPr>
              <w:t>"字样（每个标段应分别汇款），由于未按要求准确注明信息而导致的一切后果由供应商承担。</w:t>
            </w:r>
          </w:p>
          <w:p>
            <w:pPr>
              <w:spacing w:line="360" w:lineRule="auto"/>
              <w:jc w:val="left"/>
              <w:rPr>
                <w:rStyle w:val="21"/>
                <w:rFonts w:ascii="宋体" w:hAnsi="宋体" w:cs="宋体"/>
                <w:bCs/>
                <w:color w:val="auto"/>
                <w:kern w:val="0"/>
                <w:sz w:val="24"/>
                <w:szCs w:val="24"/>
                <w:highlight w:val="none"/>
              </w:rPr>
            </w:pPr>
            <w:r>
              <w:rPr>
                <w:rStyle w:val="21"/>
                <w:rFonts w:hint="eastAsia" w:ascii="宋体" w:hAnsi="宋体" w:cs="宋体"/>
                <w:bCs/>
                <w:color w:val="auto"/>
                <w:kern w:val="0"/>
                <w:sz w:val="24"/>
                <w:szCs w:val="24"/>
                <w:highlight w:val="none"/>
              </w:rPr>
              <w:t>户名：新疆诚成工程项目管理有限公司</w:t>
            </w:r>
          </w:p>
          <w:p>
            <w:pPr>
              <w:spacing w:line="360" w:lineRule="auto"/>
              <w:jc w:val="left"/>
              <w:rPr>
                <w:rStyle w:val="21"/>
                <w:rFonts w:ascii="宋体" w:hAnsi="宋体" w:cs="宋体"/>
                <w:bCs/>
                <w:color w:val="auto"/>
                <w:kern w:val="0"/>
                <w:sz w:val="24"/>
                <w:szCs w:val="24"/>
                <w:highlight w:val="none"/>
              </w:rPr>
            </w:pPr>
            <w:r>
              <w:rPr>
                <w:rStyle w:val="21"/>
                <w:rFonts w:hint="eastAsia" w:ascii="宋体" w:hAnsi="宋体" w:cs="宋体"/>
                <w:bCs/>
                <w:color w:val="auto"/>
                <w:kern w:val="0"/>
                <w:sz w:val="24"/>
                <w:szCs w:val="24"/>
                <w:highlight w:val="none"/>
              </w:rPr>
              <w:t>开户行名称：乌鲁木齐银行新华南路支行</w:t>
            </w:r>
          </w:p>
          <w:p>
            <w:pPr>
              <w:spacing w:line="360" w:lineRule="auto"/>
              <w:jc w:val="left"/>
              <w:rPr>
                <w:rStyle w:val="21"/>
                <w:rFonts w:ascii="宋体" w:hAnsi="宋体" w:cs="宋体"/>
                <w:bCs/>
                <w:color w:val="auto"/>
                <w:kern w:val="0"/>
                <w:sz w:val="24"/>
                <w:szCs w:val="24"/>
                <w:highlight w:val="none"/>
              </w:rPr>
            </w:pPr>
            <w:r>
              <w:rPr>
                <w:rStyle w:val="21"/>
                <w:rFonts w:hint="eastAsia" w:ascii="宋体" w:hAnsi="宋体" w:cs="宋体"/>
                <w:bCs/>
                <w:color w:val="auto"/>
                <w:kern w:val="0"/>
                <w:sz w:val="24"/>
                <w:szCs w:val="24"/>
                <w:highlight w:val="none"/>
              </w:rPr>
              <w:t>账号：0000001211121500053685</w:t>
            </w:r>
          </w:p>
          <w:p>
            <w:pPr>
              <w:pStyle w:val="64"/>
              <w:ind w:firstLine="0" w:firstLineChars="0"/>
              <w:rPr>
                <w:rStyle w:val="21"/>
                <w:rFonts w:ascii="宋体" w:hAnsi="宋体" w:cs="宋体"/>
                <w:bCs/>
                <w:color w:val="auto"/>
                <w:kern w:val="0"/>
                <w:sz w:val="24"/>
                <w:szCs w:val="24"/>
                <w:highlight w:val="none"/>
              </w:rPr>
            </w:pPr>
            <w:r>
              <w:rPr>
                <w:rStyle w:val="21"/>
                <w:rFonts w:hint="eastAsia" w:ascii="宋体" w:hAnsi="宋体" w:cs="宋体"/>
                <w:bCs/>
                <w:color w:val="auto"/>
                <w:kern w:val="0"/>
                <w:sz w:val="24"/>
                <w:szCs w:val="24"/>
                <w:highlight w:val="none"/>
              </w:rPr>
              <w:t>开户行号：313881000176</w:t>
            </w:r>
          </w:p>
          <w:p>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（2）若采用银行保函出具（投标人须将银行保函原件单独密封并</w:t>
            </w:r>
            <w:r>
              <w:rPr>
                <w:rFonts w:hint="eastAsia" w:ascii="宋体" w:hAnsi="宋体" w:cs="宋体"/>
                <w:bCs/>
                <w:color w:val="auto"/>
                <w:kern w:val="0"/>
                <w:sz w:val="24"/>
                <w:szCs w:val="24"/>
                <w:highlight w:val="none"/>
              </w:rPr>
              <w:t>在封袋上正确表明“银行保函原件”</w:t>
            </w:r>
            <w:r>
              <w:rPr>
                <w:rFonts w:hint="eastAsia" w:ascii="宋体" w:hAnsi="宋体" w:cs="宋体"/>
                <w:color w:val="auto"/>
                <w:kern w:val="0"/>
                <w:sz w:val="24"/>
                <w:szCs w:val="24"/>
                <w:highlight w:val="none"/>
              </w:rPr>
              <w:t>，与投标文件一同递交，否则视为不响应招标文件要求，投标将被拒绝）</w:t>
            </w:r>
          </w:p>
          <w:p>
            <w:pPr>
              <w:pStyle w:val="64"/>
              <w:ind w:firstLine="0" w:firstLineChars="0"/>
              <w:rPr>
                <w:rStyle w:val="21"/>
                <w:rFonts w:ascii="宋体" w:hAnsi="宋体" w:cs="宋体"/>
                <w:bCs/>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19</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节能、环保要求</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按国家有关节能环保政策执行：</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☑采用综合评分法，加分幅度：</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□采用最低评标价法，加分幅度：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20</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中小微型企业</w:t>
            </w:r>
          </w:p>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有关政策</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szCs w:val="24"/>
                <w:highlight w:val="none"/>
              </w:rPr>
            </w:pPr>
            <w:r>
              <w:rPr>
                <w:rStyle w:val="21"/>
                <w:rFonts w:ascii="宋体" w:hAnsi="宋体" w:cs="宋体"/>
                <w:color w:val="auto"/>
                <w:kern w:val="0"/>
                <w:sz w:val="24"/>
                <w:szCs w:val="24"/>
                <w:highlight w:val="none"/>
              </w:rPr>
              <w:t>(1)根据工信部等部委发布的《关于印发中小企业划型标准规定的通知》（工信部联企业[2011]300号）规定执行；</w:t>
            </w:r>
          </w:p>
          <w:p>
            <w:pPr>
              <w:spacing w:line="360" w:lineRule="auto"/>
              <w:rPr>
                <w:rStyle w:val="21"/>
                <w:rFonts w:ascii="宋体" w:hAnsi="宋体" w:cs="宋体"/>
                <w:color w:val="auto"/>
                <w:sz w:val="24"/>
                <w:szCs w:val="24"/>
                <w:highlight w:val="none"/>
              </w:rPr>
            </w:pPr>
            <w:r>
              <w:rPr>
                <w:rStyle w:val="21"/>
                <w:rFonts w:ascii="宋体" w:hAnsi="宋体" w:cs="宋体"/>
                <w:color w:val="auto"/>
                <w:kern w:val="0"/>
                <w:sz w:val="24"/>
                <w:szCs w:val="24"/>
                <w:highlight w:val="none"/>
              </w:rPr>
              <w:t>(2)</w:t>
            </w:r>
            <w:r>
              <w:rPr>
                <w:rStyle w:val="21"/>
                <w:rFonts w:hint="eastAsia" w:ascii="宋体" w:hAnsi="宋体" w:cs="宋体"/>
                <w:color w:val="auto"/>
                <w:sz w:val="24"/>
                <w:szCs w:val="24"/>
                <w:highlight w:val="none"/>
              </w:rPr>
              <w:t>根据财政部、工业和信息化部《关于印发《</w:t>
            </w:r>
            <w:r>
              <w:rPr>
                <w:rStyle w:val="21"/>
                <w:rFonts w:hint="eastAsia" w:ascii="宋体" w:hAnsi="宋体" w:cs="宋体"/>
                <w:color w:val="auto"/>
                <w:sz w:val="24"/>
                <w:highlight w:val="none"/>
              </w:rPr>
              <w:t>政府采购促进中小企业发展管理办法</w:t>
            </w:r>
            <w:r>
              <w:rPr>
                <w:rStyle w:val="21"/>
                <w:rFonts w:hint="eastAsia" w:ascii="宋体" w:hAnsi="宋体" w:cs="宋体"/>
                <w:color w:val="auto"/>
                <w:sz w:val="24"/>
                <w:szCs w:val="24"/>
                <w:highlight w:val="none"/>
              </w:rPr>
              <w:t>》的通知》（财库〔</w:t>
            </w:r>
            <w:r>
              <w:rPr>
                <w:rStyle w:val="21"/>
                <w:rFonts w:ascii="宋体" w:hAnsi="宋体" w:cs="宋体"/>
                <w:color w:val="auto"/>
                <w:sz w:val="24"/>
                <w:szCs w:val="24"/>
                <w:highlight w:val="none"/>
              </w:rPr>
              <w:t>2020〕46号文）</w:t>
            </w:r>
          </w:p>
          <w:p>
            <w:pPr>
              <w:rPr>
                <w:color w:val="auto"/>
                <w:sz w:val="24"/>
                <w:szCs w:val="24"/>
                <w:highlight w:val="none"/>
              </w:rPr>
            </w:pPr>
            <w:r>
              <w:rPr>
                <w:rStyle w:val="21"/>
                <w:rFonts w:ascii="宋体" w:hAnsi="宋体" w:cs="宋体"/>
                <w:color w:val="auto"/>
                <w:kern w:val="0"/>
                <w:sz w:val="24"/>
                <w:szCs w:val="24"/>
                <w:highlight w:val="none"/>
              </w:rPr>
              <w:t>(3)</w:t>
            </w:r>
            <w:r>
              <w:rPr>
                <w:rStyle w:val="21"/>
                <w:rFonts w:hint="eastAsia" w:ascii="宋体" w:hAnsi="宋体" w:cs="宋体"/>
                <w:color w:val="auto"/>
                <w:sz w:val="24"/>
                <w:szCs w:val="24"/>
                <w:highlight w:val="none"/>
              </w:rPr>
              <w:t>根据财政部《关于进一步加大政府采购支持中小企业力度的通知》（</w:t>
            </w:r>
            <w:r>
              <w:rPr>
                <w:rFonts w:hint="eastAsia"/>
                <w:color w:val="auto"/>
                <w:sz w:val="24"/>
                <w:szCs w:val="24"/>
                <w:highlight w:val="none"/>
              </w:rPr>
              <w:t>财库〔</w:t>
            </w:r>
            <w:r>
              <w:rPr>
                <w:color w:val="auto"/>
                <w:sz w:val="24"/>
                <w:szCs w:val="24"/>
                <w:highlight w:val="none"/>
              </w:rPr>
              <w:t>2022</w:t>
            </w:r>
            <w:r>
              <w:rPr>
                <w:rFonts w:hint="eastAsia"/>
                <w:color w:val="auto"/>
                <w:sz w:val="24"/>
                <w:szCs w:val="24"/>
                <w:highlight w:val="none"/>
              </w:rPr>
              <w:t>〕</w:t>
            </w:r>
            <w:r>
              <w:rPr>
                <w:color w:val="auto"/>
                <w:sz w:val="24"/>
                <w:szCs w:val="24"/>
                <w:highlight w:val="none"/>
              </w:rPr>
              <w:t>19</w:t>
            </w:r>
            <w:r>
              <w:rPr>
                <w:rFonts w:hint="eastAsia"/>
                <w:color w:val="auto"/>
                <w:sz w:val="24"/>
                <w:szCs w:val="24"/>
                <w:highlight w:val="none"/>
              </w:rPr>
              <w:t>号）</w:t>
            </w:r>
          </w:p>
          <w:p>
            <w:pPr>
              <w:spacing w:line="360" w:lineRule="auto"/>
              <w:rPr>
                <w:rStyle w:val="21"/>
                <w:rFonts w:ascii="宋体" w:hAnsi="宋体" w:cs="宋体"/>
                <w:color w:val="auto"/>
                <w:kern w:val="0"/>
                <w:sz w:val="24"/>
                <w:highlight w:val="none"/>
              </w:rPr>
            </w:pPr>
            <w:r>
              <w:rPr>
                <w:rStyle w:val="21"/>
                <w:rFonts w:ascii="宋体" w:hAnsi="宋体" w:cs="宋体"/>
                <w:color w:val="auto"/>
                <w:kern w:val="0"/>
                <w:sz w:val="24"/>
                <w:szCs w:val="24"/>
                <w:highlight w:val="none"/>
              </w:rPr>
              <w:t>(4)价格扣除幅度：价格给予10%的扣除。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21</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技术部分是否采用</w:t>
            </w:r>
          </w:p>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“暗标”评审方式</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□是</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22</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评审方法</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☑资格后审□资格预审</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☑综合评分法□最低评标价法</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注：</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1、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投标报价相同的，按技术指标优劣顺序排列，技术指标较优的一方为中标人。</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2、综合评分法是指在最大限度地满足招标文件实质性要求前提下，按照招标文件中规定的评分细则评审后，以评标最终得分最高的投标人作为中标人的评标方法。每一投标人的最终得分为所有评委评分的算术平均值</w:t>
            </w:r>
            <w:r>
              <w:rPr>
                <w:rStyle w:val="21"/>
                <w:rFonts w:hint="eastAsia" w:ascii="宋体" w:hAnsi="宋体" w:cs="宋体"/>
                <w:b/>
                <w:color w:val="auto"/>
                <w:kern w:val="0"/>
                <w:sz w:val="24"/>
                <w:highlight w:val="none"/>
              </w:rPr>
              <w:t>。</w:t>
            </w:r>
            <w:r>
              <w:rPr>
                <w:rStyle w:val="21"/>
                <w:rFonts w:hint="eastAsia" w:ascii="宋体" w:hAnsi="宋体" w:cs="宋体"/>
                <w:color w:val="auto"/>
                <w:kern w:val="0"/>
                <w:sz w:val="24"/>
                <w:highlight w:val="none"/>
              </w:rPr>
              <w:t>得分相同的，报价较低的一方为中标人。得分且投标报价相同的，技术指标较优的一方为中标人。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735" w:type="dxa"/>
            <w:vMerge w:val="restart"/>
            <w:tcBorders>
              <w:top w:val="single" w:color="000000" w:sz="4" w:space="0"/>
              <w:left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23</w:t>
            </w:r>
          </w:p>
        </w:tc>
        <w:tc>
          <w:tcPr>
            <w:tcW w:w="2424" w:type="dxa"/>
            <w:vMerge w:val="restart"/>
            <w:tcBorders>
              <w:top w:val="single" w:color="000000" w:sz="4" w:space="0"/>
              <w:left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履约保证金</w:t>
            </w:r>
          </w:p>
        </w:tc>
        <w:tc>
          <w:tcPr>
            <w:tcW w:w="7481" w:type="dxa"/>
            <w:tcBorders>
              <w:top w:val="single" w:color="000000" w:sz="4" w:space="0"/>
              <w:left w:val="single" w:color="000000" w:sz="4" w:space="0"/>
              <w:bottom w:val="single" w:color="000000" w:sz="4" w:space="0"/>
              <w:right w:val="single" w:color="000000" w:sz="4" w:space="0"/>
            </w:tcBorders>
            <w:vAlign w:val="center"/>
          </w:tcPr>
          <w:p>
            <w:pPr>
              <w:pStyle w:val="79"/>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□不交纳</w:t>
            </w:r>
          </w:p>
          <w:p>
            <w:pPr>
              <w:pStyle w:val="79"/>
              <w:spacing w:line="360" w:lineRule="auto"/>
              <w:rPr>
                <w:rStyle w:val="21"/>
                <w:rFonts w:ascii="宋体" w:hAnsi="宋体" w:cs="宋体"/>
                <w:color w:val="auto"/>
                <w:sz w:val="24"/>
                <w:highlight w:val="none"/>
              </w:rPr>
            </w:pPr>
            <w:r>
              <w:rPr>
                <w:rStyle w:val="21"/>
                <w:rFonts w:hint="eastAsia" w:ascii="宋体" w:hAnsi="宋体" w:cs="宋体"/>
                <w:color w:val="auto"/>
                <w:kern w:val="0"/>
                <w:sz w:val="24"/>
                <w:highlight w:val="none"/>
              </w:rPr>
              <w:t>☑交纳：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vMerge w:val="continue"/>
            <w:tcBorders>
              <w:left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p>
        </w:tc>
        <w:tc>
          <w:tcPr>
            <w:tcW w:w="2424" w:type="dxa"/>
            <w:vMerge w:val="continue"/>
            <w:tcBorders>
              <w:left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p>
        </w:tc>
        <w:tc>
          <w:tcPr>
            <w:tcW w:w="7481" w:type="dxa"/>
            <w:tcBorders>
              <w:top w:val="single" w:color="000000" w:sz="4" w:space="0"/>
              <w:left w:val="single" w:color="000000" w:sz="4" w:space="0"/>
              <w:bottom w:val="single" w:color="000000" w:sz="4" w:space="0"/>
              <w:right w:val="single" w:color="000000" w:sz="4" w:space="0"/>
            </w:tcBorders>
            <w:vAlign w:val="center"/>
          </w:tcPr>
          <w:p>
            <w:pPr>
              <w:pStyle w:val="79"/>
              <w:spacing w:line="360" w:lineRule="auto"/>
              <w:rPr>
                <w:rStyle w:val="21"/>
                <w:rFonts w:ascii="宋体" w:hAnsi="宋体" w:cs="宋体"/>
                <w:color w:val="auto"/>
                <w:sz w:val="24"/>
                <w:highlight w:val="none"/>
              </w:rPr>
            </w:pPr>
            <w:r>
              <w:rPr>
                <w:rStyle w:val="21"/>
                <w:rFonts w:hint="eastAsia" w:ascii="宋体" w:hAnsi="宋体" w:cs="宋体"/>
                <w:color w:val="auto"/>
                <w:kern w:val="0"/>
                <w:sz w:val="24"/>
                <w:highlight w:val="none"/>
              </w:rPr>
              <w:t>交纳方式：</w:t>
            </w:r>
            <w:r>
              <w:rPr>
                <w:rStyle w:val="21"/>
                <w:rFonts w:hint="eastAsia" w:ascii="宋体" w:hAnsi="宋体" w:cs="宋体"/>
                <w:bCs/>
                <w:color w:val="auto"/>
                <w:kern w:val="0"/>
                <w:sz w:val="24"/>
                <w:highlight w:val="none"/>
              </w:rPr>
              <w:t>对公转账或保函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vMerge w:val="continue"/>
            <w:tcBorders>
              <w:left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p>
        </w:tc>
        <w:tc>
          <w:tcPr>
            <w:tcW w:w="2424" w:type="dxa"/>
            <w:vMerge w:val="continue"/>
            <w:tcBorders>
              <w:left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交纳时间：合同签订前7天内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vMerge w:val="continue"/>
            <w:tcBorders>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p>
        </w:tc>
        <w:tc>
          <w:tcPr>
            <w:tcW w:w="2424" w:type="dxa"/>
            <w:vMerge w:val="continue"/>
            <w:tcBorders>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交纳金额：按中标总价的</w:t>
            </w:r>
            <w:r>
              <w:rPr>
                <w:rStyle w:val="21"/>
                <w:rFonts w:ascii="宋体" w:hAnsi="宋体" w:cs="宋体"/>
                <w:color w:val="auto"/>
                <w:sz w:val="24"/>
                <w:highlight w:val="none"/>
              </w:rPr>
              <w:t>2</w:t>
            </w:r>
            <w:r>
              <w:rPr>
                <w:rStyle w:val="21"/>
                <w:rFonts w:hint="eastAsia" w:ascii="宋体" w:hAnsi="宋体" w:cs="宋体"/>
                <w:color w:val="auto"/>
                <w:sz w:val="24"/>
                <w:highlight w:val="none"/>
              </w:rPr>
              <w:t>%交纳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24</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代理服务费</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□不交纳</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☑交纳</w:t>
            </w:r>
          </w:p>
          <w:p>
            <w:pPr>
              <w:spacing w:line="360" w:lineRule="auto"/>
              <w:rPr>
                <w:rStyle w:val="21"/>
                <w:rFonts w:ascii="宋体" w:hAnsi="宋体" w:cs="宋体"/>
                <w:color w:val="auto"/>
                <w:kern w:val="0"/>
                <w:highlight w:val="none"/>
              </w:rPr>
            </w:pPr>
            <w:r>
              <w:rPr>
                <w:rStyle w:val="21"/>
                <w:rFonts w:hint="eastAsia" w:ascii="宋体" w:hAnsi="宋体" w:cs="宋体"/>
                <w:color w:val="auto"/>
                <w:sz w:val="24"/>
                <w:highlight w:val="none"/>
              </w:rPr>
              <w:t>交纳时间：中标公示后5日内</w:t>
            </w:r>
          </w:p>
          <w:p>
            <w:pPr>
              <w:spacing w:line="360" w:lineRule="auto"/>
              <w:rPr>
                <w:rStyle w:val="21"/>
                <w:rFonts w:ascii="宋体" w:hAnsi="宋体" w:cs="宋体"/>
                <w:color w:val="auto"/>
                <w:kern w:val="0"/>
                <w:highlight w:val="none"/>
              </w:rPr>
            </w:pPr>
            <w:r>
              <w:rPr>
                <w:rStyle w:val="21"/>
                <w:rFonts w:hint="eastAsia" w:ascii="宋体" w:hAnsi="宋体" w:cs="宋体"/>
                <w:color w:val="auto"/>
                <w:kern w:val="0"/>
                <w:sz w:val="24"/>
                <w:highlight w:val="none"/>
              </w:rPr>
              <w:t>交纳金额：参照《招标代理服务收费管理暂行办法》（计价格【2002】1980号）下浮52%，由中标单位支付。</w:t>
            </w:r>
          </w:p>
          <w:p>
            <w:pPr>
              <w:spacing w:line="360" w:lineRule="auto"/>
              <w:rPr>
                <w:rStyle w:val="21"/>
                <w:rFonts w:ascii="宋体" w:hAnsi="宋体" w:cs="宋体"/>
                <w:color w:val="auto"/>
                <w:sz w:val="24"/>
                <w:highlight w:val="none"/>
                <w:u w:val="single" w:color="000000"/>
              </w:rPr>
            </w:pPr>
            <w:r>
              <w:rPr>
                <w:rStyle w:val="21"/>
                <w:rFonts w:hint="eastAsia" w:ascii="宋体" w:hAnsi="宋体" w:cs="宋体"/>
                <w:color w:val="auto"/>
                <w:sz w:val="24"/>
                <w:highlight w:val="none"/>
                <w:u w:val="single" w:color="000000"/>
              </w:rPr>
              <w:t>收款单位户名：新疆诚成工程项目管理有限公司</w:t>
            </w:r>
          </w:p>
          <w:p>
            <w:pPr>
              <w:spacing w:line="360" w:lineRule="auto"/>
              <w:rPr>
                <w:rStyle w:val="21"/>
                <w:rFonts w:ascii="宋体" w:hAnsi="宋体" w:cs="宋体"/>
                <w:color w:val="auto"/>
                <w:sz w:val="24"/>
                <w:highlight w:val="none"/>
                <w:u w:val="single" w:color="000000"/>
              </w:rPr>
            </w:pPr>
            <w:r>
              <w:rPr>
                <w:rStyle w:val="21"/>
                <w:rFonts w:hint="eastAsia" w:ascii="宋体" w:hAnsi="宋体" w:cs="宋体"/>
                <w:color w:val="auto"/>
                <w:sz w:val="24"/>
                <w:highlight w:val="none"/>
                <w:u w:val="single" w:color="000000"/>
              </w:rPr>
              <w:t>开户行名称：乌鲁木齐银行新华南路支行</w:t>
            </w:r>
          </w:p>
          <w:p>
            <w:pPr>
              <w:spacing w:line="360" w:lineRule="auto"/>
              <w:rPr>
                <w:rStyle w:val="21"/>
                <w:rFonts w:ascii="宋体" w:hAnsi="宋体" w:cs="宋体"/>
                <w:color w:val="auto"/>
                <w:sz w:val="24"/>
                <w:highlight w:val="none"/>
                <w:u w:val="single" w:color="000000"/>
              </w:rPr>
            </w:pPr>
            <w:r>
              <w:rPr>
                <w:rStyle w:val="21"/>
                <w:rFonts w:hint="eastAsia" w:ascii="宋体" w:hAnsi="宋体" w:cs="宋体"/>
                <w:color w:val="auto"/>
                <w:sz w:val="24"/>
                <w:highlight w:val="none"/>
                <w:u w:val="single" w:color="000000"/>
              </w:rPr>
              <w:t>账号：0000001211121500053685</w:t>
            </w:r>
          </w:p>
          <w:p>
            <w:pPr>
              <w:spacing w:line="360" w:lineRule="auto"/>
              <w:rPr>
                <w:rStyle w:val="21"/>
                <w:rFonts w:ascii="宋体" w:hAnsi="宋体" w:cs="宋体"/>
                <w:color w:val="auto"/>
                <w:sz w:val="24"/>
                <w:highlight w:val="none"/>
                <w:u w:val="single" w:color="000000"/>
              </w:rPr>
            </w:pPr>
            <w:r>
              <w:rPr>
                <w:rStyle w:val="21"/>
                <w:rFonts w:hint="eastAsia" w:ascii="宋体" w:hAnsi="宋体" w:cs="宋体"/>
                <w:color w:val="auto"/>
                <w:sz w:val="24"/>
                <w:highlight w:val="none"/>
                <w:u w:val="single" w:color="000000"/>
              </w:rPr>
              <w:t>开户行号：313881000176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25</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场地服务费</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sym w:font="Wingdings 2" w:char="0052"/>
            </w:r>
            <w:r>
              <w:rPr>
                <w:rStyle w:val="21"/>
                <w:rFonts w:hint="eastAsia" w:ascii="宋体" w:hAnsi="宋体" w:cs="宋体"/>
                <w:color w:val="auto"/>
                <w:kern w:val="0"/>
                <w:sz w:val="24"/>
                <w:highlight w:val="none"/>
              </w:rPr>
              <w:t>不交纳</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sym w:font="Wingdings 2" w:char="00A3"/>
            </w:r>
            <w:r>
              <w:rPr>
                <w:rStyle w:val="21"/>
                <w:rFonts w:hint="eastAsia" w:ascii="宋体" w:hAnsi="宋体" w:cs="宋体"/>
                <w:color w:val="auto"/>
                <w:kern w:val="0"/>
                <w:sz w:val="24"/>
                <w:highlight w:val="none"/>
              </w:rPr>
              <w:t>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26</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合同公证费</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sym w:font="Wingdings 2" w:char="0052"/>
            </w:r>
            <w:r>
              <w:rPr>
                <w:rStyle w:val="21"/>
                <w:rFonts w:hint="eastAsia" w:ascii="宋体" w:hAnsi="宋体" w:cs="宋体"/>
                <w:color w:val="auto"/>
                <w:kern w:val="0"/>
                <w:sz w:val="24"/>
                <w:highlight w:val="none"/>
              </w:rPr>
              <w:t>不交纳</w:t>
            </w:r>
          </w:p>
          <w:p>
            <w:pPr>
              <w:spacing w:line="360" w:lineRule="auto"/>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27</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付款途径</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银行转账等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28</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592" w:hanging="1592"/>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付款方式</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本项目以单家医院通过验收</w:t>
            </w:r>
            <w:r>
              <w:rPr>
                <w:rStyle w:val="21"/>
                <w:rFonts w:hint="eastAsia" w:ascii="宋体" w:hAnsi="宋体" w:cs="宋体"/>
                <w:color w:val="auto"/>
                <w:sz w:val="24"/>
                <w:highlight w:val="none"/>
                <w:lang w:val="en-US" w:eastAsia="zh-CN"/>
              </w:rPr>
              <w:t>后</w:t>
            </w:r>
            <w:r>
              <w:rPr>
                <w:rStyle w:val="21"/>
                <w:rFonts w:hint="eastAsia" w:ascii="宋体" w:hAnsi="宋体" w:cs="宋体"/>
                <w:color w:val="auto"/>
                <w:sz w:val="24"/>
                <w:highlight w:val="none"/>
              </w:rPr>
              <w:t>进行付款，款项支付方式如下：</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系统上线平稳运行</w:t>
            </w:r>
            <w:r>
              <w:rPr>
                <w:rStyle w:val="21"/>
                <w:rFonts w:hint="eastAsia" w:ascii="宋体" w:hAnsi="宋体" w:cs="宋体"/>
                <w:color w:val="auto"/>
                <w:sz w:val="24"/>
                <w:highlight w:val="none"/>
                <w:lang w:val="en-US" w:eastAsia="zh-CN"/>
              </w:rPr>
              <w:t>后</w:t>
            </w:r>
            <w:r>
              <w:rPr>
                <w:rStyle w:val="21"/>
                <w:rFonts w:hint="eastAsia" w:ascii="宋体" w:hAnsi="宋体" w:cs="宋体"/>
                <w:color w:val="auto"/>
                <w:sz w:val="24"/>
                <w:highlight w:val="none"/>
              </w:rPr>
              <w:t>通过验收，支付单家医院总费用的</w:t>
            </w:r>
            <w:r>
              <w:rPr>
                <w:rStyle w:val="21"/>
                <w:rFonts w:ascii="宋体" w:hAnsi="宋体" w:cs="宋体"/>
                <w:color w:val="auto"/>
                <w:sz w:val="24"/>
                <w:highlight w:val="none"/>
              </w:rPr>
              <w:t>95</w:t>
            </w:r>
            <w:r>
              <w:rPr>
                <w:rStyle w:val="21"/>
                <w:rFonts w:hint="eastAsia" w:ascii="宋体" w:hAnsi="宋体" w:cs="宋体"/>
                <w:color w:val="auto"/>
                <w:sz w:val="24"/>
                <w:highlight w:val="none"/>
              </w:rPr>
              <w:t>%。</w:t>
            </w:r>
          </w:p>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lang w:val="en-US" w:eastAsia="zh-CN"/>
              </w:rPr>
              <w:t>至少三年</w:t>
            </w:r>
            <w:r>
              <w:rPr>
                <w:rStyle w:val="21"/>
                <w:rFonts w:hint="eastAsia" w:ascii="宋体" w:hAnsi="宋体" w:cs="宋体"/>
                <w:color w:val="auto"/>
                <w:sz w:val="24"/>
                <w:highlight w:val="none"/>
              </w:rPr>
              <w:t>后支付单家医院总费用的5%。</w:t>
            </w:r>
          </w:p>
          <w:p>
            <w:pPr>
              <w:spacing w:line="360" w:lineRule="auto"/>
              <w:rPr>
                <w:rFonts w:hint="eastAsia"/>
                <w:color w:val="auto"/>
                <w:highlight w:val="none"/>
              </w:rPr>
            </w:pPr>
            <w:r>
              <w:rPr>
                <w:rFonts w:hint="eastAsia"/>
                <w:color w:val="auto"/>
                <w:highlight w:val="none"/>
              </w:rPr>
              <w:t>（注：单家医院总费用=投标总价/</w:t>
            </w:r>
            <w:r>
              <w:rPr>
                <w:color w:val="auto"/>
                <w:highlight w:val="none"/>
              </w:rPr>
              <w:t>15</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29</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交付日期</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Fonts w:hint="eastAsia" w:ascii="宋体" w:hAnsi="宋体" w:cs="宋体"/>
                <w:color w:val="auto"/>
                <w:kern w:val="0"/>
                <w:sz w:val="24"/>
                <w:szCs w:val="21"/>
                <w:highlight w:val="none"/>
              </w:rPr>
              <w:t>合同签定之日起6个月内。投标人须在合同签订后1周内提交项目整体实施方案。投标人承诺中标后严格按照采购人要求的进度完成兵团二、三级医院信息化实施工作。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30</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交付地点</w:t>
            </w:r>
          </w:p>
        </w:tc>
        <w:tc>
          <w:tcPr>
            <w:tcW w:w="7481" w:type="dxa"/>
            <w:tcBorders>
              <w:top w:val="single" w:color="000000" w:sz="4" w:space="0"/>
              <w:left w:val="single" w:color="000000" w:sz="4" w:space="0"/>
              <w:bottom w:val="single" w:color="000000" w:sz="4" w:space="0"/>
              <w:right w:val="single" w:color="000000" w:sz="4" w:space="0"/>
            </w:tcBorders>
            <w:vAlign w:val="center"/>
          </w:tcPr>
          <w:p>
            <w:pPr>
              <w:pStyle w:val="189"/>
              <w:snapToGrid w:val="0"/>
              <w:spacing w:line="360" w:lineRule="auto"/>
              <w:rPr>
                <w:rStyle w:val="21"/>
                <w:rFonts w:ascii="宋体" w:hAnsi="宋体" w:cs="宋体"/>
                <w:color w:val="auto"/>
                <w:sz w:val="24"/>
                <w:szCs w:val="22"/>
                <w:highlight w:val="none"/>
              </w:rPr>
            </w:pPr>
            <w:r>
              <w:rPr>
                <w:rStyle w:val="21"/>
                <w:rFonts w:hint="eastAsia" w:ascii="宋体" w:hAnsi="宋体" w:cs="宋体"/>
                <w:color w:val="auto"/>
                <w:sz w:val="24"/>
                <w:szCs w:val="22"/>
                <w:highlight w:val="none"/>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31</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质保期</w:t>
            </w:r>
          </w:p>
        </w:tc>
        <w:tc>
          <w:tcPr>
            <w:tcW w:w="7481" w:type="dxa"/>
            <w:tcBorders>
              <w:top w:val="single" w:color="000000" w:sz="4" w:space="0"/>
              <w:left w:val="single" w:color="000000" w:sz="4" w:space="0"/>
              <w:bottom w:val="single" w:color="000000" w:sz="4" w:space="0"/>
              <w:right w:val="single" w:color="000000" w:sz="4" w:space="0"/>
            </w:tcBorders>
            <w:vAlign w:val="center"/>
          </w:tcPr>
          <w:p>
            <w:pPr>
              <w:pStyle w:val="189"/>
              <w:snapToGrid w:val="0"/>
              <w:spacing w:line="360" w:lineRule="auto"/>
              <w:rPr>
                <w:rStyle w:val="21"/>
                <w:rFonts w:ascii="宋体" w:hAnsi="宋体" w:cs="宋体"/>
                <w:color w:val="auto"/>
                <w:sz w:val="24"/>
                <w:szCs w:val="22"/>
                <w:highlight w:val="none"/>
              </w:rPr>
            </w:pPr>
            <w:r>
              <w:rPr>
                <w:rStyle w:val="21"/>
                <w:rFonts w:hint="eastAsia" w:ascii="宋体" w:hAnsi="宋体" w:cs="宋体"/>
                <w:color w:val="auto"/>
                <w:sz w:val="24"/>
                <w:szCs w:val="22"/>
                <w:highlight w:val="none"/>
              </w:rPr>
              <w:t>至少3年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32</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争议的解决</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乙方交付甲方货物时，如出现损坏、遗失等其他严重问题的，乙方需无条件赔偿对甲方造成的全部损失。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34</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是否需要</w:t>
            </w:r>
          </w:p>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提交样品</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360" w:hanging="360"/>
              <w:rPr>
                <w:rStyle w:val="21"/>
                <w:rFonts w:ascii="宋体" w:hAnsi="宋体" w:cs="宋体"/>
                <w:color w:val="auto"/>
                <w:sz w:val="24"/>
                <w:highlight w:val="none"/>
                <w:lang w:val="zh-CN"/>
              </w:rPr>
            </w:pPr>
            <w:r>
              <w:rPr>
                <w:rStyle w:val="21"/>
                <w:rFonts w:hint="eastAsia" w:ascii="宋体" w:hAnsi="宋体" w:cs="宋体"/>
                <w:color w:val="auto"/>
                <w:sz w:val="24"/>
                <w:highlight w:val="none"/>
                <w:lang w:val="zh-CN"/>
              </w:rPr>
              <w:t>☑不需要</w:t>
            </w:r>
          </w:p>
          <w:p>
            <w:pPr>
              <w:spacing w:line="360" w:lineRule="auto"/>
              <w:ind w:left="360" w:hanging="360"/>
              <w:rPr>
                <w:rStyle w:val="21"/>
                <w:rFonts w:ascii="宋体" w:hAnsi="宋体" w:cs="宋体"/>
                <w:color w:val="auto"/>
                <w:sz w:val="24"/>
                <w:highlight w:val="none"/>
                <w:lang w:val="zh-CN"/>
              </w:rPr>
            </w:pPr>
            <w:r>
              <w:rPr>
                <w:rStyle w:val="21"/>
                <w:rFonts w:hint="eastAsia" w:ascii="宋体" w:hAnsi="宋体" w:cs="宋体"/>
                <w:color w:val="auto"/>
                <w:sz w:val="24"/>
                <w:highlight w:val="none"/>
                <w:lang w:val="zh-CN"/>
              </w:rPr>
              <w:t>□需要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35</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现场陈述</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360" w:hanging="360"/>
              <w:rPr>
                <w:color w:val="auto"/>
                <w:highlight w:val="none"/>
                <w:lang w:val="zh-CN"/>
              </w:rPr>
            </w:pPr>
            <w:r>
              <w:rPr>
                <w:rFonts w:hint="eastAsia"/>
                <w:color w:val="auto"/>
                <w:highlight w:val="none"/>
                <w:lang w:val="zh-CN"/>
              </w:rPr>
              <w:t>□不需要</w:t>
            </w:r>
          </w:p>
          <w:p>
            <w:pPr>
              <w:spacing w:line="360" w:lineRule="auto"/>
              <w:ind w:left="360" w:hanging="360"/>
              <w:rPr>
                <w:color w:val="auto"/>
                <w:highlight w:val="none"/>
                <w:lang w:val="zh-CN"/>
              </w:rPr>
            </w:pPr>
            <w:r>
              <w:rPr>
                <w:rFonts w:hint="eastAsia"/>
                <w:color w:val="auto"/>
                <w:highlight w:val="none"/>
                <w:lang w:val="zh-CN"/>
              </w:rPr>
              <w:sym w:font="Wingdings 2" w:char="0052"/>
            </w:r>
            <w:r>
              <w:rPr>
                <w:rFonts w:hint="eastAsia"/>
                <w:color w:val="auto"/>
                <w:highlight w:val="none"/>
                <w:lang w:val="zh-CN"/>
              </w:rPr>
              <w:t>需要</w:t>
            </w:r>
          </w:p>
          <w:p>
            <w:pPr>
              <w:spacing w:line="360" w:lineRule="auto"/>
              <w:rPr>
                <w:rStyle w:val="21"/>
                <w:rFonts w:ascii="宋体" w:hAnsi="宋体" w:cs="宋体"/>
                <w:color w:val="auto"/>
                <w:sz w:val="24"/>
                <w:highlight w:val="none"/>
                <w:lang w:val="zh-CN"/>
              </w:rPr>
            </w:pPr>
            <w:r>
              <w:rPr>
                <w:rStyle w:val="21"/>
                <w:rFonts w:hint="eastAsia" w:ascii="宋体" w:hAnsi="宋体" w:cs="宋体"/>
                <w:color w:val="auto"/>
                <w:sz w:val="24"/>
                <w:highlight w:val="none"/>
              </w:rPr>
              <w:t>1</w:t>
            </w:r>
            <w:r>
              <w:rPr>
                <w:rStyle w:val="21"/>
                <w:rFonts w:hint="eastAsia" w:ascii="宋体" w:hAnsi="宋体" w:cs="宋体"/>
                <w:color w:val="auto"/>
                <w:sz w:val="24"/>
                <w:highlight w:val="none"/>
                <w:lang w:val="zh-CN"/>
              </w:rPr>
              <w:t>、陈述内容：</w:t>
            </w:r>
            <w:r>
              <w:rPr>
                <w:rStyle w:val="21"/>
                <w:rFonts w:hint="eastAsia" w:ascii="宋体" w:hAnsi="宋体" w:cs="宋体"/>
                <w:color w:val="auto"/>
                <w:sz w:val="24"/>
                <w:highlight w:val="none"/>
                <w:u w:val="single"/>
                <w:lang w:val="zh-CN"/>
              </w:rPr>
              <w:t>根据评分项内容</w:t>
            </w:r>
          </w:p>
          <w:p>
            <w:pPr>
              <w:spacing w:line="360" w:lineRule="auto"/>
              <w:rPr>
                <w:rStyle w:val="21"/>
                <w:rFonts w:ascii="宋体" w:hAnsi="宋体" w:cs="宋体"/>
                <w:color w:val="auto"/>
                <w:sz w:val="24"/>
                <w:highlight w:val="none"/>
                <w:lang w:val="zh-CN"/>
              </w:rPr>
            </w:pPr>
            <w:r>
              <w:rPr>
                <w:rStyle w:val="21"/>
                <w:rFonts w:hint="eastAsia" w:ascii="宋体" w:hAnsi="宋体" w:cs="宋体"/>
                <w:color w:val="auto"/>
                <w:sz w:val="24"/>
                <w:highlight w:val="none"/>
              </w:rPr>
              <w:t>2</w:t>
            </w:r>
            <w:r>
              <w:rPr>
                <w:rStyle w:val="21"/>
                <w:rFonts w:hint="eastAsia" w:ascii="宋体" w:hAnsi="宋体" w:cs="宋体"/>
                <w:color w:val="auto"/>
                <w:sz w:val="24"/>
                <w:highlight w:val="none"/>
                <w:lang w:val="zh-CN"/>
              </w:rPr>
              <w:t>、陈述人员：</w:t>
            </w:r>
            <w:r>
              <w:rPr>
                <w:rStyle w:val="21"/>
                <w:rFonts w:hint="eastAsia" w:ascii="宋体" w:hAnsi="宋体" w:cs="宋体"/>
                <w:color w:val="auto"/>
                <w:sz w:val="24"/>
                <w:highlight w:val="none"/>
                <w:u w:val="single"/>
                <w:lang w:val="zh-CN"/>
              </w:rPr>
              <w:t>授权代表或项目负责人</w:t>
            </w:r>
          </w:p>
          <w:p>
            <w:pPr>
              <w:spacing w:line="360" w:lineRule="auto"/>
              <w:rPr>
                <w:rStyle w:val="21"/>
                <w:rFonts w:ascii="宋体" w:hAnsi="宋体" w:cs="宋体"/>
                <w:color w:val="auto"/>
                <w:sz w:val="24"/>
                <w:highlight w:val="none"/>
                <w:lang w:val="zh-CN"/>
              </w:rPr>
            </w:pPr>
            <w:r>
              <w:rPr>
                <w:rStyle w:val="21"/>
                <w:rFonts w:hint="eastAsia" w:ascii="宋体" w:hAnsi="宋体" w:cs="宋体"/>
                <w:color w:val="auto"/>
                <w:sz w:val="24"/>
                <w:highlight w:val="none"/>
              </w:rPr>
              <w:t>3</w:t>
            </w:r>
            <w:r>
              <w:rPr>
                <w:rStyle w:val="21"/>
                <w:rFonts w:hint="eastAsia" w:ascii="宋体" w:hAnsi="宋体" w:cs="宋体"/>
                <w:color w:val="auto"/>
                <w:sz w:val="24"/>
                <w:highlight w:val="none"/>
                <w:lang w:val="zh-CN"/>
              </w:rPr>
              <w:t>、陈述时限：</w:t>
            </w:r>
            <w:r>
              <w:rPr>
                <w:rStyle w:val="21"/>
                <w:rFonts w:hint="eastAsia" w:ascii="宋体" w:hAnsi="宋体" w:cs="宋体"/>
                <w:color w:val="auto"/>
                <w:sz w:val="24"/>
                <w:highlight w:val="none"/>
                <w:u w:val="single"/>
                <w:lang w:val="zh-CN"/>
              </w:rPr>
              <w:t>15分钟</w:t>
            </w:r>
          </w:p>
          <w:p>
            <w:pPr>
              <w:spacing w:line="360" w:lineRule="auto"/>
              <w:rPr>
                <w:rStyle w:val="21"/>
                <w:rFonts w:ascii="宋体" w:hAnsi="宋体" w:cs="宋体"/>
                <w:color w:val="auto"/>
                <w:sz w:val="24"/>
                <w:highlight w:val="none"/>
                <w:lang w:val="zh-CN"/>
              </w:rPr>
            </w:pPr>
            <w:r>
              <w:rPr>
                <w:rStyle w:val="21"/>
                <w:rFonts w:hint="eastAsia" w:ascii="宋体" w:hAnsi="宋体" w:cs="宋体"/>
                <w:color w:val="auto"/>
                <w:sz w:val="24"/>
                <w:highlight w:val="none"/>
                <w:lang w:val="zh-CN"/>
              </w:rPr>
              <w:t>4、陈述形式：</w:t>
            </w:r>
            <w:r>
              <w:rPr>
                <w:rStyle w:val="21"/>
                <w:rFonts w:hint="eastAsia" w:ascii="宋体" w:hAnsi="宋体" w:cs="宋体"/>
                <w:color w:val="auto"/>
                <w:sz w:val="24"/>
                <w:highlight w:val="none"/>
                <w:u w:val="single"/>
                <w:lang w:val="zh-CN"/>
              </w:rPr>
              <w:t>以腾讯视频会议方式进行陈述及演示（投标人提前下载腾讯会议软件），招标代理公司于陈述前给各投标人发布登录会议账号及密码。（投标人用带有摄像设备的电脑参加会议，以便演示）</w:t>
            </w:r>
          </w:p>
          <w:p>
            <w:pPr>
              <w:spacing w:line="360" w:lineRule="auto"/>
              <w:rPr>
                <w:color w:val="auto"/>
                <w:highlight w:val="none"/>
                <w:lang w:val="zh-CN"/>
              </w:rPr>
            </w:pPr>
            <w:r>
              <w:rPr>
                <w:rStyle w:val="21"/>
                <w:rFonts w:hint="eastAsia" w:ascii="宋体" w:hAnsi="宋体" w:cs="宋体"/>
                <w:color w:val="auto"/>
                <w:sz w:val="24"/>
                <w:highlight w:val="none"/>
                <w:lang w:val="zh-CN"/>
              </w:rPr>
              <w:t>5、其他：</w:t>
            </w:r>
            <w:r>
              <w:rPr>
                <w:rStyle w:val="21"/>
                <w:rFonts w:hint="eastAsia" w:ascii="宋体" w:hAnsi="宋体" w:cs="宋体"/>
                <w:color w:val="auto"/>
                <w:sz w:val="24"/>
                <w:highlight w:val="none"/>
                <w:u w:val="single"/>
                <w:lang w:val="zh-CN"/>
              </w:rPr>
              <w:t>(1)依照签到顺序依次进行；(2)投标人可放弃陈述，但需要签字确认。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36</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项目预算</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lang w:val="zh-CN"/>
              </w:rPr>
              <w:t>本</w:t>
            </w:r>
            <w:r>
              <w:rPr>
                <w:rStyle w:val="21"/>
                <w:rFonts w:hint="eastAsia" w:ascii="宋体" w:hAnsi="宋体" w:cs="宋体"/>
                <w:color w:val="auto"/>
                <w:sz w:val="24"/>
                <w:highlight w:val="none"/>
                <w:u w:val="single"/>
                <w:lang w:val="zh-CN"/>
              </w:rPr>
              <w:t>“兵团全民健康信息系统软件项目”师级医院实施项目</w:t>
            </w:r>
            <w:r>
              <w:rPr>
                <w:rStyle w:val="21"/>
                <w:rFonts w:hint="eastAsia" w:ascii="宋体" w:hAnsi="宋体" w:cs="宋体"/>
                <w:color w:val="auto"/>
                <w:sz w:val="24"/>
                <w:highlight w:val="none"/>
                <w:u w:val="single"/>
              </w:rPr>
              <w:t>总</w:t>
            </w:r>
            <w:r>
              <w:rPr>
                <w:rStyle w:val="21"/>
                <w:rFonts w:hint="eastAsia" w:ascii="宋体" w:hAnsi="宋体" w:cs="宋体"/>
                <w:color w:val="auto"/>
                <w:sz w:val="24"/>
                <w:highlight w:val="none"/>
                <w:lang w:val="zh-CN"/>
              </w:rPr>
              <w:t>预算为</w:t>
            </w:r>
            <w:r>
              <w:rPr>
                <w:rStyle w:val="21"/>
                <w:rFonts w:hint="eastAsia" w:ascii="宋体" w:hAnsi="宋体" w:cs="宋体"/>
                <w:color w:val="auto"/>
                <w:sz w:val="24"/>
                <w:highlight w:val="none"/>
                <w:u w:val="single"/>
              </w:rPr>
              <w:t>8118</w:t>
            </w:r>
            <w:r>
              <w:rPr>
                <w:rStyle w:val="21"/>
                <w:rFonts w:hint="eastAsia" w:ascii="宋体" w:hAnsi="宋体" w:cs="宋体"/>
                <w:color w:val="auto"/>
                <w:sz w:val="24"/>
                <w:highlight w:val="none"/>
                <w:u w:val="single"/>
                <w:lang w:val="en-US" w:eastAsia="zh-CN"/>
              </w:rPr>
              <w:t>.00</w:t>
            </w:r>
            <w:r>
              <w:rPr>
                <w:rStyle w:val="21"/>
                <w:rFonts w:hint="eastAsia" w:ascii="宋体" w:hAnsi="宋体" w:cs="宋体"/>
                <w:color w:val="auto"/>
                <w:sz w:val="24"/>
                <w:highlight w:val="none"/>
                <w:u w:val="single"/>
                <w:lang w:val="zh-CN"/>
              </w:rPr>
              <w:t>万元</w:t>
            </w:r>
            <w:r>
              <w:rPr>
                <w:rStyle w:val="21"/>
                <w:rFonts w:hint="eastAsia" w:ascii="宋体" w:hAnsi="宋体" w:cs="宋体"/>
                <w:color w:val="auto"/>
                <w:sz w:val="24"/>
                <w:highlight w:val="none"/>
                <w:lang w:val="zh-CN"/>
              </w:rPr>
              <w:t>，投标人投标报价超过项目</w:t>
            </w:r>
            <w:r>
              <w:rPr>
                <w:rStyle w:val="21"/>
                <w:rFonts w:hint="eastAsia" w:ascii="宋体" w:hAnsi="宋体" w:cs="宋体"/>
                <w:color w:val="auto"/>
                <w:sz w:val="24"/>
                <w:highlight w:val="none"/>
              </w:rPr>
              <w:t>总</w:t>
            </w:r>
            <w:r>
              <w:rPr>
                <w:rStyle w:val="21"/>
                <w:rFonts w:hint="eastAsia" w:ascii="宋体" w:hAnsi="宋体" w:cs="宋体"/>
                <w:color w:val="auto"/>
                <w:sz w:val="24"/>
                <w:highlight w:val="none"/>
                <w:lang w:val="zh-CN"/>
              </w:rPr>
              <w:t>预算的按无效投标处理。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37</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b/>
                <w:color w:val="auto"/>
                <w:kern w:val="0"/>
                <w:sz w:val="24"/>
                <w:highlight w:val="none"/>
              </w:rPr>
            </w:pPr>
            <w:r>
              <w:rPr>
                <w:rStyle w:val="21"/>
                <w:rFonts w:hint="eastAsia" w:ascii="宋体" w:hAnsi="宋体" w:cs="宋体"/>
                <w:b/>
                <w:color w:val="auto"/>
                <w:kern w:val="0"/>
                <w:sz w:val="24"/>
                <w:highlight w:val="none"/>
              </w:rPr>
              <w:t>其他</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1、</w:t>
            </w:r>
            <w:r>
              <w:rPr>
                <w:rStyle w:val="21"/>
                <w:rFonts w:hint="eastAsia" w:ascii="宋体" w:hAnsi="宋体" w:cs="宋体"/>
                <w:color w:val="auto"/>
                <w:sz w:val="24"/>
                <w:highlight w:val="none"/>
                <w:lang w:val="zh-CN"/>
              </w:rPr>
              <w:t>本项目的招标投标活动以及相关当事人须接受财政监督部门依法实施的监督。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hint="default" w:ascii="宋体" w:hAnsi="宋体" w:eastAsia="宋体" w:cs="宋体"/>
                <w:b/>
                <w:color w:val="auto"/>
                <w:kern w:val="0"/>
                <w:sz w:val="24"/>
                <w:highlight w:val="none"/>
                <w:lang w:val="en-US" w:eastAsia="zh-CN"/>
              </w:rPr>
            </w:pPr>
            <w:r>
              <w:rPr>
                <w:rStyle w:val="21"/>
                <w:rFonts w:hint="eastAsia" w:ascii="宋体" w:hAnsi="宋体" w:cs="宋体"/>
                <w:b/>
                <w:color w:val="auto"/>
                <w:kern w:val="0"/>
                <w:sz w:val="24"/>
                <w:highlight w:val="none"/>
                <w:lang w:val="en-US" w:eastAsia="zh-CN"/>
              </w:rPr>
              <w:t>38</w:t>
            </w:r>
          </w:p>
        </w:tc>
        <w:tc>
          <w:tcPr>
            <w:tcW w:w="24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bidi w:val="0"/>
              <w:adjustRightInd/>
              <w:snapToGrid w:val="0"/>
              <w:spacing w:beforeAutospacing="0" w:afterAutospacing="0" w:line="0" w:lineRule="atLeast"/>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低于成本价不正当</w:t>
            </w:r>
          </w:p>
          <w:p>
            <w:pPr>
              <w:keepNext w:val="0"/>
              <w:keepLines w:val="0"/>
              <w:pageBreakBefore w:val="0"/>
              <w:kinsoku/>
              <w:wordWrap/>
              <w:overflowPunct w:val="0"/>
              <w:topLinePunct w:val="0"/>
              <w:bidi w:val="0"/>
              <w:adjustRightInd/>
              <w:snapToGrid w:val="0"/>
              <w:spacing w:beforeAutospacing="0" w:afterAutospacing="0" w:line="0" w:lineRule="atLeast"/>
              <w:ind w:left="0" w:leftChars="0" w:right="0" w:rightChars="0" w:firstLine="0" w:firstLineChars="0"/>
              <w:jc w:val="center"/>
              <w:rPr>
                <w:rStyle w:val="21"/>
                <w:rFonts w:hint="eastAsia" w:ascii="宋体" w:hAnsi="宋体" w:cs="宋体"/>
                <w:b/>
                <w:color w:val="auto"/>
                <w:kern w:val="0"/>
                <w:sz w:val="24"/>
                <w:highlight w:val="none"/>
              </w:rPr>
            </w:pPr>
            <w:r>
              <w:rPr>
                <w:rFonts w:hint="eastAsia" w:ascii="宋体" w:hAnsi="宋体" w:eastAsia="宋体" w:cs="宋体"/>
                <w:color w:val="auto"/>
                <w:sz w:val="24"/>
                <w:szCs w:val="24"/>
                <w:highlight w:val="none"/>
              </w:rPr>
              <w:t>竞争预防措施</w:t>
            </w:r>
          </w:p>
        </w:tc>
        <w:tc>
          <w:tcPr>
            <w:tcW w:w="74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adjustRightInd/>
              <w:snapToGrid w:val="0"/>
              <w:spacing w:beforeAutospacing="0" w:afterAutospacing="0" w:line="0" w:lineRule="atLeast"/>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在评标过程中，评标委员会认为</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keepNext w:val="0"/>
              <w:keepLines w:val="0"/>
              <w:pageBreakBefore w:val="0"/>
              <w:kinsoku/>
              <w:wordWrap/>
              <w:topLinePunct w:val="0"/>
              <w:bidi w:val="0"/>
              <w:adjustRightInd/>
              <w:snapToGrid w:val="0"/>
              <w:spacing w:beforeAutospacing="0" w:afterAutospacing="0" w:line="0" w:lineRule="atLeast"/>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keepNext w:val="0"/>
              <w:keepLines w:val="0"/>
              <w:pageBreakBefore w:val="0"/>
              <w:kinsoku/>
              <w:wordWrap/>
              <w:topLinePunct w:val="0"/>
              <w:bidi w:val="0"/>
              <w:adjustRightInd/>
              <w:snapToGrid w:val="0"/>
              <w:spacing w:beforeAutospacing="0" w:afterAutospacing="0" w:line="0" w:lineRule="atLeast"/>
              <w:ind w:left="0" w:leftChars="0" w:right="0" w:rightChars="0" w:firstLine="0" w:firstLineChars="0"/>
              <w:rPr>
                <w:rStyle w:val="21"/>
                <w:rFonts w:hint="eastAsia" w:ascii="宋体" w:hAnsi="宋体" w:cs="宋体"/>
                <w:color w:val="auto"/>
                <w:sz w:val="24"/>
                <w:highlight w:val="none"/>
              </w:rPr>
            </w:pPr>
            <w:r>
              <w:rPr>
                <w:rFonts w:hint="eastAsia" w:ascii="宋体" w:hAnsi="宋体" w:eastAsia="宋体" w:cs="宋体"/>
                <w:color w:val="auto"/>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hint="default" w:ascii="宋体" w:hAnsi="宋体" w:eastAsia="宋体" w:cs="宋体"/>
                <w:b/>
                <w:color w:val="auto"/>
                <w:kern w:val="0"/>
                <w:sz w:val="24"/>
                <w:highlight w:val="none"/>
                <w:lang w:val="en-US" w:eastAsia="zh-CN"/>
              </w:rPr>
            </w:pPr>
            <w:r>
              <w:rPr>
                <w:rStyle w:val="21"/>
                <w:rFonts w:hint="eastAsia" w:ascii="宋体" w:hAnsi="宋体" w:cs="宋体"/>
                <w:b/>
                <w:color w:val="auto"/>
                <w:kern w:val="0"/>
                <w:sz w:val="24"/>
                <w:highlight w:val="none"/>
                <w:lang w:val="en-US" w:eastAsia="zh-CN"/>
              </w:rPr>
              <w:t>39</w:t>
            </w:r>
          </w:p>
        </w:tc>
        <w:tc>
          <w:tcPr>
            <w:tcW w:w="24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招标人补充的其他内容</w:t>
            </w:r>
          </w:p>
        </w:tc>
        <w:tc>
          <w:tcPr>
            <w:tcW w:w="7481"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1"/>
                <w:rFonts w:hint="eastAsia" w:ascii="宋体" w:hAnsi="宋体" w:eastAsia="宋体" w:cs="宋体"/>
                <w:color w:val="auto"/>
                <w:sz w:val="24"/>
                <w:highlight w:val="none"/>
                <w:u w:val="none"/>
                <w:lang w:val="zh-CN"/>
              </w:rPr>
            </w:pPr>
            <w:r>
              <w:rPr>
                <w:rStyle w:val="21"/>
                <w:rFonts w:hint="eastAsia" w:ascii="宋体" w:hAnsi="宋体" w:eastAsia="宋体" w:cs="宋体"/>
                <w:color w:val="auto"/>
                <w:sz w:val="24"/>
                <w:highlight w:val="none"/>
                <w:u w:val="none"/>
                <w:lang w:val="zh-CN"/>
              </w:rPr>
              <w:t>本次计划实施范围为不少于15家</w:t>
            </w:r>
            <w:r>
              <w:rPr>
                <w:rStyle w:val="21"/>
                <w:rFonts w:hint="eastAsia" w:ascii="宋体" w:hAnsi="宋体" w:eastAsia="宋体" w:cs="宋体"/>
                <w:b w:val="0"/>
                <w:bCs w:val="0"/>
                <w:color w:val="auto"/>
                <w:sz w:val="24"/>
                <w:szCs w:val="22"/>
                <w:highlight w:val="none"/>
                <w:lang w:val="zh-CN"/>
              </w:rPr>
              <w:t>兵团二、三级医院</w:t>
            </w:r>
            <w:r>
              <w:rPr>
                <w:rStyle w:val="21"/>
                <w:rFonts w:hint="eastAsia" w:ascii="宋体" w:hAnsi="宋体" w:eastAsia="宋体" w:cs="宋体"/>
                <w:b w:val="0"/>
                <w:bCs w:val="0"/>
                <w:color w:val="auto"/>
                <w:sz w:val="24"/>
                <w:szCs w:val="22"/>
                <w:highlight w:val="none"/>
                <w:lang w:val="zh-CN" w:eastAsia="zh-CN"/>
              </w:rPr>
              <w:t>，</w:t>
            </w:r>
            <w:r>
              <w:rPr>
                <w:rStyle w:val="21"/>
                <w:rFonts w:hint="eastAsia" w:ascii="宋体" w:hAnsi="宋体" w:eastAsia="宋体" w:cs="宋体"/>
                <w:color w:val="auto"/>
                <w:sz w:val="24"/>
                <w:highlight w:val="none"/>
                <w:lang w:val="zh-CN"/>
              </w:rPr>
              <w:t xml:space="preserve"> 超过15家的实施费用全部包含在本项目投标报价中。单家医院实施费用也一次性包死，不受市场价格变化因素的影响。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注意事项</w:t>
            </w:r>
          </w:p>
        </w:tc>
        <w:tc>
          <w:tcPr>
            <w:tcW w:w="9905" w:type="dxa"/>
            <w:gridSpan w:val="2"/>
            <w:tcBorders>
              <w:top w:val="single" w:color="000000" w:sz="4" w:space="0"/>
              <w:left w:val="single" w:color="000000" w:sz="4" w:space="0"/>
              <w:bottom w:val="single" w:color="000000" w:sz="4" w:space="0"/>
              <w:right w:val="single" w:color="000000" w:sz="4" w:space="0"/>
            </w:tcBorders>
            <w:vAlign w:val="center"/>
          </w:tcPr>
          <w:p>
            <w:pPr>
              <w:pStyle w:val="44"/>
              <w:spacing w:line="360" w:lineRule="auto"/>
              <w:ind w:left="0" w:leftChars="0" w:right="-10" w:firstLineChars="0"/>
              <w:rPr>
                <w:rStyle w:val="21"/>
                <w:rFonts w:ascii="宋体" w:hAnsi="宋体" w:cs="宋体"/>
                <w:color w:val="auto"/>
                <w:szCs w:val="22"/>
                <w:highlight w:val="none"/>
              </w:rPr>
            </w:pPr>
            <w:r>
              <w:rPr>
                <w:rStyle w:val="21"/>
                <w:rFonts w:hint="eastAsia" w:ascii="宋体" w:hAnsi="宋体" w:cs="宋体"/>
                <w:b/>
                <w:bCs/>
                <w:color w:val="auto"/>
                <w:szCs w:val="22"/>
                <w:highlight w:val="none"/>
              </w:rPr>
              <w:t>注：</w:t>
            </w:r>
            <w:r>
              <w:rPr>
                <w:rStyle w:val="21"/>
                <w:rFonts w:hint="eastAsia" w:ascii="宋体" w:hAnsi="宋体" w:cs="宋体"/>
                <w:color w:val="auto"/>
                <w:szCs w:val="22"/>
                <w:highlight w:val="none"/>
              </w:rPr>
              <w:t>1、本项目实行网上投标，采用电子投标文件。</w:t>
            </w:r>
          </w:p>
          <w:p>
            <w:pPr>
              <w:pStyle w:val="44"/>
              <w:spacing w:line="360" w:lineRule="auto"/>
              <w:ind w:left="0" w:leftChars="0" w:right="-10" w:firstLineChars="0"/>
              <w:jc w:val="left"/>
              <w:rPr>
                <w:rStyle w:val="21"/>
                <w:rFonts w:ascii="宋体" w:hAnsi="宋体" w:cs="宋体"/>
                <w:color w:val="auto"/>
                <w:szCs w:val="22"/>
                <w:highlight w:val="none"/>
              </w:rPr>
            </w:pPr>
            <w:r>
              <w:rPr>
                <w:rStyle w:val="21"/>
                <w:rFonts w:hint="eastAsia" w:ascii="宋体" w:hAnsi="宋体" w:cs="宋体"/>
                <w:color w:val="auto"/>
                <w:szCs w:val="22"/>
                <w:highlight w:val="none"/>
              </w:rPr>
              <w:t>2、各供应商应在开标前应确保成为新疆生产建设兵团政府采购网正式注册入库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44"/>
              <w:spacing w:line="360" w:lineRule="auto"/>
              <w:ind w:left="0" w:leftChars="0" w:right="-10" w:firstLineChars="0"/>
              <w:rPr>
                <w:rStyle w:val="21"/>
                <w:rFonts w:ascii="宋体" w:hAnsi="宋体" w:cs="宋体"/>
                <w:bCs/>
                <w:color w:val="auto"/>
                <w:szCs w:val="22"/>
                <w:highlight w:val="none"/>
              </w:rPr>
            </w:pPr>
            <w:r>
              <w:rPr>
                <w:rStyle w:val="21"/>
                <w:rFonts w:hint="eastAsia" w:ascii="宋体" w:hAnsi="宋体" w:cs="宋体"/>
                <w:color w:val="auto"/>
                <w:szCs w:val="22"/>
                <w:highlight w:val="none"/>
              </w:rPr>
              <w:t>3、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备注</w:t>
            </w:r>
          </w:p>
        </w:tc>
        <w:tc>
          <w:tcPr>
            <w:tcW w:w="9905" w:type="dxa"/>
            <w:gridSpan w:val="2"/>
            <w:tcBorders>
              <w:top w:val="single" w:color="000000" w:sz="4" w:space="0"/>
              <w:left w:val="single" w:color="000000" w:sz="4" w:space="0"/>
              <w:bottom w:val="single" w:color="000000" w:sz="4" w:space="0"/>
              <w:right w:val="single" w:color="000000" w:sz="4" w:space="0"/>
            </w:tcBorders>
            <w:vAlign w:val="center"/>
          </w:tcPr>
          <w:p>
            <w:pPr>
              <w:rPr>
                <w:rStyle w:val="21"/>
                <w:rFonts w:ascii="宋体" w:hAnsi="宋体" w:cs="宋体"/>
                <w:color w:val="auto"/>
                <w:kern w:val="0"/>
                <w:szCs w:val="21"/>
                <w:highlight w:val="none"/>
              </w:rPr>
            </w:pPr>
          </w:p>
        </w:tc>
      </w:tr>
    </w:tbl>
    <w:p>
      <w:pPr>
        <w:spacing w:line="440" w:lineRule="exact"/>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注：1、本表中加☆项目若有缺失或无效，将导致投标无效且不允许在开标后补正；</w:t>
      </w:r>
    </w:p>
    <w:p>
      <w:pPr>
        <w:spacing w:line="440" w:lineRule="exact"/>
        <w:ind w:firstLine="480" w:firstLineChars="200"/>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2、本表内容与招标文件其它内容不一致的，应当以本表内容为准。</w:t>
      </w:r>
    </w:p>
    <w:p>
      <w:pPr>
        <w:spacing w:line="440" w:lineRule="exact"/>
        <w:ind w:firstLine="480" w:firstLineChars="200"/>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3、本表中“</w:t>
      </w:r>
      <w:r>
        <w:rPr>
          <w:rStyle w:val="21"/>
          <w:rFonts w:hint="eastAsia"/>
          <w:color w:val="auto"/>
          <w:kern w:val="0"/>
          <w:sz w:val="24"/>
          <w:highlight w:val="none"/>
        </w:rPr>
        <w:fldChar w:fldCharType="begin"/>
      </w:r>
      <w:r>
        <w:rPr>
          <w:rFonts w:hint="eastAsia" w:ascii="宋体" w:hAnsi="宋体" w:cs="宋体"/>
          <w:color w:val="auto"/>
          <w:sz w:val="20"/>
          <w:highlight w:val="none"/>
        </w:rPr>
        <w:instrText xml:space="preserve">eq \o\ac(□,√)</w:instrText>
      </w:r>
      <w:r>
        <w:rPr>
          <w:rFonts w:hint="eastAsia" w:ascii="宋体" w:hAnsi="宋体" w:cs="宋体"/>
          <w:color w:val="auto"/>
          <w:sz w:val="20"/>
          <w:highlight w:val="none"/>
        </w:rPr>
        <w:fldChar w:fldCharType="end"/>
      </w:r>
      <w:r>
        <w:rPr>
          <w:rStyle w:val="21"/>
          <w:rFonts w:hint="eastAsia" w:ascii="宋体" w:hAnsi="宋体" w:cs="宋体"/>
          <w:color w:val="auto"/>
          <w:kern w:val="0"/>
          <w:sz w:val="24"/>
          <w:highlight w:val="none"/>
        </w:rPr>
        <w:t>”标示选择使用该项，“□”标示不选择使用该项。</w:t>
      </w:r>
    </w:p>
    <w:p>
      <w:pPr>
        <w:pStyle w:val="26"/>
        <w:jc w:val="center"/>
        <w:rPr>
          <w:rStyle w:val="21"/>
          <w:rFonts w:ascii="宋体" w:hAnsi="宋体" w:cs="宋体"/>
          <w:b/>
          <w:color w:val="auto"/>
          <w:sz w:val="24"/>
          <w:szCs w:val="24"/>
          <w:highlight w:val="none"/>
        </w:rPr>
      </w:pPr>
      <w:r>
        <w:rPr>
          <w:rStyle w:val="21"/>
          <w:rFonts w:ascii="宋体" w:hAnsi="宋体" w:cs="宋体"/>
          <w:color w:val="auto"/>
          <w:kern w:val="0"/>
          <w:sz w:val="24"/>
          <w:highlight w:val="none"/>
        </w:rPr>
        <w:br w:type="page"/>
      </w:r>
      <w:r>
        <w:rPr>
          <w:rStyle w:val="21"/>
          <w:rFonts w:hint="eastAsia" w:ascii="宋体" w:hAnsi="宋体" w:cs="宋体"/>
          <w:b/>
          <w:color w:val="auto"/>
          <w:sz w:val="24"/>
          <w:szCs w:val="24"/>
          <w:highlight w:val="none"/>
        </w:rPr>
        <w:t>投标人须知正文部分</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一、总则</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1.说明</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1.1本招标文件适用于本次招标采购项目的招标投标。</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2.定义</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2.1“采购人”名称见本招标文件第二部分“投标人须知前附表”中第1项。</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2.2“采购代理机构”名称见本招标文件第二部分“投标人须知前附表”中第2项。</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2.3“招标货物”指招标文件第三部分所述所有货物；“服务”指招标文件第三部分所述投标人应该履行的承诺和义务。</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2.4“潜在投标人”指符合招标文件各项规定的供应商。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2.5“投标人”指符合招标文件规定并参加投标的供应商。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2.6“投标人公章”在投标文件中指与投标人标准公章一致的投标人电子签章。</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2.7“电子投标文件”指利用政采云交易平台提供的“电子投标文件制作工具”编制加密和未加密的投标文件。</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3.合格投标人的条件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3.1具有本项目生产、制造、供应或实施能力，符合、承认并承诺履行本文件各项规定的国内法人、其他组织或自然人均可参加投标。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3.2遵守有关的国家法律、法规和条例，具备《中华人民共和国政府采购法》和本文件中规定的条件：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1)具有独立承担民事责任的能力；</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2)具有良好的商业信誉和健全的财务会计制度；</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3)具有履行合同所必需的设备和专业技术能力；</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4)具有依法缴纳税收和社会保障资金的良好记录；</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5)参加政府采购活动前三年内，在经营活动中没有重大违法记录；</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6)法律、行政法规规定的其他条件；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7)具有本招标文件第二部分“投标人须知前附表”中第5项规定的资格条件。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3.3投标人之间如果存在下列情形之一的，不得同时参加同一包（标段）或者不分包（标段）的同一项目投标：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3.3.1法定代表人为同一个人的两个及两个以上法人；</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3.3.2母公司、全资子公司及其控股公司；</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3.3.3参加投标的其他组织之间存在特殊的利害关系的；</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3.3.4法律和行政法规规定的其他情形。</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3.4投标人须持有《法定代表人授权委托书》。</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3.5投标人在政采云交易平台内针对本项目报名并下载了</w:t>
      </w:r>
      <w:r>
        <w:rPr>
          <w:rStyle w:val="21"/>
          <w:rFonts w:hint="eastAsia" w:ascii="宋体" w:hAnsi="宋体" w:cs="宋体"/>
          <w:color w:val="auto"/>
          <w:kern w:val="0"/>
          <w:sz w:val="24"/>
          <w:szCs w:val="24"/>
          <w:highlight w:val="none"/>
        </w:rPr>
        <w:t>电子采购文件</w:t>
      </w:r>
      <w:r>
        <w:rPr>
          <w:rStyle w:val="21"/>
          <w:rFonts w:hint="eastAsia" w:ascii="宋体" w:hAnsi="宋体" w:cs="宋体"/>
          <w:color w:val="auto"/>
          <w:sz w:val="24"/>
          <w:szCs w:val="24"/>
          <w:highlight w:val="none"/>
        </w:rPr>
        <w:t>。</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3.6投标人按时足额交纳投标保证金。</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3.7本次招标是否允许由两个以上投标人组成一个联合体以一个投标人身份共同投标，按照招标文件第二部分“投标人须知前附表”中第6项的规定。如果允许，除均应符合上述规定外，还应符合下列要求：</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2）联合体各方中至少应当有一方对应满足本项目规定的相应资质条件，并且联合体投标人整体应当符合本项目的资质要求，否则，其提交的联合投标将被拒绝。</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3）由不同专业的投标人组成的联合体,首先以投标的全权代表方的应答材料作为认定资质以及商务评审的依据；涉及行业专属的资质,按照所属行业所对应的投标人的应答材料确定。</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6）联合体各方均不得同时再以自己独立的名义单独投标，也不得再同时参加其他的联合体投标。若该等情形被发现，其单独的投标和与此有关的联合体的投标均将被一并拒绝。</w:t>
      </w:r>
    </w:p>
    <w:p>
      <w:pPr>
        <w:pStyle w:val="46"/>
        <w:tabs>
          <w:tab w:val="left" w:pos="1146"/>
        </w:tabs>
        <w:snapToGrid w:val="0"/>
        <w:spacing w:line="360" w:lineRule="auto"/>
        <w:ind w:left="480" w:leftChars="0" w:hanging="48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3.7投标人不得与采购人、采购代理机构等有利害关系。</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4.投标费用</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4.1投标人应承担所有与准备和参加投标有关的费用。</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5.纪律</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5.1投标人的投标行为应遵守中国的有关法律、法规和规章。</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5.2.1有下列情形之一的，属于投标人相互串通投标：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5.2.1.1投标人之间协商投标报价等投标文件的实质性内容；</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5.2.1.2投标人之间约定中标人；</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5.2.1.3投标人之间约定部分投标人放弃投标或者中标；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5.2.1.4属于同一集团、协会、商会等组织成员的投标人按照该组织要求协同投标；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5.2.1.5投标人之间为谋取中标或者排斥特定投标人而采取的其他联合行动。</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5.2.2有下列情形之一的，视为投标人相互串通投标：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5.2.2.1不同投标人的投标文件由同一单位或者个人编制；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5.2.2.2不同投标人委托同一单位或者个人办理投标事宜，或制作电子投标文件的文件制作机器码（mac地址）一致，或制作电子投标文件的文件创建标识码一致；</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5.2.2.3不同投标人的投标文件载明的项目管理成员为同一人；</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5.2.2.4不同投标人的投标文件异常一致或者投标报价呈规律性差异；</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5.2.2.5不同投标人的投标文件相互混装；</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5.2.2.6不同投标人的投标保证金从同一单位或者个人的账户转出。</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6.通知</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6.1对与本项目有关的通知，采购代理机构将以书面（包括书面材料、信函、传真等，下同）或在本次招标公告刊登的媒体上发布公告并在政采云交易平台内发送变更通知及/或答疑文件的形式，向潜在投标人发出，传真和电话号码以潜在投标人的登记为准。收到通知的投标人须立即予以回复确认，但投标人未回复或采购代理机构未收到回复时，并不应当被理解为采购代理机构知道或应当知道投标人是否收到通知。因登记有误、传真线路故障或其它任何意外情形，导致所发出的通知延迟送达或无法到达投标人，采购代理机构不因此承担任何责任，有关的招标活动可以继续有效地进行。</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二、招标文件</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7.招标文件组成</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7.1招标文件由招标文件目录所列内容组成。</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8.踏勘现场</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8.1本项目是否统一组织投标人踏勘现场见招标文件第二部分“投标人须知前附表”中第7项的规定。无论是否统一组织，投标人应对供货现场和周围环境进行勘察，以获取编制投标文件所需的资料。</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8.2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8.3除非有特殊要求，招标文件不单独提供供货使用地的自然环境、气候条件、公用设施等情况，投标人被视为熟悉上述与履行合同有关的一切情况。</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8.4除采购人原因外，投标人自行负责在踏勘现场中所发生的人员伤亡和财产损失。</w:t>
      </w:r>
    </w:p>
    <w:p>
      <w:pPr>
        <w:snapToGrid w:val="0"/>
        <w:spacing w:line="360" w:lineRule="auto"/>
        <w:rPr>
          <w:rStyle w:val="21"/>
          <w:rFonts w:ascii="宋体" w:hAnsi="宋体" w:cs="宋体"/>
          <w:bCs/>
          <w:color w:val="auto"/>
          <w:sz w:val="24"/>
          <w:szCs w:val="24"/>
          <w:highlight w:val="none"/>
        </w:rPr>
      </w:pPr>
      <w:r>
        <w:rPr>
          <w:rStyle w:val="21"/>
          <w:rFonts w:hint="eastAsia" w:ascii="宋体" w:hAnsi="宋体" w:cs="宋体"/>
          <w:b/>
          <w:color w:val="auto"/>
          <w:sz w:val="24"/>
          <w:szCs w:val="24"/>
          <w:highlight w:val="none"/>
        </w:rPr>
        <w:t>9.知识产权</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9.1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9.2投标人如欲在项目实施过程中采用自有知识成果，须在投标文件中声明，并提供相关知识产权证明文件。使用该知识成果后，投标人须提供开发接口和开发手册等技术文档。</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10.答疑及招标文件的澄清和修改</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10.1投标人如果对招标文件有疑问或要求进行澄清的，应按照招标文件第二部分“投标人须知前附表”第10项规定向采购代理机构提出。提出后，请投标人及时通过交易平台“答疑文件下载”栏目查看答疑文件或澄清文件。必要时，采购代理机构将组织相关专家召开答疑会，如召开，答疑会安排另行通知。</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投标人在规定的时间内未对招标文件提出疑问或要求澄清的，采购代理机构将视其为同意，对在“答疑接受时间”后就招标文件内容提出的疑问及澄清要求将不予受理。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10.2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特殊情况下，采购代理机构发布澄清、修改文件后，征得投标人同意，可不改变投标截止时间和开标时间。</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10.3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snapToGrid w:val="0"/>
        <w:spacing w:line="360" w:lineRule="auto"/>
        <w:ind w:firstLine="480" w:firstLineChars="200"/>
        <w:rPr>
          <w:rStyle w:val="21"/>
          <w:rFonts w:ascii="宋体" w:hAnsi="宋体" w:cs="宋体"/>
          <w:b/>
          <w:color w:val="auto"/>
          <w:sz w:val="24"/>
          <w:szCs w:val="24"/>
          <w:highlight w:val="none"/>
        </w:rPr>
      </w:pPr>
      <w:r>
        <w:rPr>
          <w:rStyle w:val="21"/>
          <w:rFonts w:hint="eastAsia" w:ascii="宋体" w:hAnsi="宋体" w:cs="宋体"/>
          <w:color w:val="auto"/>
          <w:sz w:val="24"/>
          <w:szCs w:val="24"/>
          <w:highlight w:val="none"/>
        </w:rPr>
        <w:t>10.4采购代理机构对招标文件作出的澄清、修改在政采云交易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snapToGrid w:val="0"/>
        <w:spacing w:line="360" w:lineRule="auto"/>
        <w:ind w:firstLine="480" w:firstLineChars="200"/>
        <w:rPr>
          <w:rStyle w:val="21"/>
          <w:rFonts w:ascii="宋体" w:hAnsi="宋体" w:cs="宋体"/>
          <w:bCs/>
          <w:color w:val="auto"/>
          <w:sz w:val="24"/>
          <w:szCs w:val="24"/>
          <w:highlight w:val="none"/>
        </w:rPr>
      </w:pPr>
      <w:r>
        <w:rPr>
          <w:rStyle w:val="21"/>
          <w:rFonts w:hint="eastAsia" w:ascii="宋体" w:hAnsi="宋体" w:cs="宋体"/>
          <w:bCs/>
          <w:color w:val="auto"/>
          <w:sz w:val="24"/>
          <w:szCs w:val="24"/>
          <w:highlight w:val="none"/>
        </w:rPr>
        <w:t>10.5澄清、修改文件发出后，投标人必须使用最新的答疑、澄清文件制作电子投标文件，否则将无法完成上传。</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三、投标文件</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11.投标文件的语言及计量单位</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11.1投标人提交的投标文件（包括技术文件和资料、图纸中的说明）以及投标人与采购代理机构就有关投标的所有来往函电均应使用中文简体字。</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11.2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11.3除非招标文件另有规定，投标文件所使用的计量单位，应使用国家法定计量单位。</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11.4对违反上述规定情形的，评标委员会有权要求投标人限期提供相应文件或决定对其投标予以拒绝。</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11.5电报、电话、传真形式的投标概不接受。投标人的投标文件一律不予退还。</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12.投标文件组成及编制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12.1投标文件分为资格审查资料、商务文件、技术文件和服务文件。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商务文件指投标人提交的证明其有资格参加投标和中标后有能力履行合同的文件。技术和服务文件指投标人提交的能够证明其提供的货物及服务符合招标文件规定的文件。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12.2投标人递交的投标文件及相关要求按照招标文件第二部分“投标人须知前附表”中第13、14项的规定。</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12.2.1电子投标文件的编制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12.2.1.2电子投标文件须使用投标人公章的电子签章以及法定代表人的电子签章。若无电子签章，则视为无效投标。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12.2.1.3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12.2.1.4电子投标文件制作工具在生成加密投标文件时，同时生成非加密投标文件一份。未加密的电子投标文件由投标人使用U盘制作（投标人须保证启用光盘时能正常读取）。</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13.投标报价</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13.2投标人投报多包的，须对每包分别制作投标文件并报价</w:t>
      </w:r>
      <w:r>
        <w:rPr>
          <w:rStyle w:val="21"/>
          <w:rFonts w:hint="eastAsia" w:ascii="宋体" w:hAnsi="宋体" w:cs="宋体"/>
          <w:b/>
          <w:color w:val="auto"/>
          <w:sz w:val="24"/>
          <w:szCs w:val="24"/>
          <w:highlight w:val="none"/>
        </w:rPr>
        <w:t>。</w:t>
      </w:r>
    </w:p>
    <w:p>
      <w:pPr>
        <w:snapToGrid w:val="0"/>
        <w:spacing w:line="360" w:lineRule="auto"/>
        <w:ind w:firstLine="480" w:firstLineChars="200"/>
        <w:rPr>
          <w:rStyle w:val="21"/>
          <w:rFonts w:ascii="宋体" w:hAnsi="宋体" w:cs="宋体"/>
          <w:b/>
          <w:color w:val="auto"/>
          <w:sz w:val="24"/>
          <w:szCs w:val="24"/>
          <w:highlight w:val="none"/>
        </w:rPr>
      </w:pPr>
      <w:r>
        <w:rPr>
          <w:rStyle w:val="21"/>
          <w:rFonts w:hint="eastAsia" w:ascii="宋体" w:hAnsi="宋体" w:cs="宋体"/>
          <w:color w:val="auto"/>
          <w:sz w:val="24"/>
          <w:szCs w:val="24"/>
          <w:highlight w:val="none"/>
        </w:rPr>
        <w:t>13.3除非招标文件另有规定，不接受可选择或可调整的投标方案和报价，任何有选择的或可调整的投标方案和报价将被视为非响应性投标而被拒绝。</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13.4本项目是否接受进口产品按照招标文件第二部分“投标人须知前附表中”中第8项的规定。</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13.5本项目是否允许投标人将项目的非主体、非关键性工作交由他人完成按照招标文件第二部分“投标人须知前附表”中第8项的规定。如允许，投标人根据采购项目的实际情况，拟在中标后将中标项目的非主体、非关键性工作交由他人完成，须在技术文件中载明。</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13.6投标人须严格按照报价明细表规定的内容填写货物单价以及其他事项。</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13.7投标人对投标报价若有说明应在投标文件中显著处注明。</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除政策性文件规定以外，投标人所报价格在合同实施期间不因市场变化因素而变动。</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13.8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13.9最低报价不能作为中标的保证。</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14.投标有效期</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14.1本项目的投标有效期按照招标文件第二部分“投标人须知前附表中”中第12项的规定。投标有效期自开标之日起计算，短于规定期限的投标将按无效投标处理。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14.2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15.投标内容填写说明</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15.1投标人应详细阅读招标文件的全部内容。投标文件须对招标文件中的内容作出实质性和完整的响应，如果投标文件填报的内容不详，或没有提供招标文件中所要求的全部资料及数据，将可能导致投标被拒绝。</w:t>
      </w:r>
    </w:p>
    <w:p>
      <w:pPr>
        <w:snapToGrid w:val="0"/>
        <w:spacing w:line="360" w:lineRule="auto"/>
        <w:ind w:firstLine="480" w:firstLineChars="200"/>
        <w:rPr>
          <w:rStyle w:val="21"/>
          <w:rFonts w:ascii="宋体" w:hAnsi="宋体" w:cs="宋体"/>
          <w:b/>
          <w:color w:val="auto"/>
          <w:sz w:val="24"/>
          <w:szCs w:val="24"/>
          <w:highlight w:val="none"/>
        </w:rPr>
      </w:pPr>
      <w:r>
        <w:rPr>
          <w:rStyle w:val="21"/>
          <w:rFonts w:hint="eastAsia" w:ascii="宋体" w:hAnsi="宋体" w:cs="宋体"/>
          <w:color w:val="auto"/>
          <w:sz w:val="24"/>
          <w:szCs w:val="24"/>
          <w:highlight w:val="none"/>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Style w:val="21"/>
          <w:rFonts w:hint="eastAsia" w:ascii="宋体" w:hAnsi="宋体" w:cs="宋体"/>
          <w:b/>
          <w:color w:val="auto"/>
          <w:sz w:val="24"/>
          <w:szCs w:val="24"/>
          <w:highlight w:val="none"/>
        </w:rPr>
        <w:t>。</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15.3开标一览表为在开标仪式上唱标的内容，要求按格式统一填写，不得自行增减内容。</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15.4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15.5投标人必须保证投标文件所提供的全部资料真实可靠，并接受采购代理机构或评标委员会对其中任何资料进一步审查的要求。</w:t>
      </w:r>
    </w:p>
    <w:p>
      <w:pPr>
        <w:snapToGrid w:val="0"/>
        <w:spacing w:line="360" w:lineRule="auto"/>
        <w:ind w:firstLine="480" w:firstLineChars="200"/>
        <w:rPr>
          <w:rStyle w:val="21"/>
          <w:rFonts w:ascii="宋体" w:hAnsi="宋体" w:cs="宋体"/>
          <w:b/>
          <w:color w:val="auto"/>
          <w:sz w:val="24"/>
          <w:szCs w:val="24"/>
          <w:highlight w:val="none"/>
        </w:rPr>
      </w:pPr>
      <w:r>
        <w:rPr>
          <w:rStyle w:val="21"/>
          <w:rFonts w:hint="eastAsia" w:ascii="宋体" w:hAnsi="宋体" w:cs="宋体"/>
          <w:color w:val="auto"/>
          <w:sz w:val="24"/>
          <w:szCs w:val="24"/>
          <w:highlight w:val="none"/>
        </w:rPr>
        <w:t>15.6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snapToGrid w:val="0"/>
        <w:spacing w:line="360" w:lineRule="auto"/>
        <w:ind w:firstLine="480" w:firstLineChars="200"/>
        <w:rPr>
          <w:rStyle w:val="21"/>
          <w:rFonts w:ascii="宋体" w:hAnsi="宋体" w:cs="宋体"/>
          <w:b/>
          <w:color w:val="auto"/>
          <w:kern w:val="0"/>
          <w:sz w:val="24"/>
          <w:szCs w:val="24"/>
          <w:highlight w:val="none"/>
        </w:rPr>
      </w:pPr>
      <w:r>
        <w:rPr>
          <w:rStyle w:val="21"/>
          <w:rFonts w:hint="eastAsia" w:ascii="宋体" w:hAnsi="宋体" w:cs="宋体"/>
          <w:color w:val="auto"/>
          <w:sz w:val="24"/>
          <w:szCs w:val="24"/>
          <w:highlight w:val="none"/>
        </w:rPr>
        <w:t>15.7本项目</w:t>
      </w:r>
      <w:r>
        <w:rPr>
          <w:rStyle w:val="21"/>
          <w:rFonts w:hint="eastAsia" w:ascii="宋体" w:hAnsi="宋体" w:cs="宋体"/>
          <w:color w:val="auto"/>
          <w:kern w:val="0"/>
          <w:sz w:val="24"/>
          <w:szCs w:val="24"/>
          <w:highlight w:val="none"/>
        </w:rPr>
        <w:t>技术部分是否采用“暗标”评审方式</w:t>
      </w:r>
      <w:r>
        <w:rPr>
          <w:rStyle w:val="21"/>
          <w:rFonts w:hint="eastAsia" w:ascii="宋体" w:hAnsi="宋体" w:cs="宋体"/>
          <w:color w:val="auto"/>
          <w:sz w:val="24"/>
          <w:szCs w:val="24"/>
          <w:highlight w:val="none"/>
        </w:rPr>
        <w:t>按照招标文件第二部分“投标人须知前附表中”中第21项的规定。如果采用暗标评审方式的，投标人在制作投标文件时应当以能够隐去投标人的身份为原则并需严格遵守以下各项规定：</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15.7.1技术部分中纳入“暗标”部分的内容：样品。</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15.7.2暗标的编制要求</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15.7.2.1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15.7.2.2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snapToGrid w:val="0"/>
        <w:spacing w:line="360" w:lineRule="auto"/>
        <w:ind w:left="1"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15.7.2.3任何情况下，技术部分（“暗标”部分）中不得出现任何投标人的审阅或者批注痕迹，否则将导致投标被拒绝。</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四、投标保证金</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16.投标保证金</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16.1投标人应按照招标文件第二部分“投标人须知前附表”中第18项的规定交纳。投标保证金须于到账截止时间前到帐，并经采购代理机构确认。</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16.2采购代理机构不接收以现金或汇票等其他形式递交的投标保证金。未按要求提交投标保证金的，将被视为无效投标。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16.3未中标的投标人的投标保证金在中标通知书发出之日起5个工作日内退还；中标人的投标保证金将在交纳履约保证金并于合同生效后5个工作日内退还。</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16.4投标保证金退还一律采用网上银行转帐方式退还至投标人的汇款帐户，资金原路返回。</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五、投标文件的递交</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17.投标文件的密封和标记</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17.1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投标截止时间以政采云交易平台显示的时间为准，逾期系统将自动关闭，未完成上传的投标文件视为逾期送达，将被拒绝。</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17.2未加密的电子投标文件U盘应封装在信封中。封口处加盖投标人公章，封皮上注明项目编号、包号、项目名称、投标人名称，并注明“未加密的电子投标文件”字样。</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投标人认为有必要提交的其他资料请于投标截止时间前一并提交。</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17.3如果投标人未按上述要求密封及加写标记，采购代理机构对投标文件的误投和提前启封概不负责。对由此造成提前开封的投标文件，采购代理机构有权予以拒绝，并退回投标人。</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18.投标文件的递交</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18.1投标人应当在招标文件要求提交投标文件的截止时间前网上投标，并将未加密的电子投标文件U盘及纸质版投标文件3份密封送达指定开标地点。</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18.2在招标文件要求提交投标文件的截止时间之后送达的投标文件，为无效投标文件，采购代理机构将拒绝接收。</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19.投标文件的修改和撤回</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19.1投标人在递交投标文件后，可以修改或撤回其投标，但这种修改和撤回，必须在规定的投标截止时间前。在投标截止时间后，投标人不得要求修改或撤回其投标文件。</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六、开标</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20.开标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20.1采购代理机构按照招标文件规定的时间、地点主持开标。投标人法定代表人或授权代理人应携带身份证明、未加密的电子投标文件（用信封密封）、纸质版投标文件（密封）及应当提交的其他资料参加开标并签到。</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20.2开标前，采购代理机构将会同监督人员或公证人员进行验标（检查网上招标系统正常与否，检查未加密的电子投标文件，检查投标人报名及保证金交纳情况），确认无误后开标。开标时，各投标人应对本单位的加密的电子投标文件现场解密，采购代理机构工作人员在监督人员或公证人员监督下解密所有投标文件。</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因网上招标系统故障导致所有投标人均解密失败时，投标人使用未加密的电子投标文件进行开评标。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20.3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20.4在评审结束前，未得到采购代理机构允许，投标人法定代表人或授权代理人不得离开开标现场。</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20.5资格审查：由采购人现场对投标人资格进行审查，资格审查不符合招标文件要求的，不予进入评审阶段。</w:t>
      </w:r>
    </w:p>
    <w:p>
      <w:pPr>
        <w:spacing w:line="440" w:lineRule="exact"/>
        <w:jc w:val="center"/>
        <w:rPr>
          <w:rFonts w:ascii="宋体" w:hAnsi="宋体"/>
          <w:color w:val="auto"/>
          <w:spacing w:val="-2"/>
          <w:sz w:val="24"/>
          <w:highlight w:val="none"/>
        </w:rPr>
      </w:pPr>
      <w:r>
        <w:rPr>
          <w:rFonts w:hint="eastAsia" w:ascii="宋体" w:hAnsi="宋体"/>
          <w:color w:val="auto"/>
          <w:spacing w:val="-2"/>
          <w:sz w:val="24"/>
          <w:highlight w:val="none"/>
        </w:rPr>
        <w:t>资格审查</w:t>
      </w:r>
    </w:p>
    <w:tbl>
      <w:tblPr>
        <w:tblStyle w:val="18"/>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2"/>
        <w:gridCol w:w="970"/>
        <w:gridCol w:w="5232"/>
        <w:gridCol w:w="498"/>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jc w:val="center"/>
        </w:trPr>
        <w:tc>
          <w:tcPr>
            <w:tcW w:w="667" w:type="pct"/>
            <w:vMerge w:val="restar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评分因素</w:t>
            </w:r>
          </w:p>
        </w:tc>
        <w:tc>
          <w:tcPr>
            <w:tcW w:w="582" w:type="pct"/>
            <w:vMerge w:val="restar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评分点</w:t>
            </w:r>
          </w:p>
        </w:tc>
        <w:tc>
          <w:tcPr>
            <w:tcW w:w="3139" w:type="pct"/>
            <w:vMerge w:val="restar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评分标准</w:t>
            </w:r>
          </w:p>
        </w:tc>
        <w:tc>
          <w:tcPr>
            <w:tcW w:w="611" w:type="pct"/>
            <w:gridSpan w:val="2"/>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667"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582"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3139"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299"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是</w:t>
            </w:r>
          </w:p>
        </w:tc>
        <w:tc>
          <w:tcPr>
            <w:tcW w:w="311"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67" w:type="pct"/>
            <w:vMerge w:val="restar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资格性审查</w:t>
            </w:r>
          </w:p>
        </w:tc>
        <w:tc>
          <w:tcPr>
            <w:tcW w:w="582" w:type="pct"/>
            <w:vMerge w:val="restar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中华人民共和国政府采购法第二十二条规定</w:t>
            </w:r>
          </w:p>
        </w:tc>
        <w:tc>
          <w:tcPr>
            <w:tcW w:w="3139" w:type="pct"/>
            <w:vAlign w:val="center"/>
          </w:tcPr>
          <w:p>
            <w:pPr>
              <w:widowControl w:val="0"/>
              <w:adjustRightInd w:val="0"/>
              <w:snapToGrid w:val="0"/>
              <w:jc w:val="left"/>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具有独立承担民事责任的能力，须提供相关证明材料，详见响应文件格式。</w:t>
            </w:r>
          </w:p>
        </w:tc>
        <w:tc>
          <w:tcPr>
            <w:tcW w:w="299" w:type="pct"/>
            <w:vAlign w:val="center"/>
          </w:tcPr>
          <w:p>
            <w:pPr>
              <w:widowControl w:val="0"/>
              <w:adjustRightInd w:val="0"/>
              <w:snapToGrid w:val="0"/>
              <w:jc w:val="left"/>
              <w:textAlignment w:val="auto"/>
              <w:rPr>
                <w:rFonts w:asciiTheme="minorEastAsia" w:hAnsiTheme="minorEastAsia" w:eastAsiaTheme="minorEastAsia" w:cstheme="minorEastAsia"/>
                <w:bCs/>
                <w:color w:val="auto"/>
                <w:sz w:val="24"/>
                <w:szCs w:val="24"/>
                <w:highlight w:val="none"/>
              </w:rPr>
            </w:pPr>
          </w:p>
        </w:tc>
        <w:tc>
          <w:tcPr>
            <w:tcW w:w="311"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67"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582"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3139" w:type="pct"/>
            <w:vAlign w:val="center"/>
          </w:tcPr>
          <w:p>
            <w:pPr>
              <w:widowControl w:val="0"/>
              <w:adjustRightInd w:val="0"/>
              <w:snapToGrid w:val="0"/>
              <w:jc w:val="left"/>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具有良好的商业信誉和健全的财务会计制度，须提供相关证明材料，详见响应文件格式。</w:t>
            </w:r>
          </w:p>
        </w:tc>
        <w:tc>
          <w:tcPr>
            <w:tcW w:w="299"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311"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67"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582"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3139" w:type="pct"/>
            <w:vAlign w:val="center"/>
          </w:tcPr>
          <w:p>
            <w:pPr>
              <w:widowControl w:val="0"/>
              <w:adjustRightInd w:val="0"/>
              <w:snapToGrid w:val="0"/>
              <w:jc w:val="left"/>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具有履行合同所必须的设备和专业技术能力，</w:t>
            </w:r>
            <w:r>
              <w:rPr>
                <w:rFonts w:hint="eastAsia" w:asciiTheme="minorEastAsia" w:hAnsiTheme="minorEastAsia" w:eastAsiaTheme="minorEastAsia" w:cstheme="minorEastAsia"/>
                <w:bCs/>
                <w:color w:val="auto"/>
                <w:sz w:val="24"/>
                <w:szCs w:val="24"/>
                <w:highlight w:val="none"/>
              </w:rPr>
              <w:t>须提供相关证明材料，详见响应文件格式。</w:t>
            </w:r>
          </w:p>
        </w:tc>
        <w:tc>
          <w:tcPr>
            <w:tcW w:w="299"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311"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667"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582"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lang w:val="zh-CN"/>
              </w:rPr>
            </w:pPr>
          </w:p>
        </w:tc>
        <w:tc>
          <w:tcPr>
            <w:tcW w:w="3139" w:type="pct"/>
            <w:vAlign w:val="center"/>
          </w:tcPr>
          <w:p>
            <w:pPr>
              <w:widowControl w:val="0"/>
              <w:adjustRightInd w:val="0"/>
              <w:snapToGrid w:val="0"/>
              <w:jc w:val="left"/>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有依法缴纳税收和社会保障金的良好记录，</w:t>
            </w:r>
            <w:r>
              <w:rPr>
                <w:rFonts w:hint="eastAsia" w:asciiTheme="minorEastAsia" w:hAnsiTheme="minorEastAsia" w:eastAsiaTheme="minorEastAsia" w:cstheme="minorEastAsia"/>
                <w:bCs/>
                <w:color w:val="auto"/>
                <w:sz w:val="24"/>
                <w:szCs w:val="24"/>
                <w:highlight w:val="none"/>
              </w:rPr>
              <w:t>须提供相关证明材料，详见响应文件格式。</w:t>
            </w:r>
          </w:p>
        </w:tc>
        <w:tc>
          <w:tcPr>
            <w:tcW w:w="299"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311"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 w:hRule="atLeast"/>
          <w:jc w:val="center"/>
        </w:trPr>
        <w:tc>
          <w:tcPr>
            <w:tcW w:w="667"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582"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lang w:val="zh-CN"/>
              </w:rPr>
            </w:pPr>
          </w:p>
        </w:tc>
        <w:tc>
          <w:tcPr>
            <w:tcW w:w="3139" w:type="pct"/>
            <w:vAlign w:val="center"/>
          </w:tcPr>
          <w:p>
            <w:pPr>
              <w:widowControl w:val="0"/>
              <w:adjustRightInd w:val="0"/>
              <w:snapToGrid w:val="0"/>
              <w:jc w:val="left"/>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Cs/>
                <w:color w:val="auto"/>
                <w:sz w:val="24"/>
                <w:szCs w:val="24"/>
                <w:highlight w:val="none"/>
              </w:rPr>
              <w:t>须提供相关证明材料，详见响应文件格式。</w:t>
            </w:r>
          </w:p>
        </w:tc>
        <w:tc>
          <w:tcPr>
            <w:tcW w:w="299"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311"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67" w:type="pct"/>
            <w:vMerge w:val="continue"/>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582"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投标保证金</w:t>
            </w:r>
          </w:p>
        </w:tc>
        <w:tc>
          <w:tcPr>
            <w:tcW w:w="3139" w:type="pct"/>
            <w:vAlign w:val="center"/>
          </w:tcPr>
          <w:p>
            <w:pPr>
              <w:widowControl w:val="0"/>
              <w:adjustRightInd w:val="0"/>
              <w:snapToGrid w:val="0"/>
              <w:jc w:val="left"/>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符合本招标文件关于投标保证金的</w:t>
            </w:r>
            <w:r>
              <w:rPr>
                <w:rFonts w:hint="eastAsia" w:asciiTheme="minorEastAsia" w:hAnsiTheme="minorEastAsia" w:eastAsiaTheme="minorEastAsia" w:cstheme="minorEastAsia"/>
                <w:bCs/>
                <w:color w:val="auto"/>
                <w:sz w:val="24"/>
                <w:szCs w:val="24"/>
                <w:highlight w:val="none"/>
                <w:lang w:val="zh-CN"/>
              </w:rPr>
              <w:t>规定</w:t>
            </w:r>
          </w:p>
        </w:tc>
        <w:tc>
          <w:tcPr>
            <w:tcW w:w="299"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c>
          <w:tcPr>
            <w:tcW w:w="311" w:type="pct"/>
            <w:vAlign w:val="center"/>
          </w:tcPr>
          <w:p>
            <w:pPr>
              <w:widowControl w:val="0"/>
              <w:adjustRightInd w:val="0"/>
              <w:snapToGrid w:val="0"/>
              <w:jc w:val="center"/>
              <w:textAlignment w:val="auto"/>
              <w:rPr>
                <w:rFonts w:asciiTheme="minorEastAsia" w:hAnsiTheme="minorEastAsia" w:eastAsiaTheme="minorEastAsia" w:cstheme="minorEastAsia"/>
                <w:bCs/>
                <w:color w:val="auto"/>
                <w:sz w:val="24"/>
                <w:szCs w:val="24"/>
                <w:highlight w:val="none"/>
              </w:rPr>
            </w:pPr>
          </w:p>
        </w:tc>
      </w:tr>
    </w:tbl>
    <w:p>
      <w:pPr>
        <w:rPr>
          <w:color w:val="auto"/>
          <w:highlight w:val="none"/>
        </w:rPr>
      </w:pP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七、评标步骤和要求</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21.组建评标委员会</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21.1采购代理机构根据有关法律法规和本招标文件的规定，结合招标项目的特点组建评标委员会，对投标文件进行评估和比较。评标委员会由五人以上单数组成，其中经济、技术等方面的专家不少于三分之二。</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21.2参与过本项目的论证专家不得作为评标专家参加评标，采购人不得以专家身份参与评标。</w:t>
      </w:r>
    </w:p>
    <w:p>
      <w:pPr>
        <w:snapToGrid w:val="0"/>
        <w:spacing w:line="360" w:lineRule="auto"/>
        <w:rPr>
          <w:rStyle w:val="21"/>
          <w:rFonts w:ascii="宋体" w:hAnsi="宋体" w:cs="宋体"/>
          <w:b/>
          <w:bCs/>
          <w:color w:val="auto"/>
          <w:sz w:val="24"/>
          <w:szCs w:val="24"/>
          <w:highlight w:val="none"/>
        </w:rPr>
      </w:pPr>
      <w:r>
        <w:rPr>
          <w:rStyle w:val="21"/>
          <w:rFonts w:hint="eastAsia" w:ascii="宋体" w:hAnsi="宋体" w:cs="宋体"/>
          <w:b/>
          <w:bCs/>
          <w:color w:val="auto"/>
          <w:sz w:val="24"/>
          <w:szCs w:val="24"/>
          <w:highlight w:val="none"/>
        </w:rPr>
        <w:t>22、资格审查</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22.1公开招标采购项目开标结束后，评标委员会依法对投标人的资格进行审查。合格投标人不足3家的，不得评标。</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23.初步评审</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23.1评标委员会审查投标文件是否符合招标文件的基本要求：内容是否完整、资格证明文件是否合格、文件签署是否齐全、有无计算错误等。</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23.2评标委员会审查投标文件是否实质上响应招标文件的要求。</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1）实质上响应的投标是指与招标文件上的条款、条件和规格相符，没有重大偏离或保留，否则将视为无效投标。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重大偏离或保留系指投标货物的质量、数量和交付日期等明显不能满足招标文件的要求，或者实质上与招标文件不一致，纠正这些偏离或保留将对其他实质上响应要求的投标人的竞争地位产生不公正的影响。包括但不限于：</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A、招标文件“投标文件组成”部分中证明文件不全或无效的；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B、投标文件未按招标文件的规定签章的；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C、未按投标文件份数要求提交投标文件的；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D、招标文件带“☆”号部分任意一款不满足要求的；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E、报价超过项目预算或经评标委员会认定低于成本的；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F、投标有效期不足的；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G、联合体投标文件未附联合体投标协议书的；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H、不符合招标文件中有关分包规定的；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I、有串通投标或弄虚作假或有其他违法行为的；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J、投标人递交的电子投标文件（加密电子投标文件和未加密电子投标文件）均无法满足正常开标、评标使用功能的；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K、投标人名称或组织结构与报名时不一致且无有效变更证明的；</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L、不符合招标文件中规定的其他实质性要求。</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23.3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23.4初步评审中，对明显的文字和计算错误按下述原则处理，若出现相互矛盾之处，应以排列在先的原则为准优先处理：</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1）投标文件中的开标一览表与明细表内容不一致的，以开标一览表为准。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2）如果以文字表示的数据与数字表示的有差别，以文字为准修正数字。如果大写金额和小写金额不一致的，以大写金额为准；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3）如果单价乘以数量不等于总价，以单价为准修正总价，但单价金额小数点有明显错位的，应以总价为准，并修改单价。如果明细价格相加不等于汇总价格，以明细价格为准。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4）调整后的数据对投标人具有约束力，投标人不同意以上修正，其投标将被拒绝。</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23.5评标委员会对投标文件的判定，只依据投标文件内容本身，不依据其他外来证明。</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24.投标的澄清</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24.1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24.2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24.3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24.4公开招标采购项目开标结束后，采购人或者采购代理机构应当依法对投标人的资格进行审查。合格投标人不足3家的，不得评标。</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25.详细评审</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25.1评标委员会只对实质上响应招标文件的投标进行评价和比较；评审应严格按照招标文件第二部分“投标人须知前附表”中第22项规定以及招标文件的要求进行。具体要求等详见招标文件第五部分“评审方法”。</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26.确定中标人</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26.1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26.2评标委员会根据评审结果及招标文件的规定确定中标人。</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27.评标过程要求</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27.1开标之后，直到签订合同止，凡是属于审查、澄清、评价和比较投标的有关资料以及定标意向等，均不向投标人或者其他与评标无关的人员透露。</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27.2在确定中标人之前，投标人试图在投标文件审查、澄清、比较和评标时对评标委员会、采购人和采购代理机构施加任何影响都可能导致其投标无效。</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27.3电子招投标的应急措施</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27.3.1电子开标、评标如出现下列原因，导致系统无法正常运行或无法正常评标时，应采取应急措施。</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（1）系统服务器发生故障，无法访问或无法使用系统；</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（2）系统的软件或数据库出现错误，不能进行正常操作；</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（3）系统发现有安全漏洞，有潜在的泄密危险；</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（4）病毒发作或受到外来病毒的攻击；</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（5）出现其他不可抗拒的客观原因造成开评标系统无法正常使用。</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出现上述情况时，应对未开标的暂停开标。已在系统内开标、评标的立即停止。采取应急措施时，必须对原有资料及信息作出妥善保密处理。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27.3.2因系统原因导致投标人均无法解密电子投标文件时，采购代理机构可在开标现场直接导入投标人在投标截止时间前递交的未加密的电子投标文件进行开标、评标。</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28.投标人瑕疵滞后发现的处理规则</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28.1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29.采购项目废标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29.1在评标过程中，评标委员会发现有下列情形之一的，应对采购项目予以废标：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1）符合专业条件的供应商或者对招标文件作实质响应的供应商数量不足，导致进入详细评审、打分阶段的供应商不足3家的；</w:t>
      </w:r>
    </w:p>
    <w:p>
      <w:pPr>
        <w:snapToGrid w:val="0"/>
        <w:spacing w:line="360" w:lineRule="auto"/>
        <w:ind w:left="479" w:leftChars="228"/>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2）投标人的报价均超过了采购预算；</w:t>
      </w:r>
    </w:p>
    <w:p>
      <w:pPr>
        <w:pStyle w:val="26"/>
        <w:rPr>
          <w:color w:val="auto"/>
          <w:highlight w:val="none"/>
        </w:rPr>
      </w:pPr>
    </w:p>
    <w:p>
      <w:pPr>
        <w:snapToGrid w:val="0"/>
        <w:spacing w:line="360" w:lineRule="auto"/>
        <w:ind w:left="479" w:leftChars="228"/>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3）出现影响采购公正的违法、违规行为的；</w:t>
      </w:r>
    </w:p>
    <w:p>
      <w:pPr>
        <w:snapToGrid w:val="0"/>
        <w:spacing w:line="360" w:lineRule="auto"/>
        <w:ind w:left="479" w:leftChars="228"/>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4）因重大变故，采购任务取消的。</w:t>
      </w:r>
    </w:p>
    <w:p>
      <w:pPr>
        <w:snapToGrid w:val="0"/>
        <w:spacing w:line="360" w:lineRule="auto"/>
        <w:ind w:left="479" w:leftChars="228"/>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5）重要技术指标不符合招标文件要求的。</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除前款第四项规定的情形外，项目废标后，如未变更采购方式，采购代理机构将依法重新组织招标。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29.2有前款第一项规定的情形导致废标时，供应商只有2家的，可以改为竞争性谈判方式，在书面征得供应商同意并报经财政部门核准后，由采购人、采购代理机构按照竞争性谈判方式的程序组织采购。</w:t>
      </w:r>
    </w:p>
    <w:p>
      <w:pPr>
        <w:snapToGrid w:val="0"/>
        <w:spacing w:line="360" w:lineRule="auto"/>
        <w:ind w:firstLine="523" w:firstLineChars="218"/>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29.2.1转为谈判后，若供应商未能在评标委员会指定时间内（原则上不超过60分钟）提交符合要求的补充资料或未作出实质性响应的，投标无效。经过审查符合谈判要求的有效供应商少于两家的，作废标处理。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29.2.2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供应商应当按照采购文件的变动情况和评标委员会的要求重新提交投标文件，并由其法定代表人或授权代表签字或者加盖公章。</w:t>
      </w:r>
    </w:p>
    <w:p>
      <w:pPr>
        <w:snapToGrid w:val="0"/>
        <w:spacing w:line="360" w:lineRule="auto"/>
        <w:ind w:firstLine="48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29.2.3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pPr>
        <w:snapToGrid w:val="0"/>
        <w:spacing w:line="360" w:lineRule="auto"/>
        <w:ind w:firstLine="523" w:firstLineChars="218"/>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29.2.4在谈判内容不作实质性变更及重大调整的前提下，供应商次轮报价不得高于上一轮报价，否则将视为重大偏离并导致报价被拒绝。</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八、履约保证金</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30.履约保证金</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30.1履约保证金按照招标文件第二部分“投标人须知前附表”中第23项规定，在签订合同前交纳。</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30.2中标人在中标公告发布后及时足额交纳履约保证金。</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九、代理服务费</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31.代理服务费</w:t>
      </w:r>
    </w:p>
    <w:p>
      <w:pPr>
        <w:snapToGrid w:val="0"/>
        <w:spacing w:line="360" w:lineRule="auto"/>
        <w:ind w:firstLine="470" w:firstLineChars="196"/>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31.1代理服务费按照招标文件第二部分“投标人须知前附表”中第24项和第26项的规定由中标人交纳，请投标人在测算投标报价时充分考虑这一因素。</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十、签订、审核合同</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32.中标通知</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32.1中标人确定后,采购代理机构将在相关政府采购信息发布媒体上发布中标公告，并以书面形式向中标人发出中标通知书，但该中标结果的有效性不依赖于未中标的投标人是否已经收到该通知。中标人应按照上述第29、30条的规定交纳履约保证金和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32.2采购代理机构对未中标的投标人不作未中标原因的解释，但中标结果的有效性不以未中标的投标人是否收到相应的通知为前提。</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32.3中标通知书是合同的组成部分。</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33.签订合同</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33.1中标人须在中标通知书发出之日起30日内与采购人签订采购合同。</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33.2中标人须按照招标文件、投标文件及评标过程中的有关澄清、说明或者补正文件的内容与采购人签订合同。中标人不得再与采购人签订背离合同实质性内容的其他协议或声明。</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33.3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33.4中标人一旦中标及签订合同后，不得转包，亦不得将合同全部及任何权利、义务向第三方转让。</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33.5中标人不履行合同的，采购人可在报经同级人民政府财政部门核准后，与排位在中标人之后的第一位中标候选供应商签订合同，以此类推；或在报经同级人民政府财政部门核准后重新组织采购。</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33.6违反32.1条、32.2条的规定，给对方造成损失的，应承担赔偿责任。</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34.合同公示</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34.1政府采购合同于签订合同之日起3个工作日内上传至政采云交易平台进行公示。</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十一、处罚、询问和质疑</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35.处罚</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35.1发生下列情况之一，投标人的保证金不予退还；情节严重的将其列入不良记录名单。</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1）开标后在投标有效期内，投标人撤回其投标；</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2）中标后无正当理由不与采购人签订合同的；</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3）中标人与采购人订立背离合同实质性内容的其他协议；</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4）将中标项目转让给他人，或者在投标文件中未说明，且未经采购代理机构同意，将中标项目分包给他人的；</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5）存在串通投标行为的；</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6）存在弄虚作假或提供虚假材料谋取中标的；</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7）投标人其他未按招标文件规定和合同约定履行义务的行为。</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36．询问</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36.1投标人对采购事项有疑问的，可以向采购人或采购代理机构提出询问。</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37.投标人有权就招标事宜提出质疑</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37.1投标人认为招标文件、采购过程和中标结果使自已的权益受到损害的，可以在知道或者应知其权益受到损害之日起7个工作日内，以书面形式提出质疑。</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37.2质疑应当按照《中华人民共和国政府采购法》、《中华人民共和国政府采购法实施条例》、《政府采购供应商投诉处理办法》等法律法规的相关规定，以书面形式向采购代理机构提出。</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37.4质疑人可以采取直接送达或者邮寄方式提交质疑书。采购代理机构收到质疑书后，对质疑书进行审查，对符合质疑条件的将办理签收手续，自签收质疑书之日起即为受理。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37.5采购代理机构将在受理书面质疑后7个工作日内审查质疑事项，作出答复或相关处理决定，并以书面形式通知质疑人和其他相关供应商，但答复的内容不涉及商业秘密。</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37.6投标人进行虚假和恶意质疑的，采购代理机构将提请有关部门将其列入不良记录名单，在一至三年内禁止参加政府采购活动，并将处理决定在相关政府采购媒体上公布。</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37.7质疑人对答复不满意以及采购代理机构未在规定的时间内作出答复的，可以在答复期满后15个工作日内向财政部门投拆。</w:t>
      </w:r>
    </w:p>
    <w:p>
      <w:pPr>
        <w:pStyle w:val="29"/>
        <w:numPr>
          <w:ilvl w:val="0"/>
          <w:numId w:val="0"/>
        </w:numPr>
        <w:snapToGrid w:val="0"/>
        <w:spacing w:before="0" w:after="0"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十二、保密和披露</w:t>
      </w:r>
    </w:p>
    <w:p>
      <w:pPr>
        <w:snapToGrid w:val="0"/>
        <w:spacing w:line="360" w:lineRule="auto"/>
        <w:rPr>
          <w:rStyle w:val="21"/>
          <w:rFonts w:ascii="宋体" w:hAnsi="宋体" w:cs="宋体"/>
          <w:b/>
          <w:color w:val="auto"/>
          <w:sz w:val="24"/>
          <w:szCs w:val="24"/>
          <w:highlight w:val="none"/>
        </w:rPr>
      </w:pPr>
      <w:r>
        <w:rPr>
          <w:rStyle w:val="21"/>
          <w:rFonts w:hint="eastAsia" w:ascii="宋体" w:hAnsi="宋体" w:cs="宋体"/>
          <w:b/>
          <w:color w:val="auto"/>
          <w:sz w:val="24"/>
          <w:szCs w:val="24"/>
          <w:highlight w:val="none"/>
        </w:rPr>
        <w:t>38.保密和披露</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38.1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snapToGrid w:val="0"/>
        <w:spacing w:line="360" w:lineRule="auto"/>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38.2采购代理机构有权将投标人提供的所有资料向有关政府部门或评审标书的有关人员披露。</w:t>
      </w:r>
    </w:p>
    <w:p>
      <w:pPr>
        <w:snapToGrid w:val="0"/>
        <w:spacing w:line="360" w:lineRule="auto"/>
        <w:ind w:firstLine="480" w:firstLineChars="200"/>
        <w:jc w:val="center"/>
        <w:rPr>
          <w:rStyle w:val="21"/>
          <w:rFonts w:ascii="宋体" w:hAnsi="宋体" w:cs="宋体"/>
          <w:b/>
          <w:color w:val="auto"/>
          <w:sz w:val="36"/>
          <w:highlight w:val="none"/>
        </w:rPr>
      </w:pPr>
      <w:r>
        <w:rPr>
          <w:rStyle w:val="21"/>
          <w:rFonts w:hint="eastAsia" w:ascii="宋体" w:hAnsi="宋体" w:cs="宋体"/>
          <w:color w:val="auto"/>
          <w:sz w:val="24"/>
          <w:szCs w:val="24"/>
          <w:highlight w:val="none"/>
        </w:rPr>
        <w:t>38.3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r>
        <w:rPr>
          <w:rStyle w:val="21"/>
          <w:rFonts w:ascii="宋体" w:hAnsi="宋体" w:cs="宋体"/>
          <w:color w:val="auto"/>
          <w:sz w:val="24"/>
          <w:szCs w:val="24"/>
          <w:highlight w:val="none"/>
        </w:rPr>
        <w:br w:type="page"/>
      </w:r>
      <w:r>
        <w:rPr>
          <w:rStyle w:val="21"/>
          <w:rFonts w:hint="eastAsia" w:ascii="宋体" w:hAnsi="宋体" w:cs="宋体"/>
          <w:b/>
          <w:color w:val="auto"/>
          <w:sz w:val="36"/>
          <w:highlight w:val="none"/>
        </w:rPr>
        <w:t>第三部</w:t>
      </w:r>
      <w:r>
        <w:rPr>
          <w:rStyle w:val="21"/>
          <w:rFonts w:hint="eastAsia" w:ascii="宋体" w:hAnsi="宋体" w:cs="宋体"/>
          <w:b/>
          <w:color w:val="auto"/>
          <w:sz w:val="36"/>
          <w:highlight w:val="none"/>
          <w:lang w:val="en-US" w:eastAsia="zh-CN"/>
        </w:rPr>
        <w:t xml:space="preserve">  </w:t>
      </w:r>
      <w:r>
        <w:rPr>
          <w:rStyle w:val="21"/>
          <w:rFonts w:hint="eastAsia" w:ascii="宋体" w:hAnsi="宋体" w:cs="宋体"/>
          <w:b/>
          <w:color w:val="auto"/>
          <w:sz w:val="36"/>
          <w:highlight w:val="none"/>
        </w:rPr>
        <w:t>分采购需求</w:t>
      </w:r>
    </w:p>
    <w:p>
      <w:pPr>
        <w:keepNext/>
        <w:keepLines/>
        <w:adjustRightInd w:val="0"/>
        <w:snapToGrid w:val="0"/>
        <w:spacing w:line="360" w:lineRule="auto"/>
        <w:ind w:left="432" w:hanging="432"/>
        <w:jc w:val="left"/>
        <w:outlineLvl w:val="0"/>
        <w:rPr>
          <w:rFonts w:ascii="宋体" w:hAnsi="宋体" w:cs="Times New Roman"/>
          <w:b/>
          <w:bCs/>
          <w:color w:val="auto"/>
          <w:kern w:val="44"/>
          <w:szCs w:val="21"/>
          <w:highlight w:val="none"/>
        </w:rPr>
      </w:pPr>
      <w:bookmarkStart w:id="1" w:name="_Toc111025231"/>
      <w:bookmarkStart w:id="2" w:name="_Toc16052"/>
      <w:r>
        <w:rPr>
          <w:rFonts w:hint="eastAsia" w:ascii="宋体" w:hAnsi="宋体" w:cs="Times New Roman"/>
          <w:b/>
          <w:bCs/>
          <w:color w:val="auto"/>
          <w:kern w:val="44"/>
          <w:szCs w:val="21"/>
          <w:highlight w:val="none"/>
        </w:rPr>
        <w:t>1</w:t>
      </w:r>
      <w:r>
        <w:rPr>
          <w:rFonts w:ascii="宋体" w:hAnsi="宋体" w:cs="Times New Roman"/>
          <w:b/>
          <w:bCs/>
          <w:color w:val="auto"/>
          <w:kern w:val="44"/>
          <w:szCs w:val="21"/>
          <w:highlight w:val="none"/>
        </w:rPr>
        <w:t>.</w:t>
      </w:r>
      <w:r>
        <w:rPr>
          <w:rFonts w:hint="eastAsia" w:ascii="宋体" w:hAnsi="宋体" w:cs="Times New Roman"/>
          <w:b/>
          <w:bCs/>
          <w:color w:val="auto"/>
          <w:kern w:val="44"/>
          <w:szCs w:val="21"/>
          <w:highlight w:val="none"/>
        </w:rPr>
        <w:t>项目背景</w:t>
      </w:r>
      <w:bookmarkEnd w:id="1"/>
      <w:bookmarkEnd w:id="2"/>
    </w:p>
    <w:p>
      <w:pPr>
        <w:snapToGrid w:val="0"/>
        <w:spacing w:line="360" w:lineRule="auto"/>
        <w:ind w:firstLine="480" w:firstLineChars="200"/>
        <w:rPr>
          <w:rFonts w:ascii="宋体" w:hAnsi="宋体" w:cs="Times New Roman"/>
          <w:color w:val="auto"/>
          <w:sz w:val="24"/>
          <w:szCs w:val="21"/>
          <w:highlight w:val="none"/>
        </w:rPr>
      </w:pPr>
      <w:r>
        <w:rPr>
          <w:rFonts w:hint="eastAsia" w:ascii="宋体" w:hAnsi="宋体" w:cs="Times New Roman"/>
          <w:color w:val="auto"/>
          <w:sz w:val="24"/>
          <w:szCs w:val="21"/>
          <w:highlight w:val="none"/>
        </w:rPr>
        <w:t>新疆生产建设兵团（以下简称兵团）成立以来特别是改革开放以来，健康领域改革发展取得显著成就，城镇环境面貌明显改善，全民健身运动蓬勃发展，医疗卫生服务体系日益健全，职工群众健康水平和身体素质持续改善。然而，受体制、经济、地理环境等诸多因素的影响,兵团卫生健康事业发展受到一定限制，也给维护和促进健康带来一系列新的挑战，健康服务供给总体不足与需求不断增长之间的矛盾依然突出，健康领域发展与经济社会发展的协调性有待增强，需要从战略层面统筹解决关系健康的重大和长远问题。推进健康兵团建设，提升职工群众健康素质，对全面建成小康社会、基本实现社会主义现代化、推动新疆社会稳定和长治久安具有重要意义。</w:t>
      </w:r>
    </w:p>
    <w:p>
      <w:pPr>
        <w:snapToGrid w:val="0"/>
        <w:spacing w:line="360" w:lineRule="auto"/>
        <w:ind w:firstLine="480" w:firstLineChars="200"/>
        <w:rPr>
          <w:rFonts w:ascii="宋体" w:hAnsi="宋体" w:cs="Times New Roman"/>
          <w:color w:val="auto"/>
          <w:sz w:val="24"/>
          <w:szCs w:val="21"/>
          <w:highlight w:val="none"/>
        </w:rPr>
      </w:pPr>
      <w:r>
        <w:rPr>
          <w:rFonts w:hint="eastAsia" w:ascii="宋体" w:hAnsi="宋体" w:cs="Times New Roman"/>
          <w:color w:val="auto"/>
          <w:sz w:val="24"/>
          <w:szCs w:val="21"/>
          <w:highlight w:val="none"/>
        </w:rPr>
        <w:t>近年来，兵团卫健委积极响应国家《关于进一步推广深化医药卫生体制改革经验的若干意见》、《关于推进医疗联合体建设和发展的指导意见》、《关于促进“互联网+医疗健康”发展的意见》等指导性文件要求，以保障人民健康为核心，加快推进全民健康信息平台建设，以兵团区域医联体/医共体建设为契机，大力发展区域医疗、远程医疗和“互联网+医疗”，整体优化区域医疗资源配置，推动构建分级诊疗和有序就医新秩序，破解群众“看病难”、“看病贵”的现实问题，持续提升医疗卫生公共服务的均等化、普惠化和便捷化水平。</w:t>
      </w:r>
    </w:p>
    <w:p>
      <w:pPr>
        <w:keepNext/>
        <w:keepLines/>
        <w:adjustRightInd w:val="0"/>
        <w:snapToGrid w:val="0"/>
        <w:spacing w:line="360" w:lineRule="auto"/>
        <w:ind w:left="432" w:hanging="432"/>
        <w:jc w:val="left"/>
        <w:outlineLvl w:val="0"/>
        <w:rPr>
          <w:rFonts w:ascii="宋体" w:hAnsi="宋体" w:cs="Times New Roman"/>
          <w:b/>
          <w:bCs/>
          <w:color w:val="auto"/>
          <w:kern w:val="44"/>
          <w:szCs w:val="21"/>
          <w:highlight w:val="none"/>
        </w:rPr>
      </w:pPr>
      <w:bookmarkStart w:id="3" w:name="_Toc111025232"/>
      <w:bookmarkStart w:id="4" w:name="_Toc3327"/>
      <w:r>
        <w:rPr>
          <w:rFonts w:hint="eastAsia" w:ascii="宋体" w:hAnsi="宋体" w:cs="Times New Roman"/>
          <w:b/>
          <w:bCs/>
          <w:color w:val="auto"/>
          <w:kern w:val="44"/>
          <w:szCs w:val="21"/>
          <w:highlight w:val="none"/>
        </w:rPr>
        <w:t>2</w:t>
      </w:r>
      <w:r>
        <w:rPr>
          <w:rFonts w:ascii="宋体" w:hAnsi="宋体" w:cs="Times New Roman"/>
          <w:b/>
          <w:bCs/>
          <w:color w:val="auto"/>
          <w:kern w:val="44"/>
          <w:szCs w:val="21"/>
          <w:highlight w:val="none"/>
        </w:rPr>
        <w:t>.</w:t>
      </w:r>
      <w:r>
        <w:rPr>
          <w:rFonts w:hint="eastAsia" w:ascii="宋体" w:hAnsi="宋体" w:cs="Times New Roman"/>
          <w:b/>
          <w:bCs/>
          <w:color w:val="auto"/>
          <w:kern w:val="44"/>
          <w:szCs w:val="21"/>
          <w:highlight w:val="none"/>
        </w:rPr>
        <w:t>信息化现状</w:t>
      </w:r>
      <w:bookmarkEnd w:id="3"/>
      <w:bookmarkEnd w:id="4"/>
    </w:p>
    <w:p>
      <w:pPr>
        <w:snapToGrid w:val="0"/>
        <w:spacing w:line="360" w:lineRule="auto"/>
        <w:ind w:firstLine="480" w:firstLineChars="200"/>
        <w:rPr>
          <w:rFonts w:ascii="宋体" w:hAnsi="宋体" w:cs="Times New Roman"/>
          <w:color w:val="auto"/>
          <w:sz w:val="24"/>
          <w:szCs w:val="21"/>
          <w:highlight w:val="none"/>
        </w:rPr>
      </w:pPr>
      <w:r>
        <w:rPr>
          <w:rFonts w:hint="eastAsia" w:ascii="宋体" w:hAnsi="宋体" w:cs="Times New Roman"/>
          <w:color w:val="auto"/>
          <w:sz w:val="24"/>
          <w:szCs w:val="21"/>
          <w:highlight w:val="none"/>
        </w:rPr>
        <w:t>兵团卫健委组织相关部门编制了《新疆生产建设兵团省统筹全民健康信息平台建设方案》，于2</w:t>
      </w:r>
      <w:r>
        <w:rPr>
          <w:rFonts w:ascii="宋体" w:hAnsi="宋体" w:cs="Times New Roman"/>
          <w:color w:val="auto"/>
          <w:sz w:val="24"/>
          <w:szCs w:val="21"/>
          <w:highlight w:val="none"/>
        </w:rPr>
        <w:t>019</w:t>
      </w:r>
      <w:r>
        <w:rPr>
          <w:rFonts w:hint="eastAsia" w:ascii="宋体" w:hAnsi="宋体" w:cs="Times New Roman"/>
          <w:color w:val="auto"/>
          <w:sz w:val="24"/>
          <w:szCs w:val="21"/>
          <w:highlight w:val="none"/>
        </w:rPr>
        <w:t>年</w:t>
      </w:r>
      <w:r>
        <w:rPr>
          <w:rFonts w:ascii="宋体" w:hAnsi="宋体" w:cs="Times New Roman"/>
          <w:color w:val="auto"/>
          <w:sz w:val="24"/>
          <w:szCs w:val="21"/>
          <w:highlight w:val="none"/>
        </w:rPr>
        <w:t>11</w:t>
      </w:r>
      <w:r>
        <w:rPr>
          <w:rFonts w:hint="eastAsia" w:ascii="宋体" w:hAnsi="宋体" w:cs="Times New Roman"/>
          <w:color w:val="auto"/>
          <w:sz w:val="24"/>
          <w:szCs w:val="21"/>
          <w:highlight w:val="none"/>
        </w:rPr>
        <w:t>月启动了兵团全民健康信息平台一期建设，在全兵团已有卫生计生信息化资源的基础上，结合电子政务网、计生业务网、卫生业务网、互联网等，制定标准规范体系及安全保障体系，通过建设兵团级全民健康信息平台，开发相关应用系统，</w:t>
      </w:r>
      <w:r>
        <w:rPr>
          <w:rFonts w:hint="eastAsia" w:ascii="宋体" w:hAnsi="宋体" w:cs="Times New Roman"/>
          <w:color w:val="auto"/>
          <w:sz w:val="24"/>
          <w:highlight w:val="none"/>
        </w:rPr>
        <w:t>初步建成</w:t>
      </w:r>
      <w:r>
        <w:rPr>
          <w:rFonts w:ascii="宋体" w:hAnsi="宋体" w:cs="Times New Roman"/>
          <w:color w:val="auto"/>
          <w:sz w:val="24"/>
          <w:highlight w:val="none"/>
        </w:rPr>
        <w:t>1个全民健康信息平台、2套标准规范体系、5类应用系统（诊疗信息共享系统、卫生综合管理系统、基层云HIS+EMR系统、基层云公卫系统、全民健康体检系统）</w:t>
      </w:r>
      <w:r>
        <w:rPr>
          <w:rFonts w:hint="eastAsia" w:ascii="宋体" w:hAnsi="宋体" w:cs="Times New Roman"/>
          <w:b/>
          <w:bCs/>
          <w:color w:val="auto"/>
          <w:sz w:val="24"/>
          <w:szCs w:val="21"/>
          <w:highlight w:val="none"/>
        </w:rPr>
        <w:t>，</w:t>
      </w:r>
      <w:r>
        <w:rPr>
          <w:rFonts w:hint="eastAsia" w:ascii="宋体" w:hAnsi="宋体" w:cs="Times New Roman"/>
          <w:bCs/>
          <w:color w:val="auto"/>
          <w:sz w:val="24"/>
          <w:szCs w:val="21"/>
          <w:highlight w:val="none"/>
        </w:rPr>
        <w:t>为区域医疗数据共享奠定了平台基础。</w:t>
      </w:r>
    </w:p>
    <w:p>
      <w:pPr>
        <w:snapToGrid w:val="0"/>
        <w:spacing w:line="360" w:lineRule="auto"/>
        <w:ind w:firstLine="420"/>
        <w:rPr>
          <w:rFonts w:ascii="宋体" w:hAnsi="宋体" w:cs="Times New Roman"/>
          <w:color w:val="auto"/>
          <w:sz w:val="24"/>
          <w:szCs w:val="21"/>
          <w:highlight w:val="none"/>
        </w:rPr>
      </w:pPr>
      <w:r>
        <w:rPr>
          <w:rFonts w:hint="eastAsia" w:ascii="宋体" w:hAnsi="宋体" w:cs="Times New Roman"/>
          <w:color w:val="auto"/>
          <w:sz w:val="24"/>
          <w:szCs w:val="21"/>
          <w:highlight w:val="none"/>
        </w:rPr>
        <w:t>2</w:t>
      </w:r>
      <w:r>
        <w:rPr>
          <w:rFonts w:ascii="宋体" w:hAnsi="宋体" w:cs="Times New Roman"/>
          <w:color w:val="auto"/>
          <w:sz w:val="24"/>
          <w:szCs w:val="21"/>
          <w:highlight w:val="none"/>
        </w:rPr>
        <w:t>020</w:t>
      </w:r>
      <w:r>
        <w:rPr>
          <w:rFonts w:hint="eastAsia" w:ascii="宋体" w:hAnsi="宋体" w:cs="Times New Roman"/>
          <w:color w:val="auto"/>
          <w:sz w:val="24"/>
          <w:szCs w:val="21"/>
          <w:highlight w:val="none"/>
        </w:rPr>
        <w:t>年1</w:t>
      </w:r>
      <w:r>
        <w:rPr>
          <w:rFonts w:ascii="宋体" w:hAnsi="宋体" w:cs="Times New Roman"/>
          <w:color w:val="auto"/>
          <w:sz w:val="24"/>
          <w:szCs w:val="21"/>
          <w:highlight w:val="none"/>
        </w:rPr>
        <w:t>0</w:t>
      </w:r>
      <w:r>
        <w:rPr>
          <w:rFonts w:hint="eastAsia" w:ascii="宋体" w:hAnsi="宋体" w:cs="Times New Roman"/>
          <w:color w:val="auto"/>
          <w:sz w:val="24"/>
          <w:szCs w:val="21"/>
          <w:highlight w:val="none"/>
        </w:rPr>
        <w:t>月，启动兵团全民健康信息系统二期项目，重点建设居民电子健康卡管理平台，加快推进电子健康卡在兵团的普及应用；建设医联体区域诊疗中心系统和区域医疗系统，整体提升了兵团乌鲁木齐区域医联体中心医院的信息化水平，实现了兵团乌鲁木齐区域医联体内上下级医疗机构间业务协同，并依托全民健康信息平台实现跨机构、跨层级的诊疗信息共享，促进优质医疗资源下沉；建设了兵团医联体区域医院信息系统软件，提速了兵团乌鲁木齐区域医联体中心医院的高质量发展和数字化转型；建设完善了健康新疆兵团智慧医疗应用，提供在线问诊、诊间结算、移动支付、检查检验报告查询、健康档案查询、健康管理等便民惠民服务，方便群众就医，减少人群现场聚集。</w:t>
      </w:r>
    </w:p>
    <w:p>
      <w:pPr>
        <w:keepNext/>
        <w:keepLines/>
        <w:adjustRightInd w:val="0"/>
        <w:snapToGrid w:val="0"/>
        <w:spacing w:line="360" w:lineRule="auto"/>
        <w:ind w:left="432" w:hanging="432"/>
        <w:jc w:val="left"/>
        <w:outlineLvl w:val="0"/>
        <w:rPr>
          <w:rFonts w:ascii="宋体" w:hAnsi="宋体" w:cs="Times New Roman"/>
          <w:b/>
          <w:bCs/>
          <w:color w:val="auto"/>
          <w:kern w:val="44"/>
          <w:szCs w:val="21"/>
          <w:highlight w:val="none"/>
        </w:rPr>
      </w:pPr>
      <w:bookmarkStart w:id="5" w:name="_Toc111025233"/>
      <w:bookmarkStart w:id="6" w:name="_Toc2472"/>
      <w:r>
        <w:rPr>
          <w:rFonts w:hint="eastAsia" w:ascii="宋体" w:hAnsi="宋体" w:cs="Times New Roman"/>
          <w:b/>
          <w:bCs/>
          <w:color w:val="auto"/>
          <w:kern w:val="44"/>
          <w:szCs w:val="21"/>
          <w:highlight w:val="none"/>
        </w:rPr>
        <w:t>3</w:t>
      </w:r>
      <w:r>
        <w:rPr>
          <w:rFonts w:ascii="宋体" w:hAnsi="宋体" w:cs="Times New Roman"/>
          <w:b/>
          <w:bCs/>
          <w:color w:val="auto"/>
          <w:kern w:val="44"/>
          <w:szCs w:val="21"/>
          <w:highlight w:val="none"/>
        </w:rPr>
        <w:t>.</w:t>
      </w:r>
      <w:r>
        <w:rPr>
          <w:rFonts w:hint="eastAsia" w:ascii="宋体" w:hAnsi="宋体" w:cs="Times New Roman"/>
          <w:b/>
          <w:bCs/>
          <w:color w:val="auto"/>
          <w:kern w:val="44"/>
          <w:szCs w:val="21"/>
          <w:highlight w:val="none"/>
        </w:rPr>
        <w:t>项目建设目标</w:t>
      </w:r>
      <w:bookmarkEnd w:id="5"/>
      <w:bookmarkEnd w:id="6"/>
    </w:p>
    <w:p>
      <w:pPr>
        <w:snapToGrid w:val="0"/>
        <w:spacing w:line="360" w:lineRule="auto"/>
        <w:ind w:firstLine="420"/>
        <w:rPr>
          <w:rFonts w:ascii="宋体" w:hAnsi="宋体" w:cs="Times New Roman"/>
          <w:color w:val="auto"/>
          <w:sz w:val="24"/>
          <w:szCs w:val="21"/>
          <w:highlight w:val="none"/>
        </w:rPr>
      </w:pPr>
      <w:r>
        <w:rPr>
          <w:rFonts w:hint="eastAsia" w:ascii="宋体" w:hAnsi="宋体" w:cs="仿宋"/>
          <w:color w:val="auto"/>
          <w:sz w:val="24"/>
          <w:szCs w:val="21"/>
          <w:highlight w:val="none"/>
        </w:rPr>
        <w:t>按照国家卫生健康委员会发布的《医院信息化建设应用技术指引</w:t>
      </w:r>
      <w:r>
        <w:rPr>
          <w:rFonts w:ascii="宋体" w:hAnsi="宋体" w:cs="仿宋"/>
          <w:color w:val="auto"/>
          <w:sz w:val="24"/>
          <w:szCs w:val="21"/>
          <w:highlight w:val="none"/>
        </w:rPr>
        <w:t>2017年版（试行）</w:t>
      </w:r>
      <w:r>
        <w:rPr>
          <w:rFonts w:hint="eastAsia" w:ascii="宋体" w:hAnsi="宋体" w:cs="仿宋"/>
          <w:color w:val="auto"/>
          <w:sz w:val="24"/>
          <w:szCs w:val="21"/>
          <w:highlight w:val="none"/>
        </w:rPr>
        <w:t>》和《全国医院信息化建设标准与规范</w:t>
      </w:r>
      <w:r>
        <w:rPr>
          <w:rFonts w:ascii="宋体" w:hAnsi="宋体" w:cs="仿宋"/>
          <w:color w:val="auto"/>
          <w:sz w:val="24"/>
          <w:szCs w:val="21"/>
          <w:highlight w:val="none"/>
        </w:rPr>
        <w:t>2018</w:t>
      </w:r>
      <w:r>
        <w:rPr>
          <w:rFonts w:hint="eastAsia" w:ascii="宋体" w:hAnsi="宋体" w:cs="仿宋"/>
          <w:color w:val="auto"/>
          <w:sz w:val="24"/>
          <w:szCs w:val="21"/>
          <w:highlight w:val="none"/>
        </w:rPr>
        <w:t>年版</w:t>
      </w:r>
      <w:r>
        <w:rPr>
          <w:rFonts w:ascii="宋体" w:hAnsi="宋体" w:cs="仿宋"/>
          <w:color w:val="auto"/>
          <w:sz w:val="24"/>
          <w:szCs w:val="21"/>
          <w:highlight w:val="none"/>
        </w:rPr>
        <w:t>（</w:t>
      </w:r>
      <w:r>
        <w:rPr>
          <w:rFonts w:hint="eastAsia" w:ascii="宋体" w:hAnsi="宋体" w:cs="仿宋"/>
          <w:color w:val="auto"/>
          <w:sz w:val="24"/>
          <w:szCs w:val="21"/>
          <w:highlight w:val="none"/>
        </w:rPr>
        <w:t>试行</w:t>
      </w:r>
      <w:r>
        <w:rPr>
          <w:rFonts w:ascii="宋体" w:hAnsi="宋体" w:cs="仿宋"/>
          <w:color w:val="auto"/>
          <w:sz w:val="24"/>
          <w:szCs w:val="21"/>
          <w:highlight w:val="none"/>
        </w:rPr>
        <w:t>）</w:t>
      </w:r>
      <w:r>
        <w:rPr>
          <w:rFonts w:hint="eastAsia" w:ascii="宋体" w:hAnsi="宋体" w:cs="仿宋"/>
          <w:color w:val="auto"/>
          <w:sz w:val="24"/>
          <w:szCs w:val="21"/>
          <w:highlight w:val="none"/>
        </w:rPr>
        <w:t>》等规范指引，</w:t>
      </w:r>
      <w:r>
        <w:rPr>
          <w:rFonts w:hint="eastAsia" w:cs="仿宋"/>
          <w:color w:val="auto"/>
          <w:sz w:val="24"/>
          <w:highlight w:val="none"/>
        </w:rPr>
        <w:t>以三级公立医院达到国家电子病历系统应用水平六级和医院信息互联互通标准化成熟度测评五级乙等，二级公立医院达到国家电子病历系统应用水平五级和医院信息互联互通标准化成熟度测评四级甲等为目标，在兵团范围内全面实施</w:t>
      </w:r>
      <w:r>
        <w:rPr>
          <w:rFonts w:hint="eastAsia" w:cs="Times New Roman"/>
          <w:color w:val="auto"/>
          <w:sz w:val="24"/>
          <w:highlight w:val="none"/>
        </w:rPr>
        <w:t>师域医共体信息化建设。</w:t>
      </w:r>
      <w:r>
        <w:rPr>
          <w:rFonts w:hint="eastAsia" w:ascii="宋体" w:hAnsi="宋体" w:cs="仿宋"/>
          <w:color w:val="auto"/>
          <w:sz w:val="24"/>
          <w:szCs w:val="21"/>
          <w:highlight w:val="none"/>
        </w:rPr>
        <w:t>同时，依托已建成的兵团全民健康信息平台及相关应用，</w:t>
      </w:r>
      <w:r>
        <w:rPr>
          <w:rFonts w:hint="eastAsia" w:ascii="宋体" w:hAnsi="宋体" w:cs="Times New Roman"/>
          <w:color w:val="auto"/>
          <w:sz w:val="24"/>
          <w:szCs w:val="21"/>
          <w:highlight w:val="none"/>
        </w:rPr>
        <w:t>全面整合跨机构的医疗、公共卫生、健康监测等信息，构建整合型医疗服务体系。对比应用区域医疗质量指标，持续监测与管理医疗安全与质量水平，不断提升区域医疗服务能力和服务水平。具体目标包括：</w:t>
      </w:r>
    </w:p>
    <w:p>
      <w:pPr>
        <w:numPr>
          <w:ilvl w:val="0"/>
          <w:numId w:val="3"/>
        </w:numPr>
        <w:snapToGrid w:val="0"/>
        <w:spacing w:line="360" w:lineRule="auto"/>
        <w:rPr>
          <w:rFonts w:ascii="宋体" w:hAnsi="宋体" w:cs="Times New Roman"/>
          <w:b/>
          <w:color w:val="auto"/>
          <w:sz w:val="24"/>
          <w:szCs w:val="24"/>
          <w:highlight w:val="none"/>
        </w:rPr>
      </w:pPr>
      <w:r>
        <w:rPr>
          <w:rFonts w:hint="eastAsia" w:ascii="宋体" w:hAnsi="宋体" w:cs="Times New Roman"/>
          <w:color w:val="auto"/>
          <w:sz w:val="24"/>
          <w:szCs w:val="24"/>
          <w:highlight w:val="none"/>
        </w:rPr>
        <w:t>能够实现医共体内资源的统一调度与管理，为患者、临床医务人员、管理者提供全面的信息支撑服务，更加智慧的决策支持；</w:t>
      </w:r>
    </w:p>
    <w:p>
      <w:pPr>
        <w:numPr>
          <w:ilvl w:val="0"/>
          <w:numId w:val="3"/>
        </w:numPr>
        <w:snapToGrid w:val="0"/>
        <w:spacing w:line="360" w:lineRule="auto"/>
        <w:rPr>
          <w:rFonts w:ascii="宋体" w:hAnsi="宋体" w:cs="Times New Roman"/>
          <w:b/>
          <w:color w:val="auto"/>
          <w:sz w:val="24"/>
          <w:szCs w:val="24"/>
          <w:highlight w:val="none"/>
        </w:rPr>
      </w:pPr>
      <w:r>
        <w:rPr>
          <w:rFonts w:hint="eastAsia" w:ascii="宋体" w:hAnsi="宋体" w:cs="Times New Roman"/>
          <w:color w:val="auto"/>
          <w:sz w:val="24"/>
          <w:szCs w:val="24"/>
          <w:highlight w:val="none"/>
        </w:rPr>
        <w:t>能够提高患者服务水平、简化就医流程，有效改善患者就医体验；</w:t>
      </w:r>
    </w:p>
    <w:p>
      <w:pPr>
        <w:numPr>
          <w:ilvl w:val="0"/>
          <w:numId w:val="3"/>
        </w:numPr>
        <w:snapToGrid w:val="0"/>
        <w:spacing w:line="360" w:lineRule="auto"/>
        <w:rPr>
          <w:rFonts w:ascii="宋体" w:hAnsi="宋体" w:cs="Times New Roman"/>
          <w:b/>
          <w:color w:val="auto"/>
          <w:sz w:val="24"/>
          <w:szCs w:val="24"/>
          <w:highlight w:val="none"/>
        </w:rPr>
      </w:pPr>
      <w:r>
        <w:rPr>
          <w:rFonts w:hint="eastAsia" w:ascii="宋体" w:hAnsi="宋体" w:cs="Times New Roman"/>
          <w:color w:val="auto"/>
          <w:sz w:val="24"/>
          <w:szCs w:val="24"/>
          <w:highlight w:val="none"/>
        </w:rPr>
        <w:t>能够实现医共体内医疗业务全流程闭环管理，提高医护人员诊疗技术和业务服务水平，提高医疗质量的同时降低医疗不良事件发生率；</w:t>
      </w:r>
    </w:p>
    <w:p>
      <w:pPr>
        <w:numPr>
          <w:ilvl w:val="0"/>
          <w:numId w:val="3"/>
        </w:numPr>
        <w:snapToGrid w:val="0"/>
        <w:spacing w:line="360" w:lineRule="auto"/>
        <w:rPr>
          <w:rFonts w:ascii="宋体" w:hAnsi="宋体" w:cs="Times New Roman"/>
          <w:b/>
          <w:color w:val="auto"/>
          <w:sz w:val="24"/>
          <w:szCs w:val="24"/>
          <w:highlight w:val="none"/>
        </w:rPr>
      </w:pPr>
      <w:r>
        <w:rPr>
          <w:rFonts w:hint="eastAsia" w:ascii="宋体" w:hAnsi="宋体" w:cs="Times New Roman"/>
          <w:color w:val="auto"/>
          <w:sz w:val="24"/>
          <w:szCs w:val="24"/>
          <w:highlight w:val="none"/>
        </w:rPr>
        <w:t>能够规范医共体内相关业务、优化业务流程、加快信息共享流通效率，提供高级别的医疗决策支持；</w:t>
      </w:r>
    </w:p>
    <w:p>
      <w:pPr>
        <w:numPr>
          <w:ilvl w:val="0"/>
          <w:numId w:val="3"/>
        </w:numPr>
        <w:snapToGrid w:val="0"/>
        <w:spacing w:line="360" w:lineRule="auto"/>
        <w:rPr>
          <w:rFonts w:ascii="宋体" w:hAnsi="宋体" w:cs="Times New Roman"/>
          <w:b/>
          <w:color w:val="auto"/>
          <w:sz w:val="24"/>
          <w:szCs w:val="24"/>
          <w:highlight w:val="none"/>
        </w:rPr>
      </w:pPr>
      <w:r>
        <w:rPr>
          <w:rFonts w:hint="eastAsia" w:ascii="宋体" w:hAnsi="宋体" w:cs="Times New Roman"/>
          <w:color w:val="auto"/>
          <w:sz w:val="24"/>
          <w:szCs w:val="24"/>
          <w:highlight w:val="none"/>
        </w:rPr>
        <w:t>能够加强医共体内部管理、全面利用医疗信息化进行医疗安全和质量管控，整合跨机构的医疗、健康数据，实现医疗安全和质量的全面提升和持续改进，提高医共体的运营能力，提升医疗质量和服务水平的同时降低运营成本。</w:t>
      </w:r>
    </w:p>
    <w:p>
      <w:pPr>
        <w:snapToGrid w:val="0"/>
        <w:spacing w:line="360" w:lineRule="auto"/>
        <w:ind w:firstLine="480"/>
        <w:rPr>
          <w:rFonts w:ascii="宋体" w:hAnsi="宋体" w:cs="Times New Roman"/>
          <w:color w:val="auto"/>
          <w:sz w:val="24"/>
          <w:szCs w:val="24"/>
          <w:highlight w:val="none"/>
        </w:rPr>
      </w:pPr>
      <w:r>
        <w:rPr>
          <w:rFonts w:hint="eastAsia" w:ascii="宋体" w:hAnsi="宋体" w:cs="仿宋"/>
          <w:color w:val="auto"/>
          <w:sz w:val="24"/>
          <w:szCs w:val="21"/>
          <w:highlight w:val="none"/>
        </w:rPr>
        <w:t>项目</w:t>
      </w:r>
      <w:r>
        <w:rPr>
          <w:rFonts w:hint="eastAsia" w:ascii="宋体" w:hAnsi="宋体" w:cs="Times New Roman"/>
          <w:color w:val="auto"/>
          <w:sz w:val="24"/>
          <w:szCs w:val="24"/>
          <w:highlight w:val="none"/>
        </w:rPr>
        <w:t>符合现有全民健康信息平台标准规范与安全规范的要求，参照国家医院重点业务数据互联互通标准，同步开展各业务系统前置数据标准库建设，为汇聚健康医疗大数据奠定基础。</w:t>
      </w:r>
    </w:p>
    <w:p>
      <w:pPr>
        <w:snapToGrid w:val="0"/>
        <w:spacing w:line="360" w:lineRule="auto"/>
        <w:ind w:firstLine="480"/>
        <w:rPr>
          <w:color w:val="auto"/>
          <w:highlight w:val="none"/>
        </w:rPr>
      </w:pPr>
      <w:r>
        <w:rPr>
          <w:rFonts w:hint="eastAsia" w:ascii="宋体" w:hAnsi="宋体" w:cs="Times New Roman"/>
          <w:color w:val="auto"/>
          <w:sz w:val="24"/>
          <w:szCs w:val="24"/>
          <w:highlight w:val="none"/>
        </w:rPr>
        <w:t>本次项目计划实施范围为不少于15家兵团二、三级医院，招标文件中采购预算为单家医院的实施费用，招标文件中“项目采购清单”、“技术要求”、“技术条款及其他相关要求”章节对单家医院的建设内容、实施周期、实施人员及其他方面做出明确要求，适用于全部兵团二、三级医院。</w:t>
      </w:r>
    </w:p>
    <w:p>
      <w:pPr>
        <w:keepNext/>
        <w:keepLines/>
        <w:snapToGrid w:val="0"/>
        <w:spacing w:line="360" w:lineRule="auto"/>
        <w:outlineLvl w:val="0"/>
        <w:rPr>
          <w:rFonts w:ascii="宋体" w:hAnsi="宋体" w:cs="Times New Roman"/>
          <w:b/>
          <w:bCs/>
          <w:color w:val="auto"/>
          <w:kern w:val="44"/>
          <w:szCs w:val="21"/>
          <w:highlight w:val="none"/>
          <w:lang w:val="zh-CN"/>
        </w:rPr>
      </w:pPr>
      <w:bookmarkStart w:id="7" w:name="_Toc111025234"/>
      <w:r>
        <w:rPr>
          <w:rFonts w:ascii="宋体" w:hAnsi="宋体" w:cs="Times New Roman"/>
          <w:b/>
          <w:bCs/>
          <w:color w:val="auto"/>
          <w:kern w:val="44"/>
          <w:szCs w:val="21"/>
          <w:highlight w:val="none"/>
          <w:lang w:val="zh-CN"/>
        </w:rPr>
        <w:t>4</w:t>
      </w:r>
      <w:r>
        <w:rPr>
          <w:rFonts w:hint="eastAsia" w:ascii="宋体" w:hAnsi="宋体" w:cs="Times New Roman"/>
          <w:b/>
          <w:bCs/>
          <w:color w:val="auto"/>
          <w:kern w:val="44"/>
          <w:szCs w:val="21"/>
          <w:highlight w:val="none"/>
          <w:lang w:val="zh-CN"/>
        </w:rPr>
        <w:t>.项目采购清单</w:t>
      </w:r>
      <w:bookmarkEnd w:id="7"/>
    </w:p>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项目采购内容如下：</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134"/>
        <w:gridCol w:w="1844"/>
        <w:gridCol w:w="3265"/>
        <w:gridCol w:w="72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480" w:type="pct"/>
            <w:shd w:val="clear" w:color="auto" w:fill="F2F2F2"/>
            <w:vAlign w:val="bottom"/>
          </w:tcPr>
          <w:p>
            <w:pPr>
              <w:snapToGrid w:val="0"/>
              <w:spacing w:line="360" w:lineRule="auto"/>
              <w:jc w:val="center"/>
              <w:rPr>
                <w:rFonts w:ascii="宋体" w:hAnsi="宋体" w:cs="Times New Roman"/>
                <w:b/>
                <w:color w:val="auto"/>
                <w:sz w:val="24"/>
                <w:szCs w:val="21"/>
                <w:highlight w:val="none"/>
              </w:rPr>
            </w:pPr>
            <w:r>
              <w:rPr>
                <w:rFonts w:hint="eastAsia" w:ascii="宋体" w:hAnsi="宋体" w:cs="Times New Roman"/>
                <w:b/>
                <w:color w:val="auto"/>
                <w:sz w:val="24"/>
                <w:szCs w:val="21"/>
                <w:highlight w:val="none"/>
              </w:rPr>
              <w:t>序号</w:t>
            </w:r>
          </w:p>
        </w:tc>
        <w:tc>
          <w:tcPr>
            <w:tcW w:w="3660" w:type="pct"/>
            <w:gridSpan w:val="3"/>
            <w:shd w:val="clear" w:color="auto" w:fill="F2F2F2"/>
            <w:vAlign w:val="center"/>
          </w:tcPr>
          <w:p>
            <w:pPr>
              <w:snapToGrid w:val="0"/>
              <w:spacing w:line="360" w:lineRule="auto"/>
              <w:jc w:val="center"/>
              <w:rPr>
                <w:rFonts w:ascii="宋体" w:hAnsi="宋体" w:cs="Times New Roman"/>
                <w:b/>
                <w:color w:val="auto"/>
                <w:sz w:val="24"/>
                <w:szCs w:val="21"/>
                <w:highlight w:val="none"/>
              </w:rPr>
            </w:pPr>
            <w:r>
              <w:rPr>
                <w:rFonts w:hint="eastAsia" w:ascii="宋体" w:hAnsi="宋体" w:cs="Times New Roman"/>
                <w:b/>
                <w:color w:val="auto"/>
                <w:sz w:val="24"/>
                <w:szCs w:val="21"/>
                <w:highlight w:val="none"/>
              </w:rPr>
              <w:t>采购内容</w:t>
            </w:r>
          </w:p>
        </w:tc>
        <w:tc>
          <w:tcPr>
            <w:tcW w:w="423" w:type="pct"/>
            <w:shd w:val="clear" w:color="auto" w:fill="F2F2F2"/>
            <w:vAlign w:val="bottom"/>
          </w:tcPr>
          <w:p>
            <w:pPr>
              <w:snapToGrid w:val="0"/>
              <w:spacing w:line="360" w:lineRule="auto"/>
              <w:jc w:val="center"/>
              <w:rPr>
                <w:rFonts w:ascii="宋体" w:hAnsi="宋体" w:cs="Times New Roman"/>
                <w:b/>
                <w:color w:val="auto"/>
                <w:sz w:val="24"/>
                <w:szCs w:val="21"/>
                <w:highlight w:val="none"/>
              </w:rPr>
            </w:pPr>
            <w:r>
              <w:rPr>
                <w:rFonts w:hint="eastAsia" w:ascii="宋体" w:hAnsi="宋体" w:cs="Times New Roman"/>
                <w:b/>
                <w:color w:val="auto"/>
                <w:sz w:val="24"/>
                <w:szCs w:val="21"/>
                <w:highlight w:val="none"/>
              </w:rPr>
              <w:t>数量</w:t>
            </w:r>
          </w:p>
        </w:tc>
        <w:tc>
          <w:tcPr>
            <w:tcW w:w="437" w:type="pct"/>
            <w:shd w:val="clear" w:color="auto" w:fill="F2F2F2"/>
            <w:vAlign w:val="bottom"/>
          </w:tcPr>
          <w:p>
            <w:pPr>
              <w:snapToGrid w:val="0"/>
              <w:spacing w:line="360" w:lineRule="auto"/>
              <w:jc w:val="center"/>
              <w:rPr>
                <w:rFonts w:ascii="宋体" w:hAnsi="宋体" w:cs="Times New Roman"/>
                <w:b/>
                <w:color w:val="auto"/>
                <w:sz w:val="24"/>
                <w:szCs w:val="21"/>
                <w:highlight w:val="none"/>
              </w:rPr>
            </w:pPr>
            <w:r>
              <w:rPr>
                <w:rFonts w:hint="eastAsia" w:ascii="宋体" w:hAnsi="宋体" w:cs="Times New Roman"/>
                <w:b/>
                <w:color w:val="auto"/>
                <w:sz w:val="24"/>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restar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新疆生产建设兵团各师市医联体医共体师级医院信息系统实施项目H</w:t>
            </w:r>
            <w:r>
              <w:rPr>
                <w:rFonts w:ascii="宋体" w:hAnsi="宋体" w:cs="Times New Roman"/>
                <w:color w:val="auto"/>
                <w:sz w:val="24"/>
                <w:szCs w:val="21"/>
                <w:highlight w:val="none"/>
              </w:rPr>
              <w:t>IS/EMR</w:t>
            </w:r>
            <w:r>
              <w:rPr>
                <w:rFonts w:hint="eastAsia" w:ascii="宋体" w:hAnsi="宋体" w:cs="Times New Roman"/>
                <w:color w:val="auto"/>
                <w:sz w:val="24"/>
                <w:szCs w:val="21"/>
                <w:highlight w:val="none"/>
              </w:rPr>
              <w:t>及配套应用</w:t>
            </w:r>
          </w:p>
        </w:tc>
        <w:tc>
          <w:tcPr>
            <w:tcW w:w="1081" w:type="pct"/>
            <w:vMerge w:val="restar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基础信息管理系统</w:t>
            </w: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系统配置管理</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门急诊护士工作站</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门急诊预约挂号系统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门急诊输液系统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门急诊医生工作站</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门诊分诊系统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急诊预检分诊系统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急诊留观系统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院内急救信息管理系统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住院出入转管理系统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住院医生工作站</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住院护士工作站</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日间手术管理系统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会诊管理系统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入院问询评估系统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预住院管理系统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入院准备中心</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床位管理中心</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门急划价收费系统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住院收费系统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财务结算管理系统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就诊卡管理系统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医技收费管理系统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门急诊药房管理系统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住院药房管理系统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药库管理系统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排队呼叫管理系统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病案管理系统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restar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电子病历管理</w:t>
            </w: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门急诊电子病历系统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住院电子病历系统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护理电子病历系统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病案数据质控系统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restar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医疗质量管理</w:t>
            </w: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疾病报卡管理系统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危急值管理系统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不良事件上报系统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临床路径与单病种质控</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医院感染监控管理系统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V</w:t>
            </w:r>
            <w:r>
              <w:rPr>
                <w:rFonts w:ascii="宋体" w:hAnsi="宋体" w:cs="Times New Roman"/>
                <w:color w:val="auto"/>
                <w:sz w:val="24"/>
                <w:szCs w:val="21"/>
                <w:highlight w:val="none"/>
              </w:rPr>
              <w:t>TE</w:t>
            </w:r>
            <w:r>
              <w:rPr>
                <w:rFonts w:hint="eastAsia" w:ascii="宋体" w:hAnsi="宋体" w:cs="Times New Roman"/>
                <w:color w:val="auto"/>
                <w:sz w:val="24"/>
                <w:szCs w:val="21"/>
                <w:highlight w:val="none"/>
              </w:rPr>
              <w:t>防治系统</w:t>
            </w:r>
          </w:p>
        </w:tc>
        <w:tc>
          <w:tcPr>
            <w:tcW w:w="423" w:type="pct"/>
            <w:vAlign w:val="bottom"/>
          </w:tcPr>
          <w:p>
            <w:pPr>
              <w:snapToGrid w:val="0"/>
              <w:spacing w:line="360" w:lineRule="auto"/>
              <w:jc w:val="center"/>
              <w:rPr>
                <w:rFonts w:ascii="宋体" w:hAnsi="宋体" w:cs="Times New Roman"/>
                <w:color w:val="auto"/>
                <w:sz w:val="24"/>
                <w:szCs w:val="21"/>
                <w:highlight w:val="none"/>
              </w:rPr>
            </w:pPr>
          </w:p>
        </w:tc>
        <w:tc>
          <w:tcPr>
            <w:tcW w:w="437" w:type="pct"/>
            <w:vAlign w:val="bottom"/>
          </w:tcPr>
          <w:p>
            <w:pPr>
              <w:snapToGrid w:val="0"/>
              <w:spacing w:line="360" w:lineRule="auto"/>
              <w:jc w:val="center"/>
              <w:rPr>
                <w:rFonts w:ascii="宋体" w:hAnsi="宋体" w:cs="Times New Roman"/>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restar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药事质控管理</w:t>
            </w: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抗菌药物管理系统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临床事中审方管理系统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合理用药系统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处方点评系统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restar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临床业务管理</w:t>
            </w: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体检管理系统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静脉配置中心管理系统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血库管理系统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用血管理系统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血液净化信息系统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手术麻醉管理系统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手术分级管理系统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重症监护管理系统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临床路径管理系统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restar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移动医疗管理</w:t>
            </w: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移动查房管理</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1081" w:type="pct"/>
            <w:vMerge w:val="continue"/>
            <w:vAlign w:val="center"/>
          </w:tcPr>
          <w:p>
            <w:pPr>
              <w:snapToGrid w:val="0"/>
              <w:spacing w:line="360" w:lineRule="auto"/>
              <w:rPr>
                <w:rFonts w:ascii="宋体" w:hAnsi="宋体" w:cs="Times New Roman"/>
                <w:color w:val="auto"/>
                <w:sz w:val="24"/>
                <w:szCs w:val="21"/>
                <w:highlight w:val="none"/>
              </w:rPr>
            </w:pPr>
          </w:p>
        </w:tc>
        <w:tc>
          <w:tcPr>
            <w:tcW w:w="1914" w:type="pct"/>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移动护理管理</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2995" w:type="pct"/>
            <w:gridSpan w:val="2"/>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治疗管理系统</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2995" w:type="pct"/>
            <w:gridSpan w:val="2"/>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医保管理平台</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2995" w:type="pct"/>
            <w:gridSpan w:val="2"/>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护理管理系统</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2995" w:type="pct"/>
            <w:gridSpan w:val="2"/>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科研教学管理系统</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2995" w:type="pct"/>
            <w:gridSpan w:val="2"/>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医院业务闭环管理系统</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2995" w:type="pct"/>
            <w:gridSpan w:val="2"/>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医院信息集成平台</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2995" w:type="pct"/>
            <w:gridSpan w:val="2"/>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医院管理决策支持系统</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2995" w:type="pct"/>
            <w:gridSpan w:val="2"/>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院内统一预约平台</w:t>
            </w:r>
          </w:p>
        </w:tc>
        <w:tc>
          <w:tcPr>
            <w:tcW w:w="423"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bottom"/>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2995" w:type="pct"/>
            <w:gridSpan w:val="2"/>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数字CA认证签名系统</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0" w:type="pct"/>
            <w:vAlign w:val="bottom"/>
          </w:tcPr>
          <w:p>
            <w:pPr>
              <w:numPr>
                <w:ilvl w:val="0"/>
                <w:numId w:val="4"/>
              </w:numPr>
              <w:snapToGrid w:val="0"/>
              <w:spacing w:line="360" w:lineRule="auto"/>
              <w:jc w:val="center"/>
              <w:rPr>
                <w:rFonts w:ascii="宋体" w:hAnsi="宋体" w:cs="Times New Roman"/>
                <w:color w:val="auto"/>
                <w:sz w:val="24"/>
                <w:szCs w:val="21"/>
                <w:highlight w:val="none"/>
              </w:rPr>
            </w:pPr>
          </w:p>
        </w:tc>
        <w:tc>
          <w:tcPr>
            <w:tcW w:w="665" w:type="pct"/>
            <w:vMerge w:val="continue"/>
            <w:vAlign w:val="center"/>
          </w:tcPr>
          <w:p>
            <w:pPr>
              <w:snapToGrid w:val="0"/>
              <w:spacing w:line="360" w:lineRule="auto"/>
              <w:rPr>
                <w:rFonts w:ascii="宋体" w:hAnsi="宋体" w:cs="Times New Roman"/>
                <w:color w:val="auto"/>
                <w:sz w:val="24"/>
                <w:szCs w:val="21"/>
                <w:highlight w:val="none"/>
              </w:rPr>
            </w:pPr>
          </w:p>
        </w:tc>
        <w:tc>
          <w:tcPr>
            <w:tcW w:w="2995" w:type="pct"/>
            <w:gridSpan w:val="2"/>
            <w:vAlign w:val="center"/>
          </w:tcPr>
          <w:p>
            <w:pPr>
              <w:snapToGrid w:val="0"/>
              <w:spacing w:line="360" w:lineRule="auto"/>
              <w:rPr>
                <w:rFonts w:ascii="宋体" w:hAnsi="宋体" w:cs="Times New Roman"/>
                <w:color w:val="auto"/>
                <w:sz w:val="24"/>
                <w:szCs w:val="21"/>
                <w:highlight w:val="none"/>
              </w:rPr>
            </w:pPr>
            <w:r>
              <w:rPr>
                <w:rFonts w:hint="eastAsia" w:ascii="宋体" w:hAnsi="宋体" w:cs="Times New Roman"/>
                <w:color w:val="auto"/>
                <w:sz w:val="24"/>
                <w:szCs w:val="21"/>
                <w:highlight w:val="none"/>
              </w:rPr>
              <w:t>系统集成</w:t>
            </w:r>
          </w:p>
        </w:tc>
        <w:tc>
          <w:tcPr>
            <w:tcW w:w="423"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1</w:t>
            </w:r>
          </w:p>
        </w:tc>
        <w:tc>
          <w:tcPr>
            <w:tcW w:w="437" w:type="pct"/>
            <w:vAlign w:val="center"/>
          </w:tcPr>
          <w:p>
            <w:pPr>
              <w:snapToGrid w:val="0"/>
              <w:spacing w:line="360" w:lineRule="auto"/>
              <w:jc w:val="center"/>
              <w:rPr>
                <w:rFonts w:ascii="宋体" w:hAnsi="宋体" w:cs="Times New Roman"/>
                <w:color w:val="auto"/>
                <w:sz w:val="24"/>
                <w:szCs w:val="21"/>
                <w:highlight w:val="none"/>
              </w:rPr>
            </w:pPr>
            <w:r>
              <w:rPr>
                <w:rFonts w:hint="eastAsia" w:ascii="宋体" w:hAnsi="宋体" w:cs="Times New Roman"/>
                <w:color w:val="auto"/>
                <w:sz w:val="24"/>
                <w:szCs w:val="21"/>
                <w:highlight w:val="none"/>
              </w:rPr>
              <w:t>项</w:t>
            </w:r>
          </w:p>
        </w:tc>
      </w:tr>
    </w:tbl>
    <w:p>
      <w:pPr>
        <w:keepNext/>
        <w:keepLines/>
        <w:adjustRightInd w:val="0"/>
        <w:snapToGrid w:val="0"/>
        <w:spacing w:line="360" w:lineRule="auto"/>
        <w:outlineLvl w:val="0"/>
        <w:rPr>
          <w:rFonts w:ascii="宋体" w:hAnsi="宋体" w:cs="Times New Roman"/>
          <w:b/>
          <w:bCs/>
          <w:color w:val="auto"/>
          <w:kern w:val="44"/>
          <w:szCs w:val="21"/>
          <w:highlight w:val="none"/>
          <w:lang w:val="zh-CN"/>
        </w:rPr>
      </w:pPr>
      <w:bookmarkStart w:id="8" w:name="_Toc111025235"/>
      <w:r>
        <w:rPr>
          <w:rFonts w:ascii="宋体" w:hAnsi="宋体" w:cs="Times New Roman"/>
          <w:b/>
          <w:bCs/>
          <w:color w:val="auto"/>
          <w:kern w:val="44"/>
          <w:szCs w:val="21"/>
          <w:highlight w:val="none"/>
          <w:lang w:val="zh-CN"/>
        </w:rPr>
        <w:t>5</w:t>
      </w:r>
      <w:r>
        <w:rPr>
          <w:rFonts w:hint="eastAsia" w:ascii="宋体" w:hAnsi="宋体" w:cs="Times New Roman"/>
          <w:b/>
          <w:bCs/>
          <w:color w:val="auto"/>
          <w:kern w:val="44"/>
          <w:szCs w:val="21"/>
          <w:highlight w:val="none"/>
          <w:lang w:val="zh-CN"/>
        </w:rPr>
        <w:t>.技术要求</w:t>
      </w:r>
      <w:bookmarkEnd w:id="8"/>
    </w:p>
    <w:p>
      <w:pPr>
        <w:snapToGrid w:val="0"/>
        <w:spacing w:line="360" w:lineRule="auto"/>
        <w:ind w:firstLine="420"/>
        <w:rPr>
          <w:rFonts w:ascii="宋体" w:hAnsi="宋体" w:cs="仿宋"/>
          <w:color w:val="auto"/>
          <w:sz w:val="24"/>
          <w:szCs w:val="21"/>
          <w:highlight w:val="none"/>
        </w:rPr>
      </w:pPr>
      <w:r>
        <w:rPr>
          <w:rFonts w:hint="eastAsia" w:ascii="宋体" w:hAnsi="宋体" w:cs="仿宋"/>
          <w:color w:val="auto"/>
          <w:sz w:val="24"/>
          <w:szCs w:val="21"/>
          <w:highlight w:val="none"/>
        </w:rPr>
        <w:t>新疆生产建设兵团“全民健康信息系统软件项目”师级医院实施项目按照国家卫生健康委员会发布的《医院信息化建设应用技术指引2017年版（试行）》和《全国医院信息化建设标准与规范2018年版（试行）》建设，要求三级医院达到国家电子病历系统应用六级水平和国家医疗健康信息医院信息互联互通标准化成熟度五级乙等水平，二级医院达到国家电子病历系统应用五级水平和国家医疗健康信息医院信息互联互通标准化成熟度四级甲等水平，依托兵团全民健康信息平台及相关公共卫生应用，实现全域居民健康、医疗数据的汇聚和共享，实现医联体医共体内诊疗服务、健康管理、药品配送等业务协同，实现医疗质量和安全的统一监测和管理，实现不同层级医疗机构诊疗资源的优化配置，提供多渠道的便捷、高效的便民服务。系统须支持医共体集团化多院区部署模式，支持同一套系统下不同等级医院的诊疗收费标准。</w:t>
      </w:r>
    </w:p>
    <w:p>
      <w:pPr>
        <w:snapToGrid w:val="0"/>
        <w:spacing w:line="360" w:lineRule="auto"/>
        <w:ind w:firstLine="420"/>
        <w:rPr>
          <w:rFonts w:ascii="宋体" w:hAnsi="宋体" w:cs="仿宋"/>
          <w:color w:val="auto"/>
          <w:sz w:val="24"/>
          <w:szCs w:val="21"/>
          <w:highlight w:val="none"/>
        </w:rPr>
      </w:pPr>
      <w:r>
        <w:rPr>
          <w:rFonts w:hint="eastAsia" w:ascii="宋体" w:hAnsi="宋体" w:cs="仿宋"/>
          <w:color w:val="auto"/>
          <w:sz w:val="24"/>
          <w:szCs w:val="21"/>
          <w:highlight w:val="none"/>
        </w:rPr>
        <w:t>项目具体建设内容包括但不限于以下业务系统及功能：</w:t>
      </w:r>
    </w:p>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9" w:name="_Toc22021"/>
      <w:r>
        <w:rPr>
          <w:rFonts w:hint="eastAsia" w:ascii="宋体" w:hAnsi="宋体" w:cs="Times New Roman"/>
          <w:b/>
          <w:bCs/>
          <w:color w:val="auto"/>
          <w:kern w:val="0"/>
          <w:szCs w:val="21"/>
          <w:highlight w:val="none"/>
          <w:lang w:val="zh-CN"/>
        </w:rPr>
        <w:t>5.1</w:t>
      </w:r>
      <w:bookmarkEnd w:id="9"/>
      <w:r>
        <w:rPr>
          <w:rFonts w:hint="eastAsia" w:ascii="宋体" w:hAnsi="宋体" w:cs="Times New Roman"/>
          <w:b/>
          <w:bCs/>
          <w:color w:val="auto"/>
          <w:kern w:val="0"/>
          <w:szCs w:val="21"/>
          <w:highlight w:val="none"/>
          <w:lang w:val="zh-CN"/>
        </w:rPr>
        <w:t>基础信息管理系统</w:t>
      </w:r>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10" w:name="_Toc26374"/>
      <w:r>
        <w:rPr>
          <w:rFonts w:hint="eastAsia" w:ascii="宋体" w:hAnsi="宋体" w:cs="Times New Roman"/>
          <w:b/>
          <w:bCs/>
          <w:color w:val="auto"/>
          <w:kern w:val="0"/>
          <w:szCs w:val="21"/>
          <w:highlight w:val="none"/>
        </w:rPr>
        <w:t>5.1.1系统配置管理</w:t>
      </w:r>
      <w:bookmarkEnd w:id="10"/>
    </w:p>
    <w:tbl>
      <w:tblPr>
        <w:tblStyle w:val="18"/>
        <w:tblW w:w="5300" w:type="pct"/>
        <w:jc w:val="center"/>
        <w:tblLayout w:type="fixed"/>
        <w:tblCellMar>
          <w:top w:w="0" w:type="dxa"/>
          <w:left w:w="108" w:type="dxa"/>
          <w:bottom w:w="0" w:type="dxa"/>
          <w:right w:w="108" w:type="dxa"/>
        </w:tblCellMar>
      </w:tblPr>
      <w:tblGrid>
        <w:gridCol w:w="430"/>
        <w:gridCol w:w="814"/>
        <w:gridCol w:w="852"/>
        <w:gridCol w:w="5532"/>
        <w:gridCol w:w="1412"/>
      </w:tblGrid>
      <w:tr>
        <w:tblPrEx>
          <w:tblCellMar>
            <w:top w:w="0" w:type="dxa"/>
            <w:left w:w="108" w:type="dxa"/>
            <w:bottom w:w="0" w:type="dxa"/>
            <w:right w:w="108" w:type="dxa"/>
          </w:tblCellMar>
        </w:tblPrEx>
        <w:trPr>
          <w:trHeight w:val="285" w:hRule="atLeast"/>
          <w:tblHeader/>
          <w:jc w:val="center"/>
        </w:trPr>
        <w:tc>
          <w:tcPr>
            <w:tcW w:w="238"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921" w:type="pct"/>
            <w:gridSpan w:val="2"/>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6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782" w:type="pct"/>
            <w:tcBorders>
              <w:top w:val="single" w:color="auto" w:sz="4" w:space="0"/>
              <w:left w:val="nil"/>
              <w:bottom w:val="single" w:color="auto" w:sz="4" w:space="0"/>
              <w:right w:val="single" w:color="auto" w:sz="4" w:space="0"/>
            </w:tcBorders>
            <w:shd w:val="clear" w:color="000000" w:fill="F2F2F2"/>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基础数据管理</w:t>
            </w: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包括医护人员信息、科室病区信息、行政科室信息、药品目录、诊疗目录、材料目录、医嘱目录、疾病目录、手术目录等管理。机构、科室、人员等信息维护支持与院内集成平台集成，实现统一维护和单点登录。</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医护</w:t>
            </w:r>
            <w:r>
              <w:rPr>
                <w:rFonts w:ascii="宋体" w:hAnsi="宋体" w:cs="Times New Roman"/>
                <w:color w:val="auto"/>
                <w:sz w:val="24"/>
                <w:szCs w:val="21"/>
                <w:highlight w:val="none"/>
              </w:rPr>
              <w:t>人员管理</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对人员有效证件的管理（如身份证、资格证），实现为医院内每一位人员分配唯一标识。可以给用户分配角色、行为权限、系统权限。</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科室</w:t>
            </w:r>
            <w:r>
              <w:rPr>
                <w:rFonts w:hint="eastAsia" w:ascii="宋体" w:hAnsi="宋体" w:cs="Times New Roman"/>
                <w:color w:val="auto"/>
                <w:sz w:val="24"/>
                <w:szCs w:val="21"/>
                <w:highlight w:val="none"/>
              </w:rPr>
              <w:t>病区</w:t>
            </w:r>
            <w:r>
              <w:rPr>
                <w:rFonts w:ascii="宋体" w:hAnsi="宋体" w:cs="Times New Roman"/>
                <w:color w:val="auto"/>
                <w:sz w:val="24"/>
                <w:szCs w:val="21"/>
                <w:highlight w:val="none"/>
              </w:rPr>
              <w:t>管理</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包含系统中所有科室基本信息、门诊/住院科室设置、病区床位、床位设置、科室与病区关联关系维护、科室与医护人员管理关系维护等各类基础信息的维护。</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药品目录管理</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包含通用名目录、商品名目录（规格产地）、药理、价格管理等。支持账册分类、药品管理分类、药品剂型、供应商等管理。</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诊疗目录管理</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包含统计分类、价格管理、优惠管理等。</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材料目录管理</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材料目录的费率信息、电子码等一体化管理。</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医嘱目录管理</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包含配套费用、医嘱组套、医嘱分类等管理。支持医嘱字典、医嘱分类、医嘱批次设定、医嘱执行途径、医嘱执行频次等标准管理。支持医嘱字典的配套费用、医嘱组套等管理。</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疾病目录管理</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提供疾病目录唯一标识码，为临床医疗提供统一疾病诊断名称标准</w:t>
            </w:r>
            <w:r>
              <w:rPr>
                <w:rFonts w:ascii="宋体" w:hAnsi="宋体" w:cs="Times New Roman"/>
                <w:color w:val="auto"/>
                <w:sz w:val="24"/>
                <w:szCs w:val="21"/>
                <w:highlight w:val="none"/>
              </w:rPr>
              <w:t>,规范疾病表达方式。</w:t>
            </w:r>
            <w:r>
              <w:rPr>
                <w:rFonts w:hint="eastAsia" w:ascii="宋体" w:hAnsi="宋体" w:cs="Times New Roman"/>
                <w:color w:val="auto"/>
                <w:sz w:val="24"/>
                <w:szCs w:val="21"/>
                <w:highlight w:val="none"/>
              </w:rPr>
              <w:t>并能与疾病目录和单病种、报卡等关联管理。</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手术目录管理</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包含手术名称、</w:t>
            </w:r>
            <w:r>
              <w:rPr>
                <w:rFonts w:ascii="宋体" w:hAnsi="宋体" w:cs="Times New Roman"/>
                <w:color w:val="auto"/>
                <w:sz w:val="24"/>
                <w:szCs w:val="21"/>
                <w:highlight w:val="none"/>
              </w:rPr>
              <w:t>ICD码、配套费用、手术等级等</w:t>
            </w:r>
            <w:r>
              <w:rPr>
                <w:rFonts w:hint="eastAsia" w:ascii="宋体" w:hAnsi="宋体" w:cs="Times New Roman"/>
                <w:color w:val="auto"/>
                <w:sz w:val="24"/>
                <w:szCs w:val="21"/>
                <w:highlight w:val="none"/>
              </w:rPr>
              <w:t>。支持手术医嘱、手术级别、手术切口分类、手术部位、麻醉医嘱、麻醉穿刺字典等管理。</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产品配置管理</w:t>
            </w: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总要要求</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产品配置管理集系统菜单配置和功能配置为一体，提供一站式产品配置管理与服务，方便对不同职能，不同权限用户的个人系统功能进行配置。</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系统菜单配置</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具有系统对象、系统菜单的配置功能。支持逻辑系统及多级菜单配置，并通过权限配置，以实现不同角色的功能区分。</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系统功能配置</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配置系统中的各个模块，提供菜单权限、模块功能点、参数等多种形式的功能权限控制功能。可根据用户角色、权限，对同一个模块的功能点进行使用权限或流程控制。</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权限管理</w:t>
            </w: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根据不同身份、岗位的要求，对操作者的处方权、手术级别权限或病历质控权等各种执行的控制功能。包括赋权、授权等处理。</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行为权限赋权设置</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按人员类型或按个人进行设置。如能够根据医师的职称等因素分别授予不同的医疗处理能力权限；对毒麻药品使用、对不同等级抗菌要求使用权限，对特殊检查申请的权限等；按个人设置时，即把该行为权限赋权给指定人员。</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行为授权功能</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当某职工拥有，并能给下级赋权的权限信息，则该职工可将自己所拥有的权限授权给他人使用，并可对该授权进行时间段控制，或手工收回权限。</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手术权限统计</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支持全院手术分级目录、科室手术分级目录，及个人手术分级目录的检索、统计和导出功能。</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消息管理</w:t>
            </w: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通过规则管理，用户可以定义一定的条件和一定的结果（规则），系统在接收事件触发后根据预先定义好的规则产生相应的处理动作。</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推送提醒功能</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系统应具有任务、事件、消息推送提醒功能，推送任务应支持自定义，可指定任务的执行人员类别、任务的功能、任务的完成方式、任务的启动与关闭事件等。支持系统弹出提醒、短信提醒等多种提醒方式。</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654"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消息分类设定</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可以根据不同的消息分类进行设定，可以设定多个级别的发送，消息内容可以多样化展示。</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numPr>
                <w:ilvl w:val="0"/>
                <w:numId w:val="5"/>
              </w:numPr>
              <w:snapToGrid w:val="0"/>
              <w:spacing w:line="360" w:lineRule="auto"/>
              <w:jc w:val="center"/>
              <w:rPr>
                <w:rFonts w:ascii="宋体" w:hAnsi="宋体" w:cs="宋体"/>
                <w:color w:val="auto"/>
                <w:kern w:val="0"/>
                <w:szCs w:val="21"/>
                <w:highlight w:val="none"/>
              </w:rPr>
            </w:pPr>
          </w:p>
        </w:tc>
        <w:tc>
          <w:tcPr>
            <w:tcW w:w="4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71" w:type="pct"/>
            <w:tcBorders>
              <w:top w:val="single" w:color="auto" w:sz="4" w:space="0"/>
              <w:left w:val="nil"/>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消息分类设定</w:t>
            </w:r>
          </w:p>
        </w:tc>
        <w:tc>
          <w:tcPr>
            <w:tcW w:w="3060"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可以根据不同的消息分类进行设定，可以设定多个级别的发送，消息内容可以多样化展示。</w:t>
            </w:r>
          </w:p>
        </w:tc>
        <w:tc>
          <w:tcPr>
            <w:tcW w:w="782" w:type="pct"/>
            <w:tcBorders>
              <w:top w:val="single" w:color="auto" w:sz="4" w:space="0"/>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11" w:name="_Toc20299"/>
      <w:r>
        <w:rPr>
          <w:rFonts w:hint="eastAsia" w:ascii="宋体" w:hAnsi="宋体" w:cs="Times New Roman"/>
          <w:b/>
          <w:bCs/>
          <w:color w:val="auto"/>
          <w:kern w:val="0"/>
          <w:szCs w:val="21"/>
          <w:highlight w:val="none"/>
        </w:rPr>
        <w:t>5.1.2门诊诊疗管理</w:t>
      </w:r>
      <w:bookmarkEnd w:id="11"/>
    </w:p>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5.1.2.1门诊护士工作站</w:t>
      </w:r>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门急诊护士站将满足并支持病人评估、门诊/急诊登记、计费、转科、注射模板、皮试、治疗、预约加号以及各类查询等功能。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病人评估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支持测量病人的生命体征，一次性医用材料的计费以及为病人转科功能。病人信息自动带入，在查询模块中输入病历号或卡号，病人信息以及相关信息可自动带入。</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门诊登记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支持生命体征数据录入、疼痛评估、跌倒评估以及历次结果查看和修改。</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计费</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支持门诊费用的补登记及修改和查询。</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注射模板</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可定制注射模板及治疗模板，实现门诊治疗电子化。</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病人信息带入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输入病历号，病人信息、诊断、过敏史、医嘱信息等需可自动带入；历史的皮试和治疗结果需可自动带入。</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皮试</w:t>
            </w:r>
            <w:r>
              <w:rPr>
                <w:rFonts w:hint="eastAsia" w:ascii="宋体" w:hAnsi="宋体" w:cs="Times New Roman"/>
                <w:color w:val="auto"/>
                <w:sz w:val="24"/>
                <w:szCs w:val="21"/>
                <w:highlight w:val="none"/>
              </w:rPr>
              <w:t>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对需要皮试的病人，做相应药品的皮试处理，支持取消皮试结果、皮试结果历史查询、皮试科室设置、皮试时间设置等功能。支持通过电子健康卡识别患者身份信息，进行皮试。</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处方有效期</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设置门诊医生站过来的处方的有效期，过了有效期将不能进行皮试</w:t>
            </w:r>
            <w:r>
              <w:rPr>
                <w:rFonts w:hint="eastAsia" w:ascii="宋体" w:hAnsi="宋体" w:cs="Times New Roman"/>
                <w:color w:val="auto"/>
                <w:sz w:val="24"/>
                <w:szCs w:val="21"/>
                <w:highlight w:val="none"/>
              </w:rPr>
              <w:t>。</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治疗</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支持治疗记录信息录入。</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预约与加号</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支持为病人预约某个科室的号，以及为病人在某个医生加号。</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5.1.2.2门急诊预约挂号系统</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门急诊挂号系统应实现普通门诊、专家门诊挂号处理，建立病人档案，完成门急诊病人的挂号工作。</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病人信息登记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w:t>
            </w:r>
            <w:r>
              <w:rPr>
                <w:rFonts w:ascii="宋体" w:hAnsi="宋体" w:cs="Times New Roman"/>
                <w:color w:val="auto"/>
                <w:sz w:val="24"/>
                <w:szCs w:val="21"/>
                <w:highlight w:val="none"/>
              </w:rPr>
              <w:t>患者基本信息登记，维护患者基本信息</w:t>
            </w:r>
            <w:r>
              <w:rPr>
                <w:rFonts w:hint="eastAsia" w:ascii="宋体" w:hAnsi="宋体" w:cs="Times New Roman"/>
                <w:color w:val="auto"/>
                <w:sz w:val="24"/>
                <w:szCs w:val="21"/>
                <w:highlight w:val="none"/>
              </w:rPr>
              <w:t>，形成病人档案</w:t>
            </w:r>
            <w:r>
              <w:rPr>
                <w:rFonts w:ascii="宋体" w:hAnsi="宋体" w:cs="Times New Roman"/>
                <w:color w:val="auto"/>
                <w:sz w:val="24"/>
                <w:szCs w:val="21"/>
                <w:highlight w:val="none"/>
              </w:rPr>
              <w:t>。</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病人信息查询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w:t>
            </w:r>
            <w:r>
              <w:rPr>
                <w:rFonts w:ascii="宋体" w:hAnsi="宋体" w:cs="Times New Roman"/>
                <w:color w:val="auto"/>
                <w:sz w:val="24"/>
                <w:szCs w:val="21"/>
                <w:highlight w:val="none"/>
              </w:rPr>
              <w:t>病人</w:t>
            </w:r>
            <w:r>
              <w:rPr>
                <w:rFonts w:hint="eastAsia" w:ascii="宋体" w:hAnsi="宋体" w:cs="Times New Roman"/>
                <w:color w:val="auto"/>
                <w:sz w:val="24"/>
                <w:szCs w:val="21"/>
                <w:highlight w:val="none"/>
              </w:rPr>
              <w:t>基本</w:t>
            </w:r>
            <w:r>
              <w:rPr>
                <w:rFonts w:ascii="宋体" w:hAnsi="宋体" w:cs="Times New Roman"/>
                <w:color w:val="auto"/>
                <w:sz w:val="24"/>
                <w:szCs w:val="21"/>
                <w:highlight w:val="none"/>
              </w:rPr>
              <w:t>信息查询、挂号查询、预约信息（爽约、黑名单）查询等。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门诊挂号</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支持医保、公费、自费等多种身份的患者挂号；居民可以通过电子健康卡进行门诊挂号；挂号员根据患者请求快速选择挂号科室、挂号类别、挂号医生，生成挂号信息，打印挂号单，并产生就诊患者基本信息等。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退号处理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对退号时间进行限制，对退号进行控制，如已接诊不允许退号。可以通过电子健康卡进行门诊退号。</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优惠减免管理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支持挂号费用优惠，可根据挂号科室、人员类别进行优惠减免。</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挂号发票重打</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录入门诊挂号发票号重新打印，原发票作废。</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挂号日结</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可以按时间段对单个收款员的门诊挂号、退号、重打等费用信息，进行结存并打印日结报表。支持日结报表补打。</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门诊排班管理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支持排班模板维护，支持科室、专家排班信息维护。</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统计分析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包括时间段、科室、就诊对象、操作员等维度的挂号统计查询；能完成预约号、退号、病人、科室、医师的挂号状况、医师出诊时间、科室挂号现状等综合查询；能提供科室、门诊工作量等门急诊病人统计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预约管理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实现病人预约登记和预约挂号确认、实现预约限号控制、支持预约起始号控制等功能。实现与兵团统一预约挂号资源池集成。</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5.1.2.3门急诊输液系统</w:t>
      </w:r>
    </w:p>
    <w:tbl>
      <w:tblPr>
        <w:tblStyle w:val="18"/>
        <w:tblW w:w="9039" w:type="dxa"/>
        <w:jc w:val="center"/>
        <w:tblLayout w:type="autofit"/>
        <w:tblCellMar>
          <w:top w:w="0" w:type="dxa"/>
          <w:left w:w="108" w:type="dxa"/>
          <w:bottom w:w="0" w:type="dxa"/>
          <w:right w:w="108" w:type="dxa"/>
        </w:tblCellMar>
      </w:tblPr>
      <w:tblGrid>
        <w:gridCol w:w="846"/>
        <w:gridCol w:w="1643"/>
        <w:gridCol w:w="5202"/>
        <w:gridCol w:w="1348"/>
      </w:tblGrid>
      <w:tr>
        <w:tblPrEx>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20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348"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numPr>
                <w:ilvl w:val="0"/>
                <w:numId w:val="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20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门急诊输液系统主要进行输液病人和输液工作的管理，包括为输液病人的座位登记，输液核对及输液药品配置的管理。</w:t>
            </w:r>
          </w:p>
        </w:tc>
        <w:tc>
          <w:tcPr>
            <w:tcW w:w="1348"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numPr>
                <w:ilvl w:val="0"/>
                <w:numId w:val="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患者登记</w:t>
            </w:r>
          </w:p>
        </w:tc>
        <w:tc>
          <w:tcPr>
            <w:tcW w:w="520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提取患者输液信息，并登记患者的信息，支持通过电子健康卡进行输液。</w:t>
            </w:r>
          </w:p>
        </w:tc>
        <w:tc>
          <w:tcPr>
            <w:tcW w:w="1348"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numPr>
                <w:ilvl w:val="0"/>
                <w:numId w:val="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配药确认</w:t>
            </w:r>
          </w:p>
        </w:tc>
        <w:tc>
          <w:tcPr>
            <w:tcW w:w="520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按照医嘱提示，确认输液药品的配药情况。</w:t>
            </w:r>
          </w:p>
        </w:tc>
        <w:tc>
          <w:tcPr>
            <w:tcW w:w="1348"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numPr>
                <w:ilvl w:val="0"/>
                <w:numId w:val="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输液确认</w:t>
            </w:r>
          </w:p>
        </w:tc>
        <w:tc>
          <w:tcPr>
            <w:tcW w:w="520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按照医嘱提示，确认输液药品的注射情况，输液按照顺序号管理。</w:t>
            </w:r>
          </w:p>
        </w:tc>
        <w:tc>
          <w:tcPr>
            <w:tcW w:w="1348"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numPr>
                <w:ilvl w:val="0"/>
                <w:numId w:val="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拔针确认</w:t>
            </w:r>
          </w:p>
        </w:tc>
        <w:tc>
          <w:tcPr>
            <w:tcW w:w="520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对输液完成的患者执行拔针操作确认，完成门急诊输液。</w:t>
            </w:r>
          </w:p>
        </w:tc>
        <w:tc>
          <w:tcPr>
            <w:tcW w:w="1348"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numPr>
                <w:ilvl w:val="0"/>
                <w:numId w:val="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座位维护</w:t>
            </w:r>
          </w:p>
        </w:tc>
        <w:tc>
          <w:tcPr>
            <w:tcW w:w="520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可以设置座位的数量、类型及分布信息。</w:t>
            </w:r>
          </w:p>
        </w:tc>
        <w:tc>
          <w:tcPr>
            <w:tcW w:w="1348"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numPr>
                <w:ilvl w:val="0"/>
                <w:numId w:val="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注射管理</w:t>
            </w:r>
          </w:p>
        </w:tc>
        <w:tc>
          <w:tcPr>
            <w:tcW w:w="520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支持在图例上直接进行输液确认、接瓶、拔针确认。</w:t>
            </w:r>
          </w:p>
        </w:tc>
        <w:tc>
          <w:tcPr>
            <w:tcW w:w="1348"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numPr>
                <w:ilvl w:val="0"/>
                <w:numId w:val="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查询打印</w:t>
            </w:r>
          </w:p>
        </w:tc>
        <w:tc>
          <w:tcPr>
            <w:tcW w:w="520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打印输液卡、回执单。</w:t>
            </w:r>
          </w:p>
        </w:tc>
        <w:tc>
          <w:tcPr>
            <w:tcW w:w="1348"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5.1.2.4门急诊医生工作站</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43"/>
        <w:gridCol w:w="552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7"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接诊病人</w:t>
            </w: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当病人在收费处挂号付款后，门诊医生桌面即显示患者信息，医生通过接诊病人进行病人诊疗处置等操作。支持可以通过电子健康卡进行医生接诊。</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门诊接诊</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▲支持门诊接诊，接诊信息包括门诊序号、身份证号、病人姓名、费别、病人性别、挂号科室、医疗证号、出生日期、接诊类型、过敏药物、联系电话、联系地址等信息，投标文件中需提供软件界面截图。</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转接诊管理</w:t>
            </w: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支持在不同医生和不同挂号科室之间转接诊。可实时查询病人转接诊情况，查看详细的就诊信息。</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诊断录入</w:t>
            </w: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医生可以根据病人的情况开相应的诊断和病情，并可以在处方和相关</w:t>
            </w:r>
            <w:r>
              <w:rPr>
                <w:rFonts w:ascii="宋体" w:hAnsi="宋体" w:cs="Times New Roman"/>
                <w:color w:val="auto"/>
                <w:sz w:val="24"/>
                <w:szCs w:val="21"/>
                <w:highlight w:val="none"/>
              </w:rPr>
              <w:t>申请单</w:t>
            </w:r>
            <w:r>
              <w:rPr>
                <w:rFonts w:hint="eastAsia" w:ascii="宋体" w:hAnsi="宋体" w:cs="Times New Roman"/>
                <w:color w:val="auto"/>
                <w:sz w:val="24"/>
                <w:szCs w:val="21"/>
                <w:highlight w:val="none"/>
              </w:rPr>
              <w:t>上打印出。支持中医诊断和中医症候的录入。</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Merge w:val="restart"/>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处方录入</w:t>
            </w: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药品处方录入，包括药品名称、剂型、规格、剂量、使用频次、天数、给药途径、数量、滴速、服用时间、录入时间、使用备注、执行药房、皮试类型等内容。自动获取和显示药品字典信息。提供药品备注功能，提供多种开嘱方式，支持自备药品开嘱，皮试药品开方是否皮试或免试确认，标识皮试药品，反馈提醒药品皮试结果。对高危药品使用给予警示。下达处方时，可查询到病人本机构内外的医疗记录。</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采用医嘱组管理模式，支持自由文本方式或结构化等多种方式录入、复制历史处方处置记录、处方处置合理性检查、处方处置费用实时自动计算、健康档案信息调阅、医保政策查询、合规性自动检查和提示功能。</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处方处置模板</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支持处方处置模板的创建、修改和删除。处方处置模板的权限分类管理，包括公共模板部门模板和个人模板。可根据处方处置内容生成新模板。</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处方审核</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录入处方时对相关药品资料信息查询，并可对医嘱进行药物过敏史、药物相互作用、禁忌证、副作用等审查来协助医生正确筛选药物和确定医嘱，并在发现问题时进行提醒和纠正。</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处方和处置分析</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对所有的处方和处置的全流程关键节点数据进行采集和分析，包括处方和处置的开立、审核、状态、结果等数据。</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中药开方控制</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支持医生按批次或效期开中药处方。医院中药包含草药（饮片）、免煎和配方三种，为便于中药房发药，需要对处方进行区分，医生开药时，若两种药开在一张处方则提示医生，建议其修改处方。</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用药提醒</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若存在超量、配伍禁忌、毒性的药品，在医生开处方时提醒医生，能在支持处方笺上电子签名和签名时间，在处方笺对应的药品处显示医生的签名和签名时间。</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中药代煎费用</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门诊开中药处方，医生需选择是否代煎，若选在院代煎支持绑定煎药费。</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处方笺</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生开方后，自动将处方信息发送到门诊收费窗口中进行收费和药房发药。病人需要凭处方取药，医生或药房负责打印处方笺，交给病人。支持中药处方笺显示中医诊断和中医症候信息，显示服用方法、频次、服用时间信息，能显示不同药品，先煎，后下，烊化，包煎等信息。</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处方退药</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提供整张作废和单药品全退两种退药方式。</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检查、检验申请单</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与医院P</w:t>
            </w:r>
            <w:r>
              <w:rPr>
                <w:rFonts w:ascii="宋体" w:hAnsi="宋体" w:cs="Times New Roman"/>
                <w:color w:val="auto"/>
                <w:sz w:val="24"/>
                <w:szCs w:val="21"/>
                <w:highlight w:val="none"/>
              </w:rPr>
              <w:t>ACS</w:t>
            </w:r>
            <w:r>
              <w:rPr>
                <w:rFonts w:hint="eastAsia" w:ascii="宋体" w:hAnsi="宋体" w:cs="Times New Roman"/>
                <w:color w:val="auto"/>
                <w:sz w:val="24"/>
                <w:szCs w:val="21"/>
                <w:highlight w:val="none"/>
              </w:rPr>
              <w:t>、心电、</w:t>
            </w:r>
            <w:r>
              <w:rPr>
                <w:rFonts w:ascii="宋体" w:hAnsi="宋体" w:cs="Times New Roman"/>
                <w:color w:val="auto"/>
                <w:sz w:val="24"/>
                <w:szCs w:val="21"/>
                <w:highlight w:val="none"/>
              </w:rPr>
              <w:t>LIS系统连接后，</w:t>
            </w:r>
            <w:r>
              <w:rPr>
                <w:rFonts w:hint="eastAsia" w:ascii="宋体" w:hAnsi="宋体" w:cs="Times New Roman"/>
                <w:color w:val="auto"/>
                <w:sz w:val="24"/>
                <w:szCs w:val="21"/>
                <w:highlight w:val="none"/>
              </w:rPr>
              <w:t>可</w:t>
            </w:r>
            <w:r>
              <w:rPr>
                <w:rFonts w:ascii="宋体" w:hAnsi="宋体" w:cs="Times New Roman"/>
                <w:color w:val="auto"/>
                <w:sz w:val="24"/>
                <w:szCs w:val="21"/>
                <w:highlight w:val="none"/>
              </w:rPr>
              <w:t>向</w:t>
            </w:r>
            <w:r>
              <w:rPr>
                <w:rFonts w:hint="eastAsia" w:ascii="宋体" w:hAnsi="宋体" w:cs="Times New Roman"/>
                <w:color w:val="auto"/>
                <w:sz w:val="24"/>
                <w:szCs w:val="21"/>
                <w:highlight w:val="none"/>
              </w:rPr>
              <w:t>P</w:t>
            </w:r>
            <w:r>
              <w:rPr>
                <w:rFonts w:ascii="宋体" w:hAnsi="宋体" w:cs="Times New Roman"/>
                <w:color w:val="auto"/>
                <w:sz w:val="24"/>
                <w:szCs w:val="21"/>
                <w:highlight w:val="none"/>
              </w:rPr>
              <w:t>ACS</w:t>
            </w:r>
            <w:r>
              <w:rPr>
                <w:rFonts w:hint="eastAsia" w:ascii="宋体" w:hAnsi="宋体" w:cs="Times New Roman"/>
                <w:color w:val="auto"/>
                <w:sz w:val="24"/>
                <w:szCs w:val="21"/>
                <w:highlight w:val="none"/>
              </w:rPr>
              <w:t>、心电、</w:t>
            </w:r>
            <w:r>
              <w:rPr>
                <w:rFonts w:ascii="宋体" w:hAnsi="宋体" w:cs="Times New Roman"/>
                <w:color w:val="auto"/>
                <w:sz w:val="24"/>
                <w:szCs w:val="21"/>
                <w:highlight w:val="none"/>
              </w:rPr>
              <w:t>LIS系统提交电子申请单，并查阅</w:t>
            </w:r>
            <w:r>
              <w:rPr>
                <w:rFonts w:hint="eastAsia" w:ascii="宋体" w:hAnsi="宋体" w:cs="Times New Roman"/>
                <w:color w:val="auto"/>
                <w:sz w:val="24"/>
                <w:szCs w:val="21"/>
                <w:highlight w:val="none"/>
              </w:rPr>
              <w:t>P</w:t>
            </w:r>
            <w:r>
              <w:rPr>
                <w:rFonts w:ascii="宋体" w:hAnsi="宋体" w:cs="Times New Roman"/>
                <w:color w:val="auto"/>
                <w:sz w:val="24"/>
                <w:szCs w:val="21"/>
                <w:highlight w:val="none"/>
              </w:rPr>
              <w:t>ACS</w:t>
            </w:r>
            <w:r>
              <w:rPr>
                <w:rFonts w:hint="eastAsia" w:ascii="宋体" w:hAnsi="宋体" w:cs="Times New Roman"/>
                <w:color w:val="auto"/>
                <w:sz w:val="24"/>
                <w:szCs w:val="21"/>
                <w:highlight w:val="none"/>
              </w:rPr>
              <w:t>、心电、</w:t>
            </w:r>
            <w:r>
              <w:rPr>
                <w:rFonts w:ascii="宋体" w:hAnsi="宋体" w:cs="Times New Roman"/>
                <w:color w:val="auto"/>
                <w:sz w:val="24"/>
                <w:szCs w:val="21"/>
                <w:highlight w:val="none"/>
              </w:rPr>
              <w:t>LIS系统返回的</w:t>
            </w:r>
            <w:r>
              <w:rPr>
                <w:rFonts w:hint="eastAsia" w:ascii="宋体" w:hAnsi="宋体" w:cs="Times New Roman"/>
                <w:color w:val="auto"/>
                <w:sz w:val="24"/>
                <w:szCs w:val="21"/>
                <w:highlight w:val="none"/>
              </w:rPr>
              <w:t>检查、</w:t>
            </w:r>
            <w:r>
              <w:rPr>
                <w:rFonts w:ascii="宋体" w:hAnsi="宋体" w:cs="Times New Roman"/>
                <w:color w:val="auto"/>
                <w:sz w:val="24"/>
                <w:szCs w:val="21"/>
                <w:highlight w:val="none"/>
              </w:rPr>
              <w:t>检验</w:t>
            </w:r>
            <w:r>
              <w:rPr>
                <w:rFonts w:hint="eastAsia" w:ascii="宋体" w:hAnsi="宋体" w:cs="Times New Roman"/>
                <w:color w:val="auto"/>
                <w:sz w:val="24"/>
                <w:szCs w:val="21"/>
                <w:highlight w:val="none"/>
              </w:rPr>
              <w:t>影像和报告数据，支持结果参考范围及结果异常标记。申请检查、检验时，能够查询患者本院和其他医疗机构的历史检查、检验结果。可查看病人自采健康记录内容。支持检查、检验申请加急，重复检查项目提醒，检查/检验申请执行状态查询。可随时跟踪检查、检验进展情况和结果。</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结果查阅</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历史检验结果绘制趋势图。查阅报告时，对于有多正常参考值的测量项目能够根据测量结果和病人年龄、性别、诊断、生理指标等，自动给出正常结果的判断与提示。可利用病人医疗机构内外的检查结果及健康信息提出处理建议。</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治疗记录</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具有每次治疗的登记或执行记录，内容包括时间、项目等。治疗记录纳入全院统一的医疗档案体系。</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查询统计</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提供对医院门诊业务的查询统计功能，包括医生排班查询、历史处方查询、药品信息查询和医生工作日志查询。</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预约复诊</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支持医生站复诊预约，填写预约复诊天数，查询当天预约复诊病人一览表。</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诊间结算</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支持通过电子健康卡进行门诊诊间结算。</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疾病报卡</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可依据诊断判断慢病、传染病情况，并通过系统上报至相关报卡系统。</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绿色通道</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对特殊的病人进行处理，包括病人不交费情况下可以进行和交费病人一样的处理，并可以进行优先就诊设置。</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9"/>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CA数字认证签名</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与CA数字认证签名对接，支持处方、病历电子签名。</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5.1.2.5门诊分诊系统</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医生实时</w:t>
            </w:r>
            <w:r>
              <w:rPr>
                <w:rFonts w:ascii="宋体" w:hAnsi="宋体" w:cs="Times New Roman"/>
                <w:color w:val="auto"/>
                <w:sz w:val="24"/>
                <w:szCs w:val="21"/>
                <w:highlight w:val="none"/>
              </w:rPr>
              <w:t>出诊信息</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自动获取</w:t>
            </w:r>
            <w:r>
              <w:rPr>
                <w:rFonts w:hint="eastAsia" w:ascii="宋体" w:hAnsi="宋体" w:cs="Times New Roman"/>
                <w:color w:val="auto"/>
                <w:sz w:val="24"/>
                <w:szCs w:val="21"/>
                <w:highlight w:val="none"/>
              </w:rPr>
              <w:t>分诊</w:t>
            </w:r>
            <w:r>
              <w:rPr>
                <w:rFonts w:ascii="宋体" w:hAnsi="宋体" w:cs="Times New Roman"/>
                <w:color w:val="auto"/>
                <w:sz w:val="24"/>
                <w:szCs w:val="21"/>
                <w:highlight w:val="none"/>
              </w:rPr>
              <w:t>区科室医生实时出诊信息，包括待诊人数、已接诊人数、</w:t>
            </w:r>
            <w:r>
              <w:rPr>
                <w:rFonts w:hint="eastAsia" w:ascii="宋体" w:hAnsi="宋体" w:cs="Times New Roman"/>
                <w:color w:val="auto"/>
                <w:sz w:val="24"/>
                <w:szCs w:val="21"/>
                <w:highlight w:val="none"/>
              </w:rPr>
              <w:t>当前</w:t>
            </w:r>
            <w:r>
              <w:rPr>
                <w:rFonts w:ascii="宋体" w:hAnsi="宋体" w:cs="Times New Roman"/>
                <w:color w:val="auto"/>
                <w:sz w:val="24"/>
                <w:szCs w:val="21"/>
                <w:highlight w:val="none"/>
              </w:rPr>
              <w:t>接诊</w:t>
            </w:r>
            <w:r>
              <w:rPr>
                <w:rFonts w:hint="eastAsia" w:ascii="宋体" w:hAnsi="宋体" w:cs="Times New Roman"/>
                <w:color w:val="auto"/>
                <w:sz w:val="24"/>
                <w:szCs w:val="21"/>
                <w:highlight w:val="none"/>
              </w:rPr>
              <w:t>病人</w:t>
            </w:r>
            <w:r>
              <w:rPr>
                <w:rFonts w:ascii="宋体" w:hAnsi="宋体" w:cs="Times New Roman"/>
                <w:color w:val="auto"/>
                <w:sz w:val="24"/>
                <w:szCs w:val="21"/>
                <w:highlight w:val="none"/>
              </w:rPr>
              <w:t>等信息。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分诊</w:t>
            </w:r>
            <w:r>
              <w:rPr>
                <w:rFonts w:ascii="宋体" w:hAnsi="宋体" w:cs="Times New Roman"/>
                <w:color w:val="auto"/>
                <w:sz w:val="24"/>
                <w:szCs w:val="21"/>
                <w:highlight w:val="none"/>
              </w:rPr>
              <w:t>规则设置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按照医院业务要求，设置分诊规则，可按出诊医生、</w:t>
            </w:r>
            <w:r>
              <w:rPr>
                <w:rFonts w:hint="eastAsia" w:ascii="宋体" w:hAnsi="宋体" w:cs="Times New Roman"/>
                <w:color w:val="auto"/>
                <w:sz w:val="24"/>
                <w:szCs w:val="21"/>
                <w:highlight w:val="none"/>
              </w:rPr>
              <w:t>专家</w:t>
            </w:r>
            <w:r>
              <w:rPr>
                <w:rFonts w:ascii="宋体" w:hAnsi="宋体" w:cs="Times New Roman"/>
                <w:color w:val="auto"/>
                <w:sz w:val="24"/>
                <w:szCs w:val="21"/>
                <w:highlight w:val="none"/>
              </w:rPr>
              <w:t>、诊室、序号和</w:t>
            </w:r>
            <w:r>
              <w:rPr>
                <w:rFonts w:hint="eastAsia" w:ascii="宋体" w:hAnsi="宋体" w:cs="Times New Roman"/>
                <w:color w:val="auto"/>
                <w:sz w:val="24"/>
                <w:szCs w:val="21"/>
                <w:highlight w:val="none"/>
              </w:rPr>
              <w:t>初诊/复诊</w:t>
            </w:r>
            <w:r>
              <w:rPr>
                <w:rFonts w:ascii="宋体" w:hAnsi="宋体" w:cs="Times New Roman"/>
                <w:color w:val="auto"/>
                <w:sz w:val="24"/>
                <w:szCs w:val="21"/>
                <w:highlight w:val="none"/>
              </w:rPr>
              <w:t>等条件配置。</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信息</w:t>
            </w:r>
            <w:r>
              <w:rPr>
                <w:rFonts w:ascii="宋体" w:hAnsi="宋体" w:cs="Times New Roman"/>
                <w:color w:val="auto"/>
                <w:sz w:val="24"/>
                <w:szCs w:val="21"/>
                <w:highlight w:val="none"/>
              </w:rPr>
              <w:t>获取</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自动获取患者挂号或就诊信息，包括姓名、性别、身份证</w:t>
            </w:r>
            <w:r>
              <w:rPr>
                <w:rFonts w:hint="eastAsia" w:ascii="宋体" w:hAnsi="宋体" w:cs="Times New Roman"/>
                <w:color w:val="auto"/>
                <w:sz w:val="24"/>
                <w:szCs w:val="21"/>
                <w:highlight w:val="none"/>
              </w:rPr>
              <w:t>号码</w:t>
            </w:r>
            <w:r>
              <w:rPr>
                <w:rFonts w:ascii="宋体" w:hAnsi="宋体" w:cs="Times New Roman"/>
                <w:color w:val="auto"/>
                <w:sz w:val="24"/>
                <w:szCs w:val="21"/>
                <w:highlight w:val="none"/>
              </w:rPr>
              <w:t>等患者基本信息</w:t>
            </w:r>
            <w:r>
              <w:rPr>
                <w:rFonts w:hint="eastAsia" w:ascii="宋体" w:hAnsi="宋体" w:cs="Times New Roman"/>
                <w:color w:val="auto"/>
                <w:sz w:val="24"/>
                <w:szCs w:val="21"/>
                <w:highlight w:val="none"/>
              </w:rPr>
              <w:t>以及</w:t>
            </w:r>
            <w:r>
              <w:rPr>
                <w:rFonts w:ascii="宋体" w:hAnsi="宋体" w:cs="Times New Roman"/>
                <w:color w:val="auto"/>
                <w:sz w:val="24"/>
                <w:szCs w:val="21"/>
                <w:highlight w:val="none"/>
              </w:rPr>
              <w:t>挂号科室</w:t>
            </w:r>
            <w:r>
              <w:rPr>
                <w:rFonts w:hint="eastAsia" w:ascii="宋体" w:hAnsi="宋体" w:cs="Times New Roman"/>
                <w:color w:val="auto"/>
                <w:sz w:val="24"/>
                <w:szCs w:val="21"/>
                <w:highlight w:val="none"/>
              </w:rPr>
              <w:t>、</w:t>
            </w:r>
            <w:r>
              <w:rPr>
                <w:rFonts w:ascii="宋体" w:hAnsi="宋体" w:cs="Times New Roman"/>
                <w:color w:val="auto"/>
                <w:sz w:val="24"/>
                <w:szCs w:val="21"/>
                <w:highlight w:val="none"/>
              </w:rPr>
              <w:t>预检</w:t>
            </w:r>
            <w:r>
              <w:rPr>
                <w:rFonts w:hint="eastAsia" w:ascii="宋体" w:hAnsi="宋体" w:cs="Times New Roman"/>
                <w:color w:val="auto"/>
                <w:sz w:val="24"/>
                <w:szCs w:val="21"/>
                <w:highlight w:val="none"/>
              </w:rPr>
              <w:t>（如体温）、</w:t>
            </w:r>
            <w:r>
              <w:rPr>
                <w:rFonts w:ascii="宋体" w:hAnsi="宋体" w:cs="Times New Roman"/>
                <w:color w:val="auto"/>
                <w:sz w:val="24"/>
                <w:szCs w:val="21"/>
                <w:highlight w:val="none"/>
              </w:rPr>
              <w:t>历史就诊信息等等。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诊室</w:t>
            </w:r>
            <w:r>
              <w:rPr>
                <w:rFonts w:ascii="宋体" w:hAnsi="宋体" w:cs="Times New Roman"/>
                <w:color w:val="auto"/>
                <w:sz w:val="24"/>
                <w:szCs w:val="21"/>
                <w:highlight w:val="none"/>
              </w:rPr>
              <w:t>分配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按照分诊规则形成队列，支持自动或者人工进行诊室分配。</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就诊排队</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提供就诊队列设置，支持多个队列的叫诊模式，可根据实际情况为患者设置优先、撤销、暂离等状态。</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诊区分诊</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支持实时获取HIS的挂号、预约数据。</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支持通过刷卡、扫码、手工录入等方式检索患者。</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支持实时查看队列的详细情况（如：排队队列名称、候诊人数、已就诊人数、未到过号人数、当前队列最后一次呼叫的患者姓名、排队序号、呼叫医生或诊位、叫号时间等）。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支持复诊（回诊）处理，如：优先插队、间隔插队，可设置间隔人数。</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支持将患者分配至指定医生或诊室排队候诊，支持按已设定规则自动选择医生或诊间。</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支持“特殊”患者标识，对此类患者优先就诊，如老、幼、军人、离休等患者可优先就诊。</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支持弃号处理，当患者临时有事或其他特殊情况无法就诊时，可将患者移出排队序列，做弃号处理。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支持过号处理，可将过号病人重新加入分诊队列。</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支持手工调整排队信息，如修改排队号序。</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支持分诊科室管理，一个科室可包含多个门诊类别(如普通门诊、专家门诊)，一个门诊类别可包含多个诊室，一个诊室可包含多个医生。</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支持绿色通道患者不经语音叫号直接就诊。</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支持分诊台向候诊区广播语音，向诊区屏、诊间屏幕上发布文本文字信息。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支持自动签到和手动批量签到。</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支持自定义分诊界面风格。</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诊间分诊</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支持设置诊间等候人数。</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支持手动维护医生信息，如医生照片、职称、简介等。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支持同步HIS系统中医生排班数据，支持临时手动调整排班数据，支持编辑周期内医生排班。</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支持一对多（单个医生看诊多个诊间）和多对一（多个医生看诊同一个诊间）叫号模式。</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支持一诊室一医生、一诊室多医生的排队叫号模式。</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就诊</w:t>
            </w:r>
            <w:r>
              <w:rPr>
                <w:rFonts w:ascii="宋体" w:hAnsi="宋体" w:cs="Times New Roman"/>
                <w:color w:val="auto"/>
                <w:sz w:val="24"/>
                <w:szCs w:val="21"/>
                <w:highlight w:val="none"/>
              </w:rPr>
              <w:t>提醒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提供语音、显示屏幕、移动终端等多种方式的就诊提醒接口服务。</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5.1.2.6急诊预检分诊系统</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患者登记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通过读取</w:t>
            </w:r>
            <w:r>
              <w:rPr>
                <w:rFonts w:hint="eastAsia" w:ascii="宋体" w:hAnsi="宋体" w:cs="Times New Roman"/>
                <w:color w:val="auto"/>
                <w:sz w:val="24"/>
                <w:szCs w:val="21"/>
                <w:highlight w:val="none"/>
              </w:rPr>
              <w:t>居民电子健康卡、</w:t>
            </w:r>
            <w:r>
              <w:rPr>
                <w:rFonts w:ascii="宋体" w:hAnsi="宋体" w:cs="Times New Roman"/>
                <w:color w:val="auto"/>
                <w:sz w:val="24"/>
                <w:szCs w:val="21"/>
                <w:highlight w:val="none"/>
              </w:rPr>
              <w:t>身份证、就诊卡及医保卡</w:t>
            </w:r>
            <w:r>
              <w:rPr>
                <w:rFonts w:hint="eastAsia" w:ascii="宋体" w:hAnsi="宋体" w:cs="Times New Roman"/>
                <w:color w:val="auto"/>
                <w:sz w:val="24"/>
                <w:szCs w:val="21"/>
                <w:highlight w:val="none"/>
              </w:rPr>
              <w:t>或扫描相关二维码</w:t>
            </w:r>
            <w:r>
              <w:rPr>
                <w:rFonts w:ascii="宋体" w:hAnsi="宋体" w:cs="Times New Roman"/>
                <w:color w:val="auto"/>
                <w:sz w:val="24"/>
                <w:szCs w:val="21"/>
                <w:highlight w:val="none"/>
              </w:rPr>
              <w:t>等快速完成识别患者身份，通过打通HIS实现建档、预检、挂号全流程预检台完成，减少患者的无效移动。支</w:t>
            </w:r>
            <w:r>
              <w:rPr>
                <w:rFonts w:ascii="宋体" w:hAnsi="宋体" w:cs="宋体"/>
                <w:color w:val="auto"/>
                <w:kern w:val="0"/>
                <w:sz w:val="24"/>
                <w:szCs w:val="21"/>
                <w:highlight w:val="none"/>
              </w:rPr>
              <w:t>持读</w:t>
            </w:r>
            <w:r>
              <w:rPr>
                <w:rFonts w:hint="eastAsia" w:ascii="宋体" w:hAnsi="宋体" w:cs="宋体"/>
                <w:color w:val="auto"/>
                <w:kern w:val="0"/>
                <w:sz w:val="24"/>
                <w:szCs w:val="21"/>
                <w:highlight w:val="none"/>
              </w:rPr>
              <w:t>取</w:t>
            </w:r>
            <w:r>
              <w:rPr>
                <w:rFonts w:hint="eastAsia" w:ascii="宋体" w:hAnsi="宋体" w:cs="Times New Roman"/>
                <w:color w:val="auto"/>
                <w:sz w:val="24"/>
                <w:szCs w:val="21"/>
                <w:highlight w:val="none"/>
              </w:rPr>
              <w:t>居民电子健康卡、</w:t>
            </w:r>
            <w:r>
              <w:rPr>
                <w:rFonts w:ascii="宋体" w:hAnsi="宋体" w:cs="宋体"/>
                <w:color w:val="auto"/>
                <w:kern w:val="0"/>
                <w:sz w:val="24"/>
                <w:szCs w:val="21"/>
                <w:highlight w:val="none"/>
              </w:rPr>
              <w:t>身份证、就诊卡</w:t>
            </w:r>
            <w:r>
              <w:rPr>
                <w:rFonts w:hint="eastAsia" w:ascii="宋体" w:hAnsi="宋体" w:cs="宋体"/>
                <w:color w:val="auto"/>
                <w:kern w:val="0"/>
                <w:sz w:val="24"/>
                <w:szCs w:val="21"/>
                <w:highlight w:val="none"/>
              </w:rPr>
              <w:t>及医保卡或扫描相关二维码等</w:t>
            </w:r>
            <w:r>
              <w:rPr>
                <w:rFonts w:ascii="宋体" w:hAnsi="宋体" w:cs="宋体"/>
                <w:color w:val="auto"/>
                <w:kern w:val="0"/>
                <w:sz w:val="24"/>
                <w:szCs w:val="21"/>
                <w:highlight w:val="none"/>
              </w:rPr>
              <w:t>快速获取患者基本信息</w:t>
            </w:r>
            <w:r>
              <w:rPr>
                <w:rFonts w:hint="eastAsia" w:ascii="宋体" w:hAnsi="宋体" w:cs="宋体"/>
                <w:color w:val="auto"/>
                <w:kern w:val="0"/>
                <w:sz w:val="24"/>
                <w:szCs w:val="21"/>
                <w:highlight w:val="none"/>
              </w:rPr>
              <w:t>。</w:t>
            </w:r>
            <w:r>
              <w:rPr>
                <w:rFonts w:ascii="宋体" w:hAnsi="宋体" w:cs="宋体"/>
                <w:color w:val="auto"/>
                <w:kern w:val="0"/>
                <w:sz w:val="24"/>
                <w:szCs w:val="21"/>
                <w:highlight w:val="none"/>
              </w:rPr>
              <w:t>支持三无患者快速登记</w:t>
            </w:r>
            <w:r>
              <w:rPr>
                <w:rFonts w:hint="eastAsia" w:ascii="宋体" w:hAnsi="宋体" w:cs="宋体"/>
                <w:color w:val="auto"/>
                <w:kern w:val="0"/>
                <w:sz w:val="24"/>
                <w:szCs w:val="21"/>
                <w:highlight w:val="none"/>
              </w:rPr>
              <w:t>和</w:t>
            </w:r>
            <w:r>
              <w:rPr>
                <w:rFonts w:ascii="宋体" w:hAnsi="宋体" w:cs="宋体"/>
                <w:color w:val="auto"/>
                <w:kern w:val="0"/>
                <w:sz w:val="24"/>
                <w:szCs w:val="21"/>
                <w:highlight w:val="none"/>
              </w:rPr>
              <w:t>首次就诊患者建档</w:t>
            </w:r>
            <w:r>
              <w:rPr>
                <w:rFonts w:hint="eastAsia" w:ascii="宋体" w:hAnsi="宋体" w:cs="宋体"/>
                <w:color w:val="auto"/>
                <w:kern w:val="0"/>
                <w:sz w:val="24"/>
                <w:szCs w:val="21"/>
                <w:highlight w:val="none"/>
              </w:rPr>
              <w:t>。</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体征采集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实现生命体征数据的自动采集与手工输入，以及标签打印。</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检伤分级</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支持疼痛评分、昏迷评分、创伤评估和改良早期预警评分，可根据患者年龄自动匹配对应的评分规则。</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症状记录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可以选择患者入院途径，对女性患者停经时间进行提示。支持患者胸痛、卒中、创伤等属性选择。</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left="420"/>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宋体"/>
                <w:color w:val="auto"/>
                <w:kern w:val="0"/>
                <w:sz w:val="24"/>
                <w:szCs w:val="21"/>
                <w:highlight w:val="none"/>
              </w:rPr>
              <w:t>患者管理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提供患者分诊列表和患者留观、抢救和离抢列表，支持留抢患者登记和离抢患者登记。</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绿色通道</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宋体"/>
                <w:color w:val="auto"/>
                <w:kern w:val="0"/>
                <w:sz w:val="24"/>
                <w:szCs w:val="21"/>
                <w:highlight w:val="none"/>
              </w:rPr>
              <w:t>实现患者本次分诊绿色通道的开启与否及有效小时数记录，绿色通道患者优先安排治疗。</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统计报表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宋体"/>
                <w:color w:val="auto"/>
                <w:kern w:val="0"/>
                <w:sz w:val="24"/>
                <w:szCs w:val="21"/>
                <w:highlight w:val="none"/>
              </w:rPr>
              <w:t>提供就诊人次统计报表、急诊预检患者日志和急诊分诊级别统计报表。</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w:t>
      </w:r>
      <w:r>
        <w:rPr>
          <w:rFonts w:ascii="宋体" w:hAnsi="宋体" w:cs="Times New Roman"/>
          <w:b/>
          <w:bCs/>
          <w:color w:val="auto"/>
          <w:kern w:val="0"/>
          <w:szCs w:val="21"/>
          <w:highlight w:val="none"/>
          <w:lang w:val="zh-CN"/>
        </w:rPr>
        <w:t>.2.7</w:t>
      </w:r>
      <w:r>
        <w:rPr>
          <w:rFonts w:hint="eastAsia" w:ascii="宋体" w:hAnsi="宋体" w:cs="Times New Roman"/>
          <w:b/>
          <w:bCs/>
          <w:color w:val="auto"/>
          <w:kern w:val="0"/>
          <w:szCs w:val="21"/>
          <w:highlight w:val="none"/>
          <w:lang w:val="zh-CN"/>
        </w:rPr>
        <w:t>急诊留观系统</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2"/>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急诊留观系统对留观病人从医生接诊、床位分配、医嘱处理、出院进行全过程的信息化管理。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2"/>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留观病区设置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根据医院的具体情况对病区进行设置，专门划分区域作为留观病区。</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2"/>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急诊留观接诊</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支持处方单开具，可在接诊患者的界面开检查单和化验单，对需要留观的患者，在诊毕的时候，将患者去向选择为留观，诊毕后出现急诊留观登记表。</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2"/>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急诊留观床位分配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支持留观医嘱下达和手术申请。</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2"/>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急诊留观病历书写</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支持急诊留观涉及的病历文书书写。</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2"/>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留观划价</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留观结束后，可在留观结算工作站中进行留观结算，并支持医保实时结算。</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2"/>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绿色通道</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支持对当前就诊病人进行取消或启用绿色通道流程。绿色通道标识具有时限控制，为特殊患者快速就诊可开放通绿色通道功能，并设置合理的有效时间(时效性)，实现绿色通道病人先诊疗后付费的就诊流程。</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2"/>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CA数字认证签名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与CA数字认证签名对接，支持留观病历电子签名。</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5.1.2.</w:t>
      </w:r>
      <w:r>
        <w:rPr>
          <w:rFonts w:ascii="宋体" w:hAnsi="宋体" w:cs="Times New Roman"/>
          <w:b/>
          <w:bCs/>
          <w:color w:val="auto"/>
          <w:kern w:val="0"/>
          <w:szCs w:val="21"/>
          <w:highlight w:val="none"/>
          <w:lang w:val="zh-CN"/>
        </w:rPr>
        <w:t>8</w:t>
      </w:r>
      <w:r>
        <w:rPr>
          <w:rFonts w:hint="eastAsia" w:ascii="宋体" w:hAnsi="宋体" w:cs="Times New Roman"/>
          <w:b/>
          <w:bCs/>
          <w:color w:val="auto"/>
          <w:kern w:val="0"/>
          <w:szCs w:val="21"/>
          <w:highlight w:val="none"/>
          <w:lang w:val="zh-CN"/>
        </w:rPr>
        <w:t>院内急救信息管理系统</w:t>
      </w:r>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实现通过</w:t>
            </w:r>
            <w:r>
              <w:rPr>
                <w:rFonts w:hint="eastAsia" w:ascii="宋体" w:hAnsi="宋体" w:cs="Times New Roman"/>
                <w:color w:val="auto"/>
                <w:sz w:val="24"/>
                <w:szCs w:val="21"/>
                <w:highlight w:val="none"/>
                <w:lang w:eastAsia="zh-Hans"/>
              </w:rPr>
              <w:t>中国</w:t>
            </w:r>
            <w:r>
              <w:rPr>
                <w:rFonts w:hint="eastAsia" w:ascii="宋体" w:hAnsi="宋体" w:cs="Times New Roman"/>
                <w:color w:val="auto"/>
                <w:sz w:val="24"/>
                <w:szCs w:val="21"/>
                <w:highlight w:val="none"/>
              </w:rPr>
              <w:t>胸痛中心</w:t>
            </w:r>
            <w:r>
              <w:rPr>
                <w:rFonts w:ascii="宋体" w:hAnsi="宋体" w:cs="Times New Roman"/>
                <w:color w:val="auto"/>
                <w:sz w:val="24"/>
                <w:szCs w:val="21"/>
                <w:highlight w:val="none"/>
              </w:rPr>
              <w:t>(</w:t>
            </w:r>
            <w:r>
              <w:rPr>
                <w:rFonts w:hint="eastAsia" w:ascii="宋体" w:hAnsi="宋体" w:cs="Times New Roman"/>
                <w:color w:val="auto"/>
                <w:sz w:val="24"/>
                <w:szCs w:val="21"/>
                <w:highlight w:val="none"/>
                <w:lang w:eastAsia="zh-Hans"/>
              </w:rPr>
              <w:t>标准版</w:t>
            </w:r>
            <w:r>
              <w:rPr>
                <w:rFonts w:ascii="宋体" w:hAnsi="宋体" w:cs="Times New Roman"/>
                <w:color w:val="auto"/>
                <w:sz w:val="24"/>
                <w:szCs w:val="21"/>
                <w:highlight w:val="none"/>
              </w:rPr>
              <w:t>)</w:t>
            </w:r>
            <w:r>
              <w:rPr>
                <w:rFonts w:hint="eastAsia" w:ascii="宋体" w:hAnsi="宋体" w:cs="Times New Roman"/>
                <w:color w:val="auto"/>
                <w:sz w:val="24"/>
                <w:szCs w:val="21"/>
                <w:highlight w:val="none"/>
              </w:rPr>
              <w:t>和</w:t>
            </w:r>
            <w:r>
              <w:rPr>
                <w:rFonts w:hint="eastAsia" w:ascii="宋体" w:hAnsi="宋体" w:cs="Times New Roman"/>
                <w:color w:val="auto"/>
                <w:sz w:val="24"/>
                <w:szCs w:val="21"/>
                <w:highlight w:val="none"/>
                <w:lang w:eastAsia="zh-Hans"/>
              </w:rPr>
              <w:t>高级</w:t>
            </w:r>
            <w:r>
              <w:rPr>
                <w:rFonts w:hint="eastAsia" w:ascii="宋体" w:hAnsi="宋体" w:cs="Times New Roman"/>
                <w:color w:val="auto"/>
                <w:sz w:val="24"/>
                <w:szCs w:val="21"/>
                <w:highlight w:val="none"/>
              </w:rPr>
              <w:t>卒中中心</w:t>
            </w:r>
            <w:r>
              <w:rPr>
                <w:rFonts w:hint="eastAsia" w:ascii="宋体" w:hAnsi="宋体" w:cs="Times New Roman"/>
                <w:color w:val="auto"/>
                <w:sz w:val="24"/>
                <w:szCs w:val="21"/>
                <w:highlight w:val="none"/>
                <w:lang w:eastAsia="zh-Hans"/>
              </w:rPr>
              <w:t>认证</w:t>
            </w:r>
            <w:r>
              <w:rPr>
                <w:rFonts w:hint="eastAsia" w:ascii="宋体" w:hAnsi="宋体" w:cs="Times New Roman"/>
                <w:color w:val="auto"/>
                <w:sz w:val="24"/>
                <w:szCs w:val="21"/>
                <w:highlight w:val="none"/>
              </w:rPr>
              <w:t>的业务管理</w:t>
            </w:r>
            <w:r>
              <w:rPr>
                <w:rFonts w:hint="eastAsia" w:ascii="宋体" w:hAnsi="宋体" w:cs="Times New Roman"/>
                <w:color w:val="auto"/>
                <w:sz w:val="24"/>
                <w:szCs w:val="21"/>
                <w:highlight w:val="none"/>
                <w:lang w:eastAsia="zh-Hans"/>
              </w:rPr>
              <w:t>系统</w:t>
            </w:r>
            <w:r>
              <w:rPr>
                <w:rFonts w:hint="eastAsia" w:ascii="宋体" w:hAnsi="宋体" w:cs="Times New Roman"/>
                <w:color w:val="auto"/>
                <w:sz w:val="24"/>
                <w:szCs w:val="21"/>
                <w:highlight w:val="none"/>
              </w:rPr>
              <w:t>。</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卒中急救质控平台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系统支持记录卒中救治流程，内容包括救治过程中各项关键数据的记录，如患者到院、溶栓取药、进入CT室、溶栓知情同意、到达导管室等。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支持患者时间轴管理，时间轴的起点为患者首次医疗接触，终点为患者转归。</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系统支持对卒中中心进行数据质控；参照卒中中心质控要求，以医院现有的卒中患者的质控为基础，建立完善的卒中中心质控体系。</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bookmarkStart w:id="12" w:name="_Toc11599"/>
            <w:bookmarkStart w:id="13" w:name="_Toc1783241043"/>
            <w:r>
              <w:rPr>
                <w:rFonts w:hint="eastAsia" w:ascii="宋体" w:hAnsi="宋体" w:cs="Times New Roman"/>
                <w:color w:val="auto"/>
                <w:sz w:val="24"/>
                <w:szCs w:val="21"/>
                <w:highlight w:val="none"/>
              </w:rPr>
              <w:t>卒中绿色通道流程管理平台</w:t>
            </w:r>
            <w:bookmarkEnd w:id="12"/>
            <w:bookmarkEnd w:id="13"/>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提供绿色通道患者信息管理、关键诊疗路径管理、电子化评分等功能。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快速采集和记录患者诊疗路径的关键信息。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自定义路径时，配置所需的事件二维码和人员二维码。事件二维码贴在精确记录的诊疗环节发生地，通过扫码快速采集事件发生时间。</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如果有院前病情预报，可以在移动端进行患者院前院内信息匹配，打通院前和院内信息。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可以在移动端完成NIHSS、GCS等智能专科评分量表，并自动计算评分结果。</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bookmarkStart w:id="14" w:name="_Toc28681"/>
            <w:bookmarkStart w:id="15" w:name="_Toc650432169"/>
            <w:r>
              <w:rPr>
                <w:rFonts w:hint="eastAsia" w:ascii="宋体" w:hAnsi="宋体" w:cs="Times New Roman"/>
                <w:color w:val="auto"/>
                <w:sz w:val="24"/>
                <w:szCs w:val="21"/>
                <w:highlight w:val="none"/>
              </w:rPr>
              <w:t>卒中患者智能化时间采集平台</w:t>
            </w:r>
            <w:bookmarkEnd w:id="14"/>
            <w:bookmarkEnd w:id="15"/>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为患者佩戴可重复使用的RFID有源标签，在通过指定场所时可以自动采集患者进出场所的时间</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根据医院科室的布局，设置RFID传感器的感应距离，定制RFID传感器部署位置，以适应医院不同的空间布局。</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设置关键诊疗路径的采集信息，实现数据自动采集。</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bookmarkStart w:id="16" w:name="_Toc1121701153"/>
            <w:bookmarkStart w:id="17" w:name="_Toc16740"/>
            <w:r>
              <w:rPr>
                <w:rFonts w:hint="eastAsia" w:ascii="宋体" w:hAnsi="宋体" w:cs="Times New Roman"/>
                <w:color w:val="auto"/>
                <w:sz w:val="24"/>
                <w:szCs w:val="21"/>
                <w:highlight w:val="none"/>
              </w:rPr>
              <w:t>卒中急救工作流集成</w:t>
            </w:r>
            <w:bookmarkEnd w:id="16"/>
            <w:bookmarkEnd w:id="17"/>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面向卒中急救的院前院内工作流的信息化集成。对接和提取现有信息系统中急性卒中相关的专病数据集。</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bookmarkStart w:id="18" w:name="_Toc1819825105"/>
            <w:bookmarkStart w:id="19" w:name="_Toc364"/>
            <w:r>
              <w:rPr>
                <w:rFonts w:hint="eastAsia" w:ascii="宋体" w:hAnsi="宋体" w:cs="Times New Roman"/>
                <w:color w:val="auto"/>
                <w:sz w:val="24"/>
                <w:szCs w:val="21"/>
                <w:highlight w:val="none"/>
              </w:rPr>
              <w:t>卒中中心认证数据采集上报</w:t>
            </w:r>
            <w:bookmarkEnd w:id="18"/>
            <w:bookmarkEnd w:id="19"/>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支持针对已归档且未被质疑的数据，通过自动或手动的方式上报国家脑防委数据中心。</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能够对接HIS、LIS、PACS、急诊信息系统等，获取需要上报的患者信息。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支持病例查询，可以将根据诊断类型查出对应的急诊患者列表并显示每位患者的基本信息。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支持病例编辑，对患者的信息进行补充或修改。</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支持病例完善时效提醒，根据患者不同的病情信息来智能显示需要填写的不同的字段。</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支持病例数据上报，急救、诊疗、转归三块的数据都填写保存之后，可以通过自动或手动的方式上报国家卒中数据中心。</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bookmarkStart w:id="20" w:name="_Toc532829637"/>
            <w:bookmarkStart w:id="21" w:name="_Toc255776602"/>
            <w:bookmarkStart w:id="22" w:name="_Toc24433"/>
            <w:r>
              <w:rPr>
                <w:rFonts w:hint="eastAsia" w:ascii="宋体" w:hAnsi="宋体" w:cs="Times New Roman"/>
                <w:color w:val="auto"/>
                <w:sz w:val="24"/>
                <w:szCs w:val="21"/>
                <w:highlight w:val="none"/>
              </w:rPr>
              <w:t>胸痛急救质控平台</w:t>
            </w:r>
            <w:bookmarkEnd w:id="20"/>
            <w:bookmarkEnd w:id="21"/>
            <w:bookmarkEnd w:id="22"/>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提供急性胸痛急救流程环节和质控点定义和图形化呈现，提供急性胸痛急救质控指标统计和数据导出。</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系统支持记录胸痛救治流程，内容包括救治过程中各项关键数据的记录，如患者到院、生命体征采集、心电图检查、家属谈话、到导管室等。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支持胸痛患者时间轴管理，时间轴的起点为患者首次医疗接触，终点为患者转归。系统支持各关键事件节点的记录及完成状态显示。</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系统支持对胸痛中心进行数据质控，参照胸痛中心质控要求，以医院现有的胸痛患者的质控为基础，建立完善的胸痛中心质控体系。</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bookmarkStart w:id="23" w:name="_Toc532829638"/>
            <w:bookmarkStart w:id="24" w:name="_Toc1722572167"/>
            <w:bookmarkStart w:id="25" w:name="_Toc13319"/>
            <w:r>
              <w:rPr>
                <w:rFonts w:hint="eastAsia" w:ascii="宋体" w:hAnsi="宋体" w:cs="Times New Roman"/>
                <w:color w:val="auto"/>
                <w:sz w:val="24"/>
                <w:szCs w:val="21"/>
                <w:highlight w:val="none"/>
              </w:rPr>
              <w:t>胸痛绿色通道流程管理平台</w:t>
            </w:r>
            <w:bookmarkEnd w:id="23"/>
            <w:bookmarkEnd w:id="24"/>
            <w:bookmarkEnd w:id="25"/>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提供绿色通道患者信息管理、关键诊疗路径管理、电子化评分等功能。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快速采集和记录患者诊疗路径的关键信息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自定义路径时，配置所需的事件二维码和人员二维码。事件二维码贴在精确记录的诊疗环节发生地，通过扫码快速采集事件发生时间。</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如果有院前病情预报，可以在移动端进行患者院前院内信息匹配，打通院前和院内信息。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可以在移动端完成Goldman、GCS等智能专科评分量表，并自动计算评分结果。</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bookmarkStart w:id="26" w:name="_Toc1043365562"/>
            <w:bookmarkStart w:id="27" w:name="_Toc4149"/>
            <w:bookmarkStart w:id="28" w:name="_Toc532829639"/>
            <w:r>
              <w:rPr>
                <w:rFonts w:hint="eastAsia" w:ascii="宋体" w:hAnsi="宋体" w:cs="Times New Roman"/>
                <w:color w:val="auto"/>
                <w:sz w:val="24"/>
                <w:szCs w:val="21"/>
                <w:highlight w:val="none"/>
              </w:rPr>
              <w:t>胸痛患者智能化时间采集平台</w:t>
            </w:r>
            <w:bookmarkEnd w:id="26"/>
            <w:bookmarkEnd w:id="27"/>
            <w:bookmarkEnd w:id="28"/>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为患者佩戴可重复使用的RFID有源标签，在通过指定场所时可以自动采集患者进出场所的时间</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根据医院科室的布局，设置RFID传感器的感应距离，定制RFID传感器部署位置，以适应医院不同的空间布局。</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设置关键诊疗路径的采集信息，实现数据自动采集。</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胸痛急救工作流集成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面向胸痛急救的院前院内工作流的信息化集成。对接和提取现有信息系统中急性胸痛相关的专病数据集。</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bookmarkStart w:id="29" w:name="_Toc537368232"/>
            <w:bookmarkStart w:id="30" w:name="_Toc532829675"/>
            <w:bookmarkStart w:id="31" w:name="_Toc30448"/>
            <w:r>
              <w:rPr>
                <w:rFonts w:hint="eastAsia" w:ascii="宋体" w:hAnsi="宋体" w:cs="Times New Roman"/>
                <w:color w:val="auto"/>
                <w:sz w:val="24"/>
                <w:szCs w:val="21"/>
                <w:highlight w:val="none"/>
              </w:rPr>
              <w:t>胸痛中心认证数据采集上报</w:t>
            </w:r>
            <w:bookmarkEnd w:id="29"/>
            <w:bookmarkEnd w:id="30"/>
            <w:bookmarkEnd w:id="31"/>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支持针对已归档且未被质疑的数据，通过自动或手动的方式上报国家胸痛数据中心。</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能够对接HIS、LIS、PACS、急诊信息系统等，获取需要上报的患者信息。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支持病例查询，可以将根据诊断类型查出对应的急诊患者列表并显示每位患者的基本信息。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支持病例编辑，对患者的信息进行补充或修改。</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支持病例完善时效提醒，根据患者不同的病情信息来智能显示需要填写的不同的字段。</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支持病例数据上报，急救、诊疗、转归三块的数据都填写保存之后，可以通过自动或手动的方式上报国家胸痛数据中心。</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C</w:t>
            </w:r>
            <w:r>
              <w:rPr>
                <w:rFonts w:ascii="宋体" w:hAnsi="宋体" w:cs="Times New Roman"/>
                <w:color w:val="auto"/>
                <w:sz w:val="24"/>
                <w:szCs w:val="21"/>
                <w:highlight w:val="none"/>
              </w:rPr>
              <w:t>A</w:t>
            </w:r>
            <w:r>
              <w:rPr>
                <w:rFonts w:hint="eastAsia" w:ascii="宋体" w:hAnsi="宋体" w:cs="Times New Roman"/>
                <w:color w:val="auto"/>
                <w:sz w:val="24"/>
                <w:szCs w:val="21"/>
                <w:highlight w:val="none"/>
              </w:rPr>
              <w:t>数字认证签名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对接C</w:t>
            </w:r>
            <w:r>
              <w:rPr>
                <w:rFonts w:ascii="宋体" w:hAnsi="宋体" w:cs="Times New Roman"/>
                <w:color w:val="auto"/>
                <w:sz w:val="24"/>
                <w:szCs w:val="21"/>
                <w:highlight w:val="none"/>
              </w:rPr>
              <w:t>A</w:t>
            </w:r>
            <w:r>
              <w:rPr>
                <w:rFonts w:hint="eastAsia" w:ascii="宋体" w:hAnsi="宋体" w:cs="Times New Roman"/>
                <w:color w:val="auto"/>
                <w:sz w:val="24"/>
                <w:szCs w:val="21"/>
                <w:highlight w:val="none"/>
              </w:rPr>
              <w:t>数字认证签名，支持电子签名</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snapToGrid w:val="0"/>
        <w:spacing w:line="360" w:lineRule="auto"/>
        <w:rPr>
          <w:rFonts w:ascii="宋体" w:hAnsi="宋体" w:cs="Times New Roman"/>
          <w:color w:val="auto"/>
          <w:sz w:val="24"/>
          <w:highlight w:val="none"/>
        </w:rPr>
      </w:pPr>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32" w:name="_Toc27792"/>
      <w:r>
        <w:rPr>
          <w:rFonts w:hint="eastAsia" w:ascii="宋体" w:hAnsi="宋体" w:cs="Times New Roman"/>
          <w:b/>
          <w:bCs/>
          <w:color w:val="auto"/>
          <w:kern w:val="0"/>
          <w:szCs w:val="21"/>
          <w:highlight w:val="none"/>
        </w:rPr>
        <w:t>5.1.3住院诊疗管理</w:t>
      </w:r>
      <w:bookmarkEnd w:id="32"/>
    </w:p>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5.1.3.1住院出入转管理系统</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住院出入转管理系统用于护士对患者进行入院、轮转和出院操作，包括入院登记、床位分配、换床、包床、转科、转病区、科室出院、病区出院等，同时显示患者轮转信息的变换。</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入院登记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对于首次住院的患者，应为患者完善基本信息，并建立入院档案生成住院号。若为复诊患者，可通过患者主索引读取相关信息。支持通过电子健康卡进行住院登记。</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入院分床</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对已经</w:t>
            </w:r>
            <w:r>
              <w:rPr>
                <w:rFonts w:ascii="宋体" w:hAnsi="宋体" w:cs="Times New Roman"/>
                <w:color w:val="auto"/>
                <w:sz w:val="24"/>
                <w:szCs w:val="21"/>
                <w:highlight w:val="none"/>
              </w:rPr>
              <w:t>进行入院登记并分配到本病区的患者进行床位分配，同</w:t>
            </w:r>
            <w:r>
              <w:rPr>
                <w:rFonts w:hint="eastAsia" w:ascii="宋体" w:hAnsi="宋体" w:cs="Times New Roman"/>
                <w:color w:val="auto"/>
                <w:sz w:val="24"/>
                <w:szCs w:val="21"/>
                <w:highlight w:val="none"/>
              </w:rPr>
              <w:t>时</w:t>
            </w:r>
            <w:r>
              <w:rPr>
                <w:rFonts w:ascii="宋体" w:hAnsi="宋体" w:cs="Times New Roman"/>
                <w:color w:val="auto"/>
                <w:sz w:val="24"/>
                <w:szCs w:val="21"/>
                <w:highlight w:val="none"/>
              </w:rPr>
              <w:t>可分配此患者的主管医生</w:t>
            </w:r>
            <w:r>
              <w:rPr>
                <w:rFonts w:hint="eastAsia" w:ascii="宋体" w:hAnsi="宋体" w:cs="Times New Roman"/>
                <w:color w:val="auto"/>
                <w:sz w:val="24"/>
                <w:szCs w:val="21"/>
                <w:highlight w:val="none"/>
              </w:rPr>
              <w:t>、</w:t>
            </w:r>
            <w:r>
              <w:rPr>
                <w:rFonts w:ascii="宋体" w:hAnsi="宋体" w:cs="Times New Roman"/>
                <w:color w:val="auto"/>
                <w:sz w:val="24"/>
                <w:szCs w:val="21"/>
                <w:highlight w:val="none"/>
              </w:rPr>
              <w:t>管床护士。</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入院撤销</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对尚未分床的患者，可以取消患者的入院状态。如已分配了床位，但没有发生实际费用，可做入院撤销即</w:t>
            </w:r>
            <w:r>
              <w:rPr>
                <w:rFonts w:ascii="宋体" w:hAnsi="宋体" w:cs="Times New Roman"/>
                <w:color w:val="auto"/>
                <w:sz w:val="24"/>
                <w:szCs w:val="21"/>
                <w:highlight w:val="none"/>
              </w:rPr>
              <w:t>退院</w:t>
            </w:r>
            <w:r>
              <w:rPr>
                <w:rFonts w:hint="eastAsia" w:ascii="宋体" w:hAnsi="宋体" w:cs="Times New Roman"/>
                <w:color w:val="auto"/>
                <w:sz w:val="24"/>
                <w:szCs w:val="21"/>
                <w:highlight w:val="none"/>
              </w:rPr>
              <w:t>处理。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医疗</w:t>
            </w:r>
            <w:r>
              <w:rPr>
                <w:rFonts w:ascii="宋体" w:hAnsi="宋体" w:cs="Times New Roman"/>
                <w:color w:val="auto"/>
                <w:sz w:val="24"/>
                <w:szCs w:val="21"/>
                <w:highlight w:val="none"/>
              </w:rPr>
              <w:t>结算</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用于医疗人员将治愈后的病人出院，一般由医生进行科室出院处理后，再由护士进行病区出院处理，病人方可去门诊处，进行费用结算离院。</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病人轮转</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对病情需要的病人进行轮转操作。支持对轮转病人进行申请、送出、接收、作废、修改等功能。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出院处理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用于医疗人员将治愈后的病人出院，一般由医生进行科室出院处理后，再由护士进行病区出院处理，病人方可去门诊处，进行费用结算离院。</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住院病人信息管理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用于医疗人员查看和管理住院病人的住院基础信息及入院详情。支持查询病人的住院基本信息和在院所有信息，包括过敏、关联住院、轮转、住院变更、住院账户等信息。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出院预约下次门诊</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支持预约复诊时间。</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出院或转科时未尽事宜监测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支持业务监测类型及项目设置，如在病人科室出院转科时及时提醒检测需要处理的医嘱。</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5.1.3.2住院医生工作站</w:t>
      </w:r>
    </w:p>
    <w:tbl>
      <w:tblPr>
        <w:tblStyle w:val="18"/>
        <w:tblW w:w="9039" w:type="dxa"/>
        <w:jc w:val="center"/>
        <w:tblLayout w:type="autofit"/>
        <w:tblCellMar>
          <w:top w:w="0" w:type="dxa"/>
          <w:left w:w="108" w:type="dxa"/>
          <w:bottom w:w="0" w:type="dxa"/>
          <w:right w:w="108" w:type="dxa"/>
        </w:tblCellMar>
      </w:tblPr>
      <w:tblGrid>
        <w:gridCol w:w="457"/>
        <w:gridCol w:w="1643"/>
        <w:gridCol w:w="5522"/>
        <w:gridCol w:w="1417"/>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医嘱处理</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应包括开医嘱、检查、检验、处方、治疗处置、卫生材料、手术、护理等，检验医嘱须注明检体，检查医嘱须注明检查部位。支持医嘱录入、核对、作废、电子签名、时间戳、医嘱模板管理、历史医嘱导入、医嘱拷贝、漏填提醒等功能。下达医嘱时能够参考药品、检查、检验、药物过敏、诊断、性别等相关内容知识库至少4项内容进行自动检查并给出提示。</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中医诊断</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实现中医诊断和中医症候的录入。</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中药医嘱</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实现中药医嘱的开立，中药处方模板的设置。结合合理用药系统，支持医生工作站中药说明书和中药用药警示功能。实现医生按批次或效期开中药医嘱。医院中药包含草药（饮片）、免煎和配方三种，为便于中药房发药，需要对处方进行区分，医生开药时，若两种药开在一张处方则提示医生，建议其修改处方。</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中药代煎费用</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住院医生开中药医嘱，需选择是否代煎，若选在院代煎支持绑定煎药费。</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医生皮试申请单</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可对病人的皮试申请单进行新增、审核、作废、删除、查询操作。系统可智能提示该病人或已开申请单或在皮试中等信息，帮助诊疗人员做出判断。</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用血申请单</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可对病人的用血申请单进行新开、复核、作废、修改、删除、查看等操作，对病人已开的用血申请单按需求打印信息。</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检验申请单</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向指定病人开检验申请单，对化验单进行新开、修改、审核、作废、删除、报告查阅。也可以对病人进行已开的化验单信息及费用进行查询。下达申请时可根据临床路径或指南列出所需检验项目。支持查询与获得历史检验结果和其他医疗机构检验结果和报告作参考。支持查看病人自采健康记录内容作为病情了解参考。</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检查申请单</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进行申请单的新开、修改、复核、删除、作废、打印、报告查阅等功能。下达申请时可根据临床路径和指南列出所需检查项目。支持查询历史检查结果、其他医疗机构检查结果和报告。检查报告中病人自采健康记录数据有明显标示。支持根据历史检验结果绘制趋势图。</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手术管理</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可对病人的手术申请单进行新开、查看、修改、复核、作废、删除等操作，可以通过手术通知单查看该工作点下安排到完成状态的手术申请单，及时获取手术信息，通过卡片</w:t>
            </w:r>
            <w:r>
              <w:rPr>
                <w:rFonts w:ascii="宋体" w:hAnsi="宋体" w:cs="Times New Roman"/>
                <w:color w:val="auto"/>
                <w:sz w:val="24"/>
                <w:szCs w:val="21"/>
                <w:highlight w:val="none"/>
              </w:rPr>
              <w:t>/列表形式查看及打印通知单。</w:t>
            </w:r>
            <w:r>
              <w:rPr>
                <w:rFonts w:hint="eastAsia" w:ascii="宋体" w:hAnsi="宋体" w:cs="Times New Roman"/>
                <w:color w:val="auto"/>
                <w:sz w:val="24"/>
                <w:szCs w:val="21"/>
                <w:highlight w:val="none"/>
              </w:rPr>
              <w:t>实现手术分级管理，具有针对手术医师的权限控制。</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治疗记录</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治疗过程各环节有记录、可监控，对于高风险治疗有警示和必要的核查，可根据评估结果对治疗方案自动给出建议。</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报告管理</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浏览检验报告时，可以浏览病人重要病历信息。检验、检查结果和报告各阶段的状态可实时获得。</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医疗记录查阅</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依托全民健康平台，支持查询到病人本机构内外的全部医疗记录。</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住院病人查看</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▲支持对病人住院信息中的医疗组、住院医师、主治医师、主任医师、入院方式、责任护士、入院诊断、危重级别的修改，投标文件中需提供软件界面截图。</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权限授权设置</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▲支持医生自有权限的授出，授权信息包括授出人、授权行为、授予人、生效时间、失效时间、授出列表等信息，投标文件中需提供软件界面截图</w:t>
            </w:r>
            <w:r>
              <w:rPr>
                <w:rFonts w:hint="eastAsia" w:ascii="宋体" w:hAnsi="宋体" w:cs="Times New Roman"/>
                <w:color w:val="auto"/>
                <w:sz w:val="24"/>
                <w:szCs w:val="21"/>
                <w:highlight w:val="none"/>
              </w:rPr>
              <w:t>。</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CA数字认证签名</w:t>
            </w:r>
          </w:p>
        </w:tc>
        <w:tc>
          <w:tcPr>
            <w:tcW w:w="552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与CA数字认证签名对接，支持住院处方、住院病历电子签名。</w:t>
            </w:r>
          </w:p>
        </w:tc>
        <w:tc>
          <w:tcPr>
            <w:tcW w:w="141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5.1.3.3住院护士工作站</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床位一览</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病区床位使用情况一览表，显示床号、住院号、姓名、性别、年龄、诊断、护理等级、饮食等信息。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平台功能</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▲平台常用功能需包含电子病历、病人管理、医嘱处理、电子护理、手术管理、医嘱查询、费用管理、查询等功能栏，投标文件中提供软件界面截图。</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患者入科</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可提示入科的基本处理流程或有可定义的入科处理模版提醒帮助护士完成常规的处理。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患者跟踪</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有病人入出转，出科检查、治疗等活动的跟踪记录。</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包床及转床</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给患者包住一张病床或取消患者已包床位，并支持给患者调换病床。</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新生儿登记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为产妇进行新生儿登记，填写新生儿基本信息。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接收医嘱</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包含医嘱提交、医嘱开嘱、停用医嘱复核、皮试管理、用血申请单处理、脱敏注射功能。新医嘱和医嘱变更可及时通知护士。支持中药医嘱的接收。</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非药品医嘱执行</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支持对非药品医嘱进行执行确认操作，包括患者身份确认、医嘱核对、临床信息共享、标本管理、执行确认与结果反馈等。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药品医嘱执行</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支持对业务流除输液流、摆药流、皮试流、中药流外的药品医嘱进行执行操作。包括配药管理、标签管理、患者身份查对、药品查对、用药前后患者病情自动获取。</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医嘱执行单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医嘱执行操作后生成医嘱执行单。</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医嘱执行管理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支持医嘱执行的闭环信息记录。对高风险医嘱执行时有警示。医嘱执行过程能够查询医疗机构外部产生的历史医疗记录、体征记录。</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摆药发药管理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具有护士药品签收、护士药品发放、条码查询功能。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中药发药管理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具有护士签收、病人签收、护士药罐回收、药房药罐回收、条码查询功能。中药房完成中药调剂，支持收到取药提醒。</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皮试管理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对需皮试患者对应皮试医嘱进行皮试结果录入，并将皮试结果为阳性的药品自动存入患者过敏史中，支持查看患者过敏史及历史皮试记录。</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检验标本采集管理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支持化验标本的后续标本生成、采集、送检、接收操作。</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病理标本采集管理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支持病理单的采集、收集、送检、查看、打印、报告查阅、同步报告、同步费用等操作。</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检查申请单处理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支持检查单提交、撤销提交、查看、打印、查阅报告等操作。</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手术管理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支持提交下达的病人手术申请单，查看申请单详情；支持查看该工作点下安排到完成状态的手术申请单，及时获取手术信息，通过卡片</w:t>
            </w:r>
            <w:r>
              <w:rPr>
                <w:rFonts w:ascii="宋体" w:hAnsi="宋体" w:cs="Times New Roman"/>
                <w:color w:val="auto"/>
                <w:sz w:val="24"/>
                <w:szCs w:val="21"/>
                <w:highlight w:val="none"/>
              </w:rPr>
              <w:t>/列表形式查看及打印通知单。</w:t>
            </w:r>
            <w:r>
              <w:rPr>
                <w:rFonts w:hint="eastAsia" w:ascii="宋体" w:hAnsi="宋体" w:cs="Times New Roman"/>
                <w:color w:val="auto"/>
                <w:sz w:val="24"/>
                <w:szCs w:val="21"/>
                <w:highlight w:val="none"/>
              </w:rPr>
              <w:t>支持对手术全过程状态记录和院内显示。</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输液管理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具有排药排审、化药化审、注射处理、拔针处理功能。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护理信息提醒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支持未执行医嘱、护理审核医嘱、检验结果、检查结果、检验危急值、检查危急值、费用、输液完成等提醒功能。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医嘱查询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检索各类型医嘱，可打印口服卡、静滴卡、雾化卡等卡片；支持检索病人的未停用医嘱信息，并提供查询打印功能；支持检索病人的医嘱信息，并提供打印功能；支持检索新开、停止状态下的医嘱信息，并提供打印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费用管理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实现病人多余药品、多记费用的退费处理；支持病人记账单管理。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护士桌面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▲支持系统界面皮肤更换，至少展示</w:t>
            </w:r>
            <w:r>
              <w:rPr>
                <w:rFonts w:ascii="宋体" w:hAnsi="宋体" w:cs="Times New Roman"/>
                <w:color w:val="auto"/>
                <w:sz w:val="24"/>
                <w:szCs w:val="21"/>
                <w:highlight w:val="none"/>
              </w:rPr>
              <w:t>6种不同风格的系统界面风格，投标文件中需提供软件界面截图</w:t>
            </w:r>
            <w:r>
              <w:rPr>
                <w:rFonts w:hint="eastAsia" w:ascii="宋体" w:hAnsi="宋体" w:cs="Times New Roman"/>
                <w:color w:val="auto"/>
                <w:sz w:val="24"/>
                <w:szCs w:val="21"/>
                <w:highlight w:val="none"/>
              </w:rPr>
              <w:t>。</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CA数字认证签名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与CA数字认证签名对接，支持护理文书电子签名。</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5.1.3.4日间手术管理系统</w:t>
      </w:r>
    </w:p>
    <w:tbl>
      <w:tblPr>
        <w:tblStyle w:val="18"/>
        <w:tblW w:w="8897" w:type="dxa"/>
        <w:jc w:val="center"/>
        <w:tblLayout w:type="autofit"/>
        <w:tblCellMar>
          <w:top w:w="0" w:type="dxa"/>
          <w:left w:w="108" w:type="dxa"/>
          <w:bottom w:w="0" w:type="dxa"/>
          <w:right w:w="108" w:type="dxa"/>
        </w:tblCellMar>
      </w:tblPr>
      <w:tblGrid>
        <w:gridCol w:w="457"/>
        <w:gridCol w:w="1643"/>
        <w:gridCol w:w="5527"/>
        <w:gridCol w:w="1270"/>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270"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日间手术管理系统应提供集成门诊医生、日间病房管理、手术管理和质量管理四大功能模块，覆盖多种医院日间手术管理模式的信息管理系统。</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日间手术申请</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实现门诊医生为患者申请日间手术，申请时需初步确认手术名称、手术医生、手术时间、手术地点等信息。</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日间手术预约</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实现日间手术的预约功能，预约时可对手术时间、手术医生、手术地点等信息进行调整。支持撤销预约。</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日间手术安排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实现手术室对日间手术进行具体安排。</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手术管理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支持手术过程管理。</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术前</w:t>
            </w:r>
            <w:r>
              <w:rPr>
                <w:rFonts w:ascii="宋体" w:hAnsi="宋体" w:cs="Times New Roman"/>
                <w:color w:val="auto"/>
                <w:sz w:val="24"/>
                <w:szCs w:val="21"/>
                <w:highlight w:val="none"/>
              </w:rPr>
              <w:t>/康复/出院评估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s="Times New Roman"/>
                <w:color w:val="auto"/>
                <w:sz w:val="24"/>
                <w:szCs w:val="21"/>
                <w:highlight w:val="none"/>
              </w:rPr>
              <w:t>系统应提供自定义电子病历模板的功能，医院可根据需要预设多种评估量表和电子病历。如术前评估记录单、术后评估记录单、出院评估、告知书。</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日间手术的相关统计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系统应提供自定义设置报表的功能，医院可根据需要设计多种报表进行数据统计和分析。</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出院随访</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日间手术出院后，还需要进行随访，系统支持日间手术患者的随访。</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CA数字认证签名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与CA数字认证签名对接，支持日间手术病历和相关评估单的电子签名。</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5.1.3.5会诊管理系统</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会诊管理系统支持患者就诊期间，实时发起会诊申请，会诊审核，处理</w:t>
            </w:r>
            <w:r>
              <w:rPr>
                <w:rFonts w:ascii="宋体" w:hAnsi="宋体" w:cs="Times New Roman"/>
                <w:color w:val="auto"/>
                <w:sz w:val="24"/>
                <w:szCs w:val="21"/>
                <w:highlight w:val="none"/>
              </w:rPr>
              <w:t>等</w:t>
            </w:r>
            <w:r>
              <w:rPr>
                <w:rFonts w:hint="eastAsia" w:ascii="宋体" w:hAnsi="宋体" w:cs="Times New Roman"/>
                <w:color w:val="auto"/>
                <w:sz w:val="24"/>
                <w:szCs w:val="21"/>
                <w:highlight w:val="none"/>
              </w:rPr>
              <w:t>全</w:t>
            </w:r>
            <w:r>
              <w:rPr>
                <w:rFonts w:ascii="宋体" w:hAnsi="宋体" w:cs="Times New Roman"/>
                <w:color w:val="auto"/>
                <w:sz w:val="24"/>
                <w:szCs w:val="21"/>
                <w:highlight w:val="none"/>
              </w:rPr>
              <w:t>业务全流程管理</w:t>
            </w:r>
            <w:r>
              <w:rPr>
                <w:rFonts w:hint="eastAsia" w:ascii="宋体" w:hAnsi="宋体" w:cs="Times New Roman"/>
                <w:color w:val="auto"/>
                <w:sz w:val="24"/>
                <w:szCs w:val="21"/>
                <w:highlight w:val="none"/>
              </w:rPr>
              <w:t>，为患</w:t>
            </w:r>
            <w:r>
              <w:rPr>
                <w:rFonts w:ascii="宋体" w:hAnsi="宋体" w:cs="Times New Roman"/>
                <w:color w:val="auto"/>
                <w:sz w:val="24"/>
                <w:szCs w:val="21"/>
                <w:highlight w:val="none"/>
              </w:rPr>
              <w:t>者</w:t>
            </w:r>
            <w:r>
              <w:rPr>
                <w:rFonts w:hint="eastAsia" w:ascii="宋体" w:hAnsi="宋体" w:cs="Times New Roman"/>
                <w:color w:val="auto"/>
                <w:sz w:val="24"/>
                <w:szCs w:val="21"/>
                <w:highlight w:val="none"/>
              </w:rPr>
              <w:t>提供及时、快速、个</w:t>
            </w:r>
            <w:r>
              <w:rPr>
                <w:rFonts w:ascii="宋体" w:hAnsi="宋体" w:cs="Times New Roman"/>
                <w:color w:val="auto"/>
                <w:sz w:val="24"/>
                <w:szCs w:val="21"/>
                <w:highlight w:val="none"/>
              </w:rPr>
              <w:t>性化</w:t>
            </w:r>
            <w:r>
              <w:rPr>
                <w:rFonts w:hint="eastAsia" w:ascii="宋体" w:hAnsi="宋体" w:cs="Times New Roman"/>
                <w:color w:val="auto"/>
                <w:sz w:val="24"/>
                <w:szCs w:val="21"/>
                <w:highlight w:val="none"/>
              </w:rPr>
              <w:t>的综</w:t>
            </w:r>
            <w:r>
              <w:rPr>
                <w:rFonts w:ascii="宋体" w:hAnsi="宋体" w:cs="Times New Roman"/>
                <w:color w:val="auto"/>
                <w:sz w:val="24"/>
                <w:szCs w:val="21"/>
                <w:highlight w:val="none"/>
              </w:rPr>
              <w:t>合疑难病症诊治</w:t>
            </w:r>
            <w:r>
              <w:rPr>
                <w:rFonts w:hint="eastAsia" w:ascii="宋体" w:hAnsi="宋体" w:cs="Times New Roman"/>
                <w:color w:val="auto"/>
                <w:sz w:val="24"/>
                <w:szCs w:val="21"/>
                <w:highlight w:val="none"/>
              </w:rPr>
              <w:t>服务。</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会诊电子申请</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医生下达会诊通知单同时，自动传递会诊通知至相应科室。</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bookmarkStart w:id="33" w:name="_Toc37167648"/>
            <w:r>
              <w:rPr>
                <w:rFonts w:hint="eastAsia" w:ascii="宋体" w:hAnsi="宋体" w:cs="Times New Roman"/>
                <w:color w:val="auto"/>
                <w:sz w:val="24"/>
                <w:szCs w:val="21"/>
                <w:highlight w:val="none"/>
              </w:rPr>
              <w:t>申请单列表</w:t>
            </w:r>
            <w:bookmarkEnd w:id="33"/>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本人申请的会诊记录和被邀请参与会诊的记录。</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bookmarkStart w:id="34" w:name="_Toc37167649"/>
            <w:r>
              <w:rPr>
                <w:rFonts w:hint="eastAsia" w:ascii="宋体" w:hAnsi="宋体" w:cs="Times New Roman"/>
                <w:color w:val="auto"/>
                <w:sz w:val="24"/>
                <w:szCs w:val="21"/>
                <w:highlight w:val="none"/>
              </w:rPr>
              <w:t>会诊接收</w:t>
            </w:r>
            <w:bookmarkEnd w:id="34"/>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会诊医生接收申请医生发起的会诊，共同为患者疑难病症进行诊治。</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bookmarkStart w:id="35" w:name="_Toc37167650"/>
            <w:r>
              <w:rPr>
                <w:rFonts w:hint="eastAsia" w:ascii="宋体" w:hAnsi="宋体" w:cs="Times New Roman"/>
                <w:color w:val="auto"/>
                <w:sz w:val="24"/>
                <w:szCs w:val="21"/>
                <w:highlight w:val="none"/>
              </w:rPr>
              <w:t>取消接收</w:t>
            </w:r>
            <w:bookmarkEnd w:id="35"/>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会诊医生接收会诊后可取消接收该会诊。</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bookmarkStart w:id="36" w:name="_Toc37167651"/>
            <w:r>
              <w:rPr>
                <w:rFonts w:hint="eastAsia" w:ascii="宋体" w:hAnsi="宋体" w:cs="Times New Roman"/>
                <w:color w:val="auto"/>
                <w:sz w:val="24"/>
                <w:szCs w:val="21"/>
                <w:highlight w:val="none"/>
              </w:rPr>
              <w:t>拒绝接收</w:t>
            </w:r>
            <w:bookmarkEnd w:id="36"/>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会诊医生可拒绝接收会诊申请。</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患者信息查阅</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会诊申请被批准后，应邀科室医生具备查看需会诊患者病历信息，实现多个医生可以同时对患者进行临床信息查阅。会诊结束后，查阅功能自动取消。</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会诊记录书写</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支持会诊医生通过本人账号书写会诊记录功能。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会诊评价</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能够对会诊进行评价，具备统计评价结果功能。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会诊监控</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管理科室可以对全院各科室会诊情况进行监控。包括会诊工作量查询、会诊发出接收统计报表、会诊评估报表等。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CA数字认证签名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与CA数字认证签名对接，支持会诊单申请单、会诊记录等电子签名。</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bookmarkStart w:id="37" w:name="_Toc23219"/>
      <w:r>
        <w:rPr>
          <w:rFonts w:hint="eastAsia" w:ascii="宋体" w:hAnsi="宋体" w:cs="Times New Roman"/>
          <w:b/>
          <w:bCs/>
          <w:color w:val="auto"/>
          <w:kern w:val="0"/>
          <w:szCs w:val="21"/>
          <w:highlight w:val="none"/>
          <w:lang w:val="zh-CN"/>
        </w:rPr>
        <w:t>5.1.3.6入院问询评估系统</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702"/>
        <w:gridCol w:w="512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blHeader/>
        </w:trPr>
        <w:tc>
          <w:tcPr>
            <w:tcW w:w="275" w:type="pct"/>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998" w:type="pct"/>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系统功能模块</w:t>
            </w:r>
          </w:p>
        </w:tc>
        <w:tc>
          <w:tcPr>
            <w:tcW w:w="3003" w:type="pct"/>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详细技术要求</w:t>
            </w:r>
          </w:p>
        </w:tc>
        <w:tc>
          <w:tcPr>
            <w:tcW w:w="724" w:type="pct"/>
            <w:shd w:val="clear" w:color="000000" w:fill="F2F2F2"/>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noWrap/>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总体要求</w:t>
            </w:r>
          </w:p>
        </w:tc>
        <w:tc>
          <w:tcPr>
            <w:tcW w:w="3003" w:type="pct"/>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入院问讯系统应实现完成入院问询访谈，以患者入院初步诊断、病症为主，进行相关症状的问询，最终数据整合至病人病历中。</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vMerge w:val="restart"/>
            <w:noWrap/>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移动端</w:t>
            </w:r>
          </w:p>
        </w:tc>
        <w:tc>
          <w:tcPr>
            <w:tcW w:w="3003" w:type="pct"/>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患者问询：用于患者检索查看，对患者进行入院问询，查看问询结果。</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vMerge w:val="continue"/>
            <w:noWrap/>
            <w:vAlign w:val="center"/>
          </w:tcPr>
          <w:p>
            <w:pPr>
              <w:spacing w:line="360" w:lineRule="auto"/>
              <w:ind w:firstLine="480"/>
              <w:rPr>
                <w:rFonts w:ascii="宋体" w:hAnsi="宋体" w:cs="宋体"/>
                <w:color w:val="auto"/>
                <w:sz w:val="24"/>
                <w:szCs w:val="24"/>
                <w:highlight w:val="none"/>
              </w:rPr>
            </w:pPr>
          </w:p>
        </w:tc>
        <w:tc>
          <w:tcPr>
            <w:tcW w:w="3003" w:type="pct"/>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问询管理：用于查看问询状态的问询中和待提交的患者卡片，对问询中的患者继续问询，待提交的患者提交或查看问询结果，作废问询。</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vMerge w:val="continue"/>
            <w:noWrap/>
            <w:vAlign w:val="center"/>
          </w:tcPr>
          <w:p>
            <w:pPr>
              <w:spacing w:line="360" w:lineRule="auto"/>
              <w:jc w:val="left"/>
              <w:rPr>
                <w:rFonts w:ascii="宋体" w:hAnsi="宋体"/>
                <w:color w:val="auto"/>
                <w:sz w:val="24"/>
                <w:szCs w:val="24"/>
                <w:highlight w:val="none"/>
              </w:rPr>
            </w:pPr>
          </w:p>
        </w:tc>
        <w:tc>
          <w:tcPr>
            <w:tcW w:w="3003" w:type="pct"/>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问询结果：用于显示所有问询进度达到</w:t>
            </w:r>
            <w:r>
              <w:rPr>
                <w:rFonts w:ascii="宋体" w:hAnsi="宋体" w:cs="宋体"/>
                <w:color w:val="auto"/>
                <w:sz w:val="24"/>
                <w:szCs w:val="24"/>
                <w:highlight w:val="none"/>
              </w:rPr>
              <w:t>100%</w:t>
            </w:r>
            <w:r>
              <w:rPr>
                <w:rFonts w:hint="eastAsia" w:ascii="宋体" w:hAnsi="宋体" w:cs="宋体"/>
                <w:color w:val="auto"/>
                <w:sz w:val="24"/>
                <w:szCs w:val="24"/>
                <w:highlight w:val="none"/>
              </w:rPr>
              <w:t>的患者，可检索查看患者问询结果，进入患者问询结果页面。</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vMerge w:val="continue"/>
            <w:noWrap/>
            <w:vAlign w:val="center"/>
          </w:tcPr>
          <w:p>
            <w:pPr>
              <w:spacing w:line="360" w:lineRule="auto"/>
              <w:jc w:val="left"/>
              <w:rPr>
                <w:rFonts w:ascii="宋体" w:hAnsi="宋体"/>
                <w:color w:val="auto"/>
                <w:sz w:val="24"/>
                <w:szCs w:val="24"/>
                <w:highlight w:val="none"/>
              </w:rPr>
            </w:pPr>
          </w:p>
        </w:tc>
        <w:tc>
          <w:tcPr>
            <w:tcW w:w="3003" w:type="pct"/>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个人中心：用于显示登录用户基本信息，可修改用户联系方式。</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vMerge w:val="restart"/>
            <w:noWrap/>
            <w:vAlign w:val="center"/>
          </w:tcPr>
          <w:p>
            <w:pPr>
              <w:spacing w:line="360" w:lineRule="auto"/>
              <w:rPr>
                <w:rFonts w:ascii="宋体" w:hAnsi="宋体" w:cs="宋体"/>
                <w:color w:val="auto"/>
                <w:sz w:val="24"/>
                <w:szCs w:val="24"/>
                <w:highlight w:val="none"/>
              </w:rPr>
            </w:pPr>
            <w:r>
              <w:rPr>
                <w:rFonts w:ascii="宋体" w:hAnsi="宋体" w:cs="宋体"/>
                <w:color w:val="auto"/>
                <w:sz w:val="24"/>
                <w:szCs w:val="24"/>
                <w:highlight w:val="none"/>
              </w:rPr>
              <w:t>PC</w:t>
            </w:r>
            <w:r>
              <w:rPr>
                <w:rFonts w:hint="eastAsia" w:ascii="宋体" w:hAnsi="宋体" w:cs="宋体"/>
                <w:color w:val="auto"/>
                <w:sz w:val="24"/>
                <w:szCs w:val="24"/>
                <w:highlight w:val="none"/>
              </w:rPr>
              <w:t>端</w:t>
            </w:r>
          </w:p>
        </w:tc>
        <w:tc>
          <w:tcPr>
            <w:tcW w:w="3003" w:type="pct"/>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首页：用于总览显示入院问询系统相关数据。</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vMerge w:val="continue"/>
            <w:noWrap/>
            <w:vAlign w:val="center"/>
          </w:tcPr>
          <w:p>
            <w:pPr>
              <w:spacing w:line="360" w:lineRule="auto"/>
              <w:jc w:val="left"/>
              <w:rPr>
                <w:rFonts w:ascii="宋体" w:hAnsi="宋体"/>
                <w:color w:val="auto"/>
                <w:sz w:val="24"/>
                <w:szCs w:val="24"/>
                <w:highlight w:val="none"/>
              </w:rPr>
            </w:pPr>
          </w:p>
        </w:tc>
        <w:tc>
          <w:tcPr>
            <w:tcW w:w="3003" w:type="pct"/>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系统管理：用于对问询系统的基础设置进行管理。</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vMerge w:val="continue"/>
            <w:noWrap/>
            <w:vAlign w:val="center"/>
          </w:tcPr>
          <w:p>
            <w:pPr>
              <w:spacing w:line="360" w:lineRule="auto"/>
              <w:jc w:val="left"/>
              <w:rPr>
                <w:rFonts w:ascii="宋体" w:hAnsi="宋体"/>
                <w:color w:val="auto"/>
                <w:sz w:val="24"/>
                <w:szCs w:val="24"/>
                <w:highlight w:val="none"/>
              </w:rPr>
            </w:pPr>
          </w:p>
        </w:tc>
        <w:tc>
          <w:tcPr>
            <w:tcW w:w="3003" w:type="pct"/>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元素管理：用于查看、新增、编辑、删除问询元素。</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vMerge w:val="continue"/>
            <w:noWrap/>
            <w:vAlign w:val="center"/>
          </w:tcPr>
          <w:p>
            <w:pPr>
              <w:spacing w:line="360" w:lineRule="auto"/>
              <w:jc w:val="left"/>
              <w:rPr>
                <w:rFonts w:ascii="宋体" w:hAnsi="宋体"/>
                <w:color w:val="auto"/>
                <w:sz w:val="24"/>
                <w:szCs w:val="24"/>
                <w:highlight w:val="none"/>
              </w:rPr>
            </w:pPr>
          </w:p>
        </w:tc>
        <w:tc>
          <w:tcPr>
            <w:tcW w:w="3003" w:type="pct"/>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模板管理：用于设置模板内容、模板审核、模板权限分配。</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vMerge w:val="continue"/>
            <w:noWrap/>
            <w:vAlign w:val="center"/>
          </w:tcPr>
          <w:p>
            <w:pPr>
              <w:spacing w:line="360" w:lineRule="auto"/>
              <w:jc w:val="left"/>
              <w:rPr>
                <w:rFonts w:ascii="宋体" w:hAnsi="宋体"/>
                <w:color w:val="auto"/>
                <w:sz w:val="24"/>
                <w:szCs w:val="24"/>
                <w:highlight w:val="none"/>
              </w:rPr>
            </w:pPr>
          </w:p>
        </w:tc>
        <w:tc>
          <w:tcPr>
            <w:tcW w:w="3003" w:type="pct"/>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问询管理：用于检索查看已问询患者情况，可提交、撤回问询、编辑问询结果。</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vMerge w:val="continue"/>
            <w:noWrap/>
            <w:vAlign w:val="center"/>
          </w:tcPr>
          <w:p>
            <w:pPr>
              <w:spacing w:line="360" w:lineRule="auto"/>
              <w:jc w:val="left"/>
              <w:rPr>
                <w:rFonts w:ascii="宋体" w:hAnsi="宋体"/>
                <w:color w:val="auto"/>
                <w:sz w:val="24"/>
                <w:szCs w:val="24"/>
                <w:highlight w:val="none"/>
              </w:rPr>
            </w:pPr>
          </w:p>
        </w:tc>
        <w:tc>
          <w:tcPr>
            <w:tcW w:w="3003" w:type="pct"/>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个人中心：用于显示登录用户基本信息，可修改部分内容。</w:t>
            </w:r>
          </w:p>
        </w:tc>
        <w:tc>
          <w:tcPr>
            <w:tcW w:w="724" w:type="pct"/>
          </w:tcPr>
          <w:p>
            <w:pPr>
              <w:spacing w:line="360" w:lineRule="auto"/>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19"/>
              </w:numPr>
              <w:spacing w:line="360" w:lineRule="auto"/>
              <w:ind w:firstLineChars="0"/>
              <w:jc w:val="center"/>
              <w:rPr>
                <w:rFonts w:ascii="宋体" w:hAnsi="宋体" w:cs="宋体"/>
                <w:color w:val="auto"/>
                <w:kern w:val="0"/>
                <w:sz w:val="24"/>
                <w:szCs w:val="24"/>
                <w:highlight w:val="none"/>
              </w:rPr>
            </w:pPr>
          </w:p>
        </w:tc>
        <w:tc>
          <w:tcPr>
            <w:tcW w:w="998" w:type="pct"/>
            <w:noWrap/>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电子病历部分</w:t>
            </w:r>
          </w:p>
        </w:tc>
        <w:tc>
          <w:tcPr>
            <w:tcW w:w="3003" w:type="pct"/>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问询结果应用：用于将患者问询结果应用到患者电子病历的现病史中。</w:t>
            </w:r>
          </w:p>
        </w:tc>
        <w:tc>
          <w:tcPr>
            <w:tcW w:w="724" w:type="pct"/>
          </w:tcPr>
          <w:p>
            <w:pPr>
              <w:spacing w:line="360" w:lineRule="auto"/>
              <w:jc w:val="left"/>
              <w:rPr>
                <w:rFonts w:ascii="宋体" w:hAnsi="宋体" w:cs="宋体"/>
                <w:color w:val="auto"/>
                <w:kern w:val="0"/>
                <w:sz w:val="24"/>
                <w:szCs w:val="24"/>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5.1.3.7预住院管理系统</w:t>
      </w:r>
    </w:p>
    <w:tbl>
      <w:tblPr>
        <w:tblStyle w:val="18"/>
        <w:tblW w:w="5000" w:type="pct"/>
        <w:tblInd w:w="0" w:type="dxa"/>
        <w:tblLayout w:type="fixed"/>
        <w:tblCellMar>
          <w:top w:w="0" w:type="dxa"/>
          <w:left w:w="108" w:type="dxa"/>
          <w:bottom w:w="0" w:type="dxa"/>
          <w:right w:w="108" w:type="dxa"/>
        </w:tblCellMar>
      </w:tblPr>
      <w:tblGrid>
        <w:gridCol w:w="404"/>
        <w:gridCol w:w="1573"/>
        <w:gridCol w:w="5219"/>
        <w:gridCol w:w="1332"/>
      </w:tblGrid>
      <w:tr>
        <w:tblPrEx>
          <w:tblCellMar>
            <w:top w:w="0" w:type="dxa"/>
            <w:left w:w="108" w:type="dxa"/>
            <w:bottom w:w="0" w:type="dxa"/>
            <w:right w:w="108" w:type="dxa"/>
          </w:tblCellMar>
        </w:tblPrEx>
        <w:trPr>
          <w:trHeight w:val="285" w:hRule="atLeast"/>
          <w:tblHeader/>
        </w:trPr>
        <w:tc>
          <w:tcPr>
            <w:tcW w:w="237" w:type="pct"/>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922" w:type="pct"/>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系统功能模块</w:t>
            </w:r>
          </w:p>
        </w:tc>
        <w:tc>
          <w:tcPr>
            <w:tcW w:w="3060" w:type="pct"/>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详细技术要求</w:t>
            </w:r>
          </w:p>
        </w:tc>
        <w:tc>
          <w:tcPr>
            <w:tcW w:w="781" w:type="pct"/>
            <w:tcBorders>
              <w:top w:val="single" w:color="auto" w:sz="4" w:space="0"/>
              <w:left w:val="nil"/>
              <w:bottom w:val="single" w:color="auto" w:sz="4" w:space="0"/>
              <w:right w:val="single" w:color="auto" w:sz="4" w:space="0"/>
            </w:tcBorders>
            <w:shd w:val="clear" w:color="000000" w:fill="F2F2F2"/>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投标人对照响应</w:t>
            </w: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医生化验申请单</w:t>
            </w: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支持参数化控制是否可以预开检验项目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支持新增、修改、删除、查看预开的化验项目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支持同次新增多条化验项目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支持医嘱模式的化验申请</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支持电子化的化验医嘱进行数据传递</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支持加急申请单加急处理，全程醒目标志提醒</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支持医生开单权限控制，控制医生只能新开拥有权限的化验申请单</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支持性别化区分化验项目，避免医生的误操作，针对病人性别过滤化验项目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支持列表模式的化验开单方式</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支持目录化化验项目，医生根据化验项目所属分类，快速定位到项目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提供针对同一化验项目，生成多条标本的功能。以方便同一项目同时需要化验多种不同的标本</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医生检查申请单</w:t>
            </w: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支持电子化的检查医嘱进行数据传递</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支持检查申请单新开</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支持树状结构选择检查项目和直接检索项目名称</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支持简要病史的继承，多条检查统一输入、电子病历直接获取病史</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支持隐私级别的自动导入</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支持加急申请单加急处理，全程醒目标志提醒</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支持医生开单权限控制，控制医生只能新开拥有权限的检查申请单</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支持控制增强类检查，自动配套检查带药</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支持过滤住院使用的检查项目，不能开出门诊使用的检查项目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支持性别化区分检查项目，避免医生的误操作，针对病人性别过滤检查项目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支持控制同一分类下，允许开入同一组的项目数量</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支持控制同一项目下，同时选择多个项目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化验检查组套</w:t>
            </w: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支持对组套的编辑功能：即新增、修改、删除、查看模板组套</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支持对组套中化验项目的编辑功能：即新增、修改、删除化验</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支持对组套中检查项目的编辑功能：即新增、修改、删除检查</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提供自定义化调整模板的排列顺序</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0"/>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提供调用模板的内容，选择模板即可导入到本次的入院前检查中</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bl>
    <w:p>
      <w:pPr>
        <w:rPr>
          <w:rFonts w:ascii="宋体" w:hAnsi="宋体" w:cs="Times New Roman"/>
          <w:b/>
          <w:bCs/>
          <w:color w:val="auto"/>
          <w:kern w:val="0"/>
          <w:szCs w:val="21"/>
          <w:highlight w:val="none"/>
          <w:lang w:val="zh-CN"/>
        </w:rPr>
      </w:pPr>
    </w:p>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5.1.3.8入院准备中心</w:t>
      </w:r>
    </w:p>
    <w:tbl>
      <w:tblPr>
        <w:tblStyle w:val="18"/>
        <w:tblW w:w="5000" w:type="pct"/>
        <w:tblInd w:w="0" w:type="dxa"/>
        <w:tblLayout w:type="fixed"/>
        <w:tblCellMar>
          <w:top w:w="0" w:type="dxa"/>
          <w:left w:w="108" w:type="dxa"/>
          <w:bottom w:w="0" w:type="dxa"/>
          <w:right w:w="108" w:type="dxa"/>
        </w:tblCellMar>
      </w:tblPr>
      <w:tblGrid>
        <w:gridCol w:w="404"/>
        <w:gridCol w:w="1573"/>
        <w:gridCol w:w="5219"/>
        <w:gridCol w:w="1332"/>
      </w:tblGrid>
      <w:tr>
        <w:tblPrEx>
          <w:tblCellMar>
            <w:top w:w="0" w:type="dxa"/>
            <w:left w:w="108" w:type="dxa"/>
            <w:bottom w:w="0" w:type="dxa"/>
            <w:right w:w="108" w:type="dxa"/>
          </w:tblCellMar>
        </w:tblPrEx>
        <w:trPr>
          <w:trHeight w:val="285" w:hRule="atLeast"/>
          <w:tblHeader/>
        </w:trPr>
        <w:tc>
          <w:tcPr>
            <w:tcW w:w="237" w:type="pct"/>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922" w:type="pct"/>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系统功能模块</w:t>
            </w:r>
          </w:p>
        </w:tc>
        <w:tc>
          <w:tcPr>
            <w:tcW w:w="3060" w:type="pct"/>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详细技术要求</w:t>
            </w:r>
          </w:p>
        </w:tc>
        <w:tc>
          <w:tcPr>
            <w:tcW w:w="781" w:type="pct"/>
            <w:tcBorders>
              <w:top w:val="single" w:color="auto" w:sz="4" w:space="0"/>
              <w:left w:val="nil"/>
              <w:bottom w:val="single" w:color="auto" w:sz="4" w:space="0"/>
              <w:right w:val="single" w:color="auto" w:sz="4" w:space="0"/>
            </w:tcBorders>
            <w:shd w:val="clear" w:color="000000" w:fill="F2F2F2"/>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投标人对照响应</w:t>
            </w: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基础设置</w:t>
            </w: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床位预约标志开启</w:t>
            </w:r>
            <w:r>
              <w:rPr>
                <w:rFonts w:ascii="宋体" w:hAnsi="宋体" w:cs="宋体"/>
                <w:color w:val="auto"/>
                <w:sz w:val="24"/>
                <w:szCs w:val="24"/>
                <w:highlight w:val="none"/>
              </w:rPr>
              <w:t>/</w:t>
            </w:r>
            <w:r>
              <w:rPr>
                <w:rFonts w:hint="eastAsia" w:ascii="宋体" w:hAnsi="宋体" w:cs="宋体"/>
                <w:color w:val="auto"/>
                <w:sz w:val="24"/>
                <w:szCs w:val="24"/>
                <w:highlight w:val="none"/>
              </w:rPr>
              <w:t>关闭功能；</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急诊用床数量设置功能；</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科室、病区、床位管理功能；</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病区收治原则设置功能。</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床位预约管理中心</w:t>
            </w: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预约登记：床管协调中心通过刷卡操作获取病人电子入院卡信息，根据电子入院卡登记一条床位预约信息，对应状态登记；</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预约床位：床位预约操作，预约登记完成后才能进行，其他状态下不能操作，对应状态已预约；</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支持明出床位分配预约床位；</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取消预约：对应已预约状态的申请单可以取消预约操作，取消预约床位分配，更新预约申请单状态为登记；</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支持根据实际床位信息进行修改预约床位；</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支持按病区显示病区床位信息；</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撤销预约：如果病人未按约定时间到达医院，床管协调中心进行确认，如果病人确定不来医院了，则可以手工进行预约撤销，填写撤销理由，撤销完成后则预约登记信息作废了，对应状态撤销；</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控制未分配预约床位不能进行登记；</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支持入院病区等信息自动获取床管中心安排的信息：入院病区；</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支持入院登记信息填写；</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转科申请信息处理：预约登记以及预约床位分配操作；</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预约病人逾期信息提醒功能；</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支持占床操作；</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支持占床取消；</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支持查看预约病人信息；</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支持查看占床病人信息；</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支持查看对应病区设置的收治原则；</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支持查询电子入院卡分析报表；</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支持查询床位预约信息分析报表；</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支持查询预约病人信息；</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支持查询电子入院卡。</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vAlign w:val="center"/>
          </w:tcPr>
          <w:p>
            <w:pPr>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入院准备中心</w:t>
            </w: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支持准备中心按实际情况删除操作已开预约项目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支持查看医生所开的预约申请单和已预开的项目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支持控制只能对已签到状态进行预入院安排</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支持提供对预入院病人操作病人的体温单和护理单功能</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支持提供对化验流程的操作，生成、采集、发送标本，也可以批量操作</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支持提供对检查流程的操作，提交</w:t>
            </w:r>
            <w:r>
              <w:rPr>
                <w:rFonts w:ascii="宋体" w:hAnsi="宋体" w:cs="宋体"/>
                <w:color w:val="auto"/>
                <w:sz w:val="24"/>
                <w:szCs w:val="24"/>
                <w:highlight w:val="none"/>
              </w:rPr>
              <w:t>/</w:t>
            </w:r>
            <w:r>
              <w:rPr>
                <w:rFonts w:hint="eastAsia" w:ascii="宋体" w:hAnsi="宋体" w:cs="宋体"/>
                <w:color w:val="auto"/>
                <w:sz w:val="24"/>
                <w:szCs w:val="24"/>
                <w:highlight w:val="none"/>
              </w:rPr>
              <w:t>撤销条码，也可以批量操作</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1"/>
              </w:numPr>
              <w:spacing w:line="360" w:lineRule="auto"/>
              <w:ind w:firstLineChars="0"/>
              <w:jc w:val="center"/>
              <w:rPr>
                <w:rFonts w:ascii="宋体" w:hAnsi="宋体" w:cs="宋体"/>
                <w:color w:val="auto"/>
                <w:kern w:val="0"/>
                <w:sz w:val="24"/>
                <w:szCs w:val="24"/>
                <w:highlight w:val="none"/>
              </w:rPr>
            </w:pPr>
          </w:p>
        </w:tc>
        <w:tc>
          <w:tcPr>
            <w:tcW w:w="922"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与</w:t>
            </w:r>
            <w:r>
              <w:rPr>
                <w:rFonts w:ascii="宋体" w:hAnsi="宋体" w:cs="宋体"/>
                <w:color w:val="auto"/>
                <w:sz w:val="24"/>
                <w:szCs w:val="24"/>
                <w:highlight w:val="none"/>
              </w:rPr>
              <w:t>HIS</w:t>
            </w:r>
            <w:r>
              <w:rPr>
                <w:rFonts w:hint="eastAsia" w:ascii="宋体" w:hAnsi="宋体" w:cs="宋体"/>
                <w:color w:val="auto"/>
                <w:sz w:val="24"/>
                <w:szCs w:val="24"/>
                <w:highlight w:val="none"/>
              </w:rPr>
              <w:t>系统对接</w:t>
            </w: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s="宋体"/>
                <w:color w:val="auto"/>
                <w:sz w:val="24"/>
                <w:szCs w:val="24"/>
                <w:highlight w:val="none"/>
              </w:rPr>
              <w:t>科室、病区、床位管理功能，需与现有</w:t>
            </w:r>
            <w:r>
              <w:rPr>
                <w:rFonts w:ascii="宋体" w:hAnsi="宋体" w:cs="宋体"/>
                <w:color w:val="auto"/>
                <w:sz w:val="24"/>
                <w:szCs w:val="24"/>
                <w:highlight w:val="none"/>
              </w:rPr>
              <w:t>HIS</w:t>
            </w:r>
            <w:r>
              <w:rPr>
                <w:rFonts w:hint="eastAsia" w:ascii="宋体" w:hAnsi="宋体" w:cs="宋体"/>
                <w:color w:val="auto"/>
                <w:sz w:val="24"/>
                <w:szCs w:val="24"/>
                <w:highlight w:val="none"/>
              </w:rPr>
              <w:t>系统数据保持一致。</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bl>
    <w:p>
      <w:pPr>
        <w:rPr>
          <w:rFonts w:ascii="宋体" w:hAnsi="宋体" w:cs="Times New Roman"/>
          <w:b/>
          <w:bCs/>
          <w:color w:val="auto"/>
          <w:kern w:val="0"/>
          <w:szCs w:val="21"/>
          <w:highlight w:val="none"/>
          <w:lang w:val="zh-CN"/>
        </w:rPr>
      </w:pPr>
    </w:p>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5.1.3.9床位管理中心</w:t>
      </w:r>
    </w:p>
    <w:tbl>
      <w:tblPr>
        <w:tblStyle w:val="18"/>
        <w:tblW w:w="5000" w:type="pct"/>
        <w:tblInd w:w="0" w:type="dxa"/>
        <w:tblLayout w:type="fixed"/>
        <w:tblCellMar>
          <w:top w:w="0" w:type="dxa"/>
          <w:left w:w="108" w:type="dxa"/>
          <w:bottom w:w="0" w:type="dxa"/>
          <w:right w:w="108" w:type="dxa"/>
        </w:tblCellMar>
      </w:tblPr>
      <w:tblGrid>
        <w:gridCol w:w="404"/>
        <w:gridCol w:w="1573"/>
        <w:gridCol w:w="5219"/>
        <w:gridCol w:w="1332"/>
      </w:tblGrid>
      <w:tr>
        <w:tblPrEx>
          <w:tblCellMar>
            <w:top w:w="0" w:type="dxa"/>
            <w:left w:w="108" w:type="dxa"/>
            <w:bottom w:w="0" w:type="dxa"/>
            <w:right w:w="108" w:type="dxa"/>
          </w:tblCellMar>
        </w:tblPrEx>
        <w:trPr>
          <w:trHeight w:val="285" w:hRule="atLeast"/>
          <w:tblHeader/>
        </w:trPr>
        <w:tc>
          <w:tcPr>
            <w:tcW w:w="237" w:type="pct"/>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922" w:type="pct"/>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系统功能模块</w:t>
            </w:r>
          </w:p>
        </w:tc>
        <w:tc>
          <w:tcPr>
            <w:tcW w:w="3060" w:type="pct"/>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详细技术要求</w:t>
            </w:r>
          </w:p>
        </w:tc>
        <w:tc>
          <w:tcPr>
            <w:tcW w:w="781" w:type="pct"/>
            <w:tcBorders>
              <w:top w:val="single" w:color="auto" w:sz="4" w:space="0"/>
              <w:left w:val="nil"/>
              <w:bottom w:val="single" w:color="auto" w:sz="4" w:space="0"/>
              <w:right w:val="single" w:color="auto" w:sz="4" w:space="0"/>
            </w:tcBorders>
            <w:shd w:val="clear" w:color="000000" w:fill="F2F2F2"/>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投标人对照响应</w:t>
            </w: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入院申请</w:t>
            </w: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支持门诊医生安排入院申请</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支持急诊医生安排入院申请</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支持住院医生安排预约下次住院入院申请</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w:t>
            </w:r>
            <w:r>
              <w:rPr>
                <w:rFonts w:ascii="宋体" w:hAnsi="宋体"/>
                <w:color w:val="auto"/>
                <w:sz w:val="24"/>
                <w:szCs w:val="24"/>
                <w:highlight w:val="none"/>
              </w:rPr>
              <w:t>ICU</w:t>
            </w:r>
            <w:r>
              <w:rPr>
                <w:rFonts w:hint="eastAsia" w:ascii="宋体" w:hAnsi="宋体"/>
                <w:color w:val="auto"/>
                <w:sz w:val="24"/>
                <w:szCs w:val="24"/>
                <w:highlight w:val="none"/>
              </w:rPr>
              <w:t>跳过签床流程直接入院</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中心床位安排</w:t>
            </w: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支持床位基本信息展示</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支持床位安排简图，如房间类型、是否满房、隔离要求、性别要求等</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支持床位预约登记</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支持床位安排处理</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支持对已安排床位换床操作</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支持床位安排信息通知到病人，包括但不限于短信提醒等</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支持通知信息取消操作</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支持床位预约登记撤销、作废、重置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支持预约单打印</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支持按检索条件检索预约单并导出</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支持预约信息统计</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住院处置中心</w:t>
            </w: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对已安排入院病人，支持三测表信息的查询、录入</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支持三测表备注信息录入</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支持三测表自动断点</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支持住院天数、术后（产后）天数自动计算</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支持三测表的打印和补打</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护士病人安排</w:t>
            </w: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支持新病人的安排和安排取消</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支持病人轮转转入处理</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支持病人轮转转出处理</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支持病人出院处理和出院取消处理</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支持病人在院信息查看，包括病人详情、过敏信息、饮食医嘱等</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支持病人在院可修改信息修改</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restart"/>
            <w:tcBorders>
              <w:top w:val="single" w:color="auto" w:sz="4" w:space="0"/>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借床处理</w:t>
            </w: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支持借床病区设置</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支持门诊医生申请借床</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right w:val="single" w:color="auto" w:sz="4" w:space="0"/>
            </w:tcBorders>
            <w:noWrap/>
            <w:vAlign w:val="center"/>
          </w:tcPr>
          <w:p>
            <w:pPr>
              <w:spacing w:line="360" w:lineRule="auto"/>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支持借床床位安排</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37"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22"/>
              </w:numPr>
              <w:spacing w:line="360" w:lineRule="auto"/>
              <w:ind w:firstLineChars="0"/>
              <w:jc w:val="center"/>
              <w:rPr>
                <w:rFonts w:ascii="宋体" w:hAnsi="宋体" w:cs="宋体"/>
                <w:color w:val="auto"/>
                <w:kern w:val="0"/>
                <w:sz w:val="24"/>
                <w:szCs w:val="24"/>
                <w:highlight w:val="none"/>
              </w:rPr>
            </w:pPr>
          </w:p>
        </w:tc>
        <w:tc>
          <w:tcPr>
            <w:tcW w:w="922" w:type="pct"/>
            <w:vMerge w:val="continue"/>
            <w:tcBorders>
              <w:left w:val="single" w:color="auto" w:sz="4" w:space="0"/>
              <w:bottom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p>
        </w:tc>
        <w:tc>
          <w:tcPr>
            <w:tcW w:w="3060"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支持住院医生和护士查看借床床位</w:t>
            </w:r>
          </w:p>
        </w:tc>
        <w:tc>
          <w:tcPr>
            <w:tcW w:w="781"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bl>
    <w:p>
      <w:pPr>
        <w:rPr>
          <w:rFonts w:ascii="宋体" w:hAnsi="宋体" w:cs="Times New Roman"/>
          <w:b/>
          <w:bCs/>
          <w:color w:val="auto"/>
          <w:kern w:val="0"/>
          <w:szCs w:val="21"/>
          <w:highlight w:val="none"/>
          <w:lang w:val="zh-CN"/>
        </w:rPr>
      </w:pPr>
    </w:p>
    <w:p>
      <w:pPr>
        <w:keepNext/>
        <w:keepLines/>
        <w:numPr>
          <w:ilvl w:val="2"/>
          <w:numId w:val="0"/>
        </w:numPr>
        <w:snapToGrid w:val="0"/>
        <w:spacing w:line="360" w:lineRule="auto"/>
        <w:outlineLvl w:val="2"/>
        <w:rPr>
          <w:rFonts w:ascii="宋体" w:hAnsi="宋体" w:cs="Times New Roman"/>
          <w:b/>
          <w:bCs/>
          <w:color w:val="auto"/>
          <w:kern w:val="0"/>
          <w:szCs w:val="21"/>
          <w:highlight w:val="none"/>
        </w:rPr>
      </w:pPr>
      <w:r>
        <w:rPr>
          <w:rFonts w:hint="eastAsia" w:ascii="宋体" w:hAnsi="宋体" w:cs="Times New Roman"/>
          <w:b/>
          <w:bCs/>
          <w:color w:val="auto"/>
          <w:kern w:val="0"/>
          <w:szCs w:val="21"/>
          <w:highlight w:val="none"/>
        </w:rPr>
        <w:t>5.1.4经济服务管理</w:t>
      </w:r>
      <w:bookmarkEnd w:id="37"/>
    </w:p>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5.1.4.1门急划价收费系统</w:t>
      </w:r>
    </w:p>
    <w:tbl>
      <w:tblPr>
        <w:tblStyle w:val="18"/>
        <w:tblW w:w="9322" w:type="dxa"/>
        <w:jc w:val="center"/>
        <w:tblLayout w:type="autofit"/>
        <w:tblCellMar>
          <w:top w:w="0" w:type="dxa"/>
          <w:left w:w="108" w:type="dxa"/>
          <w:bottom w:w="0" w:type="dxa"/>
          <w:right w:w="108" w:type="dxa"/>
        </w:tblCellMar>
      </w:tblPr>
      <w:tblGrid>
        <w:gridCol w:w="457"/>
        <w:gridCol w:w="1643"/>
        <w:gridCol w:w="5527"/>
        <w:gridCol w:w="1695"/>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695"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门急诊划价收费系统自动接收医生所开处方，为患者提供费用结算、发票打印功能，便于患者后续做检查，取药等。</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基本功能</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完成自费、医保、医疗补助等各类就诊人员的处方、检查单、检验单的划价收费处理。提供多种收费方式，如现金、记帐、银联等。</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处方收费</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自动获取或直接录入收费信息，支持多种结算类别（自费、公费、医保等）、支持自动找零，支持现金、支票、银联等多种支付方式。支持门诊优惠、减免等。患者可以通过电子健康卡进行门诊缴费。</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门诊退费</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作废时病人确认、隔日作废控制、作废权限管理；处方、医技收费作废流程控制；支持全退款和部分退款，已发药的处方必须先到药房退药，才能退款；对多张发票的处方，退款时必须收回所有已打印的发票。退款时要记录原来发票号码、原金额和现发票号码、现金额。可以通过电子健康卡进行门诊退费、作废。</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作废处理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▲提供两种收费作废流程：特批作废申请（不可再重收）和作废可回收电子单，投标文件中需提供软件界面截图。</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结算发票重打</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录入门诊结算发票号，重新打印，原发票作废。</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收费查询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提供收款员发票查询，收款员工作量统计，门诊收费分项查询，按档案号、姓名、就诊卡号和时间段查询门诊收费、退费信息。</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患者费用查询、收费员工作量统计、病人基本信息维护、收款员发票查询、作废发票查询等。按时间查询各科室发票科目收入及总收入，提供收入统计打印。按时间段查询统计门诊发生的费用分类统计（科室工作量统计，医生工作量统计）。</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功能测试要求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门诊收费系统应通过国家级权威检验机构测试认证，投标书中提供测试报告等证明材料。</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5.1.4.2住院收费系统</w:t>
      </w:r>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住院收费系统实现病人住院预交款的交退，对病人住院发生的费用生成账单信息，病人在院中途结算、出院财务结算、以及住院收费等功能。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预交款处理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支持多种付款方式，提供预交款登记、审核、作废、票据打印。</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催款处理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允许登记病人催缴限额，催缴限额内自动生成催款单，病人欠费时自动生成催款单。</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出院结算</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核对病人帐单费用总额，自付金额和押金总额无误后，办理病人出院，可以对病人多退或少补选择一种或多种支付方式进行结算，打印出院发票，并做财务结算，并打印费用明细单给病人。支持医保病人结算。支持通过电子健康卡进行住院结算。</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退款处理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支持病人多次退款、票据退款审核管理。</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住院担保</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为特殊患者、绿色通道患者进行住院费用担保，在执行医嘱时不会因为押金余额不足而导致患者诊疗不便。</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住院费用查询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支持查询入在院患者及费用信息。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费用详情</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bookmarkStart w:id="38" w:name="_Hlk106095067"/>
            <w:r>
              <w:rPr>
                <w:rFonts w:hint="eastAsia" w:ascii="宋体" w:hAnsi="宋体" w:cs="Times New Roman"/>
                <w:color w:val="auto"/>
                <w:sz w:val="24"/>
                <w:szCs w:val="21"/>
                <w:highlight w:val="none"/>
              </w:rPr>
              <w:t>▲提供“项目汇总信息”、“统计汇总信息”、“明细信息”三个分页显示查询结果</w:t>
            </w:r>
            <w:bookmarkEnd w:id="38"/>
            <w:r>
              <w:rPr>
                <w:rFonts w:hint="eastAsia" w:ascii="宋体" w:hAnsi="宋体" w:cs="Times New Roman"/>
                <w:color w:val="auto"/>
                <w:sz w:val="24"/>
                <w:szCs w:val="21"/>
                <w:highlight w:val="none"/>
              </w:rPr>
              <w:t>，投标文件中需提供软件界面截图。</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科室收入查询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支持查询汇总收入情况，病区科室的明细收入情况。</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费用重算</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支持费用比例分时段、批量病人的费用重算。</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日终关帐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支持手工定时和不定时关帐和自动关帐，实现关帐时固定费用自动记帐，如床位费等。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病人预交款、费用清单、费用日清单、出院应收应付款统计等。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帐册报表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包括个人、医院收入报表、费别类型、在院收入、未结算费用汇总。</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功能测试要求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该系统应通过国家级权威检验机构测试认证，投标书中提供测试报告等证明材料。</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5.1.4.3财务结算管理系统</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财务结算系统汇总生成门诊、住院、病区、财务、人事、药剂等统计数据，减少统计部门搜集、汇总、统计的工作量。</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发票管理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支持对收款员或财务组进行发票领用，发票领用可以自定义号段，按照不同的发票类型。支持对收款员未使用号段回收功能。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日结汇总</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对收款员的日结数据进行审核、汇总、打印。</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日结规则管理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按照日结类别对日结查询数据项进行维护。</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门诊收费分项统计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统计门诊收费项目名称、金额、合计信息。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门诊各科收入统计(月报)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统计门诊各科室名称、统计类别、合计信息。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科室挂号收入汇总</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统计科室名称、挂号类别、挂号人数、收费总计、合计信息。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住院收费分项统计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统计住院收费项目名称、金额、合计信息。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结算发票查询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查询统计结算患者发票及明细。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住院、门诊科室收入查询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支持查询所选时间段内科室的汇总收入情况/科室的明细收入情况，打印查询结果。</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住院、门诊医生工作量统计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根据时间条件统计医生收入情况。包括各分类收入等/支持查询某个医生的工作量汇总及明细工作量情况/支持打印以上查询结果。</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病人信息查询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查询患者信息、历次门诊住院信息。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收款员发票领用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对收款员进行发票领用管理，包括发票类型的对照。</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功能测试要求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该系统应通过国家级权威检验机构测试认证，投标书中提供测试报告等证明材料。</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5.1.4.4就诊卡管理系统</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就诊卡管理系统提供磁卡、IC卡、条码等技术及卡管理功能。实现就诊人员身份与卡统一管理，为每个新建病历的就诊人员建立一个包含就诊人员基本信息的就诊人员主索引，患者在门诊的挂号、医生工作站、门诊收费、取药、LIS、PACS，以及住院登记、病人自助费用查询、出院结算等所有相关医疗服务的操作和查询。</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就诊卡管理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包括建卡管理，就诊者信息录入、修改，就诊卡管理（发卡、挂失、换卡、补卡、卡合并、信息补录等功能）。支持身份、医保卡、就诊卡、居民电子健康卡多卡合一。与电子健康卡卡管平台对接，支持无就诊卡时读取电子健康卡或扫描电子健康卡二维码，完成挂号、退号、收费、作废、医生接诊、发药、注射等环节的身份验证。</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预交金管理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卡账户管理，含预交、充值、扣款、退费等功能。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退卡管理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提供就诊卡退卡功能。支持在患者结清账户后退卡；支持返还患者卡押金。</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查询患者档案</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提供查询患者档案信息功能。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strike/>
                <w:color w:val="auto"/>
                <w:sz w:val="24"/>
                <w:szCs w:val="21"/>
                <w:highlight w:val="none"/>
              </w:rPr>
              <w:t>就诊卡</w:t>
            </w:r>
            <w:r>
              <w:rPr>
                <w:rFonts w:hint="eastAsia" w:ascii="宋体" w:hAnsi="宋体" w:cs="Times New Roman"/>
                <w:color w:val="auto"/>
                <w:sz w:val="24"/>
                <w:szCs w:val="21"/>
                <w:highlight w:val="none"/>
              </w:rPr>
              <w:t>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支持居民电子健康卡、就诊卡查询患者信息。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strike/>
                <w:color w:val="auto"/>
                <w:sz w:val="24"/>
                <w:szCs w:val="21"/>
                <w:highlight w:val="none"/>
              </w:rPr>
              <w:t>就诊卡</w:t>
            </w:r>
            <w:r>
              <w:rPr>
                <w:rFonts w:hint="eastAsia" w:ascii="宋体" w:hAnsi="宋体" w:cs="Times New Roman"/>
                <w:color w:val="auto"/>
                <w:sz w:val="24"/>
                <w:szCs w:val="21"/>
                <w:highlight w:val="none"/>
              </w:rPr>
              <w:t>预交金查询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支持居民电子健康卡、就诊卡查询预交金信息。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5.1.4.5医技收费管理系统</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医技收费管理系统实现在医生开立医技项目申请单并收费后，提供医技项目执行确认功能。医技项目执行确认后，此项目将不能进行退费。</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医技单据处理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自动接收门诊、病区和手术室提交的医技申请单据，并对病区和手术的申请单据进行核对执行。系统提供医技申请单据的新增、修改及作废。</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费用补计费</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针对病区或手术室的医技费用漏记或多记，检查病人费用进行漏记项目费用补计费、多记项目费用冲红。</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药品记账</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针对个别医技项目，检查时需要使用药品、材料，可进行药品、材料记帐。</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费用控制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系统提供病人欠费控制，当病人余额超过停药线时，医嘱执行自动警告，不允许欠费执行。提供危重病人先抢救后收费制度。</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39" w:name="_Toc9696"/>
      <w:r>
        <w:rPr>
          <w:rFonts w:hint="eastAsia" w:ascii="宋体" w:hAnsi="宋体" w:cs="Times New Roman"/>
          <w:b/>
          <w:bCs/>
          <w:color w:val="auto"/>
          <w:kern w:val="0"/>
          <w:szCs w:val="21"/>
          <w:highlight w:val="none"/>
        </w:rPr>
        <w:t>5.1.5药事服务管理</w:t>
      </w:r>
      <w:bookmarkEnd w:id="39"/>
    </w:p>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5.1.5.1门急诊药房管理系统</w:t>
      </w:r>
    </w:p>
    <w:tbl>
      <w:tblPr>
        <w:tblStyle w:val="18"/>
        <w:tblW w:w="8897" w:type="dxa"/>
        <w:jc w:val="center"/>
        <w:tblLayout w:type="autofit"/>
        <w:tblCellMar>
          <w:top w:w="0" w:type="dxa"/>
          <w:left w:w="108" w:type="dxa"/>
          <w:bottom w:w="0" w:type="dxa"/>
          <w:right w:w="108" w:type="dxa"/>
        </w:tblCellMar>
      </w:tblPr>
      <w:tblGrid>
        <w:gridCol w:w="457"/>
        <w:gridCol w:w="1643"/>
        <w:gridCol w:w="5527"/>
        <w:gridCol w:w="1270"/>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270"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药房管理系统可获取门急诊医生所开立的处方信息，实现发药管理及药品的批次库存管理，主要包括发药处理、药房库存管理及各种统计报表的自动生成。系统自动接收门急诊收费处已收费的处方单并打印病人的药品清单，便于病人核对药品及价格。</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基本功能</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支持多药房管理，包括西药方、草药房、中药免煎颗粒剂药房等。具有药品出入库批次管理模式，支持所有单据独立审核制度。</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配药功能</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患者交费可以自动打印配药单，或者患者在自助机报到时自动打印配药单，也可以由发药人刷工牌打印配药单，或选择处方打印配药单，配药人员根据配药进行配药。</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药品申领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提供多种申领方式，支持药品包装单位申领控制，申领冲红填写冲红理由以及进行有效期限限制。</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发药管理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供处方多种查询方式，支持固定的和动态的配药人员发药处理；提供处方注射费用提示，提供错发处方取消发药权限控制；提供药单、注射卡、口服卡、处方笺打印；支持特殊药品自动转入指定的特殊药品发药窗口。支持中药处方笺显示中医诊断和中医症候信息，显示服用方法、频次、服用时间信息，能显示不同草药，先煎，后下，烊化，包煎等信息。支持通过电子健康卡识别患者，进行发药。</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支持与智能前置审方系统联动，进行自动审核通过后发药控制，自动审核不通过则通过人工审核干预后发药。</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处方退药</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提供处方退药快捷操作，实现整张作废和单药品全退；提供处方退药流程控制；提供多种申领方式；支持药品包装单位申领控制，允许按药库单位申领、按药房单位申领。</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入库验收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验收药品的实发量，保证账物一致，提供新药品自动启用控制。</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盘存处理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支持单个药品盘存和整单盘存处理，支持处方未发药品盘点提醒，支持药品包装单位盘点控制，允许按药库单位盘点、按药房单位盘点，支持盘存录入与验收分离或合并处理、支持盘点数量权限控制。</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报损处理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支持报损原因管理、支持报损冲红期限控制；支持药品包装单位报损控制，允许按药库单位报损、按药房单位报损；支持报损录入与验收分离或合并处理。</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调剂处理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支持药品调入调出管理、未还和已还信息记录。</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月末关帐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支持手工、自动</w:t>
            </w:r>
            <w:r>
              <w:rPr>
                <w:rFonts w:ascii="宋体" w:hAnsi="宋体" w:cs="Times New Roman"/>
                <w:color w:val="auto"/>
                <w:sz w:val="24"/>
                <w:szCs w:val="21"/>
                <w:highlight w:val="none"/>
              </w:rPr>
              <w:t>{指定时间自动关帐（默认月初零点）}关帐。</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基础设置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提供药品维护、库位维护。</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提供发药工作量、处方配药汇总、药品余额查询、失效预测、超限警报、滞销监控查询统计。</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实物报表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▲包括实物月报、实物分类月报、实物分期月报、实物单据分析、实物药品进出报表，投标文件中需提供软件界面截图</w:t>
            </w:r>
            <w:r>
              <w:rPr>
                <w:rFonts w:hint="eastAsia" w:ascii="宋体" w:hAnsi="宋体" w:cs="Times New Roman"/>
                <w:color w:val="auto"/>
                <w:sz w:val="24"/>
                <w:szCs w:val="21"/>
                <w:highlight w:val="none"/>
              </w:rPr>
              <w:t>。</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帐册报表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提供药房月报、药品进出分析、药房分期月报。</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对接要求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支持对接排队叫号，支持对接摆药机。</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门诊中药代煎、膏方</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诊中药饮片、膏方处方笺可生成条形码或二维码，通过扫码枪可识别获取患者信息。与打印机对接，打印具备患者信息的中药饮片、膏方卡片（包含患者姓名、年龄、服用方法、贴数、服药时间等信息）和患者取药凭证（包括取药号码、处方号、姓名、科室、贴数、温馨提示等信息）。</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煎药配送服务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可在系统中登记收件人姓名、收件电话、收件地址等邮寄药包的信息，支持与第三方物流配送系统对接，提供煎药配送服务。</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近期失效药品告警</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0"/>
                <w:highlight w:val="none"/>
              </w:rPr>
            </w:pPr>
            <w:r>
              <w:rPr>
                <w:rFonts w:hint="eastAsia" w:ascii="宋体" w:hAnsi="宋体" w:cs="Times New Roman"/>
                <w:color w:val="auto"/>
                <w:sz w:val="24"/>
                <w:szCs w:val="20"/>
                <w:highlight w:val="none"/>
              </w:rPr>
              <w:t>提供药品的有效期管理、可统计过期药品或即将过期药品明细。对近期失效药品进行告警。</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5.1.5.2住院药房管理系统</w:t>
      </w:r>
    </w:p>
    <w:tbl>
      <w:tblPr>
        <w:tblStyle w:val="18"/>
        <w:tblW w:w="8897" w:type="dxa"/>
        <w:jc w:val="center"/>
        <w:tblLayout w:type="autofit"/>
        <w:tblCellMar>
          <w:top w:w="0" w:type="dxa"/>
          <w:left w:w="108" w:type="dxa"/>
          <w:bottom w:w="0" w:type="dxa"/>
          <w:right w:w="108" w:type="dxa"/>
        </w:tblCellMar>
      </w:tblPr>
      <w:tblGrid>
        <w:gridCol w:w="457"/>
        <w:gridCol w:w="1643"/>
        <w:gridCol w:w="5527"/>
        <w:gridCol w:w="1270"/>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270"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住院药房系统</w:t>
            </w:r>
            <w:r>
              <w:rPr>
                <w:rFonts w:ascii="宋体" w:hAnsi="宋体" w:cs="Times New Roman"/>
                <w:color w:val="auto"/>
                <w:sz w:val="24"/>
                <w:szCs w:val="21"/>
                <w:highlight w:val="none"/>
              </w:rPr>
              <w:t>运用信息技术</w:t>
            </w:r>
            <w:r>
              <w:rPr>
                <w:rFonts w:hint="eastAsia" w:ascii="宋体" w:hAnsi="宋体" w:cs="Times New Roman"/>
                <w:color w:val="auto"/>
                <w:sz w:val="24"/>
                <w:szCs w:val="21"/>
                <w:highlight w:val="none"/>
              </w:rPr>
              <w:t>手段</w:t>
            </w:r>
            <w:r>
              <w:rPr>
                <w:rFonts w:ascii="宋体" w:hAnsi="宋体" w:cs="Times New Roman"/>
                <w:color w:val="auto"/>
                <w:sz w:val="24"/>
                <w:szCs w:val="21"/>
                <w:highlight w:val="none"/>
              </w:rPr>
              <w:t>实现对</w:t>
            </w:r>
            <w:r>
              <w:rPr>
                <w:rFonts w:hint="eastAsia" w:ascii="宋体" w:hAnsi="宋体" w:cs="Times New Roman"/>
                <w:color w:val="auto"/>
                <w:sz w:val="24"/>
                <w:szCs w:val="21"/>
                <w:highlight w:val="none"/>
              </w:rPr>
              <w:t>住院医生</w:t>
            </w:r>
            <w:r>
              <w:rPr>
                <w:rFonts w:ascii="宋体" w:hAnsi="宋体" w:cs="Times New Roman"/>
                <w:color w:val="auto"/>
                <w:sz w:val="24"/>
                <w:szCs w:val="21"/>
                <w:highlight w:val="none"/>
              </w:rPr>
              <w:t>所开医嘱</w:t>
            </w:r>
            <w:r>
              <w:rPr>
                <w:rFonts w:hint="eastAsia" w:ascii="宋体" w:hAnsi="宋体" w:cs="Times New Roman"/>
                <w:color w:val="auto"/>
                <w:sz w:val="24"/>
                <w:szCs w:val="21"/>
                <w:highlight w:val="none"/>
              </w:rPr>
              <w:t>的</w:t>
            </w:r>
            <w:r>
              <w:rPr>
                <w:rFonts w:ascii="宋体" w:hAnsi="宋体" w:cs="Times New Roman"/>
                <w:color w:val="auto"/>
                <w:sz w:val="24"/>
                <w:szCs w:val="21"/>
                <w:highlight w:val="none"/>
              </w:rPr>
              <w:t>自动审查</w:t>
            </w:r>
            <w:r>
              <w:rPr>
                <w:rFonts w:hint="eastAsia" w:ascii="宋体" w:hAnsi="宋体" w:cs="Times New Roman"/>
                <w:color w:val="auto"/>
                <w:sz w:val="24"/>
                <w:szCs w:val="21"/>
                <w:highlight w:val="none"/>
              </w:rPr>
              <w:t>，对审查通过的药品医嘱进行发放管理，对开立</w:t>
            </w:r>
            <w:r>
              <w:rPr>
                <w:rFonts w:ascii="宋体" w:hAnsi="宋体" w:cs="Times New Roman"/>
                <w:color w:val="auto"/>
                <w:sz w:val="24"/>
                <w:szCs w:val="21"/>
                <w:highlight w:val="none"/>
              </w:rPr>
              <w:t>有误</w:t>
            </w:r>
            <w:r>
              <w:rPr>
                <w:rFonts w:hint="eastAsia" w:ascii="宋体" w:hAnsi="宋体" w:cs="Times New Roman"/>
                <w:color w:val="auto"/>
                <w:sz w:val="24"/>
                <w:szCs w:val="21"/>
                <w:highlight w:val="none"/>
              </w:rPr>
              <w:t>的药品处方或发放</w:t>
            </w:r>
            <w:r>
              <w:rPr>
                <w:rFonts w:ascii="宋体" w:hAnsi="宋体" w:cs="Times New Roman"/>
                <w:color w:val="auto"/>
                <w:sz w:val="24"/>
                <w:szCs w:val="21"/>
                <w:highlight w:val="none"/>
              </w:rPr>
              <w:t>有误</w:t>
            </w:r>
            <w:r>
              <w:rPr>
                <w:rFonts w:hint="eastAsia" w:ascii="宋体" w:hAnsi="宋体" w:cs="Times New Roman"/>
                <w:color w:val="auto"/>
                <w:sz w:val="24"/>
                <w:szCs w:val="21"/>
                <w:highlight w:val="none"/>
              </w:rPr>
              <w:t>的药品进行退药处理。</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基本功能</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支持多药房管理，包括西药房、草药房、中药免煎颗粒剂药房等。药品出入库批次管理模式，支持所有单据独立审核制度。提供摆药单、汇总单、退药清单等打印。</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住院发药</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支持发药方式自由组合，如长期医嘱、针剂长期、片剂长期等；支持隔日医嘱延后、多日药品汇总发药。住院药品配置支持参考住院前药品使用情况。支持根据临床路径（指南）进行药品的准备。</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支持与智能前置审方系统联动，进行自动审核通过后发药控制，自动审核不通过则通过人工审核干预后发药。</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发药提醒、审核</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提供未发药品实时提醒；提供毒麻类、精神类、贵重等特殊药品发药的病人审核。</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出院带药</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出院病人带药发药、支持请假离院病人多日药品预先发药。</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摆药单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支持中药摆药单显示中医诊断和中医症候信息，显示服用方法、频次、服用时间信息，能显示不同药品，先煎，后下，烊化，包煎等信息。</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药品申领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提供多种申领方式，支持药品包装单位申领控制，申领冲红填写冲红理由以及进行有效期限限制。</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口服单剂量摆药</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打印摆药单,根据医嘱的用药频次将同一个患者单次的口服药进行包装,包装袋上打印单剂量条码,然后按单据,病区等条件进行发药确认,系统扣减库存。</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批量摆药</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打印摆药单,对摆药单中的药物按品规进行汇总后摆药,调剂完成后进行发药确认,系统扣减库存。</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退药处理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支持住院退药。住院退药申请由医生发起,或根据医嘱的停止由系统自动判断生成退药申请,护士复核退药单,将药物送还药房,药房系统进行确认,退药完成。</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入库验收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验收药品的实发量、提供新药品自动启用控制。</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盘存处理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支持单个药品盘存和整单盘存处理；支持处方未发药品盘点提醒、支持盘存录入与验收分离或合并处理、支持盘点数量权限控制；支持药品包装单位盘点控制，允许按药库、按药房单位盘点。</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报损处理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支持报损原因管理、支持报损冲红期限控制、支持报损录入与验收分离或合并处理；支持药品包装单位报损控制，允许按药库、按药房单位报损。</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调剂处理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支持药品调入调出管理；支持药品调入调出未还和已还信息记录。</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月末关帐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支持手工、自动</w:t>
            </w:r>
            <w:r>
              <w:rPr>
                <w:rFonts w:ascii="宋体" w:hAnsi="宋体" w:cs="Times New Roman"/>
                <w:color w:val="auto"/>
                <w:sz w:val="24"/>
                <w:szCs w:val="21"/>
                <w:highlight w:val="none"/>
              </w:rPr>
              <w:t>{指定时间自动关帐（默认月初零点）}关帐。</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基础设置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提供药品维护、库位维护。</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提供发药工作量、病区用药汇总、药品余额查询、失效预测、超限警报、滞销监控。</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帐册报表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提供药房月报、药品进出分析、药房分期月报。</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2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近期失效药品告警</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0"/>
                <w:highlight w:val="none"/>
              </w:rPr>
              <w:t>提供药品的有效期管理、可统计过期药品或即将过期药品明细。对进行近期失效药品告警。</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5.1.5.3药库管理系统</w:t>
      </w:r>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药库管理实现对药品基础信息、药品价格、药品出入库、药品报损、药品盘点、库存情况进行管理，以最小资金占用保证临床的药品供应。</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药品信息维护</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维护药品的基础字典信息，用于临床开药品医嘱、护士执行医嘱、药房发药、药品医嘱收费、医保报销等药品基础数据维护。有药品使用管理记录，支持药品分级管理。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调价</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因政策原因或者采购价格变化等原因对药品进行价格的调整管理，可以由审核人审核调价信息，可以按约定生效日期自动生效。</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入库</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支持采购、调拨、退货等多种类型入库方式，不同类型入库方式联动药品来源单位，可分类型统计入库信息。</w:t>
            </w:r>
          </w:p>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以批次管理为模式，对药品的入库（可以实现扫码入库）管理，入库时记录入库采购的供应企业、生产企业、发票信息、药品品种、数量、生产批号、国家药品监管码、有效期等信息，入库时生成系统的药品批次和库存。</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出库</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支持采购、调拨、退货等多种类型入库方式，不同类型入库方式联动药品去向单位，可分类型统计入库信息。</w:t>
            </w:r>
          </w:p>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根据药房或者临床科室的请领单信息，进行药品的出库管理，出库是按照药品批次进行减库存。也可以由药库手工建出库单，审核人员审核出库后完成药库的出库，接收科室验货后进行转移入库审核。</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报损</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因药品过期、破损等原因需要进行统一报损，由药库人员按照药品品种、报损数量、报损批次进行报损管理，报损后减药品库存。</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功能测试要求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药库含中药库和西药库，都应通过国家级权威检验机构测试认证，投标书中提供测试报告等证明材料。</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盘点</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在月底或者季度末、年末，药库进行药品的盘点，比对药品的系统账面数和实物数量，按实物数量调整药品的库存到账面，生成盘点的盈亏损益报表。</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多库房管理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持设置多个药品库房，以及自定义药品在库房之间的流向，可自定义药库、药房等各级包装单位及其换算关系。</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有效期</w:t>
            </w:r>
            <w:r>
              <w:rPr>
                <w:rFonts w:ascii="宋体" w:hAnsi="宋体" w:cs="Times New Roman"/>
                <w:color w:val="auto"/>
                <w:sz w:val="24"/>
                <w:szCs w:val="21"/>
                <w:highlight w:val="none"/>
              </w:rPr>
              <w:t>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提供药品的有效期管理、可统计过期药品或即将过期药品明细，并有库存量提示功能。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入库统计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按日期段、按供应商、按药品各种分类、按药品品种等汇总药品的采购入库和退药等情况，可用于财务报表的统计、医院领导需要查看的报表等等。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出库统计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按日期段、按接收科室、按药品各种分类、按药品品种等汇总药品的出库情况，用以医院领导常用的查看报表、财务上报的报表等。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月报管理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按财务要求生成每个月的月报，月报生成时间可以根据实际业务需要，随时可以生成，对有问题的月报也可以重新生成。日报生成后，可以查询一段时间内的日报情况，按照财务要求的月报表格式输出打印报表。</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药品生产批次批号管理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highlight w:val="none"/>
              </w:rPr>
              <w:t>支持按采购日期范围查询药品。</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highlight w:val="none"/>
              </w:rPr>
              <w:t>支持通过输入具体药品的通用名、首拼或者中文名检索药品。</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highlight w:val="none"/>
              </w:rPr>
              <w:t>支持按机构药品管理类型查询。</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highlight w:val="none"/>
              </w:rPr>
              <w:t>支持按药品批号查询。</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highlight w:val="none"/>
              </w:rPr>
              <w:t>提供过滤零库存药品功能。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highlight w:val="none"/>
              </w:rPr>
            </w:pPr>
            <w:r>
              <w:rPr>
                <w:rFonts w:hint="eastAsia" w:ascii="宋体" w:hAnsi="宋体" w:cs="Times New Roman"/>
                <w:color w:val="auto"/>
                <w:sz w:val="24"/>
                <w:highlight w:val="none"/>
              </w:rPr>
              <w:t>提供快捷查询失效范围的数据，例如效期90天内。</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vMerge w:val="continue"/>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highlight w:val="none"/>
              </w:rPr>
            </w:pPr>
            <w:r>
              <w:rPr>
                <w:rFonts w:hint="eastAsia" w:ascii="宋体" w:hAnsi="宋体" w:cs="Times New Roman"/>
                <w:color w:val="auto"/>
                <w:sz w:val="24"/>
                <w:highlight w:val="none"/>
              </w:rPr>
              <w:t>支持重置查询条件。</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highlight w:val="none"/>
              </w:rPr>
            </w:pPr>
            <w:r>
              <w:rPr>
                <w:rFonts w:hint="eastAsia" w:ascii="宋体" w:hAnsi="宋体" w:cs="Times New Roman"/>
                <w:color w:val="auto"/>
                <w:sz w:val="24"/>
                <w:highlight w:val="none"/>
              </w:rPr>
              <w:t>支持药品批号修改。</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药品效期维护</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highlight w:val="none"/>
              </w:rPr>
            </w:pPr>
            <w:r>
              <w:rPr>
                <w:rFonts w:hint="eastAsia" w:ascii="宋体" w:hAnsi="宋体" w:cs="Times New Roman"/>
                <w:color w:val="auto"/>
                <w:sz w:val="24"/>
                <w:highlight w:val="none"/>
              </w:rPr>
              <w:t>提供不同颜色标识以区分药品的效期。</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highlight w:val="none"/>
              </w:rPr>
            </w:pPr>
            <w:r>
              <w:rPr>
                <w:rFonts w:hint="eastAsia" w:ascii="宋体" w:hAnsi="宋体" w:cs="Times New Roman"/>
                <w:color w:val="auto"/>
                <w:sz w:val="24"/>
                <w:highlight w:val="none"/>
              </w:rPr>
              <w:t>支持自定义设置临近失效天数查询。</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highlight w:val="none"/>
              </w:rPr>
            </w:pPr>
            <w:r>
              <w:rPr>
                <w:rFonts w:hint="eastAsia" w:ascii="宋体" w:hAnsi="宋体" w:cs="Times New Roman"/>
                <w:color w:val="auto"/>
                <w:sz w:val="24"/>
                <w:highlight w:val="none"/>
              </w:rPr>
              <w:t>支持药品有效期修改。</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近期失效药品告警</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0"/>
                <w:highlight w:val="none"/>
              </w:rPr>
              <w:t>可统计过期药品或即将过期药品明细。对进行近期失效药品告警。</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40" w:name="_Toc3398"/>
      <w:r>
        <w:rPr>
          <w:rFonts w:hint="eastAsia" w:ascii="宋体" w:hAnsi="宋体" w:cs="Times New Roman"/>
          <w:b/>
          <w:bCs/>
          <w:color w:val="auto"/>
          <w:kern w:val="0"/>
          <w:szCs w:val="21"/>
          <w:highlight w:val="none"/>
        </w:rPr>
        <w:t>5.1.6排队呼叫管理系统</w:t>
      </w:r>
      <w:bookmarkEnd w:id="40"/>
    </w:p>
    <w:tbl>
      <w:tblPr>
        <w:tblStyle w:val="18"/>
        <w:tblW w:w="8897" w:type="dxa"/>
        <w:jc w:val="center"/>
        <w:tblLayout w:type="autofit"/>
        <w:tblCellMar>
          <w:top w:w="0" w:type="dxa"/>
          <w:left w:w="108" w:type="dxa"/>
          <w:bottom w:w="0" w:type="dxa"/>
          <w:right w:w="108" w:type="dxa"/>
        </w:tblCellMar>
      </w:tblPr>
      <w:tblGrid>
        <w:gridCol w:w="457"/>
        <w:gridCol w:w="1643"/>
        <w:gridCol w:w="5527"/>
        <w:gridCol w:w="1270"/>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270"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排队呼叫管理系统可控制叫号系统、显示系统、语音系统以及号票打印，可同步显示当前系统工作状态，即可按照病人要求选定医生、也能根据当前的候诊状况均衡合理的安排病人就诊。</w:t>
            </w:r>
          </w:p>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与门诊/住院分诊、门诊医生工作站、医技登记工作站、检验采血工作站联动。</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bookmarkStart w:id="41" w:name="_Toc8139509"/>
            <w:r>
              <w:rPr>
                <w:rFonts w:hint="eastAsia" w:ascii="宋体" w:hAnsi="宋体" w:cs="Times New Roman"/>
                <w:bCs/>
                <w:color w:val="auto"/>
                <w:sz w:val="24"/>
                <w:szCs w:val="21"/>
                <w:highlight w:val="none"/>
              </w:rPr>
              <w:t>导诊排队叫号服务</w:t>
            </w:r>
            <w:bookmarkEnd w:id="41"/>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实现整体分诊排队叫号的数据管理，数据流量的监控，信息的查看与管理，各个终端的授权，各个叫号显示服务的远程管理。支持绿色通道患者不经语音叫号直接就诊。</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候诊区签到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支持对接自助签到机，签到后进入排队序列，防止因患者未到而造成效率下降。</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分诊</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w:t>
            </w:r>
            <w:r>
              <w:rPr>
                <w:rFonts w:hint="eastAsia" w:ascii="宋体" w:hAnsi="宋体" w:cs="Times New Roman"/>
                <w:bCs/>
                <w:color w:val="auto"/>
                <w:sz w:val="24"/>
                <w:szCs w:val="21"/>
                <w:highlight w:val="none"/>
              </w:rPr>
              <w:t>支持分诊台</w:t>
            </w:r>
            <w:r>
              <w:rPr>
                <w:rFonts w:hint="eastAsia" w:ascii="宋体" w:hAnsi="宋体" w:cs="Times New Roman"/>
                <w:color w:val="auto"/>
                <w:sz w:val="24"/>
                <w:szCs w:val="21"/>
                <w:highlight w:val="none"/>
              </w:rPr>
              <w:t>一级分诊和门诊医生二级分诊。支持诊室呼叫控制终端功能。</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复诊</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工作台区分复诊患者，复诊患者报到交叉写入患者队列，医生按序呼叫患者，完成复诊患者就诊。</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检验排队叫号</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bCs/>
                <w:color w:val="auto"/>
                <w:sz w:val="24"/>
                <w:szCs w:val="21"/>
                <w:highlight w:val="none"/>
              </w:rPr>
              <w:t>自助机进行刷卡或扫码签到，判断是否存在检验医嘱，打印排队等候小条。自动进入排队序列；自助叫号与分配窗口。支持与医院微信公众号对接，将检验排队信息通过微信公众号推送给患者。</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检查排队叫号</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患者前往检查科室候诊区做检查签到，从HIS系统中获取患者检查信息，进入排队队列。</w:t>
            </w:r>
            <w:r>
              <w:rPr>
                <w:rFonts w:hint="eastAsia" w:ascii="宋体" w:hAnsi="宋体" w:cs="Times New Roman"/>
                <w:bCs/>
                <w:color w:val="auto"/>
                <w:sz w:val="24"/>
                <w:szCs w:val="21"/>
                <w:highlight w:val="none"/>
              </w:rPr>
              <w:t>支持与医院微信公众号对接，将检查排队信息通过微信公众号推送给患者。</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药房排队叫号</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bCs/>
                <w:color w:val="auto"/>
                <w:sz w:val="24"/>
                <w:szCs w:val="21"/>
                <w:highlight w:val="none"/>
              </w:rPr>
              <w:t>支持与液晶屏或LED同步条屏对接，显示当前窗口已经配药完成，等待取药患者的信息。支持通过就诊卡或取药单进行报到，减少无效摆药。支持与医院微信公众号对接，将排队信息通过微信公众号推送给患者。</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bookmarkStart w:id="42" w:name="_Toc294861061"/>
            <w:bookmarkStart w:id="43" w:name="_Toc8139510"/>
            <w:bookmarkStart w:id="44" w:name="_Toc449688751"/>
            <w:r>
              <w:rPr>
                <w:rFonts w:hint="eastAsia" w:ascii="宋体" w:hAnsi="宋体" w:cs="Times New Roman"/>
                <w:bCs/>
                <w:color w:val="auto"/>
                <w:sz w:val="24"/>
                <w:szCs w:val="21"/>
                <w:highlight w:val="none"/>
              </w:rPr>
              <w:t>排队叫号语音库控制系统</w:t>
            </w:r>
            <w:bookmarkEnd w:id="42"/>
            <w:bookmarkEnd w:id="43"/>
            <w:bookmarkEnd w:id="44"/>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bCs/>
                <w:color w:val="auto"/>
                <w:sz w:val="24"/>
                <w:szCs w:val="21"/>
                <w:highlight w:val="none"/>
              </w:rPr>
              <w:t>支持中文、英文和数字的语音合成，叫号信息由计算机或语音设备将文本信息直接合成为语音信息。支持汉语、维语等多语种混读。合成语音的阅读音量、基频、语速可调节。支持字、词、句的合成。</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45" w:name="_Toc26616"/>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.7</w:t>
      </w:r>
      <w:r>
        <w:rPr>
          <w:rFonts w:hint="eastAsia" w:ascii="宋体" w:hAnsi="宋体" w:cs="Times New Roman"/>
          <w:b/>
          <w:bCs/>
          <w:color w:val="auto"/>
          <w:kern w:val="0"/>
          <w:szCs w:val="21"/>
          <w:highlight w:val="none"/>
        </w:rPr>
        <w:t>病案管理系统</w:t>
      </w:r>
      <w:bookmarkEnd w:id="45"/>
    </w:p>
    <w:tbl>
      <w:tblPr>
        <w:tblStyle w:val="1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43"/>
        <w:gridCol w:w="5527"/>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7"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支持病案首页管理,病历的归档、保存、检索,病案借阅、跟踪和病案质量控制等功能。</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restart"/>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病案首页管理</w:t>
            </w: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建立病案首页信息，包括</w:t>
            </w:r>
            <w:r>
              <w:rPr>
                <w:rFonts w:ascii="宋体" w:hAnsi="宋体" w:cs="Times New Roman"/>
                <w:color w:val="auto"/>
                <w:sz w:val="24"/>
                <w:szCs w:val="21"/>
                <w:highlight w:val="none"/>
              </w:rPr>
              <w:t>病人基本信息、住院信息、诊断信息、手术信息、过敏信息、患者费用、治疗结果、院内感染和病案质量等。</w:t>
            </w:r>
            <w:r>
              <w:rPr>
                <w:rFonts w:hint="eastAsia" w:ascii="宋体" w:hAnsi="宋体" w:cs="Times New Roman"/>
                <w:color w:val="auto"/>
                <w:sz w:val="24"/>
                <w:szCs w:val="21"/>
                <w:highlight w:val="none"/>
              </w:rPr>
              <w:t>病案首页需符合国家/地方标准要求。</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宋体"/>
                <w:color w:val="auto"/>
                <w:kern w:val="0"/>
                <w:sz w:val="24"/>
                <w:szCs w:val="21"/>
                <w:highlight w:val="none"/>
              </w:rPr>
            </w:pP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支持对病案首页信息进行录入、修改、删除等操作。</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宋体"/>
                <w:color w:val="auto"/>
                <w:kern w:val="0"/>
                <w:sz w:val="24"/>
                <w:szCs w:val="21"/>
                <w:highlight w:val="none"/>
              </w:rPr>
            </w:pP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支持灵活多样的检索方式,包括但不限于按病案号、出院日期、录入时间、出院科室、手术诊断、手术医生、住院医生、主要诊断和次要诊断等条件查询患者信息。</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宋体"/>
                <w:color w:val="auto"/>
                <w:kern w:val="0"/>
                <w:sz w:val="24"/>
                <w:szCs w:val="21"/>
                <w:highlight w:val="none"/>
              </w:rPr>
            </w:pP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支持多条件组合和模糊查询。支持检索结果的多种显示形式。</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restart"/>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病案追踪管理</w:t>
            </w: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支持病案出入库管理,提供病案入库归档、出库操作，记录操作记录。</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支持对病案复印进行登记，记录委托人信息、复印张数、复印内容、复印目的等内容。</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支持对病案进行简单借阅登记、归还登记及借阅查询。</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支持纸质病案签收,以及未及时签出的纸质病案的催缴。</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支持病案查找,通过病案号，患者姓名，证件号码等条件查询病案并展现病案的流通时间线。</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支持按病案状态查询，查询质控不合格病历、未完成特定操作病历、当前状态病历、历史状态病历。</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对整体病历数据的管理与服务操作须限制在指定位置，操作行为可记录、追溯。如可以限定MAC地址。</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restart"/>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病案质控管理</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支持人工质控问题的模板设置</w:t>
            </w:r>
            <w:r>
              <w:rPr>
                <w:rFonts w:hint="eastAsia" w:ascii="宋体" w:hAnsi="宋体" w:cs="Times New Roman"/>
                <w:color w:val="auto"/>
                <w:sz w:val="24"/>
                <w:szCs w:val="21"/>
                <w:highlight w:val="none"/>
              </w:rPr>
              <w:t>和病案自动监控设置，支持</w:t>
            </w:r>
            <w:r>
              <w:rPr>
                <w:rFonts w:ascii="宋体" w:hAnsi="宋体" w:cs="Times New Roman"/>
                <w:color w:val="auto"/>
                <w:sz w:val="24"/>
                <w:szCs w:val="21"/>
                <w:highlight w:val="none"/>
              </w:rPr>
              <w:t>病案首页自动验证规则设置（如逻辑性、非空项验证），执行频率设置。</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支持病案自动监控，病案筛选、病案质控问题查询，病案评优，对质控结果出具质控报表，进行病案完整率、缺陷等分析。</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病案统计管理</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具有基本的统计功能，包括疾病的统计分析、科室统计、医生</w:t>
            </w:r>
            <w:r>
              <w:rPr>
                <w:rFonts w:ascii="宋体" w:hAnsi="宋体" w:cs="Times New Roman"/>
                <w:color w:val="auto"/>
                <w:sz w:val="24"/>
                <w:szCs w:val="21"/>
                <w:highlight w:val="none"/>
              </w:rPr>
              <w:t>(主治医师、住院医师、手术师、麻醉师)统计、病人情况分析(如职业、来源地)和单病种分析等。</w:t>
            </w:r>
            <w:r>
              <w:rPr>
                <w:rFonts w:hint="eastAsia" w:ascii="宋体" w:hAnsi="宋体" w:cs="Times New Roman"/>
                <w:color w:val="auto"/>
                <w:sz w:val="24"/>
                <w:szCs w:val="21"/>
                <w:highlight w:val="none"/>
              </w:rPr>
              <w:t>支持病案迟归统计、复印统计、借阅统计、工作量统计等。</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restart"/>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病案无纸化管理</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依托C</w:t>
            </w:r>
            <w:r>
              <w:rPr>
                <w:rFonts w:ascii="宋体" w:hAnsi="宋体" w:cs="Times New Roman"/>
                <w:color w:val="auto"/>
                <w:sz w:val="24"/>
                <w:szCs w:val="21"/>
                <w:highlight w:val="none"/>
              </w:rPr>
              <w:t>A</w:t>
            </w:r>
            <w:r>
              <w:rPr>
                <w:rFonts w:hint="eastAsia" w:ascii="宋体" w:hAnsi="宋体" w:cs="Times New Roman"/>
                <w:color w:val="auto"/>
                <w:sz w:val="24"/>
                <w:szCs w:val="21"/>
                <w:highlight w:val="none"/>
              </w:rPr>
              <w:t>认证签名，实现覆盖患者就诊全流程的病案无纸化。包括但不限于医嘱、门急诊病历、住院病历、检查检验报告单、手术单、治疗单、护理文书、各类评估单、患者知情同意书等。</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在C</w:t>
            </w:r>
            <w:r>
              <w:rPr>
                <w:rFonts w:ascii="宋体" w:hAnsi="宋体" w:cs="Times New Roman"/>
                <w:color w:val="auto"/>
                <w:sz w:val="24"/>
                <w:szCs w:val="21"/>
                <w:highlight w:val="none"/>
              </w:rPr>
              <w:t>A</w:t>
            </w:r>
            <w:r>
              <w:rPr>
                <w:rFonts w:hint="eastAsia" w:ascii="宋体" w:hAnsi="宋体" w:cs="Times New Roman"/>
                <w:color w:val="auto"/>
                <w:sz w:val="24"/>
                <w:szCs w:val="21"/>
                <w:highlight w:val="none"/>
              </w:rPr>
              <w:t>签名全面上线前，支持病案翻拍，</w:t>
            </w:r>
            <w:r>
              <w:rPr>
                <w:rFonts w:ascii="宋体" w:hAnsi="宋体" w:cs="Times New Roman"/>
                <w:color w:val="auto"/>
                <w:sz w:val="24"/>
                <w:szCs w:val="21"/>
                <w:highlight w:val="none"/>
              </w:rPr>
              <w:t>通过条码扫描或按病案号、科室、姓名等条件检索出需要翻拍的出院患者，对此患者的纸质病案进行快速翻拍，并生成图片分类保存。</w:t>
            </w:r>
            <w:r>
              <w:rPr>
                <w:rFonts w:hint="eastAsia" w:ascii="宋体" w:hAnsi="宋体" w:cs="Times New Roman"/>
                <w:color w:val="auto"/>
                <w:sz w:val="24"/>
                <w:szCs w:val="21"/>
                <w:highlight w:val="none"/>
              </w:rPr>
              <w:t>支持外部系统直接调用翻拍程序，完成单个患者翻拍。支持对翻拍的图片提供给外部系统进行浏览。</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支持无纸化病案归档</w:t>
            </w:r>
            <w:r>
              <w:rPr>
                <w:rFonts w:hint="eastAsia" w:ascii="宋体" w:hAnsi="宋体" w:cs="Times New Roman"/>
                <w:color w:val="auto"/>
                <w:sz w:val="24"/>
                <w:szCs w:val="21"/>
                <w:highlight w:val="none"/>
              </w:rPr>
              <w:t>和撤销归档，</w:t>
            </w:r>
            <w:r>
              <w:rPr>
                <w:rFonts w:ascii="宋体" w:hAnsi="宋体" w:cs="Times New Roman"/>
                <w:color w:val="auto"/>
                <w:sz w:val="24"/>
                <w:szCs w:val="21"/>
                <w:highlight w:val="none"/>
              </w:rPr>
              <w:t>将分布在各个业务系统中的病案数据，采集到无纸化病案系统中加密保存。</w:t>
            </w:r>
            <w:r>
              <w:rPr>
                <w:rFonts w:hint="eastAsia" w:ascii="宋体" w:hAnsi="宋体" w:cs="Times New Roman"/>
                <w:color w:val="auto"/>
                <w:sz w:val="24"/>
                <w:szCs w:val="21"/>
                <w:highlight w:val="none"/>
              </w:rPr>
              <w:t>医疗档案的电子签名记录中有符合电子病历应用管理规范要求的时间戳。</w:t>
            </w:r>
            <w:r>
              <w:rPr>
                <w:rFonts w:ascii="宋体" w:hAnsi="宋体" w:cs="Times New Roman"/>
                <w:color w:val="auto"/>
                <w:sz w:val="24"/>
                <w:szCs w:val="21"/>
                <w:highlight w:val="none"/>
              </w:rPr>
              <w:t>各业务系统可发起撤销归档申请，病案室或医务处进行审核，审核通过后才允许修改和重新归档。</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支持对各个业务系统病案进行锁定控制，通过标准系统接口，锁定的病案不允许修改，包括归档后锁定、患者复印后锁定、封存后锁定。</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支持无纸化病案</w:t>
            </w:r>
            <w:r>
              <w:rPr>
                <w:rFonts w:ascii="宋体" w:hAnsi="宋体" w:cs="Times New Roman"/>
                <w:color w:val="auto"/>
                <w:sz w:val="24"/>
                <w:szCs w:val="21"/>
                <w:highlight w:val="none"/>
              </w:rPr>
              <w:t>借阅</w:t>
            </w:r>
            <w:r>
              <w:rPr>
                <w:rFonts w:hint="eastAsia" w:ascii="宋体" w:hAnsi="宋体" w:cs="Times New Roman"/>
                <w:color w:val="auto"/>
                <w:sz w:val="24"/>
                <w:szCs w:val="21"/>
                <w:highlight w:val="none"/>
              </w:rPr>
              <w:t>、登记、归还等，支持对借阅流程和权限设置</w:t>
            </w:r>
            <w:r>
              <w:rPr>
                <w:rFonts w:ascii="宋体" w:hAnsi="宋体" w:cs="Times New Roman"/>
                <w:color w:val="auto"/>
                <w:sz w:val="24"/>
                <w:szCs w:val="21"/>
                <w:highlight w:val="none"/>
              </w:rPr>
              <w:t>。由各科室主任、医务处、病案室对借阅申请进行多级借阅审核。借阅审核后，医生直接进行病案浏览，到期后系统自动收回。</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支持无纸化病案查询统计，</w:t>
            </w:r>
            <w:r>
              <w:rPr>
                <w:rFonts w:ascii="宋体" w:hAnsi="宋体" w:cs="Times New Roman"/>
                <w:color w:val="auto"/>
                <w:sz w:val="24"/>
                <w:szCs w:val="21"/>
                <w:highlight w:val="none"/>
              </w:rPr>
              <w:t>支持系统日志查询，浏览历史查询，病案浏览申请记录查询，病案打印查询。支持科室浏览统计，病案分类浏览统计，病案打印工作量统计。</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支持标准接口与各业务系统进行对接，包括文件接口，归档接口，撤销归档接口，封存接口等。</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支持无纸化病案打印申请、登记、收取打印费用。支持无纸化病案自助机打印病案，支持通过读取患者身份证等信息，在自助机上直接打印出申请登记的病案内容。支持通过微信/支付宝扫码支付打印病案费用。</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HQMS自动上报</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自动上报病案数据到国家卫健委HQMS平台</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3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公立医院绩效考核数据上报</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55项考核数据上报，部分数据允许手工填报</w:t>
            </w:r>
          </w:p>
        </w:tc>
        <w:tc>
          <w:tcPr>
            <w:tcW w:w="1412" w:type="dxa"/>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46" w:name="_Toc19523"/>
      <w:r>
        <w:rPr>
          <w:rFonts w:hint="eastAsia" w:ascii="宋体" w:hAnsi="宋体" w:cs="Times New Roman"/>
          <w:b/>
          <w:bCs/>
          <w:color w:val="auto"/>
          <w:kern w:val="0"/>
          <w:szCs w:val="21"/>
          <w:highlight w:val="none"/>
          <w:lang w:val="zh-CN"/>
        </w:rPr>
        <w:t>5.2电子病历（EMR）管理</w:t>
      </w:r>
      <w:bookmarkEnd w:id="46"/>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47" w:name="_Toc29902"/>
      <w:r>
        <w:rPr>
          <w:rFonts w:hint="eastAsia" w:ascii="宋体" w:hAnsi="宋体" w:cs="Times New Roman"/>
          <w:b/>
          <w:bCs/>
          <w:color w:val="auto"/>
          <w:kern w:val="0"/>
          <w:szCs w:val="21"/>
          <w:highlight w:val="none"/>
        </w:rPr>
        <w:t>5.2.1门急诊电子病历系统</w:t>
      </w:r>
      <w:bookmarkEnd w:id="47"/>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系统辅助门急诊医生为患者创建病历，应具有结构化、高效存储、智能分析执行、数据源填充、个性化模板的设置的特点。</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查看历史病历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历史病历（包括住院或门诊纸质病历）完成数字化、可查阅，并能够与其他病历整合。系统支持医生查询患者的历次病历信息，支持将病历生成为患者的当前病历。</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书写门急诊病历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门急诊医生问诊时书写门诊病历，包括保存、提交、插入处方、插入诊断、插入检查检验结果、签名、解签、删除、打印、查看修改记录等功能。支持特殊字符的录入、图片的插入、医学公式的编辑、临床数据的调取、个人知识库、临床字典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门急诊电子病历目录管理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支持病历目录新增、修改、删除、拖动功能。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信息引用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从本机构或其他机构的诊疗记录中引用相关信息,包含患者基本信息、护士预检信息、检查检验信息、处方处置信息、既往病历信息等。支持预置结构化模板自动引用信息,也可手工操作选择引用。</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智能提醒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结构化病历记录项目内容合理性检查与提示。</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病历组套管理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按不同疾病、不同阶段、常用程度、特定患者等多重角度自定义分类，储存为个人、科室或者全院通用的套餐，在给患者书写病历时调用，方便快速的病历录入。</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门急诊电子病历模板设置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▲支持模板中对文本框、数字框、复选框、日期控件、下拉列表、多选组合、按钮、文档二维码、条形码、标签、下拉段落、数据组、预设元素、签名等控件的使用，投标文件中需提供软件界面截图。</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电子病历浏览</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能够浏览医疗机构内外病历记录的内容。本院病历记录内容可被经过医院方授权的第三方调用，浏览具备权限管理、操作记录。支持与微信公众号、APP等对接，通过移动端实现在病人在院外浏览本人的门诊病历记录，具备授权控制，并有完整的浏览记录。</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病历操作记录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对于已提交的病历能自动记录、保存病历记录所有修改的痕迹。</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门急诊电子病历附件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提供录像及录音功能，支持将医生与病人的就诊过程进行录制，以病历文件的附件形式进行保存。以及文档、图片等文件的上传。</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访问控制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门诊病历具有安全控制机制，支持访问日志记录功能，支持访问权限控制，可控制到科室。</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病历打印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不同的病历支持设置不同的格式来适应书写以及打印。</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CA电子签名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支持医生CA签名功能，确保门诊病历合法电子化。</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门诊病历无纸化</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门诊病历的病史、诊断、处方、医嘱等各类医疗文书电子化。</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会诊管理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支持门诊医师进行院内和医联体内会诊和多学科会诊申请。</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医疗文书模板</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支持医院自定义各类医疗文书模板（评估单、知情同意书等），授权相关医生调用相应模板填写构成完成病历。</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48" w:name="_Toc2268"/>
      <w:r>
        <w:rPr>
          <w:rFonts w:hint="eastAsia" w:ascii="宋体" w:hAnsi="宋体" w:cs="Times New Roman"/>
          <w:b/>
          <w:bCs/>
          <w:color w:val="auto"/>
          <w:kern w:val="0"/>
          <w:szCs w:val="21"/>
          <w:highlight w:val="none"/>
        </w:rPr>
        <w:t>5.2.2住院电子病历系统</w:t>
      </w:r>
      <w:bookmarkEnd w:id="48"/>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住院电子病历</w:t>
            </w:r>
            <w:r>
              <w:rPr>
                <w:rFonts w:hint="eastAsia" w:ascii="宋体" w:hAnsi="宋体" w:cs="Times New Roman"/>
                <w:color w:val="auto"/>
                <w:sz w:val="24"/>
                <w:szCs w:val="21"/>
                <w:highlight w:val="none"/>
                <w:lang w:val="en-GB"/>
              </w:rPr>
              <w:t>以病人为中心，从病人入院到出院所有的电子病历的管理，实现自动收集，统一存储，智能化分析的信息化管理。依托兵团全民健康平台，可以调阅病人全生命周期医疗健康数据，包括电子病历、电子健康档案、检查检验报告、影像信息等，实现诊疗数据的无缝对接。支持信息的直接引用。</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文件数据维护</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支持文件导入、病案首页数据源配置、数据源检测功能。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病历目录管理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具有病历目录新增、修改、拖动功能。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模板设置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可自定义病历结构与格式，支持结构化病历的书写。具有新增、删除、编辑模板功能，支持模板控件定制，多元化模板，满足医院使用需求。可根据病人情况智能推荐模板。支持病历模板审核管理。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参数设置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具有自定义符号修改、数据库配置修改、临床数据格式修改、资源类型配置、纸张格式设置等功能。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病案诊断类型设置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支持病案首页诊断类型的新增、修改、删除、中医西医的选择、检索等操作。</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病历权限设置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支持审核、病历文书、病历资源、模板设置、知识库操作的权限设置。</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病历数据调阅</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需要支持离线数据管理。对于预约或已住院病人的全部离线医疗记录能够提前提供调取和快速访问功能。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实习、进修医生账号管理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支持实习医生、进修医生的账户可以由带教老师设定，支持带教医生可设置附属账户的权限和有效时间，支持附属账户病历书写者显示、签名权限限制。</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电子病历书写</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人的检索、病历的新增、模板的选择、病历的修改、病历签名、病历打印、病历删除、病历引用等功能。病历书写有对书写内容和时限有智能检查与提示功能。病历书写过程中，能够引用机构内外的医疗信息、健康记录、体征检测、随访信息、病人自采健康记录等内容。</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▲支持插入医学表达式的功能；月经史、瞳孔图、光定位图、胎心图、恒牙牙位图等，投标文件中需提供软件界面截图。</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病历检索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可按照任意病历结构化项目进行检索。可从电子病历中查询各知情同意书签署情况。</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数据联动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病历数据与医嘱等数据全院一体化管理。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病历修改</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对于已由医师确认病历的所有修改，有完整的痕迹记录。对于已提交的病历能</w:t>
            </w:r>
            <w:r>
              <w:rPr>
                <w:rFonts w:ascii="宋体" w:hAnsi="宋体" w:cs="Times New Roman"/>
                <w:color w:val="auto"/>
                <w:sz w:val="24"/>
                <w:szCs w:val="21"/>
                <w:highlight w:val="none"/>
              </w:rPr>
              <w:t>自动记录、保存病历记录所有修改的痕迹</w:t>
            </w:r>
            <w:r>
              <w:rPr>
                <w:rFonts w:hint="eastAsia" w:ascii="宋体" w:hAnsi="宋体" w:cs="Times New Roman"/>
                <w:color w:val="auto"/>
                <w:sz w:val="24"/>
                <w:szCs w:val="21"/>
                <w:highlight w:val="none"/>
              </w:rPr>
              <w:t>。</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病历浏览</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电子病历内容应存储为通用格式，可被经过医院方授权的第三方调用，浏览具备权限管理、操作记录。</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历史病历处理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历史病历完成数字化处理并可查阅，并可与其他病历整合。</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病历访问控制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病历具有分块安全控制机制和访问日志。病历数据的使用须有完整的访问控制，申请、授权、使用均须有记录且过程可监控。针对不同的使用对象，应能控制授权使用病历中的指定内容。</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病历存储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病历的存储控制具有智能化分配存储空间、监控存储与备份操作，具有动态智能高效调度机制。</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三级阅改</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提供符合《卫生系统数字证书应用集成规范》要求的电子签名,病历在提交前可进行审阅编辑,提交后可进行打印输出。支持修改痕迹保存/病历的三级阅改。</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CA认证签名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采用第三方CA电子认证签名,解决身份认证,授权管理，责任认定等安全问题。在数据产生过程可实现可靠电子签名，如每个医嘱、每段病程记录、每个阶段的检查报告等。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病历无纸化</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病历、诊断、处方、医嘱等构成病案的各类医疗文书电子化，有效电子CA认证签名。</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生命体征记录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支持录入及打印包括体温,血压等在内的所有生命体征信息,并支持图示化。</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报告异常值、危急值提示</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支持异常检验检查报告的提示功能，质控人员和主管医师可及时检查。危急值告警功能，并有危急值处置记录。</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辅助输入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提供常用医学术语库、医学知识库和医生常见用语库等知识库,提供拼音首字母、缩略语等快速录入辅助,方便医护人员录入病历。提供可视化管理和维护等功能。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会诊管理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支持医师进行院内和医联体内会诊和多学科会诊申请，填写会诊诊治意见，下达会诊医嘱。</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医疗文书模板</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支持医院自定义各类医疗文书模板（评估单、知情同意书等），授权相关医生调用相应模板填写构成完成病历。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49" w:name="_Toc14802"/>
      <w:r>
        <w:rPr>
          <w:rFonts w:hint="eastAsia" w:ascii="宋体" w:hAnsi="宋体" w:cs="Times New Roman"/>
          <w:b/>
          <w:bCs/>
          <w:color w:val="auto"/>
          <w:kern w:val="0"/>
          <w:szCs w:val="21"/>
          <w:highlight w:val="none"/>
        </w:rPr>
        <w:t>5.2.3护理电子病历系统</w:t>
      </w:r>
      <w:bookmarkEnd w:id="49"/>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录入体温单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病区护士可以选择患者，录入体温单中各类信息，并可以便捷浏览系统绘制的体温单曲线图。支持体温单打印和补打。支持选择多个患者，批量录入体温单各类信息。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书写护理评估单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支持病区护士录入患者跌倒坠床危险因素评估单，危重患者风险入院评估单，住院患者入院评估单，压疮评估及防范记录单，深静脉血栓评估单等护理评估。书写入院评估时有智能模版。</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护理文书</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护士可以在新增已建好的护理文书，填入护理数据再打印出来，方便护士对各类护理文书的管理。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护理记录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护士可以在新增已建好的护理记录单中填入护理数据再打印出来，方便护士对各类护理记录单的管理。护理记录生成与临床路径（指南）相衔接，可与医师医嘱紧密结合。</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信息引用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从相关系统获取患者基本信息、患者诊断、入院情况等信息,并支持补充和修改。护士可根据病情描述需要,自主选择检查,检验报告数据,并将数据插人到记录中任意位置中。插人的元素包括文本报告和图形图像。护理记录书写时，可查询其他医疗机构相关病历数据和知识库数据。</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常用医学术语引用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可以将医学术语快速地引用到护理记录。支持结构化术语,医学术语的个性化设置和维护。</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医疗知识库引用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将预先定义好的诊断知识库、医疗知识库、中医知识库以及专用的护理知识库等内容插入到护理记录中。根据患者情况引用知识库的内容为护士录入提供临床决策支持,支持结构化术语,医学术语的个性化设置和维护。</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输入项验证</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在护理记录录入时，根据预先定义好的验证规则，对患者体征(体温,血压,呼吸)诊断等进行验证。对于不合理或者错误的录入,自动给出验证结果并提示护士。</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消息智能提醒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宋体"/>
                <w:color w:val="auto"/>
                <w:kern w:val="0"/>
                <w:sz w:val="24"/>
                <w:szCs w:val="21"/>
                <w:highlight w:val="none"/>
              </w:rPr>
              <w:t>▲</w:t>
            </w:r>
            <w:r>
              <w:rPr>
                <w:rFonts w:hint="eastAsia" w:ascii="宋体" w:hAnsi="宋体" w:cs="Times New Roman"/>
                <w:color w:val="auto"/>
                <w:sz w:val="24"/>
                <w:szCs w:val="21"/>
                <w:highlight w:val="none"/>
              </w:rPr>
              <w:t>对于护理记录必须书写的项目,但未进行录入或操作的自动提醒。针对危急值,不良事件上报等有灵活的消息发送,提醒功能。支持对护理管理部门重要工作安排和注意事项，护理记录病历质控的结果进行提醒。管理部门对护理记录质量问题通过消息进行提醒和交互,以此实现对病历质量的闭环管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模板管理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提供模板设置和维护,模板批量导人导出,删除和共享权限设置,支持对结构化模板进行编辑与元素自定义。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模板权限设置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在使用护理记录模板的过程中,采用三级模板控制权限,限制护士对护理记录模板的修改权。模板可按院级模板,部门模板,个人模板等权限形式进行配置。</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护士端质控</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护理记录质量问题以消息形式提示护士；护士通过点击消息快速查看问题记录的缺陷情况。自动定位缺陷位置,便于护士的及时修改；护士在护理记录录入时,能根据护理质量验证规则对输入项目进行验证及提醒。</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护理管理质控</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护理管理部门或护士根据护理管理部门质控要求,对重点患者进行筛查管理和质量统计分析(如：危重患者,围术期患者,院内感染患者,高度跌倒风险患者等),并将问题以消息的形式发送给护士。</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护理记录归档封存</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护理记录归档。自动或由管理人员手工对护理记录进行归档处理,归档后的护理记录只能进行浏览。</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护理记录封存</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护理记录封存后,没有封存权限的用户无法查看。</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护理记录解档</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护士借阅通过系统申请借阅归档病历,管理部门审核解档,解档病历按照医院病历权限要求可以设置不允许修改或打印,只能浏览。</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护理记录统计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符合医院护理管理部门、职能管理人员要求的统计护士工作量、危重患者情况、压疮评分、护理质量情况、分类等报表。报表形式能够以柱状图,折线图等多种方式灵活呈现,对所有的查询数据都支持导出打印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CA认证签名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具备护士CA认证签名功能。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护理项目管理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护理主单管理，护理项目录入。根据护理记录（如病人体征等）有自动的护理措施提示。具有分组安全控制机制和访问日志，以保障分组护理时信息的安全性。系统能够根据体征数据自动完成设定的护理评估。</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护理查阅管理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查询病人护理记录单的内容及打印，对病人一周体温单的查询和打印。</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snapToGrid w:val="0"/>
        <w:spacing w:line="360" w:lineRule="auto"/>
        <w:rPr>
          <w:rFonts w:ascii="宋体" w:hAnsi="宋体" w:cs="Times New Roman"/>
          <w:color w:val="auto"/>
          <w:sz w:val="24"/>
          <w:highlight w:val="none"/>
        </w:rPr>
      </w:pPr>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50" w:name="_Toc23806"/>
      <w:r>
        <w:rPr>
          <w:rFonts w:hint="eastAsia" w:ascii="宋体" w:hAnsi="宋体" w:cs="Times New Roman"/>
          <w:b/>
          <w:bCs/>
          <w:color w:val="auto"/>
          <w:kern w:val="0"/>
          <w:szCs w:val="21"/>
          <w:highlight w:val="none"/>
        </w:rPr>
        <w:t>5.2</w:t>
      </w:r>
      <w:r>
        <w:rPr>
          <w:rFonts w:ascii="宋体" w:hAnsi="宋体" w:cs="Times New Roman"/>
          <w:b/>
          <w:bCs/>
          <w:color w:val="auto"/>
          <w:kern w:val="0"/>
          <w:szCs w:val="21"/>
          <w:highlight w:val="none"/>
        </w:rPr>
        <w:t>.4</w:t>
      </w:r>
      <w:bookmarkEnd w:id="50"/>
      <w:r>
        <w:rPr>
          <w:rFonts w:hint="eastAsia" w:ascii="宋体" w:hAnsi="宋体" w:cs="Times New Roman"/>
          <w:b/>
          <w:bCs/>
          <w:color w:val="auto"/>
          <w:kern w:val="0"/>
          <w:szCs w:val="21"/>
          <w:highlight w:val="none"/>
        </w:rPr>
        <w:t>病案数据质控系统</w:t>
      </w:r>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案质控具有查看各阶段病历完成时间的功能。能够记录病历内容缺陷，并对时限、规定必须书写的病案内容进行自动判断处理，生成相应的质控记录。出院时对病案首页内容进行质量核查。病案首页保存时支持质量符合项的自动检查。可实现病案质控闭环管理，支持病案修改过程状态的监控。具有对按照质控修改的病历内容，进行追踪检查功能。支持对跨医疗机构病历信息阅读功能，为病历质控人员对本院病历质控提供全面病历信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质控评分规则</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可以整体设置质控评分的标准，对病历进行自动评分。由医生质控、科室质控和质控部门形成三级病历质量控制体系,对病历质控的各个环节进行追溯。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缺陷通知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对写完的病历进行提交之前，先由科主任进行科室质控评分。将病历目录页切换到缺陷通知页面，发现缺陷后，可以及时发送给相关医生进行修改。缺陷项根据最新版评分标准设置。同时应支持自定义设置。</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医生自评</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临床医生可自行对病历质量进行检查,结合病历质控规则,自动生成病历质量报告。</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环节评分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当科主任最后对病历进行评分确认时，之前在缺陷通知中增加的缺陷也能查看，根据缺陷项的修改情况，进行评分确认。若发现新的缺陷，可以直接进行新增扣分。</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终末评分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终末质控评分是病案室人员对全院的病历进行质控评分。和环节评分相似，可以发送缺陷通知，也可以直接在终末评分页面扣分，一般终末质控采用的都是直接扣分形式。</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差别化质控</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提供适用专科病历,诊断等差别化的质量控制项目。实现对病历质量的评价与缺陷记录,并反馈给责任医生,病历质量管理人员可对病历缺陷内容的纠正情况进行追踪检查的功能。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死亡疑难病历质控</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支持死亡疑难病历三级质控权限分配给专家在本科室完成质控，由质控科月底汇总质控结果。</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质控查询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支持病历质控结果查询、统计，支持定制报表格式。</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病历质控分析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根据病历质量检查和评价结果,可自定义生成不同维度的统计分析报告,指导质控部门有针对地进行病历质量检查和评价,支持数据下钻可定位到出现质量问题的电子病历段落。支持2</w:t>
            </w:r>
            <w:r>
              <w:rPr>
                <w:rFonts w:ascii="宋体" w:hAnsi="宋体" w:cs="Times New Roman"/>
                <w:color w:val="auto"/>
                <w:sz w:val="24"/>
                <w:szCs w:val="21"/>
                <w:highlight w:val="none"/>
              </w:rPr>
              <w:t>4</w:t>
            </w:r>
            <w:r>
              <w:rPr>
                <w:rFonts w:hint="eastAsia" w:ascii="宋体" w:hAnsi="宋体" w:cs="Times New Roman"/>
                <w:color w:val="auto"/>
                <w:sz w:val="24"/>
                <w:szCs w:val="21"/>
                <w:highlight w:val="none"/>
              </w:rPr>
              <w:t>小时内未完成大病历、8小时未完成首程，3日确诊率、诊断符合率等统计分析，支持同比、环比及科室排名分析。</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51" w:name="_Toc6399"/>
      <w:r>
        <w:rPr>
          <w:rFonts w:hint="eastAsia" w:ascii="宋体" w:hAnsi="宋体" w:cs="Times New Roman"/>
          <w:b/>
          <w:bCs/>
          <w:color w:val="auto"/>
          <w:kern w:val="0"/>
          <w:szCs w:val="21"/>
          <w:highlight w:val="none"/>
          <w:lang w:val="zh-CN"/>
        </w:rPr>
        <w:t>5.3医疗质量管理</w:t>
      </w:r>
      <w:bookmarkEnd w:id="51"/>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52" w:name="_Toc23901"/>
      <w:r>
        <w:rPr>
          <w:rFonts w:hint="eastAsia" w:ascii="宋体" w:hAnsi="宋体" w:cs="Times New Roman"/>
          <w:b/>
          <w:bCs/>
          <w:color w:val="auto"/>
          <w:kern w:val="0"/>
          <w:szCs w:val="21"/>
          <w:highlight w:val="none"/>
        </w:rPr>
        <w:t>5.3.1疾病报卡管理系统</w:t>
      </w:r>
      <w:bookmarkEnd w:id="52"/>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疾病报卡管理系统主要用于协助临床医生完成填报疾病报告卡、管理人员审核报告内容的工作。包括慢病、传染病、食源性疾病等报卡填报、审核、汇总分析功能，同时具备漏报检测、疾病分析功能。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基础字典设置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可设置报卡中用到的一些字典数据，如文化程度、职业等。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报卡种类设置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可设置报卡名称、报卡格式、是否使用等。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疾病报卡设置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可设置哪些疾病需要报哪些报卡。</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报卡审核</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可用于管理人员补填、修改、删除、审核报卡。</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报卡汇总</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可用于管理人员修改、审核报卡。</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医生报卡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可用于门诊医生、住院医生等调用，填写病人报卡信息。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漏报调查记录表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统计有哪些病人漏报报卡。</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医生报卡统计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统计医生报卡数量。</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报卡分类统计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统计各报卡数量。</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慢病发病登记表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统计慢病报卡信息。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传染病报卡统计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统计传染病报卡信息。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食源性疾病报卡统计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统计食源性疾病报卡信息。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报卡一览统计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显示具体有哪些报卡。</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门诊医生日志查询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查询门诊医生日志信息，可查询相关报卡信息。</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传染病预警</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根据检验结果、用药等情况，对传染病爆发自动预警并给出提示，支持对确认的传染病爆发等情况补充信息并上报医政管理部门。</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7"/>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支持与兵团疾控中心业务系统对接，实现疾病报卡业务协同。</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53" w:name="_Toc11349"/>
      <w:r>
        <w:rPr>
          <w:rFonts w:hint="eastAsia" w:ascii="宋体" w:hAnsi="宋体" w:cs="Times New Roman"/>
          <w:b/>
          <w:bCs/>
          <w:color w:val="auto"/>
          <w:kern w:val="0"/>
          <w:szCs w:val="21"/>
          <w:highlight w:val="none"/>
        </w:rPr>
        <w:t>5.3.2危急值管理系统</w:t>
      </w:r>
      <w:bookmarkEnd w:id="53"/>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危急值管理系统通过医技系统与医院信息系统(</w:t>
            </w:r>
            <w:r>
              <w:rPr>
                <w:rFonts w:ascii="宋体" w:hAnsi="宋体" w:cs="微软雅黑 Light"/>
                <w:bCs/>
                <w:color w:val="auto"/>
                <w:sz w:val="24"/>
                <w:szCs w:val="21"/>
                <w:highlight w:val="none"/>
              </w:rPr>
              <w:t>HIS)</w:t>
            </w:r>
            <w:r>
              <w:rPr>
                <w:rFonts w:hint="eastAsia" w:ascii="宋体" w:hAnsi="宋体" w:cs="微软雅黑 Light"/>
                <w:bCs/>
                <w:color w:val="auto"/>
                <w:sz w:val="24"/>
                <w:szCs w:val="21"/>
                <w:highlight w:val="none"/>
              </w:rPr>
              <w:t>危急值信息无缝对接，实现患者临床检验检查中危急值从产生、通知、处理的全流程管理。</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危急值设定</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支持在检查,检验等系统中设定危急检验项目表与制定危急界限值,并可对危急项目表危急界限值进行定期总结分析,根据分析结果可增加,删除,修改危急检验项目及危急界限值。</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自动筛查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当检查检验结果达到或超过危急值界限时,支持自动筛查出危急值,并提醒技师进行危急值复核,经复核确认为危急值后,即刻审核发布。如复核可能有样本,试剂,操作等影响因素时,可取消危急值提醒,但需即刻通知临床科室重新取样送检或检查。</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临床提醒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危急值平台接收到医技系统的危急值报告后在HIS提醒用户包含消息提醒、图标系统提醒。</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消息提醒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支持按患者就诊类型，就诊科室、发生时间配置消息接收用户，在HIS系统界面弹出危急值消息提醒，在未处理情况下每隔一段时间就会再次弹出，直到处理完成，确保危急值处理率。</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图标系统提醒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当患者存在危急值须处理时，在患者床位图、信息条显示危急值图标，可以快速打开查看患者危急值记录。</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临床接收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临床人员看到危急值提醒，可以查看到患者的基本信息与危急值报告信息，进行危急值接收，并反馈回医技系统。</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越级提醒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在规定时间内没有危急值的处置反馈,危急值消息则按管理部门规定的流程通知发送给上级医生,科主任,主管院长等相关人员,直至完成危急值处理登记。</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病程书写</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链入电子病历系统，书写危急值病程记录并绑定起来。</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查询统计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为医院医务管理部门提供危急值报告记录查询、危急值完成比例报表、危急值分布报表。</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危急值查询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按日期、科室、类型等查询危急值记录、跟踪患者危急值记录。</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与区域诊疗中心联动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Times New Roman"/>
                <w:color w:val="auto"/>
                <w:sz w:val="24"/>
                <w:highlight w:val="none"/>
              </w:rPr>
              <w:t>HIS、EMR的医护工作站与本期项目区域诊疗中心各医技系统（检验、检查）整合联动，当出现危急值时，以微信、钉钉、短信等方式自动发送告警信息给相关医护和医务部人员手机和PC医护工作站，并记录处置过程，可按时间线回溯处置过程。支持评价处置过程。</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54" w:name="_Toc7080"/>
      <w:r>
        <w:rPr>
          <w:rFonts w:hint="eastAsia" w:ascii="宋体" w:hAnsi="宋体" w:cs="Times New Roman"/>
          <w:b/>
          <w:bCs/>
          <w:color w:val="auto"/>
          <w:kern w:val="0"/>
          <w:szCs w:val="21"/>
          <w:highlight w:val="none"/>
        </w:rPr>
        <w:t>5.3.3不良事件上报系统</w:t>
      </w:r>
      <w:bookmarkEnd w:id="54"/>
    </w:p>
    <w:tbl>
      <w:tblPr>
        <w:tblStyle w:val="18"/>
        <w:tblW w:w="9322" w:type="dxa"/>
        <w:jc w:val="center"/>
        <w:tblLayout w:type="autofit"/>
        <w:tblCellMar>
          <w:top w:w="0" w:type="dxa"/>
          <w:left w:w="108" w:type="dxa"/>
          <w:bottom w:w="0" w:type="dxa"/>
          <w:right w:w="108" w:type="dxa"/>
        </w:tblCellMar>
      </w:tblPr>
      <w:tblGrid>
        <w:gridCol w:w="457"/>
        <w:gridCol w:w="1643"/>
        <w:gridCol w:w="5527"/>
        <w:gridCol w:w="1695"/>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695"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不良事件管理系统对全院不良事件进行统一管理，可以方便医护人员对不良事件进行及时的上报，通过分析发生不良事件数据可以更快的总结原因，分析原因，避免更多不良事件的发生。</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上报范围</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支持门诊部、门诊科室、急诊科和住院临床科室医疗安全不良事件上报，医疗器械、药品、检验、影像、超声、输血和病理等医疗安全不良事件上报。</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报卡模板设置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支持报卡模板的新增、修改、删除、保存；支持模板文件导入导出。</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报告填写</w:t>
            </w:r>
            <w:r>
              <w:rPr>
                <w:rFonts w:ascii="宋体" w:hAnsi="宋体" w:cs="微软雅黑 Light"/>
                <w:bCs/>
                <w:color w:val="auto"/>
                <w:sz w:val="24"/>
                <w:szCs w:val="21"/>
                <w:highlight w:val="none"/>
              </w:rPr>
              <w:t>/上报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s="微软雅黑 Light"/>
                <w:bCs/>
                <w:color w:val="auto"/>
                <w:sz w:val="24"/>
                <w:szCs w:val="21"/>
                <w:highlight w:val="none"/>
              </w:rPr>
              <w:t>支持病人模糊检索；支持报卡新增、编辑、保存、删除。</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上报及撒销</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医务人员可根据不良事件种类,调出配置好的模板进行不良事件上报,上报后自动发送通知给相关责任部门做急性处理。</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报卡审核</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根据收到的事件“消息”通知及时给予批示,当事医务人员依据收到的批示执行相关处理。)</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3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统计分析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支持报卡分类报表统计，按报卡时间、报卡分类、报卡类型检索所有的报卡。可根据时间,科室,不良事件类型,不良事件级别。</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55" w:name="_Toc26538"/>
      <w:r>
        <w:rPr>
          <w:rFonts w:hint="eastAsia" w:ascii="宋体" w:hAnsi="宋体" w:cs="Times New Roman"/>
          <w:b/>
          <w:bCs/>
          <w:color w:val="auto"/>
          <w:kern w:val="0"/>
          <w:szCs w:val="21"/>
          <w:highlight w:val="none"/>
        </w:rPr>
        <w:t>5.</w:t>
      </w:r>
      <w:r>
        <w:rPr>
          <w:rFonts w:ascii="宋体" w:hAnsi="宋体" w:cs="Times New Roman"/>
          <w:b/>
          <w:bCs/>
          <w:color w:val="auto"/>
          <w:kern w:val="0"/>
          <w:szCs w:val="21"/>
          <w:highlight w:val="none"/>
        </w:rPr>
        <w:t>3</w:t>
      </w:r>
      <w:r>
        <w:rPr>
          <w:rFonts w:hint="eastAsia" w:ascii="宋体" w:hAnsi="宋体" w:cs="Times New Roman"/>
          <w:b/>
          <w:bCs/>
          <w:color w:val="auto"/>
          <w:kern w:val="0"/>
          <w:szCs w:val="21"/>
          <w:highlight w:val="none"/>
        </w:rPr>
        <w:t>.4临床路径与单病种质控</w:t>
      </w:r>
      <w:bookmarkEnd w:id="55"/>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临床路径与单病种质控</w:t>
            </w:r>
            <w:r>
              <w:rPr>
                <w:rFonts w:ascii="宋体" w:hAnsi="宋体" w:cs="微软雅黑 Light"/>
                <w:bCs/>
                <w:color w:val="auto"/>
                <w:sz w:val="24"/>
                <w:szCs w:val="21"/>
                <w:highlight w:val="none"/>
              </w:rPr>
              <w:t>实现设定临床路径与单病种的质控指标，定期对质控指标统计、对质控指标偏差进行分析，不断完善临床路径和单病种管理。</w:t>
            </w:r>
          </w:p>
          <w:p>
            <w:pPr>
              <w:pStyle w:val="26"/>
              <w:rPr>
                <w:color w:val="auto"/>
                <w:sz w:val="24"/>
                <w:szCs w:val="24"/>
                <w:highlight w:val="none"/>
              </w:rPr>
            </w:pPr>
            <w:r>
              <w:rPr>
                <w:rFonts w:hint="eastAsia"/>
                <w:color w:val="auto"/>
                <w:sz w:val="24"/>
                <w:szCs w:val="24"/>
                <w:highlight w:val="none"/>
              </w:rPr>
              <w:t>支持国家单病种质控系统对接，实现90%及以上字段自动采集上报，部分人工填报；</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质控指标设置(临床路径和单病种)</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设置各质控指标的计算公式,包括可按科室,医疗小组或医生设置质控指标阈值；对质控指标进行增、删、改、查、启用、停用等操作。质控指标包括：效率指标,管理指标,质量指标,抗菌药物使用指标,诊断指标,费用指标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质控指标监控</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医务部门对临床路径与单病种的质控指标相关数据自动实时采集和记录,并根据质控指标计算公式完成指标计算,实现对质控指标的监控。支持定期或不定期进行指标统计,发现指标与上期或质控指标阈值的偏差。</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质控指标分析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支持对临床路径和单病种的指标偏差进行分析。对指标偏差进行逐层钻取,查阅偏差指标的具体明细,分析偏差形成的原因,以不断完善临床路径和单病种设置。</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质控数据采集监管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对质控数据采集过程进行监管。</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路径质控指标统计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s="微软雅黑 Light"/>
                <w:bCs/>
                <w:color w:val="auto"/>
                <w:sz w:val="24"/>
                <w:szCs w:val="21"/>
                <w:highlight w:val="none"/>
              </w:rPr>
              <w:t>住院平均日</w:t>
            </w:r>
            <w:r>
              <w:rPr>
                <w:rFonts w:hint="eastAsia" w:ascii="宋体" w:hAnsi="宋体" w:cs="微软雅黑 Light"/>
                <w:bCs/>
                <w:color w:val="auto"/>
                <w:sz w:val="24"/>
                <w:szCs w:val="21"/>
                <w:highlight w:val="none"/>
              </w:rPr>
              <w:t>、</w:t>
            </w:r>
            <w:r>
              <w:rPr>
                <w:rFonts w:ascii="宋体" w:hAnsi="宋体" w:cs="微软雅黑 Light"/>
                <w:bCs/>
                <w:color w:val="auto"/>
                <w:sz w:val="24"/>
                <w:szCs w:val="21"/>
                <w:highlight w:val="none"/>
              </w:rPr>
              <w:t>工作指标统计</w:t>
            </w:r>
            <w:r>
              <w:rPr>
                <w:rFonts w:hint="eastAsia" w:ascii="宋体" w:hAnsi="宋体" w:cs="微软雅黑 Light"/>
                <w:bCs/>
                <w:color w:val="auto"/>
                <w:sz w:val="24"/>
                <w:szCs w:val="21"/>
                <w:highlight w:val="none"/>
              </w:rPr>
              <w:t>、</w:t>
            </w:r>
            <w:r>
              <w:rPr>
                <w:rFonts w:ascii="宋体" w:hAnsi="宋体" w:cs="微软雅黑 Light"/>
                <w:bCs/>
                <w:color w:val="auto"/>
                <w:sz w:val="24"/>
                <w:szCs w:val="21"/>
                <w:highlight w:val="none"/>
              </w:rPr>
              <w:t>完成路径数</w:t>
            </w:r>
            <w:r>
              <w:rPr>
                <w:rFonts w:hint="eastAsia" w:ascii="宋体" w:hAnsi="宋体" w:cs="微软雅黑 Light"/>
                <w:bCs/>
                <w:color w:val="auto"/>
                <w:sz w:val="24"/>
                <w:szCs w:val="21"/>
                <w:highlight w:val="none"/>
              </w:rPr>
              <w:t>、</w:t>
            </w:r>
            <w:r>
              <w:rPr>
                <w:rFonts w:ascii="宋体" w:hAnsi="宋体" w:cs="微软雅黑 Light"/>
                <w:bCs/>
                <w:color w:val="auto"/>
                <w:sz w:val="24"/>
                <w:szCs w:val="21"/>
                <w:highlight w:val="none"/>
              </w:rPr>
              <w:t>路径退径率</w:t>
            </w:r>
            <w:r>
              <w:rPr>
                <w:rFonts w:hint="eastAsia" w:ascii="宋体" w:hAnsi="宋体" w:cs="微软雅黑 Light"/>
                <w:bCs/>
                <w:color w:val="auto"/>
                <w:sz w:val="24"/>
                <w:szCs w:val="21"/>
                <w:highlight w:val="none"/>
              </w:rPr>
              <w:t>、</w:t>
            </w:r>
            <w:r>
              <w:rPr>
                <w:rFonts w:ascii="宋体" w:hAnsi="宋体" w:cs="微软雅黑 Light"/>
                <w:bCs/>
                <w:color w:val="auto"/>
                <w:sz w:val="24"/>
                <w:szCs w:val="21"/>
                <w:highlight w:val="none"/>
              </w:rPr>
              <w:t>路径变异率</w:t>
            </w:r>
            <w:r>
              <w:rPr>
                <w:rFonts w:hint="eastAsia" w:ascii="宋体" w:hAnsi="宋体" w:cs="微软雅黑 Light"/>
                <w:bCs/>
                <w:color w:val="auto"/>
                <w:sz w:val="24"/>
                <w:szCs w:val="21"/>
                <w:highlight w:val="none"/>
              </w:rPr>
              <w:t>统计。</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0"/>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单病种质控指标统计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提供单病种质控指标统计功能。支持出入院诊断符合率，手术后诊断符合率，治愈率，好转率，抗生素使用率，平均住院日，术前平均住院日，平均住院费用，每日住院费用，手术费，药品费用，检查费用统计。</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56" w:name="_Toc27040"/>
      <w:r>
        <w:rPr>
          <w:rFonts w:hint="eastAsia" w:ascii="宋体" w:hAnsi="宋体" w:cs="Times New Roman"/>
          <w:b/>
          <w:bCs/>
          <w:color w:val="auto"/>
          <w:kern w:val="0"/>
          <w:szCs w:val="21"/>
          <w:highlight w:val="none"/>
        </w:rPr>
        <w:t>5.</w:t>
      </w:r>
      <w:r>
        <w:rPr>
          <w:rFonts w:ascii="宋体" w:hAnsi="宋体" w:cs="Times New Roman"/>
          <w:b/>
          <w:bCs/>
          <w:color w:val="auto"/>
          <w:kern w:val="0"/>
          <w:szCs w:val="21"/>
          <w:highlight w:val="none"/>
        </w:rPr>
        <w:t>3</w:t>
      </w:r>
      <w:r>
        <w:rPr>
          <w:rFonts w:hint="eastAsia" w:ascii="宋体" w:hAnsi="宋体" w:cs="Times New Roman"/>
          <w:b/>
          <w:bCs/>
          <w:color w:val="auto"/>
          <w:kern w:val="0"/>
          <w:szCs w:val="21"/>
          <w:highlight w:val="none"/>
        </w:rPr>
        <w:t>.5医院感染监控管理系统</w:t>
      </w:r>
      <w:bookmarkEnd w:id="56"/>
    </w:p>
    <w:tbl>
      <w:tblPr>
        <w:tblStyle w:val="18"/>
        <w:tblW w:w="8897" w:type="dxa"/>
        <w:jc w:val="center"/>
        <w:tblLayout w:type="autofit"/>
        <w:tblCellMar>
          <w:top w:w="0" w:type="dxa"/>
          <w:left w:w="108" w:type="dxa"/>
          <w:bottom w:w="0" w:type="dxa"/>
          <w:right w:w="108" w:type="dxa"/>
        </w:tblCellMar>
      </w:tblPr>
      <w:tblGrid>
        <w:gridCol w:w="457"/>
        <w:gridCol w:w="1643"/>
        <w:gridCol w:w="5527"/>
        <w:gridCol w:w="1270"/>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270"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医院感染管理系统旨在为医院构建一套完整的感染管理体系，有效预防和控制感染发生，提高医疗质量，保证医疗安全。医院感染管理系统对全院范围病人的感染相关因素进行监控，检索疑似感染病例，及时提供感染暴发预警信息，并为管理部门和临床构建一个信息沟通平台。建立感染报告管理平台，收集并统计分析感染发生情况。</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系统配置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设置系统的基础数据，院感疑似筛查规则和常用短语对照，对系统进行数据维护。</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综合监测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Times New Roman"/>
                <w:color w:val="auto"/>
                <w:sz w:val="24"/>
                <w:szCs w:val="21"/>
                <w:highlight w:val="none"/>
              </w:rPr>
              <w:t>▲</w:t>
            </w:r>
            <w:r>
              <w:rPr>
                <w:rFonts w:hint="eastAsia" w:ascii="宋体" w:hAnsi="宋体" w:cs="微软雅黑 Light"/>
                <w:bCs/>
                <w:color w:val="auto"/>
                <w:sz w:val="24"/>
                <w:szCs w:val="21"/>
                <w:highlight w:val="none"/>
              </w:rPr>
              <w:t>包括疑似病例筛查和感染暴发预警两个部分，基于感染诊断标准、数据标化及经验值，对住院患者感染相关染指标做到精准筛查，筛查出疑似感染及高度疑似感染患者。根据检验结果、用药等情况，对医院感染爆发等自动预警并给出提示，支持对确认的医院感染爆发情况补充信息并上报医政管理部门。</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医院感染报告管理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临床医生上报医院感染报告，院感科对医生上报的院感报告进行审核，退回，删除，以此来对感染病例进行信息化监控。</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目标性监测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重点监测感染高发、易发人群，对ICU、NICU、重点手术、多重耐药菌进行专项监测，根据感染指标分析，指导临床做好感染防护。</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细菌耐药性</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微软雅黑 Light"/>
                <w:bCs/>
                <w:color w:val="auto"/>
                <w:sz w:val="24"/>
                <w:szCs w:val="21"/>
                <w:highlight w:val="none"/>
              </w:rPr>
              <w:t>自动对微生物数据进行加载，结合最新多耐定义标准进行多耐分析及时对临床科室和感控科预警提示，并显示出来，对多重耐药菌进行耐药菌的报告进行填报，提交，审核。</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统计分析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医院感染发病（例次）率、医院感染现患（例次）率、医院感染病例漏报率、多重耐药菌感染发生率、多重耐药菌感染发生率、多重耐药菌检出率、住院患者抗菌药物使用率等指标查询统计。</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环境卫生监测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针对环境卫生监测实现流程化管理,其中主要包括科室申请单和检验科工作站两部分。科室申请单对科室需要做的环境监测进行申请及打印条码，检验科工作站则对环境卫生学申请进行发放材料、接收标本、结果录入。</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微软雅黑 Light"/>
                <w:bCs/>
                <w:color w:val="auto"/>
                <w:sz w:val="24"/>
                <w:szCs w:val="21"/>
                <w:highlight w:val="none"/>
              </w:rPr>
              <w:t>职业防护</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在院感端和医生端职业暴露填报，对职业暴露情况进行（职业、岗位、工龄、接触部位、防护措施）不同维度的统计，院感科进行职业暴露患者的审核、登记以及查询。</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57" w:name="_Toc22012"/>
      <w:r>
        <w:rPr>
          <w:rFonts w:ascii="宋体" w:hAnsi="宋体" w:cs="Times New Roman"/>
          <w:b/>
          <w:bCs/>
          <w:color w:val="auto"/>
          <w:kern w:val="0"/>
          <w:szCs w:val="21"/>
          <w:highlight w:val="none"/>
        </w:rPr>
        <w:t>5.3.6VTE</w:t>
      </w:r>
      <w:r>
        <w:rPr>
          <w:rFonts w:hint="eastAsia" w:ascii="宋体" w:hAnsi="宋体" w:cs="Times New Roman"/>
          <w:b/>
          <w:bCs/>
          <w:color w:val="auto"/>
          <w:kern w:val="0"/>
          <w:szCs w:val="21"/>
          <w:highlight w:val="none"/>
        </w:rPr>
        <w:t>防治系统</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566"/>
        <w:gridCol w:w="539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275" w:type="pct"/>
            <w:shd w:val="clear" w:color="000000" w:fill="F2F2F2"/>
            <w:vAlign w:val="center"/>
          </w:tcPr>
          <w:p>
            <w:pP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918" w:type="pct"/>
            <w:shd w:val="clear" w:color="000000" w:fill="F2F2F2"/>
            <w:vAlign w:val="center"/>
          </w:tcPr>
          <w:p>
            <w:pP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系统功能模块</w:t>
            </w:r>
          </w:p>
        </w:tc>
        <w:tc>
          <w:tcPr>
            <w:tcW w:w="3162" w:type="pct"/>
            <w:shd w:val="clear" w:color="000000" w:fill="F2F2F2"/>
            <w:vAlign w:val="center"/>
          </w:tcPr>
          <w:p>
            <w:pP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详细技术要求</w:t>
            </w:r>
          </w:p>
        </w:tc>
        <w:tc>
          <w:tcPr>
            <w:tcW w:w="645" w:type="pct"/>
            <w:shd w:val="clear" w:color="000000" w:fill="F2F2F2"/>
          </w:tcPr>
          <w:p>
            <w:pP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42"/>
              </w:numPr>
              <w:ind w:firstLineChars="0"/>
              <w:jc w:val="center"/>
              <w:rPr>
                <w:rFonts w:ascii="宋体" w:hAnsi="宋体" w:cs="宋体"/>
                <w:color w:val="auto"/>
                <w:kern w:val="0"/>
                <w:sz w:val="24"/>
                <w:szCs w:val="24"/>
                <w:highlight w:val="none"/>
              </w:rPr>
            </w:pPr>
          </w:p>
        </w:tc>
        <w:tc>
          <w:tcPr>
            <w:tcW w:w="918" w:type="pct"/>
            <w:noWrap/>
            <w:vAlign w:val="center"/>
          </w:tcPr>
          <w:p>
            <w:pPr>
              <w:jc w:val="left"/>
              <w:rPr>
                <w:rFonts w:ascii="宋体" w:hAnsi="宋体"/>
                <w:color w:val="auto"/>
                <w:sz w:val="24"/>
                <w:szCs w:val="24"/>
                <w:highlight w:val="none"/>
              </w:rPr>
            </w:pPr>
            <w:r>
              <w:rPr>
                <w:rFonts w:hint="eastAsia" w:ascii="宋体" w:hAnsi="宋体"/>
                <w:color w:val="auto"/>
                <w:sz w:val="24"/>
                <w:szCs w:val="24"/>
                <w:highlight w:val="none"/>
              </w:rPr>
              <w:t>总体要求</w:t>
            </w:r>
          </w:p>
        </w:tc>
        <w:tc>
          <w:tcPr>
            <w:tcW w:w="3162" w:type="pct"/>
            <w:vAlign w:val="center"/>
          </w:tcPr>
          <w:p>
            <w:pPr>
              <w:jc w:val="left"/>
              <w:rPr>
                <w:rFonts w:ascii="宋体" w:hAnsi="宋体"/>
                <w:color w:val="auto"/>
                <w:sz w:val="24"/>
                <w:szCs w:val="24"/>
                <w:highlight w:val="none"/>
              </w:rPr>
            </w:pPr>
            <w:r>
              <w:rPr>
                <w:rFonts w:ascii="宋体" w:hAnsi="宋体"/>
                <w:color w:val="auto"/>
                <w:sz w:val="24"/>
                <w:szCs w:val="24"/>
                <w:highlight w:val="none"/>
              </w:rPr>
              <w:t>VTE</w:t>
            </w:r>
            <w:r>
              <w:rPr>
                <w:rFonts w:hint="eastAsia" w:ascii="宋体" w:hAnsi="宋体"/>
                <w:color w:val="auto"/>
                <w:sz w:val="24"/>
                <w:szCs w:val="24"/>
                <w:highlight w:val="none"/>
              </w:rPr>
              <w:t>防治系统应根据国际权威的临床指南及临床质量提升要求，帮助医院建立标准且有效的</w:t>
            </w:r>
            <w:r>
              <w:rPr>
                <w:rFonts w:ascii="宋体" w:hAnsi="宋体"/>
                <w:color w:val="auto"/>
                <w:sz w:val="24"/>
                <w:szCs w:val="24"/>
                <w:highlight w:val="none"/>
              </w:rPr>
              <w:t>VTE</w:t>
            </w:r>
            <w:r>
              <w:rPr>
                <w:rFonts w:hint="eastAsia" w:ascii="宋体" w:hAnsi="宋体"/>
                <w:color w:val="auto"/>
                <w:sz w:val="24"/>
                <w:szCs w:val="24"/>
                <w:highlight w:val="none"/>
              </w:rPr>
              <w:t>防治流程，规范</w:t>
            </w:r>
            <w:r>
              <w:rPr>
                <w:rFonts w:ascii="宋体" w:hAnsi="宋体"/>
                <w:color w:val="auto"/>
                <w:sz w:val="24"/>
                <w:szCs w:val="24"/>
                <w:highlight w:val="none"/>
              </w:rPr>
              <w:t>VTE</w:t>
            </w:r>
            <w:r>
              <w:rPr>
                <w:rFonts w:hint="eastAsia" w:ascii="宋体" w:hAnsi="宋体"/>
                <w:color w:val="auto"/>
                <w:sz w:val="24"/>
                <w:szCs w:val="24"/>
                <w:highlight w:val="none"/>
              </w:rPr>
              <w:t>诊断与治疗，可降低住院期间并发症的发生率，可降低患者的总体治疗费用。</w:t>
            </w:r>
          </w:p>
        </w:tc>
        <w:tc>
          <w:tcPr>
            <w:tcW w:w="645" w:type="pct"/>
          </w:tcPr>
          <w:p>
            <w:pPr>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42"/>
              </w:numPr>
              <w:ind w:firstLineChars="0"/>
              <w:jc w:val="center"/>
              <w:rPr>
                <w:rFonts w:ascii="宋体" w:hAnsi="宋体" w:cs="宋体"/>
                <w:color w:val="auto"/>
                <w:kern w:val="0"/>
                <w:sz w:val="24"/>
                <w:szCs w:val="24"/>
                <w:highlight w:val="none"/>
              </w:rPr>
            </w:pPr>
          </w:p>
        </w:tc>
        <w:tc>
          <w:tcPr>
            <w:tcW w:w="918" w:type="pct"/>
            <w:vMerge w:val="restart"/>
            <w:noWrap/>
            <w:vAlign w:val="center"/>
          </w:tcPr>
          <w:p>
            <w:pPr>
              <w:jc w:val="left"/>
              <w:rPr>
                <w:rFonts w:ascii="宋体" w:hAnsi="宋体"/>
                <w:color w:val="auto"/>
                <w:sz w:val="24"/>
                <w:szCs w:val="24"/>
                <w:highlight w:val="none"/>
              </w:rPr>
            </w:pPr>
            <w:r>
              <w:rPr>
                <w:rFonts w:hint="eastAsia" w:ascii="宋体" w:hAnsi="宋体" w:cs="宋体"/>
                <w:color w:val="auto"/>
                <w:sz w:val="24"/>
                <w:szCs w:val="24"/>
                <w:highlight w:val="none"/>
              </w:rPr>
              <w:t>平台端</w:t>
            </w:r>
          </w:p>
        </w:tc>
        <w:tc>
          <w:tcPr>
            <w:tcW w:w="3162" w:type="pct"/>
          </w:tcPr>
          <w:p>
            <w:pPr>
              <w:jc w:val="left"/>
              <w:rPr>
                <w:rFonts w:ascii="宋体" w:hAnsi="宋体"/>
                <w:color w:val="auto"/>
                <w:sz w:val="24"/>
                <w:szCs w:val="24"/>
                <w:highlight w:val="none"/>
              </w:rPr>
            </w:pPr>
            <w:r>
              <w:rPr>
                <w:rFonts w:hint="eastAsia" w:ascii="宋体" w:hAnsi="宋体" w:cs="宋体"/>
                <w:color w:val="auto"/>
                <w:sz w:val="24"/>
                <w:szCs w:val="24"/>
                <w:highlight w:val="none"/>
              </w:rPr>
              <w:t>工作台：依据人员权限，为管理者、医务工作者提供数据分析、待办等一体的工作台。</w:t>
            </w:r>
          </w:p>
        </w:tc>
        <w:tc>
          <w:tcPr>
            <w:tcW w:w="645" w:type="pct"/>
          </w:tcPr>
          <w:p>
            <w:pPr>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42"/>
              </w:numPr>
              <w:ind w:firstLineChars="0"/>
              <w:jc w:val="center"/>
              <w:rPr>
                <w:rFonts w:ascii="宋体" w:hAnsi="宋体" w:cs="宋体"/>
                <w:color w:val="auto"/>
                <w:kern w:val="0"/>
                <w:sz w:val="24"/>
                <w:szCs w:val="24"/>
                <w:highlight w:val="none"/>
              </w:rPr>
            </w:pPr>
          </w:p>
        </w:tc>
        <w:tc>
          <w:tcPr>
            <w:tcW w:w="918" w:type="pct"/>
            <w:vMerge w:val="continue"/>
            <w:noWrap/>
            <w:vAlign w:val="center"/>
          </w:tcPr>
          <w:p>
            <w:pPr>
              <w:jc w:val="left"/>
              <w:rPr>
                <w:rFonts w:ascii="宋体" w:hAnsi="宋体"/>
                <w:color w:val="auto"/>
                <w:sz w:val="24"/>
                <w:szCs w:val="24"/>
                <w:highlight w:val="none"/>
              </w:rPr>
            </w:pPr>
          </w:p>
        </w:tc>
        <w:tc>
          <w:tcPr>
            <w:tcW w:w="3162" w:type="pct"/>
          </w:tcPr>
          <w:p>
            <w:pPr>
              <w:jc w:val="left"/>
              <w:rPr>
                <w:rFonts w:ascii="宋体" w:hAnsi="宋体"/>
                <w:color w:val="auto"/>
                <w:sz w:val="24"/>
                <w:szCs w:val="24"/>
                <w:highlight w:val="none"/>
              </w:rPr>
            </w:pPr>
            <w:r>
              <w:rPr>
                <w:rFonts w:hint="eastAsia" w:ascii="宋体" w:hAnsi="宋体" w:cs="宋体"/>
                <w:color w:val="auto"/>
                <w:sz w:val="24"/>
                <w:szCs w:val="24"/>
                <w:highlight w:val="none"/>
              </w:rPr>
              <w:t>患者管理：以患者</w:t>
            </w:r>
            <w:r>
              <w:rPr>
                <w:rFonts w:ascii="宋体" w:hAnsi="宋体" w:cs="宋体"/>
                <w:color w:val="auto"/>
                <w:sz w:val="24"/>
                <w:szCs w:val="24"/>
                <w:highlight w:val="none"/>
              </w:rPr>
              <w:t>ID</w:t>
            </w:r>
            <w:r>
              <w:rPr>
                <w:rFonts w:hint="eastAsia" w:ascii="宋体" w:hAnsi="宋体" w:cs="宋体"/>
                <w:color w:val="auto"/>
                <w:sz w:val="24"/>
                <w:szCs w:val="24"/>
                <w:highlight w:val="none"/>
              </w:rPr>
              <w:t>为主索引，从患者入院评估开始，对病情转变、手术、转科、出院、再就诊、随访等各个关键节点进行监测管理。</w:t>
            </w:r>
          </w:p>
        </w:tc>
        <w:tc>
          <w:tcPr>
            <w:tcW w:w="645" w:type="pct"/>
          </w:tcPr>
          <w:p>
            <w:pPr>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42"/>
              </w:numPr>
              <w:ind w:firstLineChars="0"/>
              <w:jc w:val="center"/>
              <w:rPr>
                <w:rFonts w:ascii="宋体" w:hAnsi="宋体" w:cs="宋体"/>
                <w:color w:val="auto"/>
                <w:kern w:val="0"/>
                <w:sz w:val="24"/>
                <w:szCs w:val="24"/>
                <w:highlight w:val="none"/>
              </w:rPr>
            </w:pPr>
          </w:p>
        </w:tc>
        <w:tc>
          <w:tcPr>
            <w:tcW w:w="918" w:type="pct"/>
            <w:vMerge w:val="continue"/>
            <w:noWrap/>
            <w:vAlign w:val="center"/>
          </w:tcPr>
          <w:p>
            <w:pPr>
              <w:jc w:val="left"/>
              <w:rPr>
                <w:rFonts w:ascii="宋体" w:hAnsi="宋体"/>
                <w:color w:val="auto"/>
                <w:sz w:val="24"/>
                <w:szCs w:val="24"/>
                <w:highlight w:val="none"/>
              </w:rPr>
            </w:pPr>
          </w:p>
        </w:tc>
        <w:tc>
          <w:tcPr>
            <w:tcW w:w="3162" w:type="pct"/>
          </w:tcPr>
          <w:p>
            <w:pPr>
              <w:jc w:val="left"/>
              <w:rPr>
                <w:rFonts w:ascii="宋体" w:hAnsi="宋体"/>
                <w:color w:val="auto"/>
                <w:sz w:val="24"/>
                <w:szCs w:val="24"/>
                <w:highlight w:val="none"/>
              </w:rPr>
            </w:pPr>
            <w:r>
              <w:rPr>
                <w:rFonts w:ascii="宋体" w:hAnsi="宋体" w:cs="宋体"/>
                <w:color w:val="auto"/>
                <w:sz w:val="24"/>
                <w:szCs w:val="24"/>
                <w:highlight w:val="none"/>
              </w:rPr>
              <w:t>VTE</w:t>
            </w:r>
            <w:r>
              <w:rPr>
                <w:rFonts w:hint="eastAsia" w:ascii="宋体" w:hAnsi="宋体" w:cs="宋体"/>
                <w:color w:val="auto"/>
                <w:sz w:val="24"/>
                <w:szCs w:val="24"/>
                <w:highlight w:val="none"/>
              </w:rPr>
              <w:t>知识库：可视化、可拓展的</w:t>
            </w:r>
            <w:r>
              <w:rPr>
                <w:rFonts w:ascii="宋体" w:hAnsi="宋体" w:cs="宋体"/>
                <w:color w:val="auto"/>
                <w:sz w:val="24"/>
                <w:szCs w:val="24"/>
                <w:highlight w:val="none"/>
              </w:rPr>
              <w:t>VTE</w:t>
            </w:r>
            <w:r>
              <w:rPr>
                <w:rFonts w:hint="eastAsia" w:ascii="宋体" w:hAnsi="宋体" w:cs="宋体"/>
                <w:color w:val="auto"/>
                <w:sz w:val="24"/>
                <w:szCs w:val="24"/>
                <w:highlight w:val="none"/>
              </w:rPr>
              <w:t>智库，帮助医疗机构建立标准的</w:t>
            </w:r>
            <w:r>
              <w:rPr>
                <w:rFonts w:ascii="宋体" w:hAnsi="宋体" w:cs="宋体"/>
                <w:color w:val="auto"/>
                <w:sz w:val="24"/>
                <w:szCs w:val="24"/>
                <w:highlight w:val="none"/>
              </w:rPr>
              <w:t>VTE</w:t>
            </w:r>
            <w:r>
              <w:rPr>
                <w:rFonts w:hint="eastAsia" w:ascii="宋体" w:hAnsi="宋体" w:cs="宋体"/>
                <w:color w:val="auto"/>
                <w:sz w:val="24"/>
                <w:szCs w:val="24"/>
                <w:highlight w:val="none"/>
              </w:rPr>
              <w:t>管理模型，应用权威评估表科学、规范的建立</w:t>
            </w:r>
            <w:r>
              <w:rPr>
                <w:rFonts w:ascii="宋体" w:hAnsi="宋体" w:cs="宋体"/>
                <w:color w:val="auto"/>
                <w:sz w:val="24"/>
                <w:szCs w:val="24"/>
                <w:highlight w:val="none"/>
              </w:rPr>
              <w:t>VTE</w:t>
            </w:r>
            <w:r>
              <w:rPr>
                <w:rFonts w:hint="eastAsia" w:ascii="宋体" w:hAnsi="宋体" w:cs="宋体"/>
                <w:color w:val="auto"/>
                <w:sz w:val="24"/>
                <w:szCs w:val="24"/>
                <w:highlight w:val="none"/>
              </w:rPr>
              <w:t>评估体系，为辅助诊疗、临床指南提供有力支持。</w:t>
            </w:r>
          </w:p>
        </w:tc>
        <w:tc>
          <w:tcPr>
            <w:tcW w:w="645" w:type="pct"/>
          </w:tcPr>
          <w:p>
            <w:pPr>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42"/>
              </w:numPr>
              <w:ind w:firstLineChars="0"/>
              <w:jc w:val="center"/>
              <w:rPr>
                <w:rFonts w:ascii="宋体" w:hAnsi="宋体" w:cs="宋体"/>
                <w:color w:val="auto"/>
                <w:kern w:val="0"/>
                <w:sz w:val="24"/>
                <w:szCs w:val="24"/>
                <w:highlight w:val="none"/>
              </w:rPr>
            </w:pPr>
          </w:p>
        </w:tc>
        <w:tc>
          <w:tcPr>
            <w:tcW w:w="918" w:type="pct"/>
            <w:vMerge w:val="continue"/>
            <w:noWrap/>
            <w:vAlign w:val="center"/>
          </w:tcPr>
          <w:p>
            <w:pPr>
              <w:jc w:val="left"/>
              <w:rPr>
                <w:rFonts w:ascii="宋体" w:hAnsi="宋体"/>
                <w:color w:val="auto"/>
                <w:sz w:val="24"/>
                <w:szCs w:val="24"/>
                <w:highlight w:val="none"/>
              </w:rPr>
            </w:pPr>
          </w:p>
        </w:tc>
        <w:tc>
          <w:tcPr>
            <w:tcW w:w="3162" w:type="pct"/>
          </w:tcPr>
          <w:p>
            <w:pPr>
              <w:jc w:val="left"/>
              <w:rPr>
                <w:rFonts w:ascii="宋体" w:hAnsi="宋体"/>
                <w:color w:val="auto"/>
                <w:sz w:val="24"/>
                <w:szCs w:val="24"/>
                <w:highlight w:val="none"/>
              </w:rPr>
            </w:pPr>
            <w:r>
              <w:rPr>
                <w:rFonts w:hint="eastAsia" w:ascii="宋体" w:hAnsi="宋体" w:cs="宋体"/>
                <w:color w:val="auto"/>
                <w:sz w:val="24"/>
                <w:szCs w:val="24"/>
                <w:highlight w:val="none"/>
              </w:rPr>
              <w:t>系统管理：实现系统的菜单管理、机构管理、科室管理、人员管理、角色管理、日志管理。</w:t>
            </w:r>
          </w:p>
        </w:tc>
        <w:tc>
          <w:tcPr>
            <w:tcW w:w="645" w:type="pct"/>
          </w:tcPr>
          <w:p>
            <w:pPr>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42"/>
              </w:numPr>
              <w:ind w:firstLineChars="0"/>
              <w:jc w:val="center"/>
              <w:rPr>
                <w:rFonts w:ascii="宋体" w:hAnsi="宋体" w:cs="宋体"/>
                <w:color w:val="auto"/>
                <w:kern w:val="0"/>
                <w:sz w:val="24"/>
                <w:szCs w:val="24"/>
                <w:highlight w:val="none"/>
              </w:rPr>
            </w:pPr>
          </w:p>
        </w:tc>
        <w:tc>
          <w:tcPr>
            <w:tcW w:w="918" w:type="pct"/>
            <w:vMerge w:val="continue"/>
            <w:noWrap/>
            <w:vAlign w:val="center"/>
          </w:tcPr>
          <w:p>
            <w:pPr>
              <w:jc w:val="left"/>
              <w:rPr>
                <w:rFonts w:ascii="宋体" w:hAnsi="宋体"/>
                <w:color w:val="auto"/>
                <w:sz w:val="24"/>
                <w:szCs w:val="24"/>
                <w:highlight w:val="none"/>
              </w:rPr>
            </w:pPr>
          </w:p>
        </w:tc>
        <w:tc>
          <w:tcPr>
            <w:tcW w:w="3162" w:type="pct"/>
          </w:tcPr>
          <w:p>
            <w:pPr>
              <w:jc w:val="left"/>
              <w:rPr>
                <w:rFonts w:ascii="宋体" w:hAnsi="宋体"/>
                <w:color w:val="auto"/>
                <w:sz w:val="24"/>
                <w:szCs w:val="24"/>
                <w:highlight w:val="none"/>
              </w:rPr>
            </w:pPr>
            <w:r>
              <w:rPr>
                <w:rFonts w:hint="eastAsia" w:ascii="宋体" w:hAnsi="宋体" w:cs="宋体"/>
                <w:color w:val="auto"/>
                <w:sz w:val="24"/>
                <w:szCs w:val="24"/>
                <w:highlight w:val="none"/>
              </w:rPr>
              <w:t>超时上报：支持对超时未上报的进行预警管理，对超时未确认的评估表进行预警管理。</w:t>
            </w:r>
          </w:p>
        </w:tc>
        <w:tc>
          <w:tcPr>
            <w:tcW w:w="645" w:type="pct"/>
          </w:tcPr>
          <w:p>
            <w:pPr>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42"/>
              </w:numPr>
              <w:ind w:firstLineChars="0"/>
              <w:jc w:val="center"/>
              <w:rPr>
                <w:rFonts w:ascii="宋体" w:hAnsi="宋体" w:cs="宋体"/>
                <w:color w:val="auto"/>
                <w:kern w:val="0"/>
                <w:sz w:val="24"/>
                <w:szCs w:val="24"/>
                <w:highlight w:val="none"/>
              </w:rPr>
            </w:pPr>
          </w:p>
        </w:tc>
        <w:tc>
          <w:tcPr>
            <w:tcW w:w="918" w:type="pct"/>
            <w:vMerge w:val="continue"/>
            <w:noWrap/>
            <w:vAlign w:val="center"/>
          </w:tcPr>
          <w:p>
            <w:pPr>
              <w:jc w:val="left"/>
              <w:rPr>
                <w:rFonts w:ascii="宋体" w:hAnsi="宋体"/>
                <w:color w:val="auto"/>
                <w:sz w:val="24"/>
                <w:szCs w:val="24"/>
                <w:highlight w:val="none"/>
              </w:rPr>
            </w:pPr>
          </w:p>
        </w:tc>
        <w:tc>
          <w:tcPr>
            <w:tcW w:w="3162" w:type="pct"/>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统计分析：支持对预防评估类指标统计管理，</w:t>
            </w:r>
            <w:r>
              <w:rPr>
                <w:rFonts w:ascii="宋体" w:hAnsi="宋体" w:cs="宋体"/>
                <w:color w:val="auto"/>
                <w:sz w:val="24"/>
                <w:szCs w:val="24"/>
                <w:highlight w:val="none"/>
              </w:rPr>
              <w:t>VTE</w:t>
            </w:r>
            <w:r>
              <w:rPr>
                <w:rFonts w:hint="eastAsia" w:ascii="宋体" w:hAnsi="宋体" w:cs="宋体"/>
                <w:color w:val="auto"/>
                <w:sz w:val="24"/>
                <w:szCs w:val="24"/>
                <w:highlight w:val="none"/>
              </w:rPr>
              <w:t>风险评估率、出血风险评估比率，按院、科两级视角报表透视分析</w:t>
            </w:r>
            <w:r>
              <w:rPr>
                <w:rFonts w:ascii="宋体" w:hAnsi="宋体" w:cs="宋体"/>
                <w:color w:val="auto"/>
                <w:sz w:val="24"/>
                <w:szCs w:val="24"/>
                <w:highlight w:val="none"/>
              </w:rPr>
              <w:t>;</w:t>
            </w:r>
            <w:r>
              <w:rPr>
                <w:rFonts w:hint="eastAsia" w:ascii="宋体" w:hAnsi="宋体" w:cs="宋体"/>
                <w:color w:val="auto"/>
                <w:sz w:val="24"/>
                <w:szCs w:val="24"/>
                <w:highlight w:val="none"/>
              </w:rPr>
              <w:t>采取</w:t>
            </w:r>
            <w:r>
              <w:rPr>
                <w:rFonts w:ascii="宋体" w:hAnsi="宋体" w:cs="宋体"/>
                <w:color w:val="auto"/>
                <w:sz w:val="24"/>
                <w:szCs w:val="24"/>
                <w:highlight w:val="none"/>
              </w:rPr>
              <w:t>VTE</w:t>
            </w:r>
            <w:r>
              <w:rPr>
                <w:rFonts w:hint="eastAsia" w:ascii="宋体" w:hAnsi="宋体" w:cs="宋体"/>
                <w:color w:val="auto"/>
                <w:sz w:val="24"/>
                <w:szCs w:val="24"/>
                <w:highlight w:val="none"/>
              </w:rPr>
              <w:t>预防措施比率，按院、科两级视角报表透视分析；医院相关性</w:t>
            </w:r>
            <w:r>
              <w:rPr>
                <w:rFonts w:ascii="宋体" w:hAnsi="宋体" w:cs="宋体"/>
                <w:color w:val="auto"/>
                <w:sz w:val="24"/>
                <w:szCs w:val="24"/>
                <w:highlight w:val="none"/>
              </w:rPr>
              <w:t>VTE</w:t>
            </w:r>
            <w:r>
              <w:rPr>
                <w:rFonts w:hint="eastAsia" w:ascii="宋体" w:hAnsi="宋体" w:cs="宋体"/>
                <w:color w:val="auto"/>
                <w:sz w:val="24"/>
                <w:szCs w:val="24"/>
                <w:highlight w:val="none"/>
              </w:rPr>
              <w:t>发生比率；</w:t>
            </w:r>
            <w:r>
              <w:rPr>
                <w:rFonts w:ascii="宋体" w:hAnsi="宋体" w:cs="宋体"/>
                <w:color w:val="auto"/>
                <w:sz w:val="24"/>
                <w:szCs w:val="24"/>
                <w:highlight w:val="none"/>
              </w:rPr>
              <w:t>VTE</w:t>
            </w:r>
            <w:r>
              <w:rPr>
                <w:rFonts w:hint="eastAsia" w:ascii="宋体" w:hAnsi="宋体" w:cs="宋体"/>
                <w:color w:val="auto"/>
                <w:sz w:val="24"/>
                <w:szCs w:val="24"/>
                <w:highlight w:val="none"/>
              </w:rPr>
              <w:t>相关病死率；支持按时间统计所选科室范围内各个指标的相关数据和环比、同比情况；支持对各个科室的各个指标进行结转和统计，查看环比、同比情况。</w:t>
            </w:r>
          </w:p>
        </w:tc>
        <w:tc>
          <w:tcPr>
            <w:tcW w:w="645" w:type="pct"/>
          </w:tcPr>
          <w:p>
            <w:pPr>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42"/>
              </w:numPr>
              <w:ind w:firstLineChars="0"/>
              <w:jc w:val="center"/>
              <w:rPr>
                <w:rFonts w:ascii="宋体" w:hAnsi="宋体" w:cs="宋体"/>
                <w:color w:val="auto"/>
                <w:kern w:val="0"/>
                <w:sz w:val="24"/>
                <w:szCs w:val="24"/>
                <w:highlight w:val="none"/>
              </w:rPr>
            </w:pPr>
          </w:p>
        </w:tc>
        <w:tc>
          <w:tcPr>
            <w:tcW w:w="918" w:type="pct"/>
            <w:vMerge w:val="restart"/>
            <w:noWrap/>
            <w:vAlign w:val="center"/>
          </w:tcPr>
          <w:p>
            <w:pPr>
              <w:jc w:val="left"/>
              <w:rPr>
                <w:rFonts w:ascii="宋体" w:hAnsi="宋体"/>
                <w:color w:val="auto"/>
                <w:sz w:val="24"/>
                <w:szCs w:val="24"/>
                <w:highlight w:val="none"/>
              </w:rPr>
            </w:pPr>
            <w:r>
              <w:rPr>
                <w:rFonts w:ascii="宋体" w:hAnsi="宋体" w:cs="宋体"/>
                <w:color w:val="auto"/>
                <w:sz w:val="24"/>
                <w:szCs w:val="24"/>
                <w:highlight w:val="none"/>
              </w:rPr>
              <w:t>HIS</w:t>
            </w:r>
            <w:r>
              <w:rPr>
                <w:rFonts w:hint="eastAsia" w:ascii="宋体" w:hAnsi="宋体" w:cs="宋体"/>
                <w:color w:val="auto"/>
                <w:sz w:val="24"/>
                <w:szCs w:val="24"/>
                <w:highlight w:val="none"/>
              </w:rPr>
              <w:t>端</w:t>
            </w:r>
          </w:p>
        </w:tc>
        <w:tc>
          <w:tcPr>
            <w:tcW w:w="3162" w:type="pct"/>
          </w:tcPr>
          <w:p>
            <w:pPr>
              <w:jc w:val="left"/>
              <w:rPr>
                <w:rFonts w:ascii="宋体" w:hAnsi="宋体"/>
                <w:color w:val="auto"/>
                <w:sz w:val="24"/>
                <w:szCs w:val="24"/>
                <w:highlight w:val="none"/>
              </w:rPr>
            </w:pPr>
            <w:r>
              <w:rPr>
                <w:rFonts w:ascii="宋体" w:hAnsi="宋体" w:cs="宋体"/>
                <w:color w:val="auto"/>
                <w:sz w:val="24"/>
                <w:szCs w:val="24"/>
                <w:highlight w:val="none"/>
              </w:rPr>
              <w:t>HIS</w:t>
            </w:r>
            <w:r>
              <w:rPr>
                <w:rFonts w:hint="eastAsia" w:ascii="宋体" w:hAnsi="宋体" w:cs="宋体"/>
                <w:color w:val="auto"/>
                <w:sz w:val="24"/>
                <w:szCs w:val="24"/>
                <w:highlight w:val="none"/>
              </w:rPr>
              <w:t>端应用：将</w:t>
            </w:r>
            <w:r>
              <w:rPr>
                <w:rFonts w:ascii="宋体" w:hAnsi="宋体" w:cs="宋体"/>
                <w:color w:val="auto"/>
                <w:sz w:val="24"/>
                <w:szCs w:val="24"/>
                <w:highlight w:val="none"/>
              </w:rPr>
              <w:t>VTE</w:t>
            </w:r>
            <w:r>
              <w:rPr>
                <w:rFonts w:hint="eastAsia" w:ascii="宋体" w:hAnsi="宋体" w:cs="宋体"/>
                <w:color w:val="auto"/>
                <w:sz w:val="24"/>
                <w:szCs w:val="24"/>
                <w:highlight w:val="none"/>
              </w:rPr>
              <w:t>评估相关功能应用到临床中，支持在住院病人列表中直接调用进行</w:t>
            </w:r>
            <w:r>
              <w:rPr>
                <w:rFonts w:ascii="宋体" w:hAnsi="宋体" w:cs="宋体"/>
                <w:color w:val="auto"/>
                <w:sz w:val="24"/>
                <w:szCs w:val="24"/>
                <w:highlight w:val="none"/>
              </w:rPr>
              <w:t>VTE</w:t>
            </w:r>
            <w:r>
              <w:rPr>
                <w:rFonts w:hint="eastAsia" w:ascii="宋体" w:hAnsi="宋体" w:cs="宋体"/>
                <w:color w:val="auto"/>
                <w:sz w:val="24"/>
                <w:szCs w:val="24"/>
                <w:highlight w:val="none"/>
              </w:rPr>
              <w:t>评估；支持自动获取评估节点和患者信息；支持住院病人列表</w:t>
            </w:r>
            <w:r>
              <w:rPr>
                <w:rFonts w:ascii="宋体" w:hAnsi="宋体" w:cs="宋体"/>
                <w:color w:val="auto"/>
                <w:sz w:val="24"/>
                <w:szCs w:val="24"/>
                <w:highlight w:val="none"/>
              </w:rPr>
              <w:t>VTE</w:t>
            </w:r>
            <w:r>
              <w:rPr>
                <w:rFonts w:hint="eastAsia" w:ascii="宋体" w:hAnsi="宋体" w:cs="宋体"/>
                <w:color w:val="auto"/>
                <w:sz w:val="24"/>
                <w:szCs w:val="24"/>
                <w:highlight w:val="none"/>
              </w:rPr>
              <w:t>结果标记；支持“在院患者管理内页”嵌入；支持自动识别评估节点及对应</w:t>
            </w:r>
            <w:r>
              <w:rPr>
                <w:rFonts w:ascii="宋体" w:hAnsi="宋体" w:cs="宋体"/>
                <w:color w:val="auto"/>
                <w:sz w:val="24"/>
                <w:szCs w:val="24"/>
                <w:highlight w:val="none"/>
              </w:rPr>
              <w:t>VTE</w:t>
            </w:r>
            <w:r>
              <w:rPr>
                <w:rFonts w:hint="eastAsia" w:ascii="宋体" w:hAnsi="宋体" w:cs="宋体"/>
                <w:color w:val="auto"/>
                <w:sz w:val="24"/>
                <w:szCs w:val="24"/>
                <w:highlight w:val="none"/>
              </w:rPr>
              <w:t>评估表单并智能生成智能评估参考结果</w:t>
            </w:r>
          </w:p>
        </w:tc>
        <w:tc>
          <w:tcPr>
            <w:tcW w:w="645" w:type="pct"/>
          </w:tcPr>
          <w:p>
            <w:pPr>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42"/>
              </w:numPr>
              <w:ind w:firstLineChars="0"/>
              <w:jc w:val="center"/>
              <w:rPr>
                <w:rFonts w:ascii="宋体" w:hAnsi="宋体" w:cs="宋体"/>
                <w:color w:val="auto"/>
                <w:kern w:val="0"/>
                <w:sz w:val="24"/>
                <w:szCs w:val="24"/>
                <w:highlight w:val="none"/>
              </w:rPr>
            </w:pPr>
          </w:p>
        </w:tc>
        <w:tc>
          <w:tcPr>
            <w:tcW w:w="918" w:type="pct"/>
            <w:vMerge w:val="continue"/>
            <w:noWrap/>
            <w:vAlign w:val="center"/>
          </w:tcPr>
          <w:p>
            <w:pPr>
              <w:jc w:val="left"/>
              <w:rPr>
                <w:rFonts w:ascii="宋体" w:hAnsi="宋体" w:cs="宋体"/>
                <w:color w:val="auto"/>
                <w:sz w:val="24"/>
                <w:szCs w:val="24"/>
                <w:highlight w:val="none"/>
              </w:rPr>
            </w:pPr>
          </w:p>
        </w:tc>
        <w:tc>
          <w:tcPr>
            <w:tcW w:w="3162" w:type="pct"/>
          </w:tcPr>
          <w:p>
            <w:pPr>
              <w:jc w:val="left"/>
              <w:rPr>
                <w:rFonts w:ascii="宋体" w:hAnsi="宋体"/>
                <w:color w:val="auto"/>
                <w:sz w:val="24"/>
                <w:szCs w:val="24"/>
                <w:highlight w:val="none"/>
              </w:rPr>
            </w:pPr>
            <w:r>
              <w:rPr>
                <w:rFonts w:hint="eastAsia" w:ascii="宋体" w:hAnsi="宋体" w:cs="宋体"/>
                <w:color w:val="auto"/>
                <w:sz w:val="24"/>
                <w:szCs w:val="24"/>
                <w:highlight w:val="none"/>
              </w:rPr>
              <w:t>电子病历应用：将</w:t>
            </w:r>
            <w:r>
              <w:rPr>
                <w:rFonts w:ascii="宋体" w:hAnsi="宋体" w:cs="宋体"/>
                <w:color w:val="auto"/>
                <w:sz w:val="24"/>
                <w:szCs w:val="24"/>
                <w:highlight w:val="none"/>
              </w:rPr>
              <w:t>VTE</w:t>
            </w:r>
            <w:r>
              <w:rPr>
                <w:rFonts w:hint="eastAsia" w:ascii="宋体" w:hAnsi="宋体" w:cs="宋体"/>
                <w:color w:val="auto"/>
                <w:sz w:val="24"/>
                <w:szCs w:val="24"/>
                <w:highlight w:val="none"/>
              </w:rPr>
              <w:t>评估相关功能应用到电子病历中，支持在病历首程中直接获取</w:t>
            </w:r>
            <w:r>
              <w:rPr>
                <w:rFonts w:ascii="宋体" w:hAnsi="宋体" w:cs="宋体"/>
                <w:color w:val="auto"/>
                <w:sz w:val="24"/>
                <w:szCs w:val="24"/>
                <w:highlight w:val="none"/>
              </w:rPr>
              <w:t>VTE</w:t>
            </w:r>
            <w:r>
              <w:rPr>
                <w:rFonts w:hint="eastAsia" w:ascii="宋体" w:hAnsi="宋体" w:cs="宋体"/>
                <w:color w:val="auto"/>
                <w:sz w:val="24"/>
                <w:szCs w:val="24"/>
                <w:highlight w:val="none"/>
              </w:rPr>
              <w:t>相关信息；支持在病历结构中嵌入查看</w:t>
            </w:r>
            <w:r>
              <w:rPr>
                <w:rFonts w:ascii="宋体" w:hAnsi="宋体" w:cs="宋体"/>
                <w:color w:val="auto"/>
                <w:sz w:val="24"/>
                <w:szCs w:val="24"/>
                <w:highlight w:val="none"/>
              </w:rPr>
              <w:t>VTE</w:t>
            </w:r>
            <w:r>
              <w:rPr>
                <w:rFonts w:hint="eastAsia" w:ascii="宋体" w:hAnsi="宋体" w:cs="宋体"/>
                <w:color w:val="auto"/>
                <w:sz w:val="24"/>
                <w:szCs w:val="24"/>
                <w:highlight w:val="none"/>
              </w:rPr>
              <w:t>评估表。</w:t>
            </w:r>
          </w:p>
        </w:tc>
        <w:tc>
          <w:tcPr>
            <w:tcW w:w="645" w:type="pct"/>
          </w:tcPr>
          <w:p>
            <w:pPr>
              <w:jc w:val="left"/>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5" w:type="pct"/>
            <w:noWrap/>
            <w:vAlign w:val="center"/>
          </w:tcPr>
          <w:p>
            <w:pPr>
              <w:pStyle w:val="225"/>
              <w:numPr>
                <w:ilvl w:val="0"/>
                <w:numId w:val="42"/>
              </w:numPr>
              <w:ind w:firstLineChars="0"/>
              <w:jc w:val="center"/>
              <w:rPr>
                <w:rFonts w:ascii="宋体" w:hAnsi="宋体" w:cs="宋体"/>
                <w:color w:val="auto"/>
                <w:kern w:val="0"/>
                <w:sz w:val="24"/>
                <w:szCs w:val="24"/>
                <w:highlight w:val="none"/>
              </w:rPr>
            </w:pPr>
          </w:p>
        </w:tc>
        <w:tc>
          <w:tcPr>
            <w:tcW w:w="918" w:type="pct"/>
            <w:vMerge w:val="continue"/>
            <w:noWrap/>
            <w:vAlign w:val="center"/>
          </w:tcPr>
          <w:p>
            <w:pPr>
              <w:jc w:val="left"/>
              <w:rPr>
                <w:rFonts w:ascii="宋体" w:hAnsi="宋体" w:cs="宋体"/>
                <w:color w:val="auto"/>
                <w:sz w:val="24"/>
                <w:szCs w:val="24"/>
                <w:highlight w:val="none"/>
              </w:rPr>
            </w:pPr>
          </w:p>
        </w:tc>
        <w:tc>
          <w:tcPr>
            <w:tcW w:w="3162" w:type="pct"/>
          </w:tcPr>
          <w:p>
            <w:pPr>
              <w:jc w:val="left"/>
              <w:rPr>
                <w:rFonts w:ascii="宋体" w:hAnsi="宋体"/>
                <w:color w:val="auto"/>
                <w:sz w:val="24"/>
                <w:szCs w:val="24"/>
                <w:highlight w:val="none"/>
              </w:rPr>
            </w:pPr>
            <w:r>
              <w:rPr>
                <w:rFonts w:hint="eastAsia" w:ascii="宋体" w:hAnsi="宋体" w:cs="宋体"/>
                <w:color w:val="auto"/>
                <w:sz w:val="24"/>
                <w:szCs w:val="24"/>
                <w:highlight w:val="none"/>
              </w:rPr>
              <w:t>接口：实现</w:t>
            </w:r>
            <w:r>
              <w:rPr>
                <w:rFonts w:ascii="宋体" w:hAnsi="宋体" w:cs="宋体"/>
                <w:color w:val="auto"/>
                <w:sz w:val="24"/>
                <w:szCs w:val="24"/>
                <w:highlight w:val="none"/>
              </w:rPr>
              <w:t>VTE</w:t>
            </w:r>
            <w:r>
              <w:rPr>
                <w:rFonts w:hint="eastAsia" w:ascii="宋体" w:hAnsi="宋体" w:cs="宋体"/>
                <w:color w:val="auto"/>
                <w:sz w:val="24"/>
                <w:szCs w:val="24"/>
                <w:highlight w:val="none"/>
              </w:rPr>
              <w:t>与</w:t>
            </w:r>
            <w:r>
              <w:rPr>
                <w:rFonts w:ascii="宋体" w:hAnsi="宋体" w:cs="宋体"/>
                <w:color w:val="auto"/>
                <w:sz w:val="24"/>
                <w:szCs w:val="24"/>
                <w:highlight w:val="none"/>
              </w:rPr>
              <w:t>HIS</w:t>
            </w:r>
            <w:r>
              <w:rPr>
                <w:rFonts w:hint="eastAsia" w:ascii="宋体" w:hAnsi="宋体" w:cs="宋体"/>
                <w:color w:val="auto"/>
                <w:sz w:val="24"/>
                <w:szCs w:val="24"/>
                <w:highlight w:val="none"/>
              </w:rPr>
              <w:t>、电子病历之间的接口，包含住院改造</w:t>
            </w:r>
            <w:r>
              <w:rPr>
                <w:rFonts w:ascii="宋体" w:hAnsi="宋体" w:cs="宋体"/>
                <w:color w:val="auto"/>
                <w:sz w:val="24"/>
                <w:szCs w:val="24"/>
                <w:highlight w:val="none"/>
              </w:rPr>
              <w:t>-VTE</w:t>
            </w:r>
            <w:r>
              <w:rPr>
                <w:rFonts w:hint="eastAsia" w:ascii="宋体" w:hAnsi="宋体" w:cs="宋体"/>
                <w:color w:val="auto"/>
                <w:sz w:val="24"/>
                <w:szCs w:val="24"/>
                <w:highlight w:val="none"/>
              </w:rPr>
              <w:t>评估结果推送接口、住院改造</w:t>
            </w:r>
            <w:r>
              <w:rPr>
                <w:rFonts w:ascii="宋体" w:hAnsi="宋体" w:cs="宋体"/>
                <w:color w:val="auto"/>
                <w:sz w:val="24"/>
                <w:szCs w:val="24"/>
                <w:highlight w:val="none"/>
              </w:rPr>
              <w:t>-</w:t>
            </w:r>
            <w:r>
              <w:rPr>
                <w:rFonts w:hint="eastAsia" w:ascii="宋体" w:hAnsi="宋体" w:cs="宋体"/>
                <w:color w:val="auto"/>
                <w:sz w:val="24"/>
                <w:szCs w:val="24"/>
                <w:highlight w:val="none"/>
              </w:rPr>
              <w:t>预防策略推送（医嘱和药品）接口、</w:t>
            </w:r>
            <w:r>
              <w:rPr>
                <w:rFonts w:ascii="宋体" w:hAnsi="宋体" w:cs="宋体"/>
                <w:color w:val="auto"/>
                <w:sz w:val="24"/>
                <w:szCs w:val="24"/>
                <w:highlight w:val="none"/>
              </w:rPr>
              <w:t>VTE</w:t>
            </w:r>
            <w:r>
              <w:rPr>
                <w:rFonts w:hint="eastAsia" w:ascii="宋体" w:hAnsi="宋体" w:cs="宋体"/>
                <w:color w:val="auto"/>
                <w:sz w:val="24"/>
                <w:szCs w:val="24"/>
                <w:highlight w:val="none"/>
              </w:rPr>
              <w:t>端</w:t>
            </w:r>
            <w:r>
              <w:rPr>
                <w:rFonts w:ascii="宋体" w:hAnsi="宋体" w:cs="宋体"/>
                <w:color w:val="auto"/>
                <w:sz w:val="24"/>
                <w:szCs w:val="24"/>
                <w:highlight w:val="none"/>
              </w:rPr>
              <w:t>-</w:t>
            </w:r>
            <w:r>
              <w:rPr>
                <w:rFonts w:hint="eastAsia" w:ascii="宋体" w:hAnsi="宋体" w:cs="宋体"/>
                <w:color w:val="auto"/>
                <w:sz w:val="24"/>
                <w:szCs w:val="24"/>
                <w:highlight w:val="none"/>
              </w:rPr>
              <w:t>调用</w:t>
            </w:r>
            <w:r>
              <w:rPr>
                <w:rFonts w:ascii="宋体" w:hAnsi="宋体" w:cs="宋体"/>
                <w:color w:val="auto"/>
                <w:sz w:val="24"/>
                <w:szCs w:val="24"/>
                <w:highlight w:val="none"/>
              </w:rPr>
              <w:t>VTE</w:t>
            </w:r>
            <w:r>
              <w:rPr>
                <w:rFonts w:hint="eastAsia" w:ascii="宋体" w:hAnsi="宋体" w:cs="宋体"/>
                <w:color w:val="auto"/>
                <w:sz w:val="24"/>
                <w:szCs w:val="24"/>
                <w:highlight w:val="none"/>
              </w:rPr>
              <w:t>评估结果推送接口、</w:t>
            </w:r>
            <w:r>
              <w:rPr>
                <w:rFonts w:ascii="宋体" w:hAnsi="宋体" w:cs="宋体"/>
                <w:color w:val="auto"/>
                <w:sz w:val="24"/>
                <w:szCs w:val="24"/>
                <w:highlight w:val="none"/>
              </w:rPr>
              <w:t>VTE</w:t>
            </w:r>
            <w:r>
              <w:rPr>
                <w:rFonts w:hint="eastAsia" w:ascii="宋体" w:hAnsi="宋体" w:cs="宋体"/>
                <w:color w:val="auto"/>
                <w:sz w:val="24"/>
                <w:szCs w:val="24"/>
                <w:highlight w:val="none"/>
              </w:rPr>
              <w:t>端</w:t>
            </w:r>
            <w:r>
              <w:rPr>
                <w:rFonts w:ascii="宋体" w:hAnsi="宋体" w:cs="宋体"/>
                <w:color w:val="auto"/>
                <w:sz w:val="24"/>
                <w:szCs w:val="24"/>
                <w:highlight w:val="none"/>
              </w:rPr>
              <w:t>-</w:t>
            </w:r>
            <w:r>
              <w:rPr>
                <w:rFonts w:hint="eastAsia" w:ascii="宋体" w:hAnsi="宋体" w:cs="宋体"/>
                <w:color w:val="auto"/>
                <w:sz w:val="24"/>
                <w:szCs w:val="24"/>
                <w:highlight w:val="none"/>
              </w:rPr>
              <w:t>调用预防策略推送（医嘱和药品）接口、</w:t>
            </w:r>
            <w:r>
              <w:rPr>
                <w:rFonts w:ascii="宋体" w:hAnsi="宋体" w:cs="宋体"/>
                <w:color w:val="auto"/>
                <w:sz w:val="24"/>
                <w:szCs w:val="24"/>
                <w:highlight w:val="none"/>
              </w:rPr>
              <w:t>VTE</w:t>
            </w:r>
            <w:r>
              <w:rPr>
                <w:rFonts w:hint="eastAsia" w:ascii="宋体" w:hAnsi="宋体" w:cs="宋体"/>
                <w:color w:val="auto"/>
                <w:sz w:val="24"/>
                <w:szCs w:val="24"/>
                <w:highlight w:val="none"/>
              </w:rPr>
              <w:t>端</w:t>
            </w:r>
            <w:r>
              <w:rPr>
                <w:rFonts w:ascii="宋体" w:hAnsi="宋体" w:cs="宋体"/>
                <w:color w:val="auto"/>
                <w:sz w:val="24"/>
                <w:szCs w:val="24"/>
                <w:highlight w:val="none"/>
              </w:rPr>
              <w:t>-HIS</w:t>
            </w:r>
            <w:r>
              <w:rPr>
                <w:rFonts w:hint="eastAsia" w:ascii="宋体" w:hAnsi="宋体" w:cs="宋体"/>
                <w:color w:val="auto"/>
                <w:sz w:val="24"/>
                <w:szCs w:val="24"/>
                <w:highlight w:val="none"/>
              </w:rPr>
              <w:t>病人信息数据回写接口、</w:t>
            </w:r>
            <w:r>
              <w:rPr>
                <w:rFonts w:ascii="宋体" w:hAnsi="宋体" w:cs="宋体"/>
                <w:color w:val="auto"/>
                <w:sz w:val="24"/>
                <w:szCs w:val="24"/>
                <w:highlight w:val="none"/>
              </w:rPr>
              <w:t>VTE</w:t>
            </w:r>
            <w:r>
              <w:rPr>
                <w:rFonts w:hint="eastAsia" w:ascii="宋体" w:hAnsi="宋体" w:cs="宋体"/>
                <w:color w:val="auto"/>
                <w:sz w:val="24"/>
                <w:szCs w:val="24"/>
                <w:highlight w:val="none"/>
              </w:rPr>
              <w:t>端</w:t>
            </w:r>
            <w:r>
              <w:rPr>
                <w:rFonts w:ascii="宋体" w:hAnsi="宋体" w:cs="宋体"/>
                <w:color w:val="auto"/>
                <w:sz w:val="24"/>
                <w:szCs w:val="24"/>
                <w:highlight w:val="none"/>
              </w:rPr>
              <w:t>-</w:t>
            </w:r>
            <w:r>
              <w:rPr>
                <w:rFonts w:hint="eastAsia" w:ascii="宋体" w:hAnsi="宋体" w:cs="宋体"/>
                <w:color w:val="auto"/>
                <w:sz w:val="24"/>
                <w:szCs w:val="24"/>
                <w:highlight w:val="none"/>
              </w:rPr>
              <w:t>电子病历评估结果推送接口、</w:t>
            </w:r>
            <w:r>
              <w:rPr>
                <w:rFonts w:ascii="宋体" w:hAnsi="宋体" w:cs="宋体"/>
                <w:color w:val="auto"/>
                <w:sz w:val="24"/>
                <w:szCs w:val="24"/>
                <w:highlight w:val="none"/>
              </w:rPr>
              <w:t>VTE</w:t>
            </w:r>
            <w:r>
              <w:rPr>
                <w:rFonts w:hint="eastAsia" w:ascii="宋体" w:hAnsi="宋体" w:cs="宋体"/>
                <w:color w:val="auto"/>
                <w:sz w:val="24"/>
                <w:szCs w:val="24"/>
                <w:highlight w:val="none"/>
              </w:rPr>
              <w:t>端</w:t>
            </w:r>
            <w:r>
              <w:rPr>
                <w:rFonts w:ascii="宋体" w:hAnsi="宋体" w:cs="宋体"/>
                <w:color w:val="auto"/>
                <w:sz w:val="24"/>
                <w:szCs w:val="24"/>
                <w:highlight w:val="none"/>
              </w:rPr>
              <w:t>-</w:t>
            </w:r>
            <w:r>
              <w:rPr>
                <w:rFonts w:hint="eastAsia" w:ascii="宋体" w:hAnsi="宋体" w:cs="宋体"/>
                <w:color w:val="auto"/>
                <w:sz w:val="24"/>
                <w:szCs w:val="24"/>
                <w:highlight w:val="none"/>
              </w:rPr>
              <w:t>电子病历预防策略和注意事项接口。</w:t>
            </w:r>
          </w:p>
        </w:tc>
        <w:tc>
          <w:tcPr>
            <w:tcW w:w="645" w:type="pct"/>
          </w:tcPr>
          <w:p>
            <w:pPr>
              <w:jc w:val="left"/>
              <w:rPr>
                <w:rFonts w:ascii="宋体" w:hAnsi="宋体" w:cs="宋体"/>
                <w:color w:val="auto"/>
                <w:kern w:val="0"/>
                <w:sz w:val="24"/>
                <w:szCs w:val="24"/>
                <w:highlight w:val="none"/>
              </w:rPr>
            </w:pP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5.4药事质控管理</w:t>
      </w:r>
      <w:bookmarkEnd w:id="57"/>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58" w:name="_Toc3485"/>
      <w:r>
        <w:rPr>
          <w:rFonts w:hint="eastAsia" w:ascii="宋体" w:hAnsi="宋体" w:cs="Times New Roman"/>
          <w:b/>
          <w:bCs/>
          <w:color w:val="auto"/>
          <w:kern w:val="0"/>
          <w:szCs w:val="21"/>
          <w:highlight w:val="none"/>
        </w:rPr>
        <w:t>5.4.1抗菌药物管理系统</w:t>
      </w:r>
      <w:bookmarkEnd w:id="58"/>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抗菌药物管理系统通过对抗菌药物进行分类，实现不同级别的抗菌药物的流程配置化管理。系统支持各职称医生对不同就诊类型的患者所能开具的抗菌药物权限进行管理，支持各级别抗菌药物申请流程的定制，以及支持抗菌药物联合用药的管理。</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抗菌药字典维护</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提供了管理医院使用的所有的抗菌药品的功能。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抗菌药物分级管理维护</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根据相关政策与管理办法要求将抗菌药物分三级管理,包括非限制使用级限制使用级和特殊使用级。</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临床分级开立权限控制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根据抗菌药物分级管理规定对临床医生的开立权限进行控制。</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抗菌药物使用干预、警示</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对抗菌药物的使用包括预防性抗菌药物使用和治疗性抗菌药物使用。</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预防性抗菌药物使用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可以区分非手术患者,围术期患者和侵入性诊疗操作患者,分别进行用药干预和警示。</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治疗性抗菌药物使用</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可以根据诊断或细菌培养结果,自动建议可以使用的抗生素药品种类。</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用药效果评估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支持医生根据患者基本信息、临床诊断、手术名称、手术时间、术前用药、术后用药时间切口愈合情况、药品名称、用法用量、用药天数等信息对抗菌药物用药效果进行分类评估。</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指标统计分析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提供卫统所需的抗菌药物处方、抗菌药物用药、手术预防用药和抗菌药物合理用药指标部分统计。</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59" w:name="_Toc13899"/>
      <w:r>
        <w:rPr>
          <w:rFonts w:hint="eastAsia" w:ascii="宋体" w:hAnsi="宋体" w:cs="Times New Roman"/>
          <w:b/>
          <w:bCs/>
          <w:color w:val="auto"/>
          <w:kern w:val="0"/>
          <w:szCs w:val="21"/>
          <w:highlight w:val="none"/>
        </w:rPr>
        <w:t>5.4.2</w:t>
      </w:r>
      <w:bookmarkEnd w:id="59"/>
      <w:r>
        <w:rPr>
          <w:rFonts w:hint="eastAsia" w:ascii="宋体" w:hAnsi="宋体" w:cs="Times New Roman"/>
          <w:b/>
          <w:bCs/>
          <w:color w:val="auto"/>
          <w:kern w:val="0"/>
          <w:szCs w:val="21"/>
          <w:highlight w:val="none"/>
        </w:rPr>
        <w:t>临床事中审方管理</w:t>
      </w:r>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keepNext/>
              <w:keepLines/>
              <w:widowControl w:val="0"/>
              <w:numPr>
                <w:ilvl w:val="2"/>
                <w:numId w:val="0"/>
              </w:numPr>
              <w:snapToGrid w:val="0"/>
              <w:spacing w:line="360" w:lineRule="auto"/>
              <w:outlineLvl w:val="2"/>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智能前置审核包括门诊电子处方、住院电子医嘱单的自动审核。实现临床用药合法、规范、适宜的管控，实现门诊处方和住院医嘱的事前控制，对不合理用药处方（医嘱）进行及时拦截，在门诊收费前或住院发药前进行管控。</w:t>
            </w:r>
          </w:p>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本系统覆盖医联体内所有医院，支持针对不同等级医院设置审核规则，对接各医院H</w:t>
            </w:r>
            <w:r>
              <w:rPr>
                <w:rFonts w:ascii="宋体" w:hAnsi="宋体" w:cs="Times New Roman"/>
                <w:color w:val="auto"/>
                <w:sz w:val="24"/>
                <w:szCs w:val="21"/>
                <w:highlight w:val="none"/>
              </w:rPr>
              <w:t>IS</w:t>
            </w:r>
            <w:r>
              <w:rPr>
                <w:rFonts w:hint="eastAsia" w:ascii="宋体" w:hAnsi="宋体" w:cs="Times New Roman"/>
                <w:color w:val="auto"/>
                <w:sz w:val="24"/>
                <w:szCs w:val="21"/>
                <w:highlight w:val="none"/>
              </w:rPr>
              <w:t>系统实现前置审方功能。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门诊开处方自动审核，严重问题强制控制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▲医生开处方时，医生核对处方医嘱动作发生时自动调用审方系统，由审方系统返回审方状态，对不通过的返回不通过原因。</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门诊处方手工审核</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一般严重问题由药师人工审核，审核时可以查看病人全部医嘱、诊断、病历、电子检查单、检验结果、过敏记录等，也可看到系统审核不通过的类别及详细原因。</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门诊处方审核查询及申诉</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药师审核不通过的处方信息推送给医生，由医生选择接收或进行申诉。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住院开医嘱自动审核</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住院医生开医嘱后，在审核医嘱动作时自动调用审方系统，由审方系统返回审方状态，对不通过的返回不通过原因。</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住院医嘱手工审核</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一般严重问题由药师进行二次审核，审核时可以查看病人全部医嘱、诊断、病历、电子检查单、检验结果、过敏记录等，也可看到系统审核不通过的类别及详细原因。</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住院医嘱审核查询及申诉</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药师审核不通过的医嘱信息推送给医生，由医生选择接收或进行申诉。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60" w:name="_Toc15491"/>
      <w:r>
        <w:rPr>
          <w:rFonts w:hint="eastAsia" w:ascii="宋体" w:hAnsi="宋体" w:cs="Times New Roman"/>
          <w:b/>
          <w:bCs/>
          <w:color w:val="auto"/>
          <w:kern w:val="0"/>
          <w:szCs w:val="21"/>
          <w:highlight w:val="none"/>
        </w:rPr>
        <w:t>5.4.3合理用药系统</w:t>
      </w:r>
      <w:bookmarkEnd w:id="60"/>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合理用药管理系统</w:t>
            </w:r>
            <w:r>
              <w:rPr>
                <w:rFonts w:ascii="宋体" w:hAnsi="宋体" w:cs="Times New Roman"/>
                <w:color w:val="auto"/>
                <w:sz w:val="24"/>
                <w:szCs w:val="21"/>
                <w:highlight w:val="none"/>
              </w:rPr>
              <w:t>对处</w:t>
            </w:r>
            <w:r>
              <w:rPr>
                <w:rFonts w:hint="eastAsia" w:ascii="宋体" w:hAnsi="宋体" w:cs="Times New Roman"/>
                <w:color w:val="auto"/>
                <w:sz w:val="24"/>
                <w:szCs w:val="21"/>
                <w:highlight w:val="none"/>
              </w:rPr>
              <w:t>方</w:t>
            </w:r>
            <w:r>
              <w:rPr>
                <w:rFonts w:ascii="宋体" w:hAnsi="宋体" w:cs="Times New Roman"/>
                <w:color w:val="auto"/>
                <w:sz w:val="24"/>
                <w:szCs w:val="21"/>
                <w:highlight w:val="none"/>
              </w:rPr>
              <w:t>进</w:t>
            </w:r>
            <w:r>
              <w:rPr>
                <w:rFonts w:hint="eastAsia" w:ascii="宋体" w:hAnsi="宋体" w:cs="Times New Roman"/>
                <w:color w:val="auto"/>
                <w:sz w:val="24"/>
                <w:szCs w:val="21"/>
                <w:highlight w:val="none"/>
              </w:rPr>
              <w:t>行合理用</w:t>
            </w:r>
            <w:r>
              <w:rPr>
                <w:rFonts w:ascii="宋体" w:hAnsi="宋体" w:cs="Times New Roman"/>
                <w:color w:val="auto"/>
                <w:sz w:val="24"/>
                <w:szCs w:val="21"/>
                <w:highlight w:val="none"/>
              </w:rPr>
              <w:t>药监测，发现处</w:t>
            </w:r>
            <w:r>
              <w:rPr>
                <w:rFonts w:hint="eastAsia" w:ascii="宋体" w:hAnsi="宋体" w:cs="Times New Roman"/>
                <w:color w:val="auto"/>
                <w:sz w:val="24"/>
                <w:szCs w:val="21"/>
                <w:highlight w:val="none"/>
              </w:rPr>
              <w:t>方中可能存在的不合理用</w:t>
            </w:r>
            <w:r>
              <w:rPr>
                <w:rFonts w:ascii="宋体" w:hAnsi="宋体" w:cs="Times New Roman"/>
                <w:color w:val="auto"/>
                <w:sz w:val="24"/>
                <w:szCs w:val="21"/>
                <w:highlight w:val="none"/>
              </w:rPr>
              <w:t>药问题，给</w:t>
            </w:r>
            <w:r>
              <w:rPr>
                <w:rFonts w:hint="eastAsia" w:ascii="宋体" w:hAnsi="宋体" w:cs="Times New Roman"/>
                <w:color w:val="auto"/>
                <w:sz w:val="24"/>
                <w:szCs w:val="21"/>
                <w:highlight w:val="none"/>
              </w:rPr>
              <w:t>出警告，提醒</w:t>
            </w:r>
            <w:r>
              <w:rPr>
                <w:rFonts w:ascii="宋体" w:hAnsi="宋体" w:cs="Times New Roman"/>
                <w:color w:val="auto"/>
                <w:sz w:val="24"/>
                <w:szCs w:val="21"/>
                <w:highlight w:val="none"/>
              </w:rPr>
              <w:t>医</w:t>
            </w:r>
            <w:r>
              <w:rPr>
                <w:rFonts w:hint="eastAsia" w:ascii="宋体" w:hAnsi="宋体" w:cs="Times New Roman"/>
                <w:color w:val="auto"/>
                <w:sz w:val="24"/>
                <w:szCs w:val="21"/>
                <w:highlight w:val="none"/>
              </w:rPr>
              <w:t>生、</w:t>
            </w:r>
            <w:r>
              <w:rPr>
                <w:rFonts w:ascii="宋体" w:hAnsi="宋体" w:cs="Times New Roman"/>
                <w:color w:val="auto"/>
                <w:sz w:val="24"/>
                <w:szCs w:val="21"/>
                <w:highlight w:val="none"/>
              </w:rPr>
              <w:t>药师</w:t>
            </w:r>
            <w:r>
              <w:rPr>
                <w:rFonts w:hint="eastAsia" w:ascii="宋体" w:hAnsi="宋体" w:cs="Times New Roman"/>
                <w:color w:val="auto"/>
                <w:sz w:val="24"/>
                <w:szCs w:val="21"/>
                <w:highlight w:val="none"/>
              </w:rPr>
              <w:t>根据患者的</w:t>
            </w:r>
            <w:r>
              <w:rPr>
                <w:rFonts w:ascii="宋体" w:hAnsi="宋体" w:cs="Times New Roman"/>
                <w:color w:val="auto"/>
                <w:sz w:val="24"/>
                <w:szCs w:val="21"/>
                <w:highlight w:val="none"/>
              </w:rPr>
              <w:t>实际</w:t>
            </w:r>
            <w:r>
              <w:rPr>
                <w:rFonts w:hint="eastAsia" w:ascii="宋体" w:hAnsi="宋体" w:cs="Times New Roman"/>
                <w:color w:val="auto"/>
                <w:sz w:val="24"/>
                <w:szCs w:val="21"/>
                <w:highlight w:val="none"/>
              </w:rPr>
              <w:t>情</w:t>
            </w:r>
            <w:r>
              <w:rPr>
                <w:rFonts w:ascii="宋体" w:hAnsi="宋体" w:cs="Times New Roman"/>
                <w:color w:val="auto"/>
                <w:sz w:val="24"/>
                <w:szCs w:val="21"/>
                <w:highlight w:val="none"/>
              </w:rPr>
              <w:t>况</w:t>
            </w:r>
            <w:r>
              <w:rPr>
                <w:rFonts w:hint="eastAsia" w:ascii="宋体" w:hAnsi="宋体" w:cs="Times New Roman"/>
                <w:color w:val="auto"/>
                <w:sz w:val="24"/>
                <w:szCs w:val="21"/>
                <w:highlight w:val="none"/>
              </w:rPr>
              <w:t>作出更好的用</w:t>
            </w:r>
            <w:r>
              <w:rPr>
                <w:rFonts w:ascii="宋体" w:hAnsi="宋体" w:cs="Times New Roman"/>
                <w:color w:val="auto"/>
                <w:sz w:val="24"/>
                <w:szCs w:val="21"/>
                <w:highlight w:val="none"/>
              </w:rPr>
              <w:t>药决定。</w:t>
            </w:r>
            <w:r>
              <w:rPr>
                <w:rFonts w:hint="eastAsia" w:ascii="宋体" w:hAnsi="宋体" w:cs="Times New Roman"/>
                <w:color w:val="auto"/>
                <w:sz w:val="24"/>
                <w:szCs w:val="21"/>
                <w:highlight w:val="none"/>
              </w:rPr>
              <w:t>提供包括合理用药知识库管理、智能审查、</w:t>
            </w:r>
            <w:r>
              <w:rPr>
                <w:rFonts w:ascii="宋体" w:hAnsi="宋体" w:cs="Times New Roman"/>
                <w:color w:val="auto"/>
                <w:sz w:val="24"/>
                <w:szCs w:val="21"/>
                <w:highlight w:val="none"/>
              </w:rPr>
              <w:t>药</w:t>
            </w:r>
            <w:r>
              <w:rPr>
                <w:rFonts w:hint="eastAsia" w:ascii="宋体" w:hAnsi="宋体" w:cs="Times New Roman"/>
                <w:color w:val="auto"/>
                <w:sz w:val="24"/>
                <w:szCs w:val="21"/>
                <w:highlight w:val="none"/>
              </w:rPr>
              <w:t>物相互作用</w:t>
            </w:r>
            <w:r>
              <w:rPr>
                <w:rFonts w:ascii="宋体" w:hAnsi="宋体" w:cs="Times New Roman"/>
                <w:color w:val="auto"/>
                <w:sz w:val="24"/>
                <w:szCs w:val="21"/>
                <w:highlight w:val="none"/>
              </w:rPr>
              <w:t>审</w:t>
            </w:r>
            <w:r>
              <w:rPr>
                <w:rFonts w:hint="eastAsia" w:ascii="宋体" w:hAnsi="宋体" w:cs="Times New Roman"/>
                <w:color w:val="auto"/>
                <w:sz w:val="24"/>
                <w:szCs w:val="21"/>
                <w:highlight w:val="none"/>
              </w:rPr>
              <w:t>查、</w:t>
            </w:r>
            <w:r>
              <w:rPr>
                <w:rFonts w:ascii="宋体" w:hAnsi="宋体" w:cs="Times New Roman"/>
                <w:color w:val="auto"/>
                <w:sz w:val="24"/>
                <w:szCs w:val="21"/>
                <w:highlight w:val="none"/>
              </w:rPr>
              <w:t>过</w:t>
            </w:r>
            <w:r>
              <w:rPr>
                <w:rFonts w:hint="eastAsia" w:ascii="宋体" w:hAnsi="宋体" w:cs="Times New Roman"/>
                <w:color w:val="auto"/>
                <w:sz w:val="24"/>
                <w:szCs w:val="21"/>
                <w:highlight w:val="none"/>
              </w:rPr>
              <w:t>敏症</w:t>
            </w:r>
            <w:r>
              <w:rPr>
                <w:rFonts w:ascii="宋体" w:hAnsi="宋体" w:cs="Times New Roman"/>
                <w:color w:val="auto"/>
                <w:sz w:val="24"/>
                <w:szCs w:val="21"/>
                <w:highlight w:val="none"/>
              </w:rPr>
              <w:t>审</w:t>
            </w:r>
            <w:r>
              <w:rPr>
                <w:rFonts w:hint="eastAsia" w:ascii="宋体" w:hAnsi="宋体" w:cs="Times New Roman"/>
                <w:color w:val="auto"/>
                <w:sz w:val="24"/>
                <w:szCs w:val="21"/>
                <w:highlight w:val="none"/>
              </w:rPr>
              <w:t>查、</w:t>
            </w:r>
            <w:r>
              <w:rPr>
                <w:rFonts w:ascii="宋体" w:hAnsi="宋体" w:cs="Times New Roman"/>
                <w:color w:val="auto"/>
                <w:sz w:val="24"/>
                <w:szCs w:val="21"/>
                <w:highlight w:val="none"/>
              </w:rPr>
              <w:t>剂</w:t>
            </w:r>
            <w:r>
              <w:rPr>
                <w:rFonts w:hint="eastAsia" w:ascii="宋体" w:hAnsi="宋体" w:cs="Times New Roman"/>
                <w:color w:val="auto"/>
                <w:sz w:val="24"/>
                <w:szCs w:val="21"/>
                <w:highlight w:val="none"/>
              </w:rPr>
              <w:t>量</w:t>
            </w:r>
            <w:r>
              <w:rPr>
                <w:rFonts w:ascii="宋体" w:hAnsi="宋体" w:cs="Times New Roman"/>
                <w:color w:val="auto"/>
                <w:sz w:val="24"/>
                <w:szCs w:val="21"/>
                <w:highlight w:val="none"/>
              </w:rPr>
              <w:t>审</w:t>
            </w:r>
            <w:r>
              <w:rPr>
                <w:rFonts w:hint="eastAsia" w:ascii="宋体" w:hAnsi="宋体" w:cs="Times New Roman"/>
                <w:color w:val="auto"/>
                <w:sz w:val="24"/>
                <w:szCs w:val="21"/>
                <w:highlight w:val="none"/>
              </w:rPr>
              <w:t>查、禁忌症</w:t>
            </w:r>
            <w:r>
              <w:rPr>
                <w:rFonts w:ascii="宋体" w:hAnsi="宋体" w:cs="Times New Roman"/>
                <w:color w:val="auto"/>
                <w:sz w:val="24"/>
                <w:szCs w:val="21"/>
                <w:highlight w:val="none"/>
              </w:rPr>
              <w:t>审</w:t>
            </w:r>
            <w:r>
              <w:rPr>
                <w:rFonts w:hint="eastAsia" w:ascii="宋体" w:hAnsi="宋体" w:cs="Times New Roman"/>
                <w:color w:val="auto"/>
                <w:sz w:val="24"/>
                <w:szCs w:val="21"/>
                <w:highlight w:val="none"/>
              </w:rPr>
              <w:t>查、</w:t>
            </w:r>
            <w:r>
              <w:rPr>
                <w:rFonts w:ascii="宋体" w:hAnsi="宋体" w:cs="Times New Roman"/>
                <w:color w:val="auto"/>
                <w:sz w:val="24"/>
                <w:szCs w:val="21"/>
                <w:highlight w:val="none"/>
              </w:rPr>
              <w:t>适应</w:t>
            </w:r>
            <w:r>
              <w:rPr>
                <w:rFonts w:hint="eastAsia" w:ascii="宋体" w:hAnsi="宋体" w:cs="Times New Roman"/>
                <w:color w:val="auto"/>
                <w:sz w:val="24"/>
                <w:szCs w:val="21"/>
                <w:highlight w:val="none"/>
              </w:rPr>
              <w:t>症</w:t>
            </w:r>
            <w:r>
              <w:rPr>
                <w:rFonts w:ascii="宋体" w:hAnsi="宋体" w:cs="Times New Roman"/>
                <w:color w:val="auto"/>
                <w:sz w:val="24"/>
                <w:szCs w:val="21"/>
                <w:highlight w:val="none"/>
              </w:rPr>
              <w:t>审</w:t>
            </w:r>
            <w:r>
              <w:rPr>
                <w:rFonts w:hint="eastAsia" w:ascii="宋体" w:hAnsi="宋体" w:cs="Times New Roman"/>
                <w:color w:val="auto"/>
                <w:sz w:val="24"/>
                <w:szCs w:val="21"/>
                <w:highlight w:val="none"/>
              </w:rPr>
              <w:t>查</w:t>
            </w:r>
            <w:r>
              <w:rPr>
                <w:rFonts w:ascii="宋体" w:hAnsi="宋体" w:cs="Times New Roman"/>
                <w:color w:val="auto"/>
                <w:sz w:val="24"/>
                <w:szCs w:val="21"/>
                <w:highlight w:val="none"/>
              </w:rPr>
              <w:t>、药</w:t>
            </w:r>
            <w:r>
              <w:rPr>
                <w:rFonts w:hint="eastAsia" w:ascii="宋体" w:hAnsi="宋体" w:cs="Times New Roman"/>
                <w:color w:val="auto"/>
                <w:sz w:val="24"/>
                <w:szCs w:val="21"/>
                <w:highlight w:val="none"/>
              </w:rPr>
              <w:t>物副作用及不良反</w:t>
            </w:r>
            <w:r>
              <w:rPr>
                <w:rFonts w:ascii="宋体" w:hAnsi="宋体" w:cs="Times New Roman"/>
                <w:color w:val="auto"/>
                <w:sz w:val="24"/>
                <w:szCs w:val="21"/>
                <w:highlight w:val="none"/>
              </w:rPr>
              <w:t>应审</w:t>
            </w:r>
            <w:r>
              <w:rPr>
                <w:rFonts w:hint="eastAsia" w:ascii="宋体" w:hAnsi="宋体" w:cs="Times New Roman"/>
                <w:color w:val="auto"/>
                <w:sz w:val="24"/>
                <w:szCs w:val="21"/>
                <w:highlight w:val="none"/>
              </w:rPr>
              <w:t>查</w:t>
            </w:r>
            <w:r>
              <w:rPr>
                <w:rFonts w:ascii="宋体" w:hAnsi="宋体" w:cs="Times New Roman"/>
                <w:color w:val="auto"/>
                <w:sz w:val="24"/>
                <w:szCs w:val="21"/>
                <w:highlight w:val="none"/>
              </w:rPr>
              <w:t>等</w:t>
            </w:r>
            <w:r>
              <w:rPr>
                <w:rFonts w:hint="eastAsia" w:ascii="宋体" w:hAnsi="宋体" w:cs="Times New Roman"/>
                <w:color w:val="auto"/>
                <w:sz w:val="24"/>
                <w:szCs w:val="21"/>
                <w:highlight w:val="none"/>
              </w:rPr>
              <w:t>功能。</w:t>
            </w:r>
          </w:p>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本系统覆盖医联体内所有医院，支持针对不同等级医院设置监测和预警规则，对接各医院H</w:t>
            </w:r>
            <w:r>
              <w:rPr>
                <w:rFonts w:ascii="宋体" w:hAnsi="宋体" w:cs="Times New Roman"/>
                <w:color w:val="auto"/>
                <w:sz w:val="24"/>
                <w:szCs w:val="21"/>
                <w:highlight w:val="none"/>
              </w:rPr>
              <w:t>IS</w:t>
            </w:r>
            <w:r>
              <w:rPr>
                <w:rFonts w:hint="eastAsia" w:ascii="宋体" w:hAnsi="宋体" w:cs="Times New Roman"/>
                <w:color w:val="auto"/>
                <w:sz w:val="24"/>
                <w:szCs w:val="21"/>
                <w:highlight w:val="none"/>
              </w:rPr>
              <w:t>系统实现合理用药监测和预警。</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合理用药知识库管理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通过可视化药物规则管理工具维护,扩展药物相互作用、配伍禁忌、药物与诊断冲突等多种合理用药等相关信息,在门急诊医生站、门诊药房、住院医生站、住院药房对处方、医嘱进行审核时,提供完整的决策支持能力。</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智能获取信息</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通过平台或其他系统获取患者基本信息,病历数据中疾病史，诊断,医嘱,用药过敏信息,处方及医嘱信息等。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用户通过审查模式的自定义</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根据不同需求,对合理用药系统中审查的项目,审查级别和采纳文献范围进行设置。</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智能审查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有完善的药品使用核查处理功能。能够利用诊断、检验结果，结合知识库提供比较全面的核查与提示。医生、药师在开立与审核药品医嘱时,能够自动检测药物医嘱中可能存在的药物与药物的相互作用,配伍禁忌、重复用药、过敏药物、禁忌正副作用、用法用量和特殊人群用药等潜在的不合理用药问题。</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药物与诊断的监测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监测处方（医嘱）中是否存在</w:t>
            </w:r>
            <w:r>
              <w:rPr>
                <w:rFonts w:hint="eastAsia" w:ascii="宋体" w:hAnsi="宋体" w:cs="Times New Roman"/>
                <w:color w:val="auto"/>
                <w:sz w:val="24"/>
                <w:szCs w:val="21"/>
                <w:highlight w:val="none"/>
              </w:rPr>
              <w:t>药物与诊断不符的用药情况</w:t>
            </w:r>
            <w:r>
              <w:rPr>
                <w:rFonts w:ascii="宋体" w:hAnsi="宋体" w:cs="Times New Roman"/>
                <w:color w:val="auto"/>
                <w:sz w:val="24"/>
                <w:szCs w:val="21"/>
                <w:highlight w:val="none"/>
              </w:rPr>
              <w:t>。</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药物相互作用监测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监测在同一处方（医嘱）中药品之间可能存在的药物相互作用。“系统”应提供药物相互作用的详细内容，包括结果、严重程度、机理、处理等信息。同时对每一类药物相互作用均提供详细的综述性专论，内容包括该药物相互作用的严重程度、作用机理、病人处理、讨论和参考文献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药物过敏监测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在获取患者既往药物过敏史的基础上，监测处方（医嘱）中是否含有可能引起病人过敏的药物。“系统”应提供药物成分及交叉过敏的监测。</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注射剂配伍监测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监测注射剂在同一容器中配制可能发生的理化反应。“系统”应能对药品—药品、药品—溶媒在大输液容器或针管内发生的理化反应进行监测。由于注射剂配伍的国内外差异，系统应分别给出国内及国外的文献参考来源。</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药物剂量监测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监测处方（医嘱）中的药物剂量是否超过药品说明书推荐的剂量范围。“系统”应能对超过药物最大、最小推荐量（每次剂量、每日剂量）、极量（每次极量、每日极量）、用药频次、持续用药时间等用药情况进行监测。</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药物禁忌症监测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在获取患者病理生理情况的基础上，监测处方（医嘱）中是否含有该患者禁忌使用的药物。“系统”应能对临床常见病理生理情况存在的药物禁忌进行监测。</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药物副作用监测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监测处方（医嘱）中有无可能引起或加重患者当前病理状况的药物。</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重复用药监测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监测处方（医嘱）中是否存在重复用药的情况。“系统”应提供重复成分、重复治疗的监测。</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给药途径监测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监测处方（医嘱）中是否存在不合理的给药途径。</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5"/>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特殊人群及特殊病理生理情况的用药监测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监测处方（医嘱）中是否存在老年人、儿童、妊娠期、哺乳期等特殊人群或者肝、肾功能不全等病生状态应禁忌或慎用的药品。</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61" w:name="_Toc7233"/>
      <w:r>
        <w:rPr>
          <w:rFonts w:hint="eastAsia" w:ascii="宋体" w:hAnsi="宋体" w:cs="Times New Roman"/>
          <w:b/>
          <w:bCs/>
          <w:color w:val="auto"/>
          <w:kern w:val="0"/>
          <w:szCs w:val="21"/>
          <w:highlight w:val="none"/>
        </w:rPr>
        <w:t>5.4.4处方点评系统</w:t>
      </w:r>
      <w:bookmarkEnd w:id="61"/>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处方点评管理系统实现对门诊处方和住院医嘱的时候分析监管，动态监控超常用药、不规范用药、不适宜用药等问题。主要功能包括处方点评规则设置、不规范处方判定规则设置、用药不是有处方预判规则设置、超常处方预判规则设置、专项点评规则设置、生成点评单、分配点评单、点评处方、点评医嘱、点评查询、点评统计等。</w:t>
            </w:r>
          </w:p>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本系统覆盖医联体内所有医院，支持针对不同等级医院设置不同规则，支持各医院院内处方点评和上级医院对基层医院处方进行点评两种模式。</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处方点评规则设置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提供处方点评规则设置功能,包括预判规则项设置、问题扣分项分值自定义设置。</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不规范处方判定规则设置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包括不规范使用数量或剂量单位,未按照抗菌药物临床应用管理规定开具抗菌药物处方等。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用药不适宜处方预判规则设置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主要是指不合理用药,包括适应证、选用药品与剂型、用法用量、给药途径、无正当理由不首选国家基本药物、重复给药、重点患者用药交代与指导、重点患者处方审核、用药监测等。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超常处方预判规则设置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主要是指无正当理由超出一般常规的不正常用药现象,包括无适应证、开具处方与个人或者科室经济利益挂钩等。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专项点评规则设置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微软雅黑 Light"/>
                <w:bCs/>
                <w:color w:val="auto"/>
                <w:sz w:val="24"/>
                <w:szCs w:val="21"/>
                <w:highlight w:val="none"/>
              </w:rPr>
            </w:pPr>
            <w:r>
              <w:rPr>
                <w:rFonts w:hint="eastAsia" w:ascii="宋体" w:hAnsi="宋体" w:cs="微软雅黑 Light"/>
                <w:bCs/>
                <w:color w:val="auto"/>
                <w:sz w:val="24"/>
                <w:szCs w:val="21"/>
                <w:highlight w:val="none"/>
              </w:rPr>
              <w:t>包括对特殊患者用药、超说明书用药等。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生成点评单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系统提供按门诊处方、住院医嘱、成人专项、抗菌药专项、处方综合点评等多种抽取方式，且能够根据抽取条件选择更加合理的需要的抽取内容。</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分配点评任务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对于抽取后的内容可分配给指定点评人进行点评。</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点评处方、点评医嘱</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支持处方评价抽查和记录，抽查发现的不合理用药能够记录。支持对药物治疗医嘱进行抽查与进行处方评价记录，对发现的不合理用药能够记录。</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6"/>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点评后的各种查询统计，包括不合理原因处方统计、科室点评情况、科室合理处方、科室不合理处方、处方用药基本信息统计、医生点评单情况、处方按医生排行、处方按科室排行、住院合理用药指标统计等相关报表。</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62" w:name="_Toc3139"/>
      <w:r>
        <w:rPr>
          <w:rFonts w:hint="eastAsia" w:ascii="宋体" w:hAnsi="宋体" w:cs="Times New Roman"/>
          <w:b/>
          <w:bCs/>
          <w:color w:val="auto"/>
          <w:kern w:val="0"/>
          <w:szCs w:val="21"/>
          <w:highlight w:val="none"/>
          <w:lang w:val="zh-CN"/>
        </w:rPr>
        <w:t>5.5临床业务管理</w:t>
      </w:r>
      <w:bookmarkEnd w:id="62"/>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63" w:name="_Toc6971"/>
      <w:r>
        <w:rPr>
          <w:rFonts w:hint="eastAsia" w:ascii="宋体" w:hAnsi="宋体" w:cs="Times New Roman"/>
          <w:b/>
          <w:bCs/>
          <w:color w:val="auto"/>
          <w:kern w:val="0"/>
          <w:szCs w:val="21"/>
          <w:highlight w:val="none"/>
        </w:rPr>
        <w:t>5.5.1体检管理系统</w:t>
      </w:r>
      <w:bookmarkEnd w:id="63"/>
    </w:p>
    <w:tbl>
      <w:tblPr>
        <w:tblStyle w:val="18"/>
        <w:tblW w:w="8897" w:type="dxa"/>
        <w:jc w:val="center"/>
        <w:tblLayout w:type="autofit"/>
        <w:tblCellMar>
          <w:top w:w="0" w:type="dxa"/>
          <w:left w:w="108" w:type="dxa"/>
          <w:bottom w:w="0" w:type="dxa"/>
          <w:right w:w="108" w:type="dxa"/>
        </w:tblCellMar>
      </w:tblPr>
      <w:tblGrid>
        <w:gridCol w:w="457"/>
        <w:gridCol w:w="1643"/>
        <w:gridCol w:w="5527"/>
        <w:gridCol w:w="1270"/>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270"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体检管理系统适用于体检中心，完成体检中心的日常业务处理，包括单位集体体检和个人体检的预约登记、医生分科室检查并填写检查结果、总检医生通过智能化诊断与分析生成体检结果报告和健康评估报告、体检结果报告和健康评估报告打印与发放、单位和个人体检费用缴纳等等。</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体检基础设置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体检套餐设置、诊断建议设置、项目名称设置、指标名称设置、指标正常参考值、体检费用设置、体检单位设置等等。</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体检登记预约</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完成单位集体体检和个人体检的预约登记，按照体检者要求，选择体检科目，确定体检时间，生成体检预约单，登记签到后打印体检导向单、检验申请单、检查申请单等。</w:t>
            </w:r>
          </w:p>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个人体检支持居民电子健康卡、就诊卡、身份证预约登记，与本期同步建设的移动支付平台对接，支持移动支付。</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单位集体体检</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完成单位体检预约申请，申请信息批量导入、登记体检项目、体检单位信息、体检者基本信息、体检者病历信息、体检人员分组信息等。</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个人体检</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完成个人体检登记，通过摄像头拍摄照片，登记个人体检项目、体检者基本信息等，登记完成即已签到。</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干部保健体检</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支持干部保健人群体检，能识别干部保健人群，对相关人群的体检信息，包括检验、检查等信息进行脱敏，并对调阅权限进行控制。并支持与兵团干部保健管理平台对接。</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功能测试要求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体检系统应通过国家级权威检验机构测试认证，投标书中提供测试报告等证明材料。</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体检导向单打印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包含了体检者的标识信息、所预约的体检项目、注意事项、人员分组信息等，发挥导检作用。</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医生检查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医生检查包括内科、外科、眼科、口腔科、妇科等科室，医生记录各项检查项目的情况，各项检查情况以关键词的形式列出，无需逐字输入。</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功能科检查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功能科检查包括放射科、超声检查、心电图、脑电图等科室，系统针对不同的医疗设备，集成LIS/PACS</w:t>
            </w:r>
            <w:r>
              <w:rPr>
                <w:rFonts w:ascii="宋体" w:hAnsi="宋体" w:cs="Times New Roman"/>
                <w:color w:val="auto"/>
                <w:sz w:val="24"/>
                <w:szCs w:val="21"/>
                <w:highlight w:val="none"/>
              </w:rPr>
              <w:t>/</w:t>
            </w:r>
            <w:r>
              <w:rPr>
                <w:rFonts w:hint="eastAsia" w:ascii="宋体" w:hAnsi="宋体" w:cs="Times New Roman"/>
                <w:color w:val="auto"/>
                <w:sz w:val="24"/>
                <w:szCs w:val="21"/>
                <w:highlight w:val="none"/>
              </w:rPr>
              <w:t>心电系统，从这些医疗系统中自动读取相关数据，直接存入到病人的体检结果中。</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检验科检查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检验科检查包括生化、免疫、临检等，由护士采集标本后贴条形码，扫描到电脑后传入检验科。系统整合LIS系统，自动获取检验结果并发送到体检系统</w:t>
            </w:r>
            <w:r>
              <w:rPr>
                <w:rFonts w:hint="eastAsia" w:ascii="宋体" w:hAnsi="宋体" w:cs="Times New Roman"/>
                <w:color w:val="auto"/>
                <w:sz w:val="24"/>
                <w:highlight w:val="none"/>
              </w:rPr>
              <w:t>，</w:t>
            </w:r>
            <w:r>
              <w:rPr>
                <w:rFonts w:hint="eastAsia" w:ascii="宋体" w:hAnsi="宋体" w:cs="Times New Roman"/>
                <w:color w:val="auto"/>
                <w:sz w:val="24"/>
                <w:szCs w:val="21"/>
                <w:highlight w:val="none"/>
              </w:rPr>
              <w:t>直接存入到病人的体检结果中。</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生成总检报告</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系统自动汇总体检者的各科目体检结果，进行异常指标提醒，并生成体检结果报告。</w:t>
            </w:r>
          </w:p>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总检报告通过本期同步建设的微信平台发送到病人端。</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体检费用管理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内嵌各种体检收费算法，为单位和个人提供折扣方案，折扣方案分为折扣率和折扣额两种方式。</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体检统计分析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体检单位和体检者个人进行统一的管理及报表分析。</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体检预约</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支持与医院门户、微信门户对接，实现体检的线上预约，支持个人和团体预约，并支持体检报告的线上推送和查询。</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vMerge w:val="restart"/>
            <w:tcBorders>
              <w:top w:val="single" w:color="auto" w:sz="4" w:space="0"/>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体检收费管理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支持灵活的收费组套、多种方式（折扣、总额优惠、单项优惠等）收费优惠，与医院HIS系统收费无缝对接，实现全流程优惠后收费处理。</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对接统一支付平台，支持包括现金、银行卡、体检卡、医保卡、微信、支付宝等多种支付方式。</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系统支持单人结算</w:t>
            </w:r>
            <w:r>
              <w:rPr>
                <w:rFonts w:hint="eastAsia" w:ascii="宋体" w:hAnsi="宋体" w:cs="Times New Roman"/>
                <w:color w:val="auto"/>
                <w:sz w:val="24"/>
                <w:szCs w:val="21"/>
                <w:highlight w:val="none"/>
              </w:rPr>
              <w:t>、</w:t>
            </w:r>
            <w:r>
              <w:rPr>
                <w:rFonts w:ascii="宋体" w:hAnsi="宋体" w:cs="Times New Roman"/>
                <w:color w:val="auto"/>
                <w:sz w:val="24"/>
                <w:szCs w:val="21"/>
                <w:highlight w:val="none"/>
              </w:rPr>
              <w:t>将多个单人体检结算到一起</w:t>
            </w:r>
            <w:r>
              <w:rPr>
                <w:rFonts w:hint="eastAsia" w:ascii="宋体" w:hAnsi="宋体" w:cs="Times New Roman"/>
                <w:color w:val="auto"/>
                <w:sz w:val="24"/>
                <w:szCs w:val="21"/>
                <w:highlight w:val="none"/>
              </w:rPr>
              <w:t>、</w:t>
            </w:r>
            <w:r>
              <w:rPr>
                <w:rFonts w:ascii="宋体" w:hAnsi="宋体" w:cs="Times New Roman"/>
                <w:color w:val="auto"/>
                <w:sz w:val="24"/>
                <w:szCs w:val="21"/>
                <w:highlight w:val="none"/>
              </w:rPr>
              <w:t>支持将团体费用拆分进行结算</w:t>
            </w:r>
            <w:r>
              <w:rPr>
                <w:rFonts w:hint="eastAsia" w:ascii="宋体" w:hAnsi="宋体" w:cs="Times New Roman"/>
                <w:color w:val="auto"/>
                <w:sz w:val="24"/>
                <w:szCs w:val="21"/>
                <w:highlight w:val="none"/>
              </w:rPr>
              <w:t>，</w:t>
            </w:r>
            <w:r>
              <w:rPr>
                <w:rFonts w:ascii="宋体" w:hAnsi="宋体" w:cs="Times New Roman"/>
                <w:color w:val="auto"/>
                <w:sz w:val="24"/>
                <w:szCs w:val="21"/>
                <w:highlight w:val="none"/>
              </w:rPr>
              <w:t>支持定义发票名称</w:t>
            </w:r>
            <w:r>
              <w:rPr>
                <w:rFonts w:hint="eastAsia" w:ascii="宋体" w:hAnsi="宋体" w:cs="Times New Roman"/>
                <w:color w:val="auto"/>
                <w:sz w:val="24"/>
                <w:szCs w:val="21"/>
                <w:highlight w:val="none"/>
              </w:rPr>
              <w:t>等。结算可打印出发票。可按需打印收费明细小票。</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收费员对当天已收的体检费用进行扎帐</w:t>
            </w:r>
            <w:r>
              <w:rPr>
                <w:rFonts w:hint="eastAsia" w:ascii="宋体" w:hAnsi="宋体" w:cs="Times New Roman"/>
                <w:color w:val="auto"/>
                <w:sz w:val="24"/>
                <w:szCs w:val="21"/>
                <w:highlight w:val="none"/>
              </w:rPr>
              <w:t>。</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7"/>
              </w:numPr>
              <w:snapToGrid w:val="0"/>
              <w:spacing w:line="360" w:lineRule="auto"/>
              <w:jc w:val="center"/>
              <w:rPr>
                <w:rFonts w:ascii="宋体" w:hAnsi="宋体" w:cs="宋体"/>
                <w:color w:val="auto"/>
                <w:kern w:val="0"/>
                <w:szCs w:val="21"/>
                <w:highlight w:val="none"/>
              </w:rPr>
            </w:pPr>
          </w:p>
        </w:tc>
        <w:tc>
          <w:tcPr>
            <w:tcW w:w="1643" w:type="dxa"/>
            <w:vMerge w:val="continue"/>
            <w:tcBorders>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对于前台已经做过退费申请的收据，进行退费操作，所退项目是由体检前台确定。</w:t>
            </w:r>
          </w:p>
        </w:tc>
        <w:tc>
          <w:tcPr>
            <w:tcW w:w="1270"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64" w:name="_Toc27465"/>
      <w:r>
        <w:rPr>
          <w:rFonts w:hint="eastAsia" w:ascii="宋体" w:hAnsi="宋体" w:cs="Times New Roman"/>
          <w:b/>
          <w:bCs/>
          <w:color w:val="auto"/>
          <w:kern w:val="0"/>
          <w:szCs w:val="21"/>
          <w:highlight w:val="none"/>
        </w:rPr>
        <w:t>5.5.2静脉配置中心</w:t>
      </w:r>
      <w:bookmarkEnd w:id="64"/>
      <w:r>
        <w:rPr>
          <w:rFonts w:hint="eastAsia" w:ascii="宋体" w:hAnsi="宋体" w:cs="Times New Roman"/>
          <w:b/>
          <w:bCs/>
          <w:color w:val="auto"/>
          <w:kern w:val="0"/>
          <w:szCs w:val="21"/>
          <w:highlight w:val="none"/>
        </w:rPr>
        <w:t>管理系统</w:t>
      </w:r>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静脉药物配置中心系统连接住院护士工作站和住院医生工作站的医嘱录入审核执行、药房药库发药和输液配药发药等工作，实现住院输液信息的实时发送与接收，使医院的各个部门更紧密的开展住院输液工作。</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输液配置处理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自由组合医嘱批次，生成提取单据；支持核对、撤销核对单据；提供医嘱批次管理，根据批次规则自动设置医嘱批次，可手动设置医嘱批次；支持多种方式查询显示，支持标签分页有多种排序方式，提供输液医嘱标签打印及补打。</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排药排审处理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支持多种方式查询，如按状态、条码号、床位号、病人姓名等；支持排药、排药审核、撤销排药、撤销排药审核；提供输液医嘱标签打印及补打，提供输液医嘱清单打印。</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调配审核处理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支持多种方式查询，如按状态、条码号、床位号、病人姓名等；支持调配、调配审核、撤销调配、撤销调配审核；提供输液医嘱标签打印及补打，提供输液医嘱清单打印。</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发药审核处理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支持多种方式查询，如按状态、条码号、床位号、病人姓名等；支持发药、发药审核、撤销发药、撤销发药审核；提供输液医嘱标签打印及补打，提供输液医嘱清单打印。</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贴签摆药</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药师审核药方无误后,打印药品贴签,药品贴签包含条码信息,药品基本信息,并进行摆药。</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病区签收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药物发送至病区,病区接收人员通过扫描药品条码,获得对应患者信息、药品信息等,接收人对相关信息进行核对，通过扫描接收人条码,确认接收人信息等。</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退药管理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在药物配制贴签完成后需进行整理并统一保管,存在药物被停止使用或者破损现象,需要按照规则进行退药和销毁,避免污染。</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发药查询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支持多种方式查询已发药单据，如按位置、发药方式、批次</w:t>
            </w:r>
            <w:r>
              <w:rPr>
                <w:rFonts w:ascii="宋体" w:hAnsi="宋体" w:cs="Times New Roman"/>
                <w:color w:val="auto"/>
                <w:sz w:val="24"/>
                <w:szCs w:val="21"/>
                <w:highlight w:val="none"/>
              </w:rPr>
              <w:t>-位置等各种左边栏模式显示；支持标签分页有多种排序方式，如按组号、床位号、姓名等；提供输液医嘱标签打印及补打。</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8"/>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发药统计</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支持发药数量、输液数量、工作量统计及打印。</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65" w:name="_Toc30315"/>
      <w:r>
        <w:rPr>
          <w:rFonts w:hint="eastAsia" w:ascii="宋体" w:hAnsi="宋体" w:cs="Times New Roman"/>
          <w:b/>
          <w:bCs/>
          <w:color w:val="auto"/>
          <w:kern w:val="0"/>
          <w:szCs w:val="21"/>
          <w:highlight w:val="none"/>
        </w:rPr>
        <w:t>5.5.3血库管理系统</w:t>
      </w:r>
      <w:bookmarkEnd w:id="65"/>
    </w:p>
    <w:tbl>
      <w:tblPr>
        <w:tblStyle w:val="18"/>
        <w:tblW w:w="9039" w:type="dxa"/>
        <w:jc w:val="center"/>
        <w:tblLayout w:type="autofit"/>
        <w:tblCellMar>
          <w:top w:w="0" w:type="dxa"/>
          <w:left w:w="108" w:type="dxa"/>
          <w:bottom w:w="0" w:type="dxa"/>
          <w:right w:w="108" w:type="dxa"/>
        </w:tblCellMar>
      </w:tblPr>
      <w:tblGrid>
        <w:gridCol w:w="457"/>
        <w:gridCol w:w="1643"/>
        <w:gridCol w:w="5527"/>
        <w:gridCol w:w="1412"/>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412"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血库管理系统用来完成输血科日常业务操作。具体功能包括标本接收、配血管理、发血管理、费用管理、血袋管理、权限管理、统计分析等。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标本接收</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实现标本运送管理，标本接收后自动计费，有效控制标本的采集时间，对于不合格的标本予以拒收，同时记录拒收原因并反馈临床。</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配血管理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按血袋条码进行备血，从库存列表中按血成份和有效期检索血袋，自动按血袋收取配血费，根据交叉配血方法自动计配血费。支持血型不匹配自动提示。在备血前进行用血相关文档的审核，并给出提示。配血过程有完整记录。具有根据住院病人或手术病人血型分布情况提供配置血液库存的知识库和处理工具。</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发血管理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提供按血袋编号自动匹配血袋。发血成功后，自动打印发血单和发血标签，并自动按血袋收取血费、储血费和其它费用。</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费用管理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提供按血袋编号自动匹配血袋。发血成功后，自动打印发血单和发血标签，并自动按血袋收取血费、储血费和其它费用。</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费用管理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支持分步自动收取费用金和手工补录费用。</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血袋管理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手工登记入库，支持血站接口，可以是文件或VPN等各种形式。提供自体血入库、发血和查询功能，自动生血袋标签并打印。支持血袋拆分管理，提供血液库存管理，最低库存量预警和有效期报警，血袋回收，血袋处理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权限管理功能</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具备日志管理，可记录每个进入系统人员的操作内容。具备多层权限控制，不同管理组、不同检验技师拥有不同的操作口令。具备多种权限管理，不同的用户设置不同的操作权力。</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统计分析</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提供申请用血统计、实际用血统计、超量用血统计、血液入库统计、输血目的统计、出院患者用血查询、住院病人血型分布情况、全院用血统计、科室用血排名和医生用血排名功能。</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信息跟踪记录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血液记录全程可跟踪管理，如血液入库、分装、出库时间记录等。配血、血液使用记录、输血反应等数据纳入医院统一医疗记录系统。</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49"/>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血站信息系统对接</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与血站系统对接，实现与血站数据联动，将血站送过来的血袋进行入库、将库存的血袋退还给血站等。</w:t>
            </w:r>
          </w:p>
        </w:tc>
        <w:tc>
          <w:tcPr>
            <w:tcW w:w="1412"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66" w:name="_Toc19602"/>
      <w:r>
        <w:rPr>
          <w:rFonts w:hint="eastAsia" w:ascii="宋体" w:hAnsi="宋体" w:cs="Times New Roman"/>
          <w:b/>
          <w:bCs/>
          <w:color w:val="auto"/>
          <w:kern w:val="0"/>
          <w:szCs w:val="21"/>
          <w:highlight w:val="none"/>
        </w:rPr>
        <w:t>5.5.4用血管理系统</w:t>
      </w:r>
      <w:bookmarkEnd w:id="66"/>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43"/>
        <w:gridCol w:w="552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7"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血管理系统是提供给临床医生、护士和医务科使用，用来完成申请、输注和评价等操作。具体功能包括输血知情同意书签订、备血前评估、备血申请、申请提示、超量审批、取血评估和取血单、病房接收血袋、血液输注核对、输血巡视、输血后疗效评价、用血追溯、用血质控等。</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知情同意书</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填写输血知情同意书。</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备血申请</w:t>
            </w: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支持普通备血申请、自备血备血申请。可以按医生级别控制备血血量，自动获取血型和检验项目最近结果信息。</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提示审批</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提供备血申请提示，支持备血申请两级审核签字和超量备血审批。</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查询打印</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提供输血治疗同意书等文档打印和历次备血申请单查询和打印。</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取血单</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支持配血完成提示和取血前评估。</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临床用血</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提供接收血袋、血液输注、输血巡视功能。</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输血评价</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支持临床输血后评价和输血记录。</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用血警示</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在各个环节有根据患者体征、基本情况、检验结果、诊断等进行用血安全检查监控环节，出现不符合安全条件时自动给出警示。</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血液配置</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可按照住院病人情况动态调整库存血液配置或根据血液配置提示临床科室适当调整手术安排。</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用血追溯</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出现输血不良事件时能追溯到院内相同供血者血液的其他使用记录或库存记录。</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0"/>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用血质控</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可获得区域血液使用范围、损失指标，可结合医院病种、手术信息进行本院血液使用范围、损失率管理。可获得区域血液使用质量管理指标，可结合医院病种、手术信息进行本院血液使用质量管理。</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67" w:name="_Toc26407"/>
      <w:r>
        <w:rPr>
          <w:rFonts w:hint="eastAsia" w:ascii="宋体" w:hAnsi="宋体" w:cs="Times New Roman"/>
          <w:b/>
          <w:bCs/>
          <w:color w:val="auto"/>
          <w:kern w:val="0"/>
          <w:szCs w:val="21"/>
          <w:highlight w:val="none"/>
        </w:rPr>
        <w:t>5.5.5血液净化信息系统</w:t>
      </w:r>
      <w:bookmarkEnd w:id="67"/>
    </w:p>
    <w:tbl>
      <w:tblPr>
        <w:tblStyle w:val="18"/>
        <w:tblW w:w="9322" w:type="dxa"/>
        <w:jc w:val="center"/>
        <w:tblLayout w:type="autofit"/>
        <w:tblCellMar>
          <w:top w:w="0" w:type="dxa"/>
          <w:left w:w="108" w:type="dxa"/>
          <w:bottom w:w="0" w:type="dxa"/>
          <w:right w:w="108" w:type="dxa"/>
        </w:tblCellMar>
      </w:tblPr>
      <w:tblGrid>
        <w:gridCol w:w="457"/>
        <w:gridCol w:w="1643"/>
        <w:gridCol w:w="5527"/>
        <w:gridCol w:w="1695"/>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695"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血液净化信息系统针对血液净化病人特点，对血液净化过程中所产生的临床数据进行记录、汇总、评估和分析。支持门诊、住院病人血透业务。血液净化信息系统，从病人登记、方案制订、治疗排班、床位安排、治疗记录、治疗评估、病人转归等专科业务流程数字化管理，实现血液净化设备信息采集自动化，提高医护人员的工作效率。</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病人登记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登记病人血液净化编号、血液净化次数、主管医生等信息。对结</w:t>
            </w:r>
            <w:r>
              <w:rPr>
                <w:rFonts w:hint="eastAsia" w:ascii="宋体" w:hAnsi="宋体" w:cs="Times New Roman"/>
                <w:color w:val="auto"/>
                <w:sz w:val="24"/>
                <w:szCs w:val="21"/>
                <w:highlight w:val="none"/>
              </w:rPr>
              <w:t>束治疗的病人，修改维持性血液净化状态为转归状态。按照登记号、住院号、姓名、日期等条件查找已登记病人。</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血液净化方案</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按时间、登记号查找血液净化登记病人。填写血液净化方式、血液净化频率、血液净化器材、血管通路、抗凝方案等内容。</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治疗记录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透析前和透析后检测和记录病人信息。使用血液净化专科电子病历记录病人完整的透析病程。</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医嘱管理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添加血液净化中使用的临时医嘱，并可以查看费用明细。确认和记录本次血液净化所用医嘱，并记录在血液净化系统中。</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检验检查结果</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按日期查询病人检验结果。</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治疗评估</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进行透析充分性评估。</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查房记录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透析过程中修正病人治疗方案，记录调整方案、原因、如何调整、调整日期、调整人员等信息。</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月小结</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记录病人身体状况、管路和方案、居家情况、实验室检验指标、传染病信息、本月总结评价及其下一步诊断治疗建议等。</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治疗排班</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根据医生的治疗方案的血液净化方式和治疗频率，进行治疗时间排班。</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床位安排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将已确定治疗时间的病人，安排到具体的床位上。护士在图形界面上以拖动方式，把病人安排具体的床位上。安排血液净化日期和具体时间；支持按周排班。感染病人要安排到相应类型的床位上.</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血管通路管理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建立病人的血管通路，同一时期只有一个有效的血管通路。</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血液净化记录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记录病人血液净化中、血液净化后的数据。</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1"/>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病人转归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病人结束血液净化时，记录透析病人转归情况。</w:t>
            </w:r>
          </w:p>
        </w:tc>
        <w:tc>
          <w:tcPr>
            <w:tcW w:w="1695"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68" w:name="_Toc30013"/>
      <w:r>
        <w:rPr>
          <w:rFonts w:hint="eastAsia" w:ascii="宋体" w:hAnsi="宋体" w:cs="Times New Roman"/>
          <w:b/>
          <w:bCs/>
          <w:color w:val="auto"/>
          <w:kern w:val="0"/>
          <w:szCs w:val="21"/>
          <w:highlight w:val="none"/>
        </w:rPr>
        <w:t>5.5.6手术麻醉管理系统</w:t>
      </w:r>
      <w:bookmarkEnd w:id="68"/>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43"/>
        <w:gridCol w:w="552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7"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vAlign w:val="center"/>
          </w:tcPr>
          <w:p>
            <w:pPr>
              <w:snapToGrid w:val="0"/>
              <w:spacing w:line="360" w:lineRule="auto"/>
              <w:jc w:val="left"/>
              <w:rPr>
                <w:rFonts w:ascii="宋体" w:hAnsi="宋体" w:cs="Times New Roman"/>
                <w:color w:val="auto"/>
                <w:sz w:val="24"/>
                <w:szCs w:val="21"/>
                <w:highlight w:val="none"/>
              </w:rPr>
            </w:pPr>
            <w:r>
              <w:rPr>
                <w:color w:val="auto"/>
                <w:highlight w:val="none"/>
              </w:rPr>
              <w:fldChar w:fldCharType="begin"/>
            </w:r>
            <w:r>
              <w:rPr>
                <w:color w:val="auto"/>
                <w:highlight w:val="none"/>
              </w:rPr>
              <w:instrText xml:space="preserve"> HYPERLINK "http://mzs.cnprs.com/" \o "手术麻醉管理系统" </w:instrText>
            </w:r>
            <w:r>
              <w:rPr>
                <w:color w:val="auto"/>
                <w:highlight w:val="none"/>
              </w:rPr>
              <w:fldChar w:fldCharType="separate"/>
            </w:r>
            <w:r>
              <w:rPr>
                <w:rFonts w:hint="eastAsia" w:ascii="宋体" w:hAnsi="宋体" w:cs="Times New Roman"/>
                <w:color w:val="auto"/>
                <w:sz w:val="24"/>
                <w:szCs w:val="21"/>
                <w:highlight w:val="none"/>
              </w:rPr>
              <w:t>手术麻醉管理系统</w:t>
            </w:r>
            <w:r>
              <w:rPr>
                <w:rFonts w:hint="eastAsia" w:ascii="宋体" w:hAnsi="宋体" w:cs="Times New Roman"/>
                <w:color w:val="auto"/>
                <w:sz w:val="24"/>
                <w:szCs w:val="21"/>
                <w:highlight w:val="none"/>
              </w:rPr>
              <w:fldChar w:fldCharType="end"/>
            </w:r>
            <w:r>
              <w:rPr>
                <w:rFonts w:hint="eastAsia" w:ascii="宋体" w:hAnsi="宋体" w:cs="Times New Roman"/>
                <w:color w:val="auto"/>
                <w:sz w:val="24"/>
                <w:szCs w:val="21"/>
                <w:highlight w:val="none"/>
              </w:rPr>
              <w:t>针对麻醉科、手术室和外科病房，用于管理与手术麻醉相关的信息，实现有关数据的自动采集、报告的自动生成以及满足手术麻醉的业务管理需求。</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基础设置</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手术类型设置可区分计划手术与非计划手术（急诊/择期）。</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bCs/>
                <w:color w:val="auto"/>
                <w:sz w:val="24"/>
                <w:szCs w:val="21"/>
                <w:highlight w:val="none"/>
              </w:rPr>
              <w:t>麻醉准备</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接收并安排</w:t>
            </w:r>
            <w:r>
              <w:rPr>
                <w:rFonts w:ascii="宋体" w:hAnsi="宋体" w:cs="Times New Roman"/>
                <w:color w:val="auto"/>
                <w:sz w:val="24"/>
                <w:szCs w:val="21"/>
                <w:highlight w:val="none"/>
              </w:rPr>
              <w:t>HIS下达的手术申请信息。</w:t>
            </w:r>
            <w:r>
              <w:rPr>
                <w:rFonts w:hint="eastAsia" w:ascii="宋体" w:hAnsi="宋体" w:cs="Times New Roman"/>
                <w:color w:val="auto"/>
                <w:sz w:val="24"/>
                <w:szCs w:val="21"/>
                <w:highlight w:val="none"/>
              </w:rPr>
              <w:t>麻醉医师查看手术安排记录并支持麻醉相关信息的修正完善。根据患者病情、病史以及麻醉方法等，拟定患者麻醉计划。可自动生成手术通知单、患者知情同意书、术前访视单，并提供手术准备、材料准备清单。</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信息调阅</w:t>
            </w:r>
          </w:p>
        </w:tc>
        <w:tc>
          <w:tcPr>
            <w:tcW w:w="5527" w:type="dxa"/>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color w:val="auto"/>
                <w:sz w:val="24"/>
                <w:szCs w:val="21"/>
                <w:highlight w:val="none"/>
              </w:rPr>
              <w:t>通过与</w:t>
            </w:r>
            <w:r>
              <w:rPr>
                <w:rFonts w:ascii="宋体" w:hAnsi="宋体" w:cs="Times New Roman"/>
                <w:color w:val="auto"/>
                <w:sz w:val="24"/>
                <w:szCs w:val="21"/>
                <w:highlight w:val="none"/>
              </w:rPr>
              <w:t>HIS</w:t>
            </w:r>
            <w:r>
              <w:rPr>
                <w:rFonts w:hint="eastAsia" w:ascii="宋体" w:hAnsi="宋体" w:cs="Times New Roman"/>
                <w:color w:val="auto"/>
                <w:sz w:val="24"/>
                <w:szCs w:val="21"/>
                <w:highlight w:val="none"/>
              </w:rPr>
              <w:t>、EMR、PACS和LIS</w:t>
            </w:r>
            <w:r>
              <w:rPr>
                <w:rFonts w:ascii="宋体" w:hAnsi="宋体" w:cs="Times New Roman"/>
                <w:color w:val="auto"/>
                <w:sz w:val="24"/>
                <w:szCs w:val="21"/>
                <w:highlight w:val="none"/>
              </w:rPr>
              <w:t>系统集成，提取患者基本信息、医嘱信息、住院信息、手术申请信息</w:t>
            </w:r>
            <w:r>
              <w:rPr>
                <w:rFonts w:hint="eastAsia" w:ascii="宋体" w:hAnsi="宋体" w:cs="Times New Roman"/>
                <w:color w:val="auto"/>
                <w:sz w:val="24"/>
                <w:szCs w:val="21"/>
                <w:highlight w:val="none"/>
              </w:rPr>
              <w:t>、术前影像信息、术前检验结果</w:t>
            </w:r>
            <w:r>
              <w:rPr>
                <w:rFonts w:ascii="宋体" w:hAnsi="宋体" w:cs="Times New Roman"/>
                <w:color w:val="auto"/>
                <w:sz w:val="24"/>
                <w:szCs w:val="21"/>
                <w:highlight w:val="none"/>
              </w:rPr>
              <w:t>等</w:t>
            </w:r>
            <w:r>
              <w:rPr>
                <w:rFonts w:hint="eastAsia" w:ascii="宋体" w:hAnsi="宋体" w:cs="Times New Roman"/>
                <w:color w:val="auto"/>
                <w:sz w:val="24"/>
                <w:szCs w:val="21"/>
                <w:highlight w:val="none"/>
              </w:rPr>
              <w:t>，可</w:t>
            </w:r>
            <w:r>
              <w:rPr>
                <w:rFonts w:ascii="宋体" w:hAnsi="宋体" w:cs="Times New Roman"/>
                <w:color w:val="auto"/>
                <w:sz w:val="24"/>
                <w:szCs w:val="21"/>
                <w:highlight w:val="none"/>
              </w:rPr>
              <w:t>调阅患者的住院病历病程</w:t>
            </w:r>
            <w:r>
              <w:rPr>
                <w:rFonts w:hint="eastAsia" w:ascii="宋体" w:hAnsi="宋体" w:cs="Times New Roman"/>
                <w:color w:val="auto"/>
                <w:sz w:val="24"/>
                <w:szCs w:val="21"/>
                <w:highlight w:val="none"/>
              </w:rPr>
              <w:t>。</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麻醉术前评估及评分</w:t>
            </w:r>
          </w:p>
        </w:tc>
        <w:tc>
          <w:tcPr>
            <w:tcW w:w="5527" w:type="dxa"/>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color w:val="auto"/>
                <w:sz w:val="24"/>
                <w:szCs w:val="21"/>
                <w:highlight w:val="none"/>
              </w:rPr>
              <w:t>能够与多系统进行数据交换，配合麻醉术前访视结果，快速完成麻醉术前评估及评分功能。</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手术流程及状态</w:t>
            </w:r>
          </w:p>
        </w:tc>
        <w:tc>
          <w:tcPr>
            <w:tcW w:w="5527" w:type="dxa"/>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color w:val="auto"/>
                <w:sz w:val="24"/>
                <w:szCs w:val="21"/>
                <w:highlight w:val="none"/>
              </w:rPr>
              <w:t>以时间轴的方式显示患者的手术流程，以醒目的方式显示当前手术状态，并显示患者当前状态的医疗文书。</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生命体征数据</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将采集到的监护仪、麻醉机生命体征参数记录在麻醉单上</w:t>
            </w:r>
            <w:r>
              <w:rPr>
                <w:rFonts w:ascii="宋体" w:hAnsi="宋体" w:cs="Times New Roman"/>
                <w:color w:val="auto"/>
                <w:sz w:val="24"/>
                <w:szCs w:val="21"/>
                <w:highlight w:val="none"/>
              </w:rPr>
              <w:t>。</w:t>
            </w:r>
            <w:r>
              <w:rPr>
                <w:rFonts w:hint="eastAsia" w:ascii="宋体" w:hAnsi="宋体" w:cs="Times New Roman"/>
                <w:color w:val="auto"/>
                <w:sz w:val="24"/>
                <w:szCs w:val="21"/>
                <w:highlight w:val="none"/>
              </w:rPr>
              <w:t>同时不干扰麻醉记录单趋势图的正常显示。</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手术情况查询统计</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支持查询围手术期用血等情况。支持统计每位医生该年度手术开展例数手术并发症例数、非计划二次手术例数、是否越级开展手术等。</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相关记录单</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生成护理记录单、麻醉总结记录单、复苏记录单、生成术后随访单和术后镇痛记录单，提供器械清点单。</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术后记录</w:t>
            </w:r>
          </w:p>
        </w:tc>
        <w:tc>
          <w:tcPr>
            <w:tcW w:w="5527" w:type="dxa"/>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color w:val="auto"/>
                <w:sz w:val="24"/>
                <w:szCs w:val="21"/>
                <w:highlight w:val="none"/>
              </w:rPr>
              <w:t>对手术患者进行术后手术信息登记，便于术后统计。手术过程信息、手术物品清点与核对数据成为手术记录内容。</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麻醉病案管理</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对已完成的麻醉病案进行提交，支持将患者麻醉病案上传至电子病历系统。打印患者的麻醉相关病案，可以打印病案后自动完成病案归档。</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手术麻醉记录查阅</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麻醉记录供全院共享，提供其他系统数据接口。能够查阅指定患者历史住院的手术麻醉记录。</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麻醉质量控制管理</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提供手术安全核查单，对应手术状态在麻醉实施前、手术开始前和手术结束后对手术相关信息进行手术医生、护士、麻醉医生三方确认。</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评分评估</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提供麻醉</w:t>
            </w:r>
            <w:r>
              <w:rPr>
                <w:rFonts w:ascii="宋体" w:hAnsi="宋体" w:cs="Times New Roman"/>
                <w:color w:val="auto"/>
                <w:sz w:val="24"/>
                <w:szCs w:val="21"/>
                <w:highlight w:val="none"/>
              </w:rPr>
              <w:t>Steward苏醒评分</w:t>
            </w:r>
            <w:r>
              <w:rPr>
                <w:rFonts w:hint="eastAsia" w:ascii="宋体" w:hAnsi="宋体" w:cs="Times New Roman"/>
                <w:color w:val="auto"/>
                <w:sz w:val="24"/>
                <w:szCs w:val="21"/>
                <w:highlight w:val="none"/>
              </w:rPr>
              <w:t>和疼痛评分。支持</w:t>
            </w:r>
            <w:r>
              <w:rPr>
                <w:rFonts w:ascii="宋体" w:hAnsi="宋体" w:cs="Times New Roman"/>
                <w:color w:val="auto"/>
                <w:sz w:val="24"/>
                <w:szCs w:val="21"/>
                <w:highlight w:val="none"/>
              </w:rPr>
              <w:t>APACHE评分、TISS评分、PRAS麻醉恢复评分等多种评分方法。</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统计查询</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统计手术总例数及临床手术科室分类例数、麻醉科麻醉例数及平均麻醉时长、麻醉医生例数及平均麻醉时长；统计指定日期范围内的术后镇痛患者信息、全科或者指定医生不同麻醉方法的手术例数、</w:t>
            </w:r>
            <w:r>
              <w:rPr>
                <w:rFonts w:ascii="宋体" w:hAnsi="宋体" w:cs="Times New Roman"/>
                <w:color w:val="auto"/>
                <w:sz w:val="24"/>
                <w:szCs w:val="21"/>
                <w:highlight w:val="none"/>
              </w:rPr>
              <w:t>ASA分级例数及对应的术后死亡例数</w:t>
            </w:r>
            <w:r>
              <w:rPr>
                <w:rFonts w:hint="eastAsia" w:ascii="宋体" w:hAnsi="宋体" w:cs="Times New Roman"/>
                <w:color w:val="auto"/>
                <w:sz w:val="24"/>
                <w:szCs w:val="21"/>
                <w:highlight w:val="none"/>
              </w:rPr>
              <w:t>等</w:t>
            </w:r>
            <w:r>
              <w:rPr>
                <w:rFonts w:ascii="宋体" w:hAnsi="宋体" w:cs="Times New Roman"/>
                <w:color w:val="auto"/>
                <w:sz w:val="24"/>
                <w:szCs w:val="21"/>
                <w:highlight w:val="none"/>
              </w:rPr>
              <w:t>。</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用户权限管理</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支持创建用户，包括登陆用户名、密码及所在科室。为指定用户分配角色以获得相应的程序访问权限。可以分配指定角色所具备的系统权限。可对麻醉医师资格分级授权管理。</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医护患协同</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支持通过大屏显示当天手术安排信息。支持通过家属区大屏显示当天患者手术状态。可配置大屏公告显示的内容及显示效果。</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手术排班</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能够查看从</w:t>
            </w:r>
            <w:r>
              <w:rPr>
                <w:rFonts w:ascii="宋体" w:hAnsi="宋体" w:cs="Times New Roman"/>
                <w:color w:val="auto"/>
                <w:sz w:val="24"/>
                <w:szCs w:val="21"/>
                <w:highlight w:val="none"/>
              </w:rPr>
              <w:t>HIS或EMR系统中下达并接收到的手术申请。</w:t>
            </w:r>
            <w:r>
              <w:rPr>
                <w:rFonts w:hint="eastAsia" w:ascii="宋体" w:hAnsi="宋体" w:cs="Times New Roman"/>
                <w:color w:val="auto"/>
                <w:sz w:val="24"/>
                <w:szCs w:val="21"/>
                <w:highlight w:val="none"/>
              </w:rPr>
              <w:t>可集中显示指定日期所有可安排的人员信息。记录预约手术的取消原因。根据手术安排情况自动生成符合医院要求的手术通知单。</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2"/>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麻醉监控与分析决策</w:t>
            </w:r>
          </w:p>
        </w:tc>
        <w:tc>
          <w:tcPr>
            <w:tcW w:w="5527" w:type="dxa"/>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显示科室今日手术安排、科室所有手术间的使用情况。显示手术间的当前手术患者信息、生命体征趋势等概况。</w:t>
            </w:r>
          </w:p>
        </w:tc>
        <w:tc>
          <w:tcPr>
            <w:tcW w:w="1553" w:type="dxa"/>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69" w:name="_Toc21160"/>
      <w:r>
        <w:rPr>
          <w:rFonts w:hint="eastAsia" w:ascii="宋体" w:hAnsi="宋体" w:cs="Times New Roman"/>
          <w:b/>
          <w:bCs/>
          <w:color w:val="auto"/>
          <w:kern w:val="0"/>
          <w:szCs w:val="21"/>
          <w:highlight w:val="none"/>
        </w:rPr>
        <w:t>5.5.7手术分级管理系统</w:t>
      </w:r>
      <w:bookmarkEnd w:id="69"/>
    </w:p>
    <w:tbl>
      <w:tblPr>
        <w:tblStyle w:val="18"/>
        <w:tblW w:w="9464" w:type="dxa"/>
        <w:jc w:val="center"/>
        <w:tblLayout w:type="autofit"/>
        <w:tblCellMar>
          <w:top w:w="0" w:type="dxa"/>
          <w:left w:w="108" w:type="dxa"/>
          <w:bottom w:w="0" w:type="dxa"/>
          <w:right w:w="108" w:type="dxa"/>
        </w:tblCellMar>
      </w:tblPr>
      <w:tblGrid>
        <w:gridCol w:w="457"/>
        <w:gridCol w:w="1643"/>
        <w:gridCol w:w="5527"/>
        <w:gridCol w:w="1837"/>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83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highlight w:val="none"/>
              </w:rPr>
              <w:t>以手术分级目录为基础,为具有不同专业技术职务、任职资格的手术医生授予相应的手术权限，在手术申请流程中实现分级审批，保障手术安全进行。</w:t>
            </w:r>
          </w:p>
        </w:tc>
        <w:tc>
          <w:tcPr>
            <w:tcW w:w="183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highlight w:val="none"/>
              </w:rPr>
              <w:t>手术等级设置</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highlight w:val="none"/>
              </w:rPr>
              <w:t>根据医疗机构级别和登记的诊疗科目，遵循国家、地方级的手术分级标准及ICD-9手术编码，设置不同的手术等级。</w:t>
            </w:r>
          </w:p>
        </w:tc>
        <w:tc>
          <w:tcPr>
            <w:tcW w:w="183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highlight w:val="none"/>
              </w:rPr>
            </w:pPr>
            <w:r>
              <w:rPr>
                <w:rFonts w:hint="eastAsia" w:ascii="宋体" w:hAnsi="宋体" w:cs="Times New Roman"/>
                <w:color w:val="auto"/>
                <w:sz w:val="24"/>
                <w:highlight w:val="none"/>
              </w:rPr>
              <w:t>手术分级授权</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highlight w:val="none"/>
              </w:rPr>
              <w:t>支持按医生手术职称自动或人工进行手术分级授权和审核，包括手术分级授权的新增、修改、删除、查询等功能。</w:t>
            </w:r>
          </w:p>
        </w:tc>
        <w:tc>
          <w:tcPr>
            <w:tcW w:w="183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highlight w:val="none"/>
              </w:rPr>
            </w:pPr>
            <w:r>
              <w:rPr>
                <w:rFonts w:hint="eastAsia" w:ascii="宋体" w:hAnsi="宋体" w:cs="Times New Roman"/>
                <w:color w:val="auto"/>
                <w:sz w:val="24"/>
                <w:highlight w:val="none"/>
              </w:rPr>
              <w:t>手术级别管理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highlight w:val="none"/>
              </w:rPr>
              <w:t>医生开具手术申请单时，根据手术技术难度、复杂性和风险度(如麻醉类型、是否输血、是否有附加手术等条件)进行手术级别确认。</w:t>
            </w:r>
          </w:p>
        </w:tc>
        <w:tc>
          <w:tcPr>
            <w:tcW w:w="183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3"/>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highlight w:val="none"/>
              </w:rPr>
            </w:pPr>
            <w:r>
              <w:rPr>
                <w:rFonts w:hint="eastAsia" w:ascii="宋体" w:hAnsi="宋体" w:cs="Times New Roman"/>
                <w:color w:val="auto"/>
                <w:sz w:val="24"/>
                <w:highlight w:val="none"/>
              </w:rPr>
              <w:t>分级审批管理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highlight w:val="none"/>
              </w:rPr>
              <w:t>支持对不同级别手术由不同级别医生进行审批。对资格准人手术、高度风险手术、急诊手术、新技术、新项目、科研手术等特殊手术分级审批。</w:t>
            </w:r>
          </w:p>
        </w:tc>
        <w:tc>
          <w:tcPr>
            <w:tcW w:w="183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snapToGrid w:val="0"/>
        <w:spacing w:line="360" w:lineRule="auto"/>
        <w:rPr>
          <w:rFonts w:ascii="宋体" w:hAnsi="宋体" w:cs="Times New Roman"/>
          <w:color w:val="auto"/>
          <w:sz w:val="24"/>
          <w:highlight w:val="none"/>
        </w:rPr>
      </w:pPr>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70" w:name="_Toc32723"/>
      <w:r>
        <w:rPr>
          <w:rFonts w:hint="eastAsia" w:ascii="宋体" w:hAnsi="宋体" w:cs="Times New Roman"/>
          <w:b/>
          <w:bCs/>
          <w:color w:val="auto"/>
          <w:kern w:val="0"/>
          <w:szCs w:val="21"/>
          <w:highlight w:val="none"/>
        </w:rPr>
        <w:t>5.5</w:t>
      </w:r>
      <w:r>
        <w:rPr>
          <w:rFonts w:ascii="宋体" w:hAnsi="宋体" w:cs="Times New Roman"/>
          <w:b/>
          <w:bCs/>
          <w:color w:val="auto"/>
          <w:kern w:val="0"/>
          <w:szCs w:val="21"/>
          <w:highlight w:val="none"/>
        </w:rPr>
        <w:t>.8</w:t>
      </w:r>
      <w:r>
        <w:rPr>
          <w:rFonts w:hint="eastAsia" w:ascii="宋体" w:hAnsi="宋体" w:cs="Times New Roman"/>
          <w:b/>
          <w:bCs/>
          <w:color w:val="auto"/>
          <w:kern w:val="0"/>
          <w:szCs w:val="21"/>
          <w:highlight w:val="none"/>
        </w:rPr>
        <w:t>重症监护管理系统</w:t>
      </w:r>
      <w:bookmarkEnd w:id="70"/>
    </w:p>
    <w:tbl>
      <w:tblPr>
        <w:tblStyle w:val="18"/>
        <w:tblW w:w="9180" w:type="dxa"/>
        <w:jc w:val="center"/>
        <w:tblLayout w:type="autofit"/>
        <w:tblCellMar>
          <w:top w:w="0" w:type="dxa"/>
          <w:left w:w="108" w:type="dxa"/>
          <w:bottom w:w="0" w:type="dxa"/>
          <w:right w:w="108" w:type="dxa"/>
        </w:tblCellMar>
      </w:tblPr>
      <w:tblGrid>
        <w:gridCol w:w="457"/>
        <w:gridCol w:w="1643"/>
        <w:gridCol w:w="5527"/>
        <w:gridCol w:w="1553"/>
      </w:tblGrid>
      <w:tr>
        <w:tblPrEx>
          <w:tblCellMar>
            <w:top w:w="0" w:type="dxa"/>
            <w:left w:w="108" w:type="dxa"/>
            <w:bottom w:w="0" w:type="dxa"/>
            <w:right w:w="108" w:type="dxa"/>
          </w:tblCellMar>
        </w:tblPrEx>
        <w:trPr>
          <w:tblHeader/>
          <w:jc w:val="center"/>
        </w:trPr>
        <w:tc>
          <w:tcPr>
            <w:tcW w:w="457" w:type="dxa"/>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553" w:type="dxa"/>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总体要求</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bCs/>
                <w:color w:val="auto"/>
                <w:sz w:val="24"/>
                <w:szCs w:val="21"/>
                <w:highlight w:val="none"/>
              </w:rPr>
              <w:t>实现对I</w:t>
            </w:r>
            <w:r>
              <w:rPr>
                <w:rFonts w:ascii="宋体" w:hAnsi="宋体" w:cs="Times New Roman"/>
                <w:bCs/>
                <w:color w:val="auto"/>
                <w:sz w:val="24"/>
                <w:szCs w:val="21"/>
                <w:highlight w:val="none"/>
              </w:rPr>
              <w:t>CU数据</w:t>
            </w:r>
            <w:r>
              <w:rPr>
                <w:rFonts w:hint="eastAsia" w:ascii="宋体" w:hAnsi="宋体" w:cs="Times New Roman"/>
                <w:bCs/>
                <w:color w:val="auto"/>
                <w:sz w:val="24"/>
                <w:szCs w:val="21"/>
                <w:highlight w:val="none"/>
              </w:rPr>
              <w:t>实时</w:t>
            </w:r>
            <w:r>
              <w:rPr>
                <w:rFonts w:ascii="宋体" w:hAnsi="宋体" w:cs="Times New Roman"/>
                <w:bCs/>
                <w:color w:val="auto"/>
                <w:sz w:val="24"/>
                <w:szCs w:val="21"/>
                <w:highlight w:val="none"/>
              </w:rPr>
              <w:t>采集、管理与整</w:t>
            </w:r>
            <w:r>
              <w:rPr>
                <w:rFonts w:hint="eastAsia" w:ascii="宋体" w:hAnsi="宋体" w:cs="Times New Roman"/>
                <w:bCs/>
                <w:color w:val="auto"/>
                <w:sz w:val="24"/>
                <w:szCs w:val="21"/>
                <w:highlight w:val="none"/>
              </w:rPr>
              <w:t>合，并进一步进行分析和筛选，帮助医护人员在繁忙的各种信息中迅速精确的完成诊断，并确定最有效的重要信息进行预警和指导治疗，</w:t>
            </w:r>
            <w:r>
              <w:rPr>
                <w:rFonts w:ascii="宋体" w:hAnsi="宋体" w:cs="Times New Roman"/>
                <w:bCs/>
                <w:color w:val="auto"/>
                <w:sz w:val="24"/>
                <w:szCs w:val="21"/>
                <w:highlight w:val="none"/>
              </w:rPr>
              <w:t>优化ICU患者管理。</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床位管理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包括患者管理、床位预约管理更换床位管理、患者基本信息管理、患者流转管理、设备绑定、入科管理、入科标准管理、待出科患者、出科患者查询、出科标准管理等功能。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医嘱管理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包括医嘱同步提取、医嘱执行路径、医嘱分类、药物医嘱处理、非药物医嘱处理、医嘱历史记录、自动护理记录、抢救医嘱录入等功能。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体征监测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具备监护设备自动采集、体征监测（支持手工录入）、患者监测项目（包括基本生命体征信息，呼吸机条件，出入量平衡记录和计算、</w:t>
            </w:r>
            <w:r>
              <w:rPr>
                <w:rFonts w:ascii="宋体" w:hAnsi="宋体" w:cs="Times New Roman"/>
                <w:bCs/>
                <w:color w:val="auto"/>
                <w:sz w:val="24"/>
                <w:szCs w:val="21"/>
                <w:highlight w:val="none"/>
              </w:rPr>
              <w:t>CRRT、泵入药物、瞳孔、神志、疼痛、各种观察和评分记录等</w:t>
            </w:r>
            <w:r>
              <w:rPr>
                <w:rFonts w:hint="eastAsia" w:ascii="宋体" w:hAnsi="宋体" w:cs="Times New Roman"/>
                <w:bCs/>
                <w:color w:val="auto"/>
                <w:sz w:val="24"/>
                <w:szCs w:val="21"/>
                <w:highlight w:val="none"/>
              </w:rPr>
              <w:t>）、体征异常报警、可能够提供</w:t>
            </w:r>
            <w:r>
              <w:rPr>
                <w:rFonts w:ascii="宋体" w:hAnsi="宋体" w:cs="Times New Roman"/>
                <w:bCs/>
                <w:color w:val="auto"/>
                <w:sz w:val="24"/>
                <w:szCs w:val="21"/>
                <w:highlight w:val="none"/>
              </w:rPr>
              <w:t>1种以上风险评分功能。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出入量监测</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bCs/>
                <w:color w:val="auto"/>
                <w:sz w:val="24"/>
                <w:szCs w:val="21"/>
                <w:highlight w:val="none"/>
              </w:rPr>
              <w:t>提供出入量记录、出入量趋势分析等功能。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bCs/>
                <w:color w:val="auto"/>
                <w:sz w:val="24"/>
                <w:szCs w:val="21"/>
                <w:highlight w:val="none"/>
              </w:rPr>
              <w:t>护理记录</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bCs/>
                <w:color w:val="auto"/>
                <w:sz w:val="24"/>
                <w:szCs w:val="21"/>
                <w:highlight w:val="none"/>
              </w:rPr>
              <w:t>对所有系统已有采集类或操作类的数据自动集成到护理记录单中，支持用户自定设置护理记录模板能，提供患者入科期间历史护理记录总览、支持条件筛选，提供基础护理配置及快捷记录功能。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护理计划</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依据护理计划的相关逻辑和知识库支撑，提供诊断到目标、措施、行为的自动生成过程，帮助护士快速进行护理计划和具体措施实施的制定和执行。同时提供护理计划与模板维护等功能。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病历查询</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支持检查检验信息查询和病历查看等功能。</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评估评分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提供近</w:t>
            </w:r>
            <w:r>
              <w:rPr>
                <w:rFonts w:ascii="宋体" w:hAnsi="宋体" w:cs="Times New Roman"/>
                <w:bCs/>
                <w:color w:val="auto"/>
                <w:sz w:val="24"/>
                <w:szCs w:val="21"/>
                <w:highlight w:val="none"/>
              </w:rPr>
              <w:t>50种与重症医学相关的医学评估评分库，支持数据集成模式自动提取评分项目所需要的相关数据，提供历次评分记录以自动形成相应的评分视图，支持与临床辅诊模块的医生评估评分的交互。</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病情总览</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支持显示患者生命体征信息和趋势，动态展示</w:t>
            </w:r>
            <w:r>
              <w:rPr>
                <w:rFonts w:ascii="宋体" w:hAnsi="宋体" w:cs="Times New Roman"/>
                <w:bCs/>
                <w:color w:val="auto"/>
                <w:sz w:val="24"/>
                <w:szCs w:val="21"/>
                <w:highlight w:val="none"/>
              </w:rPr>
              <w:t>24小时生命体征变化趋势。汇集24小时出入量平衡变化并展示趋势，提供任意班次内出入量平衡分析。显示患者最近一次的主要评分并标识评分的危机程度。</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jc w:val="center"/>
        </w:trPr>
        <w:tc>
          <w:tcPr>
            <w:tcW w:w="457" w:type="dxa"/>
            <w:tcBorders>
              <w:top w:val="single" w:color="auto" w:sz="4" w:space="0"/>
              <w:left w:val="single" w:color="auto" w:sz="4" w:space="0"/>
              <w:bottom w:val="single" w:color="auto" w:sz="4" w:space="0"/>
              <w:right w:val="single" w:color="auto" w:sz="4" w:space="0"/>
            </w:tcBorders>
            <w:noWrap/>
            <w:vAlign w:val="center"/>
          </w:tcPr>
          <w:p>
            <w:pPr>
              <w:numPr>
                <w:ilvl w:val="0"/>
                <w:numId w:val="54"/>
              </w:numPr>
              <w:snapToGrid w:val="0"/>
              <w:spacing w:line="360" w:lineRule="auto"/>
              <w:jc w:val="center"/>
              <w:rPr>
                <w:rFonts w:ascii="宋体" w:hAnsi="宋体" w:cs="宋体"/>
                <w:color w:val="auto"/>
                <w:kern w:val="0"/>
                <w:szCs w:val="21"/>
                <w:highlight w:val="none"/>
              </w:rPr>
            </w:pPr>
          </w:p>
        </w:tc>
        <w:tc>
          <w:tcPr>
            <w:tcW w:w="16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系统管理</w:t>
            </w:r>
          </w:p>
        </w:tc>
        <w:tc>
          <w:tcPr>
            <w:tcW w:w="5527"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Times New Roman"/>
                <w:bCs/>
                <w:color w:val="auto"/>
                <w:sz w:val="24"/>
                <w:szCs w:val="21"/>
                <w:highlight w:val="none"/>
              </w:rPr>
            </w:pPr>
            <w:r>
              <w:rPr>
                <w:rFonts w:hint="eastAsia" w:ascii="宋体" w:hAnsi="宋体" w:cs="Times New Roman"/>
                <w:bCs/>
                <w:color w:val="auto"/>
                <w:sz w:val="24"/>
                <w:szCs w:val="21"/>
                <w:highlight w:val="none"/>
              </w:rPr>
              <w:t>支持相关各类常规查询，如1</w:t>
            </w:r>
            <w:r>
              <w:rPr>
                <w:rFonts w:ascii="宋体" w:hAnsi="宋体" w:cs="Times New Roman"/>
                <w:bCs/>
                <w:color w:val="auto"/>
                <w:sz w:val="24"/>
                <w:szCs w:val="21"/>
                <w:highlight w:val="none"/>
              </w:rPr>
              <w:t>5</w:t>
            </w:r>
            <w:r>
              <w:rPr>
                <w:rFonts w:hint="eastAsia" w:ascii="宋体" w:hAnsi="宋体" w:cs="Times New Roman"/>
                <w:bCs/>
                <w:color w:val="auto"/>
                <w:sz w:val="24"/>
                <w:szCs w:val="21"/>
                <w:highlight w:val="none"/>
              </w:rPr>
              <w:t>项质控指标、ICU患者收治率、</w:t>
            </w:r>
            <w:r>
              <w:rPr>
                <w:rFonts w:ascii="宋体" w:hAnsi="宋体" w:cs="Times New Roman"/>
                <w:bCs/>
                <w:color w:val="auto"/>
                <w:sz w:val="24"/>
                <w:szCs w:val="21"/>
                <w:highlight w:val="none"/>
              </w:rPr>
              <w:t>感染性休克3h集束化治疗（bundle）完成率</w:t>
            </w:r>
            <w:r>
              <w:rPr>
                <w:rFonts w:hint="eastAsia" w:ascii="宋体" w:hAnsi="宋体" w:cs="Times New Roman"/>
                <w:bCs/>
                <w:color w:val="auto"/>
                <w:sz w:val="24"/>
                <w:szCs w:val="21"/>
                <w:highlight w:val="none"/>
              </w:rPr>
              <w:t>等。支持与H</w:t>
            </w:r>
            <w:r>
              <w:rPr>
                <w:rFonts w:ascii="宋体" w:hAnsi="宋体" w:cs="Times New Roman"/>
                <w:bCs/>
                <w:color w:val="auto"/>
                <w:sz w:val="24"/>
                <w:szCs w:val="21"/>
                <w:highlight w:val="none"/>
              </w:rPr>
              <w:t>IS</w:t>
            </w:r>
            <w:r>
              <w:rPr>
                <w:rFonts w:hint="eastAsia" w:ascii="宋体" w:hAnsi="宋体" w:cs="Times New Roman"/>
                <w:bCs/>
                <w:color w:val="auto"/>
                <w:sz w:val="24"/>
                <w:szCs w:val="21"/>
                <w:highlight w:val="none"/>
              </w:rPr>
              <w:t>、L</w:t>
            </w:r>
            <w:r>
              <w:rPr>
                <w:rFonts w:ascii="宋体" w:hAnsi="宋体" w:cs="Times New Roman"/>
                <w:bCs/>
                <w:color w:val="auto"/>
                <w:sz w:val="24"/>
                <w:szCs w:val="21"/>
                <w:highlight w:val="none"/>
              </w:rPr>
              <w:t>IS</w:t>
            </w:r>
            <w:r>
              <w:rPr>
                <w:rFonts w:hint="eastAsia" w:ascii="宋体" w:hAnsi="宋体" w:cs="Times New Roman"/>
                <w:bCs/>
                <w:color w:val="auto"/>
                <w:sz w:val="24"/>
                <w:szCs w:val="21"/>
                <w:highlight w:val="none"/>
              </w:rPr>
              <w:t>、P</w:t>
            </w:r>
            <w:r>
              <w:rPr>
                <w:rFonts w:ascii="宋体" w:hAnsi="宋体" w:cs="Times New Roman"/>
                <w:bCs/>
                <w:color w:val="auto"/>
                <w:sz w:val="24"/>
                <w:szCs w:val="21"/>
                <w:highlight w:val="none"/>
              </w:rPr>
              <w:t>ACS</w:t>
            </w:r>
            <w:r>
              <w:rPr>
                <w:rFonts w:hint="eastAsia" w:ascii="宋体" w:hAnsi="宋体" w:cs="Times New Roman"/>
                <w:bCs/>
                <w:color w:val="auto"/>
                <w:sz w:val="24"/>
                <w:szCs w:val="21"/>
                <w:highlight w:val="none"/>
              </w:rPr>
              <w:t>-</w:t>
            </w:r>
            <w:r>
              <w:rPr>
                <w:rFonts w:ascii="宋体" w:hAnsi="宋体" w:cs="Times New Roman"/>
                <w:bCs/>
                <w:color w:val="auto"/>
                <w:sz w:val="24"/>
                <w:szCs w:val="21"/>
                <w:highlight w:val="none"/>
              </w:rPr>
              <w:t>RIS</w:t>
            </w:r>
            <w:r>
              <w:rPr>
                <w:rFonts w:hint="eastAsia" w:ascii="宋体" w:hAnsi="宋体" w:cs="Times New Roman"/>
                <w:bCs/>
                <w:color w:val="auto"/>
                <w:sz w:val="24"/>
                <w:szCs w:val="21"/>
                <w:highlight w:val="none"/>
              </w:rPr>
              <w:t>、E</w:t>
            </w:r>
            <w:r>
              <w:rPr>
                <w:rFonts w:ascii="宋体" w:hAnsi="宋体" w:cs="Times New Roman"/>
                <w:bCs/>
                <w:color w:val="auto"/>
                <w:sz w:val="24"/>
                <w:szCs w:val="21"/>
                <w:highlight w:val="none"/>
              </w:rPr>
              <w:t>MR</w:t>
            </w:r>
            <w:r>
              <w:rPr>
                <w:rFonts w:hint="eastAsia" w:ascii="宋体" w:hAnsi="宋体" w:cs="Times New Roman"/>
                <w:bCs/>
                <w:color w:val="auto"/>
                <w:sz w:val="24"/>
                <w:szCs w:val="21"/>
                <w:highlight w:val="none"/>
              </w:rPr>
              <w:t>等系统实现信息集成，与床边等仪器设备集成。</w:t>
            </w:r>
          </w:p>
        </w:tc>
        <w:tc>
          <w:tcPr>
            <w:tcW w:w="1553" w:type="dxa"/>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71" w:name="_Toc21185"/>
      <w:r>
        <w:rPr>
          <w:rFonts w:hint="eastAsia" w:ascii="宋体" w:hAnsi="宋体" w:cs="Times New Roman"/>
          <w:b/>
          <w:bCs/>
          <w:color w:val="auto"/>
          <w:kern w:val="0"/>
          <w:szCs w:val="21"/>
          <w:highlight w:val="none"/>
        </w:rPr>
        <w:t>5.5.</w:t>
      </w:r>
      <w:r>
        <w:rPr>
          <w:rFonts w:ascii="宋体" w:hAnsi="宋体" w:cs="Times New Roman"/>
          <w:b/>
          <w:bCs/>
          <w:color w:val="auto"/>
          <w:kern w:val="0"/>
          <w:szCs w:val="21"/>
          <w:highlight w:val="none"/>
        </w:rPr>
        <w:t>9</w:t>
      </w:r>
      <w:r>
        <w:rPr>
          <w:rFonts w:hint="eastAsia" w:ascii="宋体" w:hAnsi="宋体" w:cs="Times New Roman"/>
          <w:b/>
          <w:bCs/>
          <w:color w:val="auto"/>
          <w:kern w:val="0"/>
          <w:szCs w:val="21"/>
          <w:highlight w:val="none"/>
        </w:rPr>
        <w:t>临床路径管理系统</w:t>
      </w:r>
      <w:bookmarkEnd w:id="71"/>
    </w:p>
    <w:tbl>
      <w:tblPr>
        <w:tblStyle w:val="1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643"/>
        <w:gridCol w:w="552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7"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1643"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5527"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1695" w:type="dxa"/>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noWrap/>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病种定义</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定义需要执行临床路径的病种,支持指定病种适用的科室,路径费用设置、路径审核。路径停用配置等。提供根据标准住院天数的设置来设置病例的标准诊疗费用。</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restart"/>
            <w:noWrap/>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路径设计</w:t>
            </w: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常用模板的配置功能,如医嘱模板,护理模板,检查模板。检验模板,手术模板等；支持模板按不同属性分类,如按模板类型,病种,西医诊断,中医诊断,中医证型等。</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continue"/>
            <w:noWrap/>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在设置临床路径时,支持调用临床路径内容模板,对模板进行选择性引用,支持在模板引用后修改。模板类型至少包括引用时间模板(如入院第一天所需完成的项目和术后三天所需完成的项目)引用临床业务模板(如医嘱模板,护理模板,检查模板,检验模板等),引用执行人类型模板(如护理人员模板等)。</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宋体"/>
                <w:color w:val="auto"/>
                <w:kern w:val="0"/>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临床科室有权限做路径，但无权限开启路径。</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restart"/>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路径内容定义</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以时间为主轴对路径表单内容进行定义。针对不同病种,制定不同临床路径。一个病种可制定多条治疗路径和子路径。</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宋体"/>
                <w:color w:val="auto"/>
                <w:kern w:val="0"/>
                <w:sz w:val="24"/>
                <w:szCs w:val="21"/>
                <w:highlight w:val="none"/>
              </w:rPr>
            </w:pP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设置每个路径日(阶段日)需完成治疗,路径内容主要包括常规诊疗项目,检验项目。检查项目,药品,手术项目,营养项目,护理项目,中医特色治疗项目等。</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进入路径规则管理</w:t>
            </w:r>
          </w:p>
        </w:tc>
        <w:tc>
          <w:tcPr>
            <w:tcW w:w="5527" w:type="dxa"/>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提供多种入径判断规则配置,如西医诊断名称匹配。中医诊断名称匹配,中医证型名称匹配等；支持自动入径和手动入径规则配置。</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restart"/>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路径变异规则管理</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提供多种变异规则配置,包括完整性规则，路径中规定必须限时完成的路径内容,如果未完成,必须填写变异原因；依存性规则，某项内容的填写必须依赖于其他内容的填写,如诊疗工作和医嘱项的某些关联项,必须同时填写或者同时不填写。路径变异时输人变异原因。</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路径自定义变异预警控制。</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退出路径规则管理</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路径准出条件设置,如治愈好转,未愈等情况；路径异常退出,要提示输人退出原因。开出院医嘱或转科医嘱时提示医师完成或退出路径。</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restart"/>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路径质控</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可实时查看各临床科室路径运行情况。</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ascii="宋体" w:hAnsi="宋体" w:cs="Times New Roman"/>
                <w:color w:val="auto"/>
                <w:sz w:val="24"/>
                <w:szCs w:val="21"/>
                <w:highlight w:val="none"/>
              </w:rPr>
              <w:t>根据路径执行情况，给出路径执行统计、路径执行趋势分析、路径变异分析等各种统计分析报表和图形。</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支持临床路径的实施过程和效果评价分析；根据评价分析结果,对标准临床路径进行评价，修改完善。</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Merge w:val="continue"/>
            <w:vAlign w:val="center"/>
          </w:tcPr>
          <w:p>
            <w:pPr>
              <w:snapToGrid w:val="0"/>
              <w:spacing w:line="360" w:lineRule="auto"/>
              <w:jc w:val="left"/>
              <w:rPr>
                <w:rFonts w:ascii="宋体" w:hAnsi="宋体" w:cs="Times New Roman"/>
                <w:color w:val="auto"/>
                <w:sz w:val="24"/>
                <w:szCs w:val="21"/>
                <w:highlight w:val="none"/>
              </w:rPr>
            </w:pP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能够按照时间顺序提取符合上报单病种的病历资料，支持提取上报的单病种数据。</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ign w:val="center"/>
          </w:tcPr>
          <w:p>
            <w:pPr>
              <w:numPr>
                <w:ilvl w:val="0"/>
                <w:numId w:val="55"/>
              </w:numPr>
              <w:snapToGrid w:val="0"/>
              <w:spacing w:line="360" w:lineRule="auto"/>
              <w:jc w:val="center"/>
              <w:rPr>
                <w:rFonts w:ascii="宋体" w:hAnsi="宋体" w:cs="宋体"/>
                <w:color w:val="auto"/>
                <w:kern w:val="0"/>
                <w:szCs w:val="21"/>
                <w:highlight w:val="none"/>
              </w:rPr>
            </w:pPr>
          </w:p>
        </w:tc>
        <w:tc>
          <w:tcPr>
            <w:tcW w:w="1643"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查询统计</w:t>
            </w:r>
          </w:p>
        </w:tc>
        <w:tc>
          <w:tcPr>
            <w:tcW w:w="5527" w:type="dxa"/>
            <w:vAlign w:val="center"/>
          </w:tcPr>
          <w:p>
            <w:pPr>
              <w:snapToGrid w:val="0"/>
              <w:spacing w:line="360" w:lineRule="auto"/>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面向医院管理层,临床科室管理者,临床路径执行者等不同级别的查询功能。包括全院级科室级使用的各个临床路径的使用人次,变更人次,终止人次,完成人次,符合路径数,纳入路径数,执行率,治愈率,变异率,平均住院费用,平均药品费用,平均住院天数等指标的统计分析。</w:t>
            </w:r>
          </w:p>
        </w:tc>
        <w:tc>
          <w:tcPr>
            <w:tcW w:w="1695" w:type="dxa"/>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72" w:name="_Toc2712"/>
      <w:r>
        <w:rPr>
          <w:rFonts w:hint="eastAsia" w:ascii="宋体" w:hAnsi="宋体" w:cs="Times New Roman"/>
          <w:b/>
          <w:bCs/>
          <w:color w:val="auto"/>
          <w:kern w:val="0"/>
          <w:szCs w:val="21"/>
          <w:highlight w:val="none"/>
          <w:lang w:val="zh-CN"/>
        </w:rPr>
        <w:t>5.6移动医疗管理</w:t>
      </w:r>
      <w:bookmarkEnd w:id="72"/>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73" w:name="_Toc20827"/>
      <w:r>
        <w:rPr>
          <w:rFonts w:hint="eastAsia" w:ascii="宋体" w:hAnsi="宋体" w:cs="Times New Roman"/>
          <w:b/>
          <w:bCs/>
          <w:color w:val="auto"/>
          <w:kern w:val="0"/>
          <w:szCs w:val="21"/>
          <w:highlight w:val="none"/>
        </w:rPr>
        <w:t>5.6.1移动查房管理</w:t>
      </w:r>
      <w:bookmarkEnd w:id="73"/>
    </w:p>
    <w:p>
      <w:pPr>
        <w:rPr>
          <w:color w:val="auto"/>
          <w:highlight w:val="none"/>
        </w:rPr>
      </w:pPr>
      <w:bookmarkStart w:id="74" w:name="_Toc29095"/>
    </w:p>
    <w:tbl>
      <w:tblPr>
        <w:tblStyle w:val="18"/>
        <w:tblW w:w="5000" w:type="pct"/>
        <w:jc w:val="center"/>
        <w:tblLayout w:type="autofit"/>
        <w:tblCellMar>
          <w:top w:w="0" w:type="dxa"/>
          <w:left w:w="108" w:type="dxa"/>
          <w:bottom w:w="0" w:type="dxa"/>
          <w:right w:w="108" w:type="dxa"/>
        </w:tblCellMar>
      </w:tblPr>
      <w:tblGrid>
        <w:gridCol w:w="675"/>
        <w:gridCol w:w="1486"/>
        <w:gridCol w:w="5125"/>
        <w:gridCol w:w="1242"/>
      </w:tblGrid>
      <w:tr>
        <w:tblPrEx>
          <w:tblCellMar>
            <w:top w:w="0" w:type="dxa"/>
            <w:left w:w="108" w:type="dxa"/>
            <w:bottom w:w="0" w:type="dxa"/>
            <w:right w:w="108" w:type="dxa"/>
          </w:tblCellMar>
        </w:tblPrEx>
        <w:trPr>
          <w:trHeight w:val="510" w:hRule="atLeast"/>
          <w:tblHeader/>
          <w:jc w:val="center"/>
        </w:trPr>
        <w:tc>
          <w:tcPr>
            <w:tcW w:w="396"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7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05"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728"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w:t>
            </w:r>
          </w:p>
        </w:tc>
        <w:tc>
          <w:tcPr>
            <w:tcW w:w="871"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医学文献查询</w:t>
            </w: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支持调阅查询CDSS相关知识库文献材料</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w:t>
            </w:r>
          </w:p>
        </w:tc>
        <w:tc>
          <w:tcPr>
            <w:tcW w:w="871" w:type="pct"/>
            <w:vMerge w:val="restart"/>
            <w:tcBorders>
              <w:top w:val="nil"/>
              <w:left w:val="nil"/>
              <w:right w:val="single" w:color="auto" w:sz="4"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病人浏览</w:t>
            </w: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可按管床、病区、科室和全院不同范围查询病人</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6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3</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以卡片形式根据自定义设置查询和显示病人基本信息和资料，包括：姓名、性别、入院日期，入院诊断，费用类别等</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7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4</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以列表形式根据自定义设置显示病人的详细信息和资料，包括：费用清单，费用汇总统计，预交金，社保类型，手术日期，历次住院信息等</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5</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支持切换病人</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7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6</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支持多种方式切换浏览不同的内容：医嘱、病历、检验、检查、影像、体温单等</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7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7</w:t>
            </w:r>
          </w:p>
        </w:tc>
        <w:tc>
          <w:tcPr>
            <w:tcW w:w="871" w:type="pct"/>
            <w:vMerge w:val="continue"/>
            <w:tcBorders>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以图表界面，按病人入院的时间顺序展示每一项医嘱、检查、检验、手术、护理等项目概要内容，可直接点击查看详细内容</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101"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8</w:t>
            </w:r>
          </w:p>
        </w:tc>
        <w:tc>
          <w:tcPr>
            <w:tcW w:w="871" w:type="pct"/>
            <w:vMerge w:val="restart"/>
            <w:tcBorders>
              <w:top w:val="nil"/>
              <w:left w:val="nil"/>
              <w:right w:val="single" w:color="auto" w:sz="4" w:space="0"/>
            </w:tcBorders>
          </w:tcPr>
          <w:p>
            <w:pPr>
              <w:snapToGrid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病历浏览</w:t>
            </w: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查询和显示特定病人和特定时间段的病历信息</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9</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显示入院记录的建立时间、建立人、签名人和时间、病历状态，及入院记录的详细内容：专科检查、体检检查、辅助检查、诊断、现病史、家族史、既往史、个人史、婚育史、主诉等</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10</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显示首次病程的内容、建立时间、建立人、签名人和时间、病历状态</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11</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显示每次日常病程的内容，日常病程的建立时间，病程建立人，病程签名人和时间</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12</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显示手术记录的建立时间、建立人、签名人和时间、病历状态，及手术记录的详细内容：术前诊断、手术名称、术后诊断、麻醉方式、手术经过等</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134</w:t>
            </w:r>
          </w:p>
        </w:tc>
        <w:tc>
          <w:tcPr>
            <w:tcW w:w="871" w:type="pct"/>
            <w:vMerge w:val="continue"/>
            <w:tcBorders>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显示出院记录的建立时间、建立人、签名人和时间、病历状态，及出院记录的详细内容：入院时情况、住院经过、出院情况</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145</w:t>
            </w:r>
          </w:p>
        </w:tc>
        <w:tc>
          <w:tcPr>
            <w:tcW w:w="871" w:type="pct"/>
            <w:vMerge w:val="restart"/>
            <w:tcBorders>
              <w:top w:val="nil"/>
              <w:left w:val="nil"/>
              <w:right w:val="single" w:color="auto" w:sz="4"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医嘱管理</w:t>
            </w: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查询和显示特定病人和特定时间段的长期医嘱、临时医嘱信息</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15</w:t>
            </w:r>
          </w:p>
        </w:tc>
        <w:tc>
          <w:tcPr>
            <w:tcW w:w="871" w:type="pct"/>
            <w:vMerge w:val="continue"/>
            <w:tcBorders>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显示医嘱的内容、执行状态、执行时间、执行人等信息</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16</w:t>
            </w:r>
          </w:p>
        </w:tc>
        <w:tc>
          <w:tcPr>
            <w:tcW w:w="871" w:type="pct"/>
            <w:vMerge w:val="restart"/>
            <w:tcBorders>
              <w:top w:val="nil"/>
              <w:left w:val="nil"/>
              <w:right w:val="single" w:color="auto" w:sz="4"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检验管理</w:t>
            </w: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使用标准格式查询和显示指定病人的检验结果报告单</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17</w:t>
            </w:r>
          </w:p>
        </w:tc>
        <w:tc>
          <w:tcPr>
            <w:tcW w:w="871" w:type="pct"/>
            <w:vMerge w:val="continue"/>
            <w:tcBorders>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显示检验报告的内容和执行状态、执行时间、执行人、执行科室等信息</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18</w:t>
            </w:r>
          </w:p>
        </w:tc>
        <w:tc>
          <w:tcPr>
            <w:tcW w:w="871" w:type="pct"/>
            <w:vMerge w:val="restart"/>
            <w:tcBorders>
              <w:top w:val="nil"/>
              <w:left w:val="nil"/>
              <w:right w:val="single" w:color="auto" w:sz="4"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检查管理</w:t>
            </w: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使用标准格式查询和显示指定病人的检查结果报告单</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19</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显示检查报告的内容和执行状态、执行时间、执行人、执行科室等信息</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201</w:t>
            </w:r>
          </w:p>
        </w:tc>
        <w:tc>
          <w:tcPr>
            <w:tcW w:w="871" w:type="pct"/>
            <w:vMerge w:val="continue"/>
            <w:tcBorders>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调阅指定病人的PACS影像</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21</w:t>
            </w:r>
          </w:p>
        </w:tc>
        <w:tc>
          <w:tcPr>
            <w:tcW w:w="871" w:type="pct"/>
            <w:vMerge w:val="restart"/>
            <w:tcBorders>
              <w:top w:val="nil"/>
              <w:left w:val="nil"/>
              <w:right w:val="single" w:color="auto" w:sz="4"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护理文书</w:t>
            </w: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查询和显示特定病人和特定时间段的护理文书信息</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22</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显示标准7日体温单样式</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23</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根据临床业务显示体征数据，包括：体温（包括物理降温），脉搏（心跳/房颤），呼吸，血压、血糖、血氧饱和度等基本生命体征</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24</w:t>
            </w:r>
          </w:p>
        </w:tc>
        <w:tc>
          <w:tcPr>
            <w:tcW w:w="871" w:type="pct"/>
            <w:vMerge w:val="continue"/>
            <w:tcBorders>
              <w:left w:val="nil"/>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显示病人的入院评估单</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25</w:t>
            </w:r>
          </w:p>
        </w:tc>
        <w:tc>
          <w:tcPr>
            <w:tcW w:w="871" w:type="pct"/>
            <w:vMerge w:val="continue"/>
            <w:tcBorders>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显示病人在院期间的护理记录单</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26</w:t>
            </w:r>
          </w:p>
        </w:tc>
        <w:tc>
          <w:tcPr>
            <w:tcW w:w="871"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数据接口</w:t>
            </w: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与医院现有的HIS系统、EMR系统、LIS系统、PACS系统等开发实施数据交换和通讯接口（双向）</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39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27</w:t>
            </w:r>
          </w:p>
        </w:tc>
        <w:tc>
          <w:tcPr>
            <w:tcW w:w="871"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4"/>
                <w:highlight w:val="none"/>
              </w:rPr>
            </w:pPr>
            <w:r>
              <w:rPr>
                <w:rFonts w:hint="eastAsia" w:ascii="宋体" w:hAnsi="宋体"/>
                <w:color w:val="auto"/>
                <w:sz w:val="24"/>
                <w:szCs w:val="24"/>
                <w:highlight w:val="none"/>
              </w:rPr>
              <w:t>系统</w:t>
            </w:r>
          </w:p>
        </w:tc>
        <w:tc>
          <w:tcPr>
            <w:tcW w:w="3005"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4"/>
                <w:highlight w:val="none"/>
              </w:rPr>
            </w:pPr>
            <w:r>
              <w:rPr>
                <w:rFonts w:ascii="宋体" w:hAnsi="宋体"/>
                <w:color w:val="auto"/>
                <w:sz w:val="24"/>
                <w:szCs w:val="24"/>
                <w:highlight w:val="none"/>
              </w:rPr>
              <w:t>在PAD上使用支持安卓和苹果系统，在推车上使用支持Windows系统</w:t>
            </w:r>
          </w:p>
        </w:tc>
        <w:tc>
          <w:tcPr>
            <w:tcW w:w="728"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rPr>
          <w:color w:val="auto"/>
          <w:highlight w:val="none"/>
        </w:rPr>
      </w:pPr>
    </w:p>
    <w:p>
      <w:pPr>
        <w:keepNext/>
        <w:keepLines/>
        <w:numPr>
          <w:ilvl w:val="2"/>
          <w:numId w:val="0"/>
        </w:numPr>
        <w:snapToGrid w:val="0"/>
        <w:spacing w:line="360" w:lineRule="auto"/>
        <w:outlineLvl w:val="2"/>
        <w:rPr>
          <w:rFonts w:ascii="宋体" w:hAnsi="宋体" w:cs="Times New Roman"/>
          <w:b/>
          <w:bCs/>
          <w:color w:val="auto"/>
          <w:kern w:val="0"/>
          <w:szCs w:val="21"/>
          <w:highlight w:val="none"/>
        </w:rPr>
      </w:pPr>
      <w:r>
        <w:rPr>
          <w:rFonts w:hint="eastAsia" w:ascii="宋体" w:hAnsi="宋体" w:cs="Times New Roman"/>
          <w:b/>
          <w:bCs/>
          <w:color w:val="auto"/>
          <w:kern w:val="0"/>
          <w:szCs w:val="21"/>
          <w:highlight w:val="none"/>
        </w:rPr>
        <w:t>5.6.2移动护理管理</w:t>
      </w:r>
      <w:bookmarkEnd w:id="74"/>
    </w:p>
    <w:tbl>
      <w:tblPr>
        <w:tblStyle w:val="18"/>
        <w:tblW w:w="5300" w:type="pct"/>
        <w:jc w:val="center"/>
        <w:tblLayout w:type="autofit"/>
        <w:tblCellMar>
          <w:top w:w="0" w:type="dxa"/>
          <w:left w:w="108" w:type="dxa"/>
          <w:bottom w:w="0" w:type="dxa"/>
          <w:right w:w="108" w:type="dxa"/>
        </w:tblCellMar>
      </w:tblPr>
      <w:tblGrid>
        <w:gridCol w:w="457"/>
        <w:gridCol w:w="1662"/>
        <w:gridCol w:w="5518"/>
        <w:gridCol w:w="1403"/>
      </w:tblGrid>
      <w:tr>
        <w:tblPrEx>
          <w:tblCellMar>
            <w:top w:w="0" w:type="dxa"/>
            <w:left w:w="108" w:type="dxa"/>
            <w:bottom w:w="0" w:type="dxa"/>
            <w:right w:w="108" w:type="dxa"/>
          </w:tblCellMar>
        </w:tblPrEx>
        <w:trPr>
          <w:trHeight w:val="510" w:hRule="atLeast"/>
          <w:tblHeader/>
          <w:jc w:val="center"/>
        </w:trPr>
        <w:tc>
          <w:tcPr>
            <w:tcW w:w="253" w:type="pct"/>
            <w:tcBorders>
              <w:top w:val="single" w:color="auto" w:sz="4" w:space="0"/>
              <w:left w:val="single" w:color="auto" w:sz="4" w:space="0"/>
              <w:bottom w:val="single" w:color="auto" w:sz="4" w:space="0"/>
              <w:right w:val="single" w:color="auto" w:sz="4" w:space="0"/>
            </w:tcBorders>
            <w:shd w:val="clear" w:color="000000" w:fill="F2F2F2"/>
            <w:vAlign w:val="center"/>
          </w:tcPr>
          <w:p>
            <w:pPr>
              <w:keepNext/>
              <w:keepLines/>
              <w:widowControl w:val="0"/>
              <w:numPr>
                <w:ilvl w:val="2"/>
                <w:numId w:val="0"/>
              </w:numPr>
              <w:snapToGrid w:val="0"/>
              <w:spacing w:line="360" w:lineRule="auto"/>
              <w:outlineLvl w:val="2"/>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919"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52"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77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1275"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919"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移动护理系统通过手持终端设备实现临床护理工作的移动化，护士采集病人的生命体征数据，通过条码技术的应用，保证病人身份的正确性和医疗操作的准确性，减少临床医疗差错，提高病人就医的安全性。实现病人身份条码核对、护理数据的准确采集、护理管理数据的准确统计，完整记录数据如操作人、操作时间等便于追踪的关键信息。</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919"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具体功能包括：患者管理、条码打印、体征采集、医嘱执行、给药作业、检体采集作业、输血作业、皮试作业、护理评估、健康宣教、交班作业、护理任务、床位列表、检验检查结果查询、巡视管理、材料记账、消息提醒。</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患者管理</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显示病人的基本信息。可根据系统所获得的信息或评估结果显示高危、新入院、风险评估后的相关标识、手术等标注患者的病情。可以根据所属护理单元、责任护士区分所辖病人。护士长可以跟据入科的病人分配责任护士，支持护士认领自己病人功能。</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条码打印</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能实现打印佩戴于住院病人手腕上的腕带，腕带包含带有病人信息的二维条码。</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床头卡打印</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打印病人包含“病人信息的二维码”标签的床头卡，主要根据等级护理做护理巡视及床头识别。</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医嘱执行条码打印</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包含患者床号、姓名、ID号、长期/临时，计划执行时间、给药途径、医嘱详细内容、剂量、单位等。支持不同医嘱类别打印模式的定制。</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体征采集</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使护士能够通过移动终端在病人床旁实时采集记录病人的体温、脉搏、呼吸、心率等各项护理指标并记录中医闻问望切之结果。同时能够实现批量采集的功能，体温的录入需支持专用的录入键盘，所有采集均能实现一次录入，多处使用。</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体温监测</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能够根据护理文书书写规范自动提取每个时间点需要监测的体温，根据实际体温情况，自动生成降温（物理降温）符号等。</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导管添加</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支持在移动终端上实现各类导管的选择和添加功能，同时支持导管对应部位的选择，提供导管评估（根据医院实际使用方式定制）。</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医嘱执行</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医嘱执行过程中病人、药品、检验标本等信息通过PDA自动识别进行自动核对。显示长期医嘱和临时医嘱，支持批量执行。</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病人清单</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自动更新病人清单，并显示新入院、转床、转科、出院等信息。</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12</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给药作业</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依据运行时间段、给药途径显示药物列表：如八点的口服药清单、十一点的静脉注射清单等，也可切换至当日所有口服药清单。</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药物信息</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支持显示药物名（学名／商品名）、剂量、途径、频率、照片、副作用、注意事项、高危用药标记、抗生素标记、其他特殊用药标记（如化疗药）等。高危药品执行，提供警示标志以及满足双人核对执行流程。</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检体采集作业</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显示采检医嘱相关信息，检验名称、试管颜色（容器名）、建议采集检体量、采集注意事项等。抽血前核对试管方式支持扫描试管条形码或点选确认两种方式。</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15</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输血作业</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支持血样采集满足双人核对执行；血袋入室双重核对，输血巡视提醒，核对病人自述血型，血袋离开血库的时间提醒；实时记录输血异常事件，输血反应以及处理措施等。</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275"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16</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皮试作业</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皮试结果双人核对执行，结果支持回写HIS。皮试结果到点通知。</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334"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17</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护理评估</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支持身体系统评估和各专项评估。根据年龄自动调取成人、儿童跌倒评估表。评估完成自动产出护理评估表，支持一次评估多表产出。</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18</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健康宣教</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提供入院、住院、出院，专科定制宣教。支持健康宣教内容维护、审核、发布、查询、反馈等功能。</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19</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移动输液</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通过PDA扫描并读取病人信息，病人信息包括条形码、处方号、医生、就诊科室、病人姓名等。通过扫描药物信息，进行病人和药物信息核对。支持自动记录输液人员信息和输液时间，同时支持手动输入药物条形码获取药物信息。可录入输液不良反应，支持查看输液病人历史记录。</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20</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交班报告</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系统根据护理过程自动生成病室交班报告，关联所有体征、医嘱、护理记录、检查、检验等信息。录入、修改和查看各病区的交班报告。</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21</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交班统计</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统计白班、小夜班、大夜班各个时间段的原有病人数、现有病人数、特级护理、一级护理、二级护理、三级护理、病危、病重、分娩、手术、转入、转出、跌倒/坠床风险、压疮风险、VTE风险、管路滑脱风险、疼痛、ADL、记出入量人数等信息。</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22</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交班信息导入</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可以直接导入危重病人、病人异常体温和不良反应。支持CASE评估与转床原因的导入功能。</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23</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个体交班</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自动带出－交接班护师姓名、日期、班别、时间、生命体征、饮食类别、输血治疗等。</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24</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特殊交班事项</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如跌倒、自伤、不假外出、请假、禁治疗部位及临床警示系统等。支持呼吸治疗、建议持续追踪事项、家属嘱咐、转床原因过程或事件的记录等。</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25</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护理任务</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提供护理任务清单，根据护理计算规则，自动筛选罗列每个患者当日需测量的体征项目及次数，当日需评估的患者。用户可通过结果反馈查看整个病区今日任务的完成情况。</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26</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记录单</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生命体征、护理处置可通过移动设备自动导入相应记录单。</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27</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床位列表</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显示患者床位列表,包含床号、姓名、护理级别、过敏、是否欠费、是否有手术安排等信息。可以按科室、时间等条件查询患者相关信息。</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28</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检验检查结果查询</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通过移动终端设备,可以查看患者的检查及检验结果,可对异常检查,检验指标进行提示。</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29</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巡视管理</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按照护理要求进行巡视,并可查看相关护理巡视记录,包括巡视时间,巡视内容,床号备注等信息。</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30</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材料记账</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护理相关耗材记账,可以对各项耗材进行统计记录,如留置针,敷贴,医生换药材料等。</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5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31</w:t>
            </w:r>
          </w:p>
        </w:tc>
        <w:tc>
          <w:tcPr>
            <w:tcW w:w="919"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消息提醒</w:t>
            </w:r>
          </w:p>
        </w:tc>
        <w:tc>
          <w:tcPr>
            <w:tcW w:w="305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针对各项护理项目规则进行自动提醒,如风险评估提醒,医嘱执行提醒,输血信息提醒等。</w:t>
            </w:r>
          </w:p>
        </w:tc>
        <w:tc>
          <w:tcPr>
            <w:tcW w:w="77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rPr>
          <w:color w:val="auto"/>
          <w:highlight w:val="none"/>
          <w:lang w:val="zh-CN"/>
        </w:rPr>
      </w:pPr>
      <w:bookmarkStart w:id="75" w:name="_Toc19127"/>
      <w:bookmarkEnd w:id="75"/>
    </w:p>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76" w:name="_Toc18252"/>
      <w:r>
        <w:rPr>
          <w:rFonts w:hint="eastAsia" w:ascii="宋体" w:hAnsi="宋体" w:cs="Times New Roman"/>
          <w:b/>
          <w:bCs/>
          <w:color w:val="auto"/>
          <w:kern w:val="0"/>
          <w:szCs w:val="21"/>
          <w:highlight w:val="none"/>
          <w:lang w:val="zh-CN"/>
        </w:rPr>
        <w:t>5.7治疗管理系统</w:t>
      </w:r>
      <w:bookmarkEnd w:id="76"/>
    </w:p>
    <w:tbl>
      <w:tblPr>
        <w:tblStyle w:val="18"/>
        <w:tblW w:w="5382" w:type="pct"/>
        <w:jc w:val="center"/>
        <w:tblLayout w:type="autofit"/>
        <w:tblCellMar>
          <w:top w:w="0" w:type="dxa"/>
          <w:left w:w="108" w:type="dxa"/>
          <w:bottom w:w="0" w:type="dxa"/>
          <w:right w:w="108" w:type="dxa"/>
        </w:tblCellMar>
      </w:tblPr>
      <w:tblGrid>
        <w:gridCol w:w="483"/>
        <w:gridCol w:w="1614"/>
        <w:gridCol w:w="5532"/>
        <w:gridCol w:w="1551"/>
      </w:tblGrid>
      <w:tr>
        <w:tblPrEx>
          <w:tblCellMar>
            <w:top w:w="0" w:type="dxa"/>
            <w:left w:w="108" w:type="dxa"/>
            <w:bottom w:w="0" w:type="dxa"/>
            <w:right w:w="108" w:type="dxa"/>
          </w:tblCellMar>
        </w:tblPrEx>
        <w:trPr>
          <w:trHeight w:val="510" w:hRule="atLeast"/>
          <w:tblHeader/>
          <w:jc w:val="center"/>
        </w:trPr>
        <w:tc>
          <w:tcPr>
            <w:tcW w:w="263"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79" w:type="pct"/>
            <w:tcBorders>
              <w:top w:val="single" w:color="auto" w:sz="4" w:space="0"/>
              <w:left w:val="nil"/>
              <w:bottom w:val="single" w:color="auto" w:sz="4" w:space="0"/>
              <w:right w:val="single" w:color="000000"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13"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4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1275"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79"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针对以康复性治疗或者恢复性治疗为目的的治疗管理需求，对治疗科室的工作流程和操作规范在系统中进行管理。主要包括：康复、放射治疗、药物化疗、针灸、推拿、高压氧等治疗项目，就诊医生通过诊疗录入或治疗申请单为患者进行治疗申请，患者缴费后到相应的治疗科室进行预约或者直接治疗，预约后到相应的预约日期后到相应科室进行治疗。</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79"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治疗申请</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支持治疗申请单独立申请，也支持医嘱录入直接录入医嘱审核申请。申请成功后，门诊患者缴费后可到相应治疗科室进行治疗，住院患者可直接前往治疗科室进行治疗。可接收医疗机构外部的治疗申请，并能够将治疗记录传送回申请者。</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79"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治疗预约</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内治疗申请分为两种类型，一种是直接执行，另一种是治疗预约。直接执行无需预约，直接进行治疗记录的保存完成治疗即可。需要进行预约的治疗申请，由治疗师选择相应日期及治疗师的治疗排班进行预约治疗。系统支持为多个申请进行批量预约，也支持为已预约的记录取消预约，可打印预约凭证。</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79"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治疗分配</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治疗分配为可选流程，可指定需分配的治疗医师，若启用此流程，则治疗申请只有分配到指定人员才可进行治疗预约或治疗。系统实时展示可分配治疗师名下的申请单数，便于进行及时调整，平衡分配。</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79"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治疗评估</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量表评定支持通过客观量化的方法，有效准确地评定患者功能障碍的种类,范围，程度，并进行记录，对治疗效果进行分析对对。</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79"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治疗方案制定</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医生根据患者的历次治疗评估记录，诊疗记录等信息为患者制订治疗方案及计划，实现对治疗方案的编制，修改管理，以及对治疗计划的编制，修改管理。</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275"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79"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治疗</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预约完成后，到指定日期后到治疗科室进行治疗，治疗师选择患者的预约记录后，可根据实际情况在系统内录入具体的治疗情况。系统支持对已治疗的治疗记录进行修改撤销，也可上传治疗图片，可浏览治疗记录各个操作节点的时间及操作人员信息。支持与微信公众号、APP对接，病人通过移动端在院外浏览本人的治疗计划与安排。</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879"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病历信息查询</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治疗医生可以查看患者完整的门诊,住院电子病历信息,包括门诊记录住院记录,用药记录,手术记录,用血记录,检查记录,检验记录,实时报告体检记录等。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879"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治疗效果评估</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根据治疗方案和计划以及分次治疗记录,实现对治疗结果的评估管理。能够获得区域治疗科室数量、质量指标，并能够用于与本科室数质量指标对比。</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879"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治疗状态监控</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提供对患者治疗过程的实时监控,记录患者治疗过程中的信息,并进行数据的实时上传。</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77" w:name="_Toc19747"/>
      <w:r>
        <w:rPr>
          <w:rFonts w:hint="eastAsia" w:ascii="宋体" w:hAnsi="宋体" w:cs="Times New Roman"/>
          <w:b/>
          <w:bCs/>
          <w:color w:val="auto"/>
          <w:kern w:val="0"/>
          <w:szCs w:val="21"/>
          <w:highlight w:val="none"/>
          <w:lang w:val="zh-CN"/>
        </w:rPr>
        <w:t>5.8医保管理平台</w:t>
      </w:r>
      <w:bookmarkEnd w:id="77"/>
    </w:p>
    <w:tbl>
      <w:tblPr>
        <w:tblStyle w:val="18"/>
        <w:tblW w:w="5466" w:type="pct"/>
        <w:jc w:val="center"/>
        <w:tblLayout w:type="autofit"/>
        <w:tblCellMar>
          <w:top w:w="0" w:type="dxa"/>
          <w:left w:w="108" w:type="dxa"/>
          <w:bottom w:w="0" w:type="dxa"/>
          <w:right w:w="108" w:type="dxa"/>
        </w:tblCellMar>
      </w:tblPr>
      <w:tblGrid>
        <w:gridCol w:w="490"/>
        <w:gridCol w:w="1605"/>
        <w:gridCol w:w="5532"/>
        <w:gridCol w:w="1696"/>
      </w:tblGrid>
      <w:tr>
        <w:tblPrEx>
          <w:tblCellMar>
            <w:top w:w="0" w:type="dxa"/>
            <w:left w:w="108" w:type="dxa"/>
            <w:bottom w:w="0" w:type="dxa"/>
            <w:right w:w="108" w:type="dxa"/>
          </w:tblCellMar>
        </w:tblPrEx>
        <w:trPr>
          <w:trHeight w:val="510" w:hRule="atLeast"/>
          <w:tblHeader/>
          <w:jc w:val="center"/>
        </w:trPr>
        <w:tc>
          <w:tcPr>
            <w:tcW w:w="263"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6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2967"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91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765"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61"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针对医保政策的多变性，能提供完善的医保接口，实现无缝连接，支持一家医院连接现有的各类医保(兵团、乌鲁木齐市、自治区、铁路、商保等)多个系统接口。</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61"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下载医保各类字典目录及处理</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时或定时的从上级医保部门下载更新的药品目录、诊疗目录、服务设施目录、黑名单、各种政策参数、政策审核函数、医疗保险结算表、医疗保险拒付明细、对帐单等，并根据政策要求对药品目录、诊疗目录、服务设施目录、黑名单进行维护。</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61"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上传内容及处理</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时或定时向上级医保部门上传。门诊挂号信息、门诊处方详细信息、门诊诊疗详细信息、门诊个人帐户、支付明细等信息。住院医嘱、住院首页信息、住院个人帐户支付明细、基金支付明细、现金支付明细等信息。</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61"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退费信息</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包括本次退费信息、原费用信息、退费金额等信息。</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61"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结算汇总信息</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按医疗保险政策规定的分类标准进行分类汇总。</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275"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61"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医疗保险病人费用处理</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根据下载的政策参数、政策审核函数对医保病人进行身份确认，医保待遇资格判断。对医疗费用进行费用划分，个人帐户支付、基金支付、现金支付确认，扣减个人帐户，打印结算单据。按医疗保险指定格式完成对上述信息的上传。在医院信息系统中保存各医疗保险病人划分并支付后的费用明细清单和结算汇总清单。</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3"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61" w:type="pct"/>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医疗保险接口系统维护</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对下载的药品目录与医院信息系统中的药品字典的对照维护。对下载的诊疗目录与医院信息系统各有关项目的对照维护。对下载的医疗服务设施与医院信息系统中各有关项目的对照维护。对医疗保险费用汇总类别与医院信息系统中费用汇总类别的对照维护。对疾病分类代码的对照维护。</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78" w:name="_Toc21133"/>
      <w:r>
        <w:rPr>
          <w:rFonts w:hint="eastAsia" w:ascii="宋体" w:hAnsi="宋体" w:cs="Times New Roman"/>
          <w:b/>
          <w:bCs/>
          <w:color w:val="auto"/>
          <w:kern w:val="0"/>
          <w:szCs w:val="21"/>
          <w:highlight w:val="none"/>
          <w:lang w:val="zh-CN"/>
        </w:rPr>
        <w:t>5.9护理管理系统</w:t>
      </w:r>
      <w:bookmarkEnd w:id="78"/>
    </w:p>
    <w:tbl>
      <w:tblPr>
        <w:tblStyle w:val="18"/>
        <w:tblW w:w="5382" w:type="pct"/>
        <w:jc w:val="center"/>
        <w:tblLayout w:type="autofit"/>
        <w:tblCellMar>
          <w:top w:w="0" w:type="dxa"/>
          <w:left w:w="108" w:type="dxa"/>
          <w:bottom w:w="0" w:type="dxa"/>
          <w:right w:w="108" w:type="dxa"/>
        </w:tblCellMar>
      </w:tblPr>
      <w:tblGrid>
        <w:gridCol w:w="487"/>
        <w:gridCol w:w="1608"/>
        <w:gridCol w:w="5532"/>
        <w:gridCol w:w="1553"/>
      </w:tblGrid>
      <w:tr>
        <w:tblPrEx>
          <w:tblCellMar>
            <w:top w:w="0" w:type="dxa"/>
            <w:left w:w="108" w:type="dxa"/>
            <w:bottom w:w="0" w:type="dxa"/>
            <w:right w:w="108" w:type="dxa"/>
          </w:tblCellMar>
        </w:tblPrEx>
        <w:trPr>
          <w:trHeight w:val="510" w:hRule="atLeast"/>
          <w:tblHeader/>
          <w:jc w:val="center"/>
        </w:trPr>
        <w:tc>
          <w:tcPr>
            <w:tcW w:w="265"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7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13"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4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76"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护理制度管理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对护理部制定医院护理人员制度规范文件进行管理，护理人员可以通过该功能进行下载、查看护理规章制度。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76"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护士档案管理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现管理护理人员的基本信息管理、学历学位信息、院内经历信息、个人荣誉、论文情况、科研课题、三基考试、科内业务学习、院内业务学习、护士分层培训管理、护士执照证信息，实现护士基本情况和业务技术档案信息无纸化管理。</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护理管理者使用查询功能，可以随时掌握全部护理人员的信息及护士岗位分布情况，对护理队伍的层次结构、任职情况、离职率、男女比例等信息进行分析，为护理人员的管理提供依据。</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76" w:type="pct"/>
            <w:vMerge w:val="restart"/>
            <w:tcBorders>
              <w:top w:val="single" w:color="auto" w:sz="4" w:space="0"/>
              <w:left w:val="single" w:color="auto" w:sz="4" w:space="0"/>
              <w:bottom w:val="single" w:color="000000"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护士排班管理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排班管理支持手动排班和自动排班。</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支持班次设置，可对护士班次的名称以及时间进行设置。</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支持班组设置，用户可根据需求添加班组以及班组中的人员，并且支持人员滚动和班次滚动的方式自动生成排班。</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支持护理排班设置，可按班组分类的，针对每个班组中的单个人员进行排班并可设置人员的班次及职责。</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876" w:type="pct"/>
            <w:vMerge w:val="restart"/>
            <w:tcBorders>
              <w:top w:val="single" w:color="auto" w:sz="4" w:space="0"/>
              <w:left w:val="single" w:color="auto" w:sz="4" w:space="0"/>
              <w:bottom w:val="single" w:color="000000"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护士交班管理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支持交班的人数统计。支持设置不同科室对应的统计项目，默认发布常用的统计项目，支持自定义新增统计项目。</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支持交班的患者交接。支持定义和维护患者分组，支持将患者移动到其他分组，支持从护理病历、医嘱、住院病历、医技报告中引用数据。</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支持交班的班次交接。当班次内的患者全部交班完成后，责任护士对班次进行交接。</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支持交班的物品交接。支持物品的定义和维护，支持查看每个班次交班物品信息，支持设置是否将物品交接到下一个班次。</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12</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支持按患者类型添加交班患者，支持将患者从交班列表中删除。</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支持撰写交班小结。</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w:t>
            </w:r>
          </w:p>
        </w:tc>
        <w:tc>
          <w:tcPr>
            <w:tcW w:w="876" w:type="pct"/>
            <w:vMerge w:val="restart"/>
            <w:tcBorders>
              <w:top w:val="single" w:color="auto" w:sz="4" w:space="0"/>
              <w:left w:val="single" w:color="auto" w:sz="4" w:space="0"/>
              <w:bottom w:val="single" w:color="000000"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护士长手册</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支持护士长管理工作，包含文档附件上传、下载、预览功能。</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15</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护士长工作管理包括：工作计划及总计、日常工作记录、日常会议记录。</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16</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支持目标及指标设置由各个科室的护士长自己设定，设定后发布，发布后的指标不可修改。各级单位制定指标时可以参照上级发布的指标，同时上级管理单位可以查看所管理的下级单位发布的指标。</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17</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支持工作计划及总结管理，用来管理各层级的年度详细工作计划及总结。</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18</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支持记录日常工作，包括重大抢救记录及工作座谈会两个子功能。重大抢救记录可记录病人重大抢救的经过及转归情况；工作座谈会记录功能可记录护士长参加病人家属座谈会的情况。</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19</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支持日常查房记录功能可记录护士长查房、陪同病区主任巡查病区、讨论病人病情时的信息。</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20</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病区护士学习、科研、考核记录可针对学习、科研、考核三类进行管理；包括业务学习、外出进修、外院进修，科研记录以及业务考核记录功能。</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21</w:t>
            </w:r>
          </w:p>
        </w:tc>
        <w:tc>
          <w:tcPr>
            <w:tcW w:w="876" w:type="pct"/>
            <w:vMerge w:val="restart"/>
            <w:tcBorders>
              <w:top w:val="nil"/>
              <w:left w:val="single" w:color="auto" w:sz="4" w:space="0"/>
              <w:bottom w:val="single" w:color="000000"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护理质量管理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支持护理质控基础数据设置，可进行护理目标、计划、任务、及表单设定。</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22</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支持护理质控检查结果登记，根据表单内容依据实际情况打分。</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23</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支持根据实际情况生成相应的整改计划，对检查结果可使用相关的统计工具进行分析。</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24</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支持对护理质量整改计划跟踪。可进行专项检查。根据专项检查结果设置整改计划完成情况：整改完成、继续整改、重新整改。可查看每个整改计划的整个流程情况。</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25</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质控目标任务分解。根据质控目标完成对任务的分配。支持对质控检查任务的完成情况、整改任务的完成情况、质控问题、目标完成情况进行统计分析。提供柏拉图展示病区存在问题及占比情况，图形展示各检查项目检查结果、各科室检查评分情况。</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26</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护理质量考评点设置。护理管理部门根据实际考评需求调整量化考评标准,可新增、修改和删除质量检查标准组。可从评价标准中提出各个条目生成综合的评价标准，生成当月的评价标准，可以根据个性需求配置生成各类评价标准。</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27</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质量考评结果统计分析。提供根据医院护理质量管理需求的护理质量考评结果统计分析功能,支持全院综合分析、全院单项分析、全院基线分析、室综合分析、科室单项分析、科室基线分析、趋势分析、质量关联性分析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28</w:t>
            </w:r>
          </w:p>
        </w:tc>
        <w:tc>
          <w:tcPr>
            <w:tcW w:w="876"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支持临床数据集成与调阅。与院内HIS，EMR,LIS,PACS等系统对接,自动采集患者基本信息,医嘱信息,检验检查信息,病历文档信息等，并支持数据调阅。</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79" w:name="_Toc17436"/>
      <w:r>
        <w:rPr>
          <w:rFonts w:hint="eastAsia" w:ascii="宋体" w:hAnsi="宋体" w:cs="Times New Roman"/>
          <w:b/>
          <w:bCs/>
          <w:color w:val="auto"/>
          <w:kern w:val="0"/>
          <w:szCs w:val="21"/>
          <w:highlight w:val="none"/>
          <w:lang w:val="zh-CN"/>
        </w:rPr>
        <w:t>5.1</w:t>
      </w:r>
      <w:r>
        <w:rPr>
          <w:rFonts w:ascii="宋体" w:hAnsi="宋体" w:cs="Times New Roman"/>
          <w:b/>
          <w:bCs/>
          <w:color w:val="auto"/>
          <w:kern w:val="0"/>
          <w:szCs w:val="21"/>
          <w:highlight w:val="none"/>
          <w:lang w:val="zh-CN"/>
        </w:rPr>
        <w:t>0</w:t>
      </w:r>
      <w:r>
        <w:rPr>
          <w:rFonts w:hint="eastAsia" w:ascii="宋体" w:hAnsi="宋体" w:cs="Times New Roman"/>
          <w:b/>
          <w:bCs/>
          <w:color w:val="auto"/>
          <w:kern w:val="0"/>
          <w:szCs w:val="21"/>
          <w:highlight w:val="none"/>
          <w:lang w:val="zh-CN"/>
        </w:rPr>
        <w:t>科研教学管理系统</w:t>
      </w:r>
      <w:bookmarkEnd w:id="79"/>
    </w:p>
    <w:p>
      <w:pPr>
        <w:rPr>
          <w:color w:val="auto"/>
          <w:highlight w:val="none"/>
        </w:rPr>
      </w:pPr>
      <w:bookmarkStart w:id="80" w:name="_Toc10683"/>
    </w:p>
    <w:tbl>
      <w:tblPr>
        <w:tblStyle w:val="2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16"/>
        <w:gridCol w:w="774"/>
        <w:gridCol w:w="5139"/>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267" w:type="pct"/>
            <w:vAlign w:val="center"/>
          </w:tcPr>
          <w:p>
            <w:pPr>
              <w:widowControl/>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74" w:type="pct"/>
            <w:gridSpan w:val="2"/>
            <w:vAlign w:val="center"/>
          </w:tcPr>
          <w:p>
            <w:pPr>
              <w:widowControl/>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12" w:type="pct"/>
            <w:vAlign w:val="center"/>
          </w:tcPr>
          <w:p>
            <w:pPr>
              <w:widowControl/>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45" w:type="pct"/>
            <w:vAlign w:val="center"/>
          </w:tcPr>
          <w:p>
            <w:pPr>
              <w:widowControl/>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7"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420" w:type="pct"/>
            <w:vMerge w:val="restar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科研管理</w:t>
            </w:r>
          </w:p>
        </w:tc>
        <w:tc>
          <w:tcPr>
            <w:tcW w:w="453" w:type="pct"/>
            <w:vAlign w:val="center"/>
          </w:tcPr>
          <w:p>
            <w:pPr>
              <w:widowControl/>
              <w:snapToGrid w:val="0"/>
              <w:spacing w:line="360" w:lineRule="auto"/>
              <w:rPr>
                <w:rFonts w:ascii="宋体" w:hAnsi="宋体" w:cs="宋体"/>
                <w:color w:val="auto"/>
                <w:kern w:val="0"/>
                <w:sz w:val="24"/>
                <w:szCs w:val="24"/>
                <w:highlight w:val="none"/>
              </w:rPr>
            </w:pPr>
            <w:r>
              <w:rPr>
                <w:rFonts w:hint="eastAsia" w:ascii="宋体" w:hAnsi="宋体" w:cs="Times New Roman"/>
                <w:color w:val="auto"/>
                <w:kern w:val="0"/>
                <w:sz w:val="24"/>
                <w:szCs w:val="24"/>
                <w:highlight w:val="none"/>
              </w:rPr>
              <w:t>总体要求</w:t>
            </w:r>
          </w:p>
        </w:tc>
        <w:tc>
          <w:tcPr>
            <w:tcW w:w="3012" w:type="pct"/>
            <w:vAlign w:val="center"/>
          </w:tcPr>
          <w:p>
            <w:pPr>
              <w:widowControl/>
              <w:snapToGrid w:val="0"/>
              <w:spacing w:line="360" w:lineRule="auto"/>
              <w:rPr>
                <w:rFonts w:ascii="宋体" w:hAnsi="宋体" w:cs="宋体"/>
                <w:color w:val="auto"/>
                <w:kern w:val="0"/>
                <w:sz w:val="24"/>
                <w:szCs w:val="24"/>
                <w:highlight w:val="none"/>
              </w:rPr>
            </w:pPr>
            <w:r>
              <w:rPr>
                <w:rFonts w:ascii="宋体" w:hAnsi="宋体" w:cs="Times New Roman"/>
                <w:color w:val="auto"/>
                <w:kern w:val="0"/>
                <w:sz w:val="24"/>
                <w:szCs w:val="24"/>
                <w:highlight w:val="none"/>
              </w:rPr>
              <w:t>通过科研管理系统，建立科研人员与管理部门的互动平台，对课题的进度情况、经费使用情况实时汇报、实时监控。医务人员在线申请课题、提交发表的论文、提交出版的学术著作、提交获得的科研成果和科研奖励。科研处（或科教科）在线审核课题、论文、学术著作、科研成果等，跟踪课题进展、跟踪课题经费的到帐、预算与使用。</w:t>
            </w:r>
          </w:p>
        </w:tc>
        <w:tc>
          <w:tcPr>
            <w:tcW w:w="845" w:type="pct"/>
            <w:vAlign w:val="center"/>
          </w:tcPr>
          <w:p>
            <w:pPr>
              <w:widowControl/>
              <w:snapToGrid w:val="0"/>
              <w:spacing w:line="360" w:lineRule="auto"/>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7"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420" w:type="pct"/>
            <w:vMerge w:val="continue"/>
            <w:vAlign w:val="center"/>
          </w:tcPr>
          <w:p>
            <w:pPr>
              <w:widowControl/>
              <w:snapToGrid w:val="0"/>
              <w:spacing w:line="360" w:lineRule="auto"/>
              <w:rPr>
                <w:rFonts w:ascii="宋体" w:hAnsi="宋体" w:cs="宋体"/>
                <w:color w:val="auto"/>
                <w:kern w:val="0"/>
                <w:sz w:val="24"/>
                <w:szCs w:val="21"/>
                <w:highlight w:val="none"/>
              </w:rPr>
            </w:pPr>
          </w:p>
        </w:tc>
        <w:tc>
          <w:tcPr>
            <w:tcW w:w="453" w:type="pct"/>
            <w:vAlign w:val="center"/>
          </w:tcPr>
          <w:p>
            <w:pPr>
              <w:widowControl/>
              <w:snapToGrid w:val="0"/>
              <w:spacing w:line="360" w:lineRule="auto"/>
              <w:rPr>
                <w:rFonts w:ascii="宋体" w:hAnsi="宋体" w:cs="宋体"/>
                <w:color w:val="auto"/>
                <w:kern w:val="0"/>
                <w:sz w:val="24"/>
                <w:szCs w:val="24"/>
                <w:highlight w:val="none"/>
              </w:rPr>
            </w:pPr>
            <w:r>
              <w:rPr>
                <w:rFonts w:hint="eastAsia" w:ascii="宋体" w:hAnsi="宋体" w:cs="Times New Roman"/>
                <w:color w:val="auto"/>
                <w:kern w:val="0"/>
                <w:sz w:val="24"/>
                <w:szCs w:val="24"/>
                <w:highlight w:val="none"/>
              </w:rPr>
              <w:t>项目信息管理</w:t>
            </w:r>
          </w:p>
        </w:tc>
        <w:tc>
          <w:tcPr>
            <w:tcW w:w="3012" w:type="pct"/>
            <w:vAlign w:val="center"/>
          </w:tcPr>
          <w:p>
            <w:pPr>
              <w:widowControl/>
              <w:snapToGrid w:val="0"/>
              <w:spacing w:line="360" w:lineRule="auto"/>
              <w:rPr>
                <w:rFonts w:ascii="宋体" w:hAnsi="宋体" w:cs="宋体"/>
                <w:color w:val="auto"/>
                <w:kern w:val="0"/>
                <w:sz w:val="24"/>
                <w:szCs w:val="24"/>
                <w:highlight w:val="none"/>
              </w:rPr>
            </w:pPr>
            <w:r>
              <w:rPr>
                <w:rFonts w:ascii="宋体" w:hAnsi="宋体" w:cs="Times New Roman"/>
                <w:color w:val="auto"/>
                <w:kern w:val="0"/>
                <w:sz w:val="24"/>
                <w:szCs w:val="24"/>
                <w:highlight w:val="none"/>
              </w:rPr>
              <w:t>支持医院对科研项目的规范管理。支持项目发布、项目申请、专家评审、研究过程管理、经费管理等功能。</w:t>
            </w:r>
          </w:p>
        </w:tc>
        <w:tc>
          <w:tcPr>
            <w:tcW w:w="845" w:type="pct"/>
            <w:vAlign w:val="center"/>
          </w:tcPr>
          <w:p>
            <w:pPr>
              <w:widowControl/>
              <w:snapToGrid w:val="0"/>
              <w:spacing w:line="360" w:lineRule="auto"/>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7"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420" w:type="pct"/>
            <w:vMerge w:val="continue"/>
            <w:vAlign w:val="center"/>
          </w:tcPr>
          <w:p>
            <w:pPr>
              <w:widowControl/>
              <w:snapToGrid w:val="0"/>
              <w:spacing w:line="360" w:lineRule="auto"/>
              <w:rPr>
                <w:rFonts w:ascii="宋体" w:hAnsi="宋体" w:cs="宋体"/>
                <w:color w:val="auto"/>
                <w:kern w:val="0"/>
                <w:sz w:val="24"/>
                <w:szCs w:val="21"/>
                <w:highlight w:val="none"/>
              </w:rPr>
            </w:pPr>
          </w:p>
        </w:tc>
        <w:tc>
          <w:tcPr>
            <w:tcW w:w="453" w:type="pct"/>
            <w:vAlign w:val="center"/>
          </w:tcPr>
          <w:p>
            <w:pPr>
              <w:widowControl/>
              <w:snapToGrid w:val="0"/>
              <w:spacing w:line="360" w:lineRule="auto"/>
              <w:rPr>
                <w:rFonts w:ascii="宋体" w:hAnsi="宋体" w:cs="宋体"/>
                <w:color w:val="auto"/>
                <w:kern w:val="0"/>
                <w:sz w:val="24"/>
                <w:szCs w:val="24"/>
                <w:highlight w:val="none"/>
              </w:rPr>
            </w:pPr>
            <w:r>
              <w:rPr>
                <w:rFonts w:hint="eastAsia" w:ascii="宋体" w:hAnsi="宋体" w:cs="Times New Roman"/>
                <w:color w:val="auto"/>
                <w:kern w:val="0"/>
                <w:sz w:val="24"/>
                <w:szCs w:val="24"/>
                <w:highlight w:val="none"/>
              </w:rPr>
              <w:t>科研成果管理</w:t>
            </w:r>
          </w:p>
        </w:tc>
        <w:tc>
          <w:tcPr>
            <w:tcW w:w="3012" w:type="pct"/>
            <w:vAlign w:val="center"/>
          </w:tcPr>
          <w:p>
            <w:pPr>
              <w:widowControl/>
              <w:snapToGrid w:val="0"/>
              <w:spacing w:line="360" w:lineRule="auto"/>
              <w:rPr>
                <w:rFonts w:ascii="宋体" w:hAnsi="宋体" w:cs="宋体"/>
                <w:color w:val="auto"/>
                <w:kern w:val="0"/>
                <w:sz w:val="24"/>
                <w:szCs w:val="24"/>
                <w:highlight w:val="none"/>
              </w:rPr>
            </w:pPr>
            <w:r>
              <w:rPr>
                <w:rFonts w:ascii="宋体" w:hAnsi="宋体" w:cs="Times New Roman"/>
                <w:color w:val="auto"/>
                <w:kern w:val="0"/>
                <w:sz w:val="24"/>
                <w:szCs w:val="24"/>
                <w:highlight w:val="none"/>
              </w:rPr>
              <w:t>支持学术论文管理、学术著作管理、科研专利管理、科研奖项管理、科研失信行为记录等功能。</w:t>
            </w:r>
          </w:p>
        </w:tc>
        <w:tc>
          <w:tcPr>
            <w:tcW w:w="845" w:type="pct"/>
            <w:vAlign w:val="center"/>
          </w:tcPr>
          <w:p>
            <w:pPr>
              <w:widowControl/>
              <w:snapToGrid w:val="0"/>
              <w:spacing w:line="360" w:lineRule="auto"/>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 w:type="pct"/>
            <w:vAlign w:val="center"/>
          </w:tcPr>
          <w:p>
            <w:pPr>
              <w:widowControl/>
              <w:snapToGrid w:val="0"/>
              <w:spacing w:line="360" w:lineRule="auto"/>
              <w:rPr>
                <w:rFonts w:ascii="宋体" w:hAnsi="宋体" w:cs="宋体"/>
                <w:color w:val="auto"/>
                <w:kern w:val="0"/>
                <w:sz w:val="24"/>
                <w:szCs w:val="21"/>
                <w:highlight w:val="none"/>
              </w:rPr>
            </w:pPr>
            <w:r>
              <w:rPr>
                <w:rFonts w:ascii="宋体" w:hAnsi="宋体" w:cs="宋体"/>
                <w:color w:val="auto"/>
                <w:kern w:val="0"/>
                <w:sz w:val="24"/>
                <w:szCs w:val="21"/>
                <w:highlight w:val="none"/>
              </w:rPr>
              <w:t>4</w:t>
            </w:r>
          </w:p>
        </w:tc>
        <w:tc>
          <w:tcPr>
            <w:tcW w:w="420" w:type="pct"/>
            <w:vMerge w:val="continue"/>
            <w:vAlign w:val="center"/>
          </w:tcPr>
          <w:p>
            <w:pPr>
              <w:widowControl/>
              <w:snapToGrid w:val="0"/>
              <w:spacing w:line="360" w:lineRule="auto"/>
              <w:rPr>
                <w:rFonts w:ascii="宋体" w:hAnsi="宋体" w:cs="宋体"/>
                <w:color w:val="auto"/>
                <w:kern w:val="0"/>
                <w:sz w:val="24"/>
                <w:szCs w:val="21"/>
                <w:highlight w:val="none"/>
              </w:rPr>
            </w:pPr>
          </w:p>
        </w:tc>
        <w:tc>
          <w:tcPr>
            <w:tcW w:w="453" w:type="pct"/>
            <w:vAlign w:val="center"/>
          </w:tcPr>
          <w:p>
            <w:pPr>
              <w:widowControl/>
              <w:snapToGrid w:val="0"/>
              <w:spacing w:line="360" w:lineRule="auto"/>
              <w:rPr>
                <w:rFonts w:ascii="宋体" w:hAnsi="宋体" w:cs="宋体"/>
                <w:color w:val="auto"/>
                <w:kern w:val="0"/>
                <w:sz w:val="24"/>
                <w:szCs w:val="24"/>
                <w:highlight w:val="none"/>
              </w:rPr>
            </w:pPr>
            <w:r>
              <w:rPr>
                <w:rFonts w:hint="eastAsia" w:ascii="宋体" w:hAnsi="宋体" w:cs="Times New Roman"/>
                <w:color w:val="auto"/>
                <w:kern w:val="0"/>
                <w:sz w:val="24"/>
                <w:szCs w:val="24"/>
                <w:highlight w:val="none"/>
              </w:rPr>
              <w:t>科研平台和资源管理</w:t>
            </w:r>
          </w:p>
        </w:tc>
        <w:tc>
          <w:tcPr>
            <w:tcW w:w="3012" w:type="pct"/>
            <w:vAlign w:val="center"/>
          </w:tcPr>
          <w:p>
            <w:pPr>
              <w:widowControl/>
              <w:snapToGrid w:val="0"/>
              <w:spacing w:line="360" w:lineRule="auto"/>
              <w:rPr>
                <w:rFonts w:ascii="宋体" w:hAnsi="宋体" w:cs="宋体"/>
                <w:color w:val="auto"/>
                <w:kern w:val="0"/>
                <w:sz w:val="24"/>
                <w:szCs w:val="24"/>
                <w:highlight w:val="none"/>
              </w:rPr>
            </w:pPr>
            <w:r>
              <w:rPr>
                <w:rFonts w:ascii="宋体" w:hAnsi="宋体" w:cs="Times New Roman"/>
                <w:color w:val="auto"/>
                <w:kern w:val="0"/>
                <w:sz w:val="24"/>
                <w:szCs w:val="24"/>
                <w:highlight w:val="none"/>
              </w:rPr>
              <w:t>支持综合管理科研平台在建设与运行所需仪器设备设施、科研技术人员、生物样本库管理、科研数据管理、遗传资源管理等功能。</w:t>
            </w:r>
          </w:p>
        </w:tc>
        <w:tc>
          <w:tcPr>
            <w:tcW w:w="845" w:type="pct"/>
            <w:vAlign w:val="center"/>
          </w:tcPr>
          <w:p>
            <w:pPr>
              <w:widowControl/>
              <w:snapToGrid w:val="0"/>
              <w:spacing w:line="360" w:lineRule="auto"/>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420" w:type="pct"/>
            <w:vMerge w:val="continue"/>
            <w:vAlign w:val="center"/>
          </w:tcPr>
          <w:p>
            <w:pPr>
              <w:widowControl/>
              <w:snapToGrid w:val="0"/>
              <w:spacing w:line="360" w:lineRule="auto"/>
              <w:rPr>
                <w:rFonts w:ascii="宋体" w:hAnsi="宋体" w:cs="宋体"/>
                <w:color w:val="auto"/>
                <w:kern w:val="0"/>
                <w:sz w:val="24"/>
                <w:szCs w:val="21"/>
                <w:highlight w:val="none"/>
              </w:rPr>
            </w:pPr>
          </w:p>
        </w:tc>
        <w:tc>
          <w:tcPr>
            <w:tcW w:w="453" w:type="pct"/>
            <w:vAlign w:val="center"/>
          </w:tcPr>
          <w:p>
            <w:pPr>
              <w:widowControl/>
              <w:snapToGrid w:val="0"/>
              <w:spacing w:line="360" w:lineRule="auto"/>
              <w:rPr>
                <w:rFonts w:ascii="宋体" w:hAnsi="宋体" w:cs="宋体"/>
                <w:color w:val="auto"/>
                <w:kern w:val="0"/>
                <w:sz w:val="24"/>
                <w:szCs w:val="24"/>
                <w:highlight w:val="none"/>
              </w:rPr>
            </w:pPr>
            <w:r>
              <w:rPr>
                <w:rFonts w:hint="eastAsia" w:ascii="宋体" w:hAnsi="宋体" w:cs="Times New Roman"/>
                <w:color w:val="auto"/>
                <w:kern w:val="0"/>
                <w:sz w:val="24"/>
                <w:szCs w:val="24"/>
                <w:highlight w:val="none"/>
              </w:rPr>
              <w:t>科研数据采集</w:t>
            </w:r>
          </w:p>
        </w:tc>
        <w:tc>
          <w:tcPr>
            <w:tcW w:w="3012" w:type="pct"/>
            <w:vAlign w:val="center"/>
          </w:tcPr>
          <w:p>
            <w:pPr>
              <w:widowControl/>
              <w:snapToGrid w:val="0"/>
              <w:spacing w:line="360" w:lineRule="auto"/>
              <w:rPr>
                <w:rFonts w:ascii="宋体" w:hAnsi="宋体" w:cs="宋体"/>
                <w:color w:val="auto"/>
                <w:kern w:val="0"/>
                <w:sz w:val="24"/>
                <w:szCs w:val="24"/>
                <w:highlight w:val="none"/>
              </w:rPr>
            </w:pPr>
            <w:r>
              <w:rPr>
                <w:rFonts w:ascii="宋体" w:hAnsi="宋体" w:cs="Times New Roman"/>
                <w:color w:val="auto"/>
                <w:kern w:val="0"/>
                <w:sz w:val="24"/>
                <w:szCs w:val="24"/>
                <w:highlight w:val="none"/>
              </w:rPr>
              <w:t>支持科研项目和科研病例数据等数据的管理，以及全过程科研数据质量监控。支持科研数据规范采集和存储、风险审核、敏感数据脱敏处理、权限控制、科研数据查询、科研数据质量监控等功能。</w:t>
            </w:r>
          </w:p>
        </w:tc>
        <w:tc>
          <w:tcPr>
            <w:tcW w:w="845" w:type="pct"/>
            <w:vAlign w:val="center"/>
          </w:tcPr>
          <w:p>
            <w:pPr>
              <w:widowControl/>
              <w:snapToGrid w:val="0"/>
              <w:spacing w:line="360" w:lineRule="auto"/>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420" w:type="pct"/>
            <w:vMerge w:val="continue"/>
            <w:vAlign w:val="center"/>
          </w:tcPr>
          <w:p>
            <w:pPr>
              <w:widowControl/>
              <w:snapToGrid w:val="0"/>
              <w:spacing w:line="360" w:lineRule="auto"/>
              <w:rPr>
                <w:rFonts w:ascii="宋体" w:hAnsi="宋体" w:cs="宋体"/>
                <w:color w:val="auto"/>
                <w:kern w:val="0"/>
                <w:sz w:val="24"/>
                <w:szCs w:val="21"/>
                <w:highlight w:val="none"/>
              </w:rPr>
            </w:pPr>
          </w:p>
        </w:tc>
        <w:tc>
          <w:tcPr>
            <w:tcW w:w="453" w:type="pct"/>
            <w:vAlign w:val="center"/>
          </w:tcPr>
          <w:p>
            <w:pPr>
              <w:widowControl/>
              <w:snapToGrid w:val="0"/>
              <w:spacing w:line="360" w:lineRule="auto"/>
              <w:rPr>
                <w:rFonts w:ascii="宋体" w:hAnsi="宋体" w:cs="宋体"/>
                <w:color w:val="auto"/>
                <w:kern w:val="0"/>
                <w:sz w:val="24"/>
                <w:szCs w:val="24"/>
                <w:highlight w:val="none"/>
              </w:rPr>
            </w:pPr>
            <w:r>
              <w:rPr>
                <w:rFonts w:hint="eastAsia" w:ascii="宋体" w:hAnsi="宋体" w:cs="Times New Roman"/>
                <w:color w:val="auto"/>
                <w:kern w:val="0"/>
                <w:sz w:val="24"/>
                <w:szCs w:val="24"/>
                <w:highlight w:val="none"/>
              </w:rPr>
              <w:t>科研数据分析</w:t>
            </w:r>
          </w:p>
        </w:tc>
        <w:tc>
          <w:tcPr>
            <w:tcW w:w="3012" w:type="pct"/>
            <w:vAlign w:val="center"/>
          </w:tcPr>
          <w:p>
            <w:pPr>
              <w:widowControl/>
              <w:snapToGrid w:val="0"/>
              <w:spacing w:line="360" w:lineRule="auto"/>
              <w:rPr>
                <w:rFonts w:ascii="宋体" w:hAnsi="宋体" w:cs="宋体"/>
                <w:color w:val="auto"/>
                <w:kern w:val="0"/>
                <w:sz w:val="24"/>
                <w:szCs w:val="24"/>
                <w:highlight w:val="none"/>
              </w:rPr>
            </w:pPr>
            <w:r>
              <w:rPr>
                <w:rFonts w:ascii="宋体" w:hAnsi="宋体" w:cs="Times New Roman"/>
                <w:color w:val="auto"/>
                <w:kern w:val="0"/>
                <w:sz w:val="24"/>
                <w:szCs w:val="24"/>
                <w:highlight w:val="none"/>
              </w:rPr>
              <w:t>支持科研项目和科研病例数据等数据的分析利用，以及全过程科研数据分析应用管理。支持科研数据查询、科研设计支持、统计报表、科研数据导出等功能。</w:t>
            </w:r>
          </w:p>
        </w:tc>
        <w:tc>
          <w:tcPr>
            <w:tcW w:w="845" w:type="pct"/>
            <w:vAlign w:val="center"/>
          </w:tcPr>
          <w:p>
            <w:pPr>
              <w:widowControl/>
              <w:snapToGrid w:val="0"/>
              <w:spacing w:line="360" w:lineRule="auto"/>
              <w:rPr>
                <w:rFonts w:ascii="宋体" w:hAnsi="宋体" w:cs="宋体"/>
                <w:strike/>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420" w:type="pct"/>
            <w:vMerge w:val="continue"/>
            <w:vAlign w:val="center"/>
          </w:tcPr>
          <w:p>
            <w:pPr>
              <w:widowControl/>
              <w:snapToGrid w:val="0"/>
              <w:spacing w:line="360" w:lineRule="auto"/>
              <w:rPr>
                <w:rFonts w:ascii="宋体" w:hAnsi="宋体" w:cs="宋体"/>
                <w:color w:val="auto"/>
                <w:kern w:val="0"/>
                <w:sz w:val="24"/>
                <w:szCs w:val="21"/>
                <w:highlight w:val="none"/>
              </w:rPr>
            </w:pPr>
          </w:p>
        </w:tc>
        <w:tc>
          <w:tcPr>
            <w:tcW w:w="453" w:type="pct"/>
            <w:vAlign w:val="center"/>
          </w:tcPr>
          <w:p>
            <w:pPr>
              <w:widowControl/>
              <w:snapToGrid w:val="0"/>
              <w:spacing w:line="360" w:lineRule="auto"/>
              <w:rPr>
                <w:rFonts w:ascii="宋体" w:hAnsi="宋体" w:cs="宋体"/>
                <w:color w:val="auto"/>
                <w:kern w:val="0"/>
                <w:sz w:val="24"/>
                <w:szCs w:val="24"/>
                <w:highlight w:val="none"/>
              </w:rPr>
            </w:pPr>
            <w:r>
              <w:rPr>
                <w:rFonts w:hint="eastAsia" w:ascii="宋体" w:hAnsi="宋体" w:cs="Times New Roman"/>
                <w:color w:val="auto"/>
                <w:kern w:val="0"/>
                <w:sz w:val="24"/>
                <w:szCs w:val="24"/>
                <w:highlight w:val="none"/>
              </w:rPr>
              <w:t>科研临床应用</w:t>
            </w:r>
          </w:p>
        </w:tc>
        <w:tc>
          <w:tcPr>
            <w:tcW w:w="3012" w:type="pct"/>
            <w:vAlign w:val="center"/>
          </w:tcPr>
          <w:p>
            <w:pPr>
              <w:widowControl/>
              <w:snapToGrid w:val="0"/>
              <w:spacing w:line="360" w:lineRule="auto"/>
              <w:rPr>
                <w:rFonts w:ascii="宋体" w:hAnsi="宋体" w:cs="宋体"/>
                <w:color w:val="auto"/>
                <w:kern w:val="0"/>
                <w:sz w:val="24"/>
                <w:szCs w:val="24"/>
                <w:highlight w:val="none"/>
              </w:rPr>
            </w:pPr>
            <w:r>
              <w:rPr>
                <w:rFonts w:ascii="宋体" w:hAnsi="宋体" w:cs="Times New Roman"/>
                <w:color w:val="auto"/>
                <w:kern w:val="0"/>
                <w:sz w:val="24"/>
                <w:szCs w:val="24"/>
                <w:highlight w:val="none"/>
              </w:rPr>
              <w:t>支持循证经验指导临床、研究结果与诊疗方案功能。</w:t>
            </w:r>
          </w:p>
        </w:tc>
        <w:tc>
          <w:tcPr>
            <w:tcW w:w="845" w:type="pct"/>
            <w:vAlign w:val="center"/>
          </w:tcPr>
          <w:p>
            <w:pPr>
              <w:widowControl/>
              <w:snapToGrid w:val="0"/>
              <w:spacing w:line="360" w:lineRule="auto"/>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 w:type="pct"/>
            <w:vAlign w:val="center"/>
          </w:tcPr>
          <w:p>
            <w:pPr>
              <w:widowControl/>
              <w:snapToGrid w:val="0"/>
              <w:spacing w:line="360" w:lineRule="auto"/>
              <w:rPr>
                <w:rFonts w:ascii="宋体" w:hAnsi="宋体" w:cs="宋体"/>
                <w:color w:val="auto"/>
                <w:kern w:val="0"/>
                <w:sz w:val="24"/>
                <w:szCs w:val="21"/>
                <w:highlight w:val="none"/>
              </w:rPr>
            </w:pPr>
            <w:r>
              <w:rPr>
                <w:rFonts w:ascii="宋体" w:hAnsi="宋体" w:cs="宋体"/>
                <w:color w:val="auto"/>
                <w:kern w:val="0"/>
                <w:sz w:val="24"/>
                <w:szCs w:val="21"/>
                <w:highlight w:val="none"/>
              </w:rPr>
              <w:t>8</w:t>
            </w:r>
          </w:p>
        </w:tc>
        <w:tc>
          <w:tcPr>
            <w:tcW w:w="420" w:type="pct"/>
            <w:vMerge w:val="continue"/>
            <w:vAlign w:val="center"/>
          </w:tcPr>
          <w:p>
            <w:pPr>
              <w:widowControl/>
              <w:snapToGrid w:val="0"/>
              <w:spacing w:line="360" w:lineRule="auto"/>
              <w:rPr>
                <w:rFonts w:ascii="宋体" w:hAnsi="宋体" w:cs="宋体"/>
                <w:color w:val="auto"/>
                <w:kern w:val="0"/>
                <w:sz w:val="24"/>
                <w:szCs w:val="21"/>
                <w:highlight w:val="none"/>
              </w:rPr>
            </w:pPr>
          </w:p>
        </w:tc>
        <w:tc>
          <w:tcPr>
            <w:tcW w:w="453" w:type="pct"/>
            <w:vAlign w:val="center"/>
          </w:tcPr>
          <w:p>
            <w:pPr>
              <w:widowControl/>
              <w:snapToGrid w:val="0"/>
              <w:spacing w:line="360" w:lineRule="auto"/>
              <w:rPr>
                <w:rFonts w:ascii="宋体" w:hAnsi="宋体" w:cs="宋体"/>
                <w:color w:val="auto"/>
                <w:kern w:val="0"/>
                <w:sz w:val="24"/>
                <w:szCs w:val="24"/>
                <w:highlight w:val="none"/>
              </w:rPr>
            </w:pPr>
            <w:r>
              <w:rPr>
                <w:rFonts w:hint="eastAsia" w:ascii="宋体" w:hAnsi="宋体" w:cs="Times New Roman"/>
                <w:color w:val="auto"/>
                <w:kern w:val="0"/>
                <w:sz w:val="24"/>
                <w:szCs w:val="24"/>
                <w:highlight w:val="none"/>
              </w:rPr>
              <w:t>科研转化应用</w:t>
            </w:r>
          </w:p>
        </w:tc>
        <w:tc>
          <w:tcPr>
            <w:tcW w:w="3012" w:type="pct"/>
            <w:vAlign w:val="center"/>
          </w:tcPr>
          <w:p>
            <w:pPr>
              <w:widowControl/>
              <w:snapToGrid w:val="0"/>
              <w:spacing w:line="360" w:lineRule="auto"/>
              <w:rPr>
                <w:rFonts w:ascii="宋体" w:hAnsi="宋体" w:cs="宋体"/>
                <w:color w:val="auto"/>
                <w:kern w:val="0"/>
                <w:sz w:val="24"/>
                <w:szCs w:val="24"/>
                <w:highlight w:val="none"/>
              </w:rPr>
            </w:pPr>
            <w:r>
              <w:rPr>
                <w:rFonts w:ascii="宋体" w:hAnsi="宋体" w:cs="Times New Roman"/>
                <w:color w:val="auto"/>
                <w:kern w:val="0"/>
                <w:sz w:val="24"/>
                <w:szCs w:val="24"/>
                <w:highlight w:val="none"/>
              </w:rPr>
              <w:t>支持研究资源与临床实践智能结合、转化应用效果评估、适宜技术推广功能。</w:t>
            </w:r>
          </w:p>
        </w:tc>
        <w:tc>
          <w:tcPr>
            <w:tcW w:w="845" w:type="pct"/>
            <w:vAlign w:val="center"/>
          </w:tcPr>
          <w:p>
            <w:pPr>
              <w:widowControl/>
              <w:snapToGrid w:val="0"/>
              <w:spacing w:line="360" w:lineRule="auto"/>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67"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420" w:type="pct"/>
            <w:vMerge w:val="restar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教学管理</w:t>
            </w:r>
          </w:p>
        </w:tc>
        <w:tc>
          <w:tcPr>
            <w:tcW w:w="453"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12"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借助教学管理系统建立科学的教学管理平台，在完成日常管理的同时，借助灵活的统计、分析、查询工具，为年度考评、职称评定提供详实的数据，显著提高培训教学管理效率。</w:t>
            </w:r>
          </w:p>
        </w:tc>
        <w:tc>
          <w:tcPr>
            <w:tcW w:w="845" w:type="pct"/>
            <w:vAlign w:val="center"/>
          </w:tcPr>
          <w:p>
            <w:pPr>
              <w:widowControl/>
              <w:snapToGrid w:val="0"/>
              <w:spacing w:line="360" w:lineRule="auto"/>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420" w:type="pct"/>
            <w:vMerge w:val="continue"/>
            <w:vAlign w:val="center"/>
          </w:tcPr>
          <w:p>
            <w:pPr>
              <w:widowControl/>
              <w:snapToGrid w:val="0"/>
              <w:spacing w:line="360" w:lineRule="auto"/>
              <w:rPr>
                <w:rFonts w:ascii="宋体" w:hAnsi="宋体" w:cs="宋体"/>
                <w:color w:val="auto"/>
                <w:kern w:val="0"/>
                <w:sz w:val="24"/>
                <w:szCs w:val="21"/>
                <w:highlight w:val="none"/>
              </w:rPr>
            </w:pPr>
          </w:p>
        </w:tc>
        <w:tc>
          <w:tcPr>
            <w:tcW w:w="453"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培训教学管理</w:t>
            </w:r>
          </w:p>
        </w:tc>
        <w:tc>
          <w:tcPr>
            <w:tcW w:w="3012" w:type="pct"/>
            <w:vAlign w:val="center"/>
          </w:tcPr>
          <w:p>
            <w:pPr>
              <w:widowControl/>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实现培训教学活动的申报、发布、汇总统计。实现护理教学的管理，实现护士抽查考核的管理、统计分析，以及护理教学的日常记录。</w:t>
            </w:r>
          </w:p>
        </w:tc>
        <w:tc>
          <w:tcPr>
            <w:tcW w:w="845" w:type="pct"/>
            <w:vAlign w:val="center"/>
          </w:tcPr>
          <w:p>
            <w:pPr>
              <w:widowControl/>
              <w:snapToGrid w:val="0"/>
              <w:spacing w:line="360" w:lineRule="auto"/>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67" w:type="pct"/>
          </w:tcPr>
          <w:p>
            <w:pPr>
              <w:widowControl/>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420" w:type="pct"/>
            <w:vMerge w:val="continue"/>
          </w:tcPr>
          <w:p>
            <w:pPr>
              <w:widowControl/>
              <w:snapToGrid w:val="0"/>
              <w:spacing w:line="360" w:lineRule="auto"/>
              <w:jc w:val="left"/>
              <w:rPr>
                <w:rFonts w:ascii="宋体" w:hAnsi="宋体" w:cs="宋体"/>
                <w:color w:val="auto"/>
                <w:kern w:val="0"/>
                <w:sz w:val="24"/>
                <w:szCs w:val="21"/>
                <w:highlight w:val="none"/>
              </w:rPr>
            </w:pPr>
          </w:p>
        </w:tc>
        <w:tc>
          <w:tcPr>
            <w:tcW w:w="453" w:type="pct"/>
          </w:tcPr>
          <w:p>
            <w:pPr>
              <w:widowControl/>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学分管理</w:t>
            </w:r>
          </w:p>
        </w:tc>
        <w:tc>
          <w:tcPr>
            <w:tcW w:w="3012" w:type="pct"/>
          </w:tcPr>
          <w:p>
            <w:pPr>
              <w:widowControl/>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支持考试成绩管理、智能学分管理、学分档案管理等。</w:t>
            </w:r>
          </w:p>
        </w:tc>
        <w:tc>
          <w:tcPr>
            <w:tcW w:w="845" w:type="pct"/>
          </w:tcPr>
          <w:p>
            <w:pPr>
              <w:widowControl/>
              <w:snapToGrid w:val="0"/>
              <w:spacing w:line="360" w:lineRule="auto"/>
              <w:jc w:val="left"/>
              <w:rPr>
                <w:rFonts w:ascii="宋体" w:hAnsi="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67" w:type="pct"/>
          </w:tcPr>
          <w:p>
            <w:pPr>
              <w:widowControl/>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420" w:type="pct"/>
            <w:vMerge w:val="continue"/>
          </w:tcPr>
          <w:p>
            <w:pPr>
              <w:widowControl/>
              <w:snapToGrid w:val="0"/>
              <w:spacing w:line="360" w:lineRule="auto"/>
              <w:jc w:val="left"/>
              <w:rPr>
                <w:rFonts w:ascii="宋体" w:hAnsi="宋体" w:cs="宋体"/>
                <w:color w:val="auto"/>
                <w:kern w:val="0"/>
                <w:sz w:val="24"/>
                <w:szCs w:val="21"/>
                <w:highlight w:val="none"/>
              </w:rPr>
            </w:pPr>
          </w:p>
        </w:tc>
        <w:tc>
          <w:tcPr>
            <w:tcW w:w="453" w:type="pct"/>
          </w:tcPr>
          <w:p>
            <w:pPr>
              <w:widowControl/>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考试管理</w:t>
            </w:r>
          </w:p>
        </w:tc>
        <w:tc>
          <w:tcPr>
            <w:tcW w:w="3012" w:type="pct"/>
          </w:tcPr>
          <w:p>
            <w:pPr>
              <w:widowControl/>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实现医生、护士、医技等人员考试考核全过程管理。支持考试预约、考试题库管理、智能组卷、在线考试、模拟考试、自动阅卷、考试成绩统计等功能。</w:t>
            </w:r>
          </w:p>
        </w:tc>
        <w:tc>
          <w:tcPr>
            <w:tcW w:w="845" w:type="pct"/>
          </w:tcPr>
          <w:p>
            <w:pPr>
              <w:widowControl/>
              <w:snapToGrid w:val="0"/>
              <w:spacing w:line="360" w:lineRule="auto"/>
              <w:jc w:val="left"/>
              <w:rPr>
                <w:rFonts w:ascii="宋体" w:hAnsi="宋体" w:cs="宋体"/>
                <w:color w:val="auto"/>
                <w:kern w:val="0"/>
                <w:sz w:val="24"/>
                <w:szCs w:val="21"/>
                <w:highlight w:val="none"/>
              </w:rPr>
            </w:pPr>
          </w:p>
        </w:tc>
      </w:tr>
      <w:bookmarkEnd w:id="80"/>
    </w:tbl>
    <w:p>
      <w:pPr>
        <w:ind w:firstLine="420" w:firstLineChars="200"/>
        <w:rPr>
          <w:color w:val="auto"/>
          <w:highlight w:val="none"/>
        </w:rPr>
      </w:pPr>
    </w:p>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81" w:name="_Toc19179"/>
      <w:r>
        <w:rPr>
          <w:rFonts w:hint="eastAsia" w:ascii="宋体" w:hAnsi="宋体" w:cs="Times New Roman"/>
          <w:b/>
          <w:bCs/>
          <w:color w:val="auto"/>
          <w:kern w:val="0"/>
          <w:szCs w:val="21"/>
          <w:highlight w:val="none"/>
          <w:lang w:val="zh-CN"/>
        </w:rPr>
        <w:t>5.1</w:t>
      </w:r>
      <w:r>
        <w:rPr>
          <w:rFonts w:ascii="宋体" w:hAnsi="宋体" w:cs="Times New Roman"/>
          <w:b/>
          <w:bCs/>
          <w:color w:val="auto"/>
          <w:kern w:val="0"/>
          <w:szCs w:val="21"/>
          <w:highlight w:val="none"/>
          <w:lang w:val="zh-CN"/>
        </w:rPr>
        <w:t>1</w:t>
      </w:r>
      <w:r>
        <w:rPr>
          <w:rFonts w:hint="eastAsia" w:ascii="宋体" w:hAnsi="宋体" w:cs="Times New Roman"/>
          <w:b/>
          <w:bCs/>
          <w:color w:val="auto"/>
          <w:kern w:val="0"/>
          <w:szCs w:val="21"/>
          <w:highlight w:val="none"/>
          <w:lang w:val="zh-CN"/>
        </w:rPr>
        <w:t>医院业务闭环管理</w:t>
      </w:r>
      <w:bookmarkEnd w:id="81"/>
      <w:r>
        <w:rPr>
          <w:rFonts w:hint="eastAsia" w:ascii="宋体" w:hAnsi="宋体" w:cs="Times New Roman"/>
          <w:b/>
          <w:bCs/>
          <w:color w:val="auto"/>
          <w:kern w:val="0"/>
          <w:szCs w:val="21"/>
          <w:highlight w:val="none"/>
          <w:lang w:val="zh-CN"/>
        </w:rPr>
        <w:t>系统</w:t>
      </w:r>
    </w:p>
    <w:tbl>
      <w:tblPr>
        <w:tblStyle w:val="18"/>
        <w:tblW w:w="5382" w:type="pct"/>
        <w:jc w:val="center"/>
        <w:tblLayout w:type="autofit"/>
        <w:tblCellMar>
          <w:top w:w="0" w:type="dxa"/>
          <w:left w:w="108" w:type="dxa"/>
          <w:bottom w:w="0" w:type="dxa"/>
          <w:right w:w="108" w:type="dxa"/>
        </w:tblCellMar>
      </w:tblPr>
      <w:tblGrid>
        <w:gridCol w:w="488"/>
        <w:gridCol w:w="775"/>
        <w:gridCol w:w="834"/>
        <w:gridCol w:w="5532"/>
        <w:gridCol w:w="1551"/>
      </w:tblGrid>
      <w:tr>
        <w:tblPrEx>
          <w:tblCellMar>
            <w:top w:w="0" w:type="dxa"/>
            <w:left w:w="108" w:type="dxa"/>
            <w:bottom w:w="0" w:type="dxa"/>
            <w:right w:w="108" w:type="dxa"/>
          </w:tblCellMar>
        </w:tblPrEx>
        <w:trPr>
          <w:trHeight w:val="510" w:hRule="atLeast"/>
          <w:tblHeader/>
          <w:jc w:val="center"/>
        </w:trPr>
        <w:tc>
          <w:tcPr>
            <w:tcW w:w="266"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76" w:type="pct"/>
            <w:gridSpan w:val="2"/>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13"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4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1275"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76"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口服用药闭环管理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现住院口服药的闭环管理及追踪，主要包含医嘱下达、医嘱撤回、医嘱审核、医嘱作废、医嘱执行、处方审核、处方审核不通过、药师审核自动审核通过、药师审核人工审核通过、审核结果等待医生答复、药师审核不通过、审方挂起、住院药房发药、住院药房摆药、服药执行、停止医嘱、停止审核等各个环节闭环管理。</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530"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76"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静脉药品闭环管理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现注射医嘱的闭环管理及追踪，从医嘱下达、医嘱撤回、医嘱审核、医嘱作废、皮试、皮试结果、医嘱执行、处方审核、处方审核不通过、药师审核自动审核通过、药师审核人工审核通过、审核结果等待医生答复、药师审核不通过、审方挂起、住院药房发药、输液摆药、注射液配制、注射执行、停止医嘱、停止审核、护士上报输液不良反应、医生上报、职能部门处理、归档等各个环节进行闭环管理。</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76"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临床用血闭环管理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临床用血闭环管理住院输血闭环，建立医生书写输血知情同意书-医生开具输血申请单-护士采集血样-护工将血样和申请单送到血库-血库血样配对-血库取血-护工将血袋送到病区-护士输血-护士观察输血反应-记录输血量等整体闭环管理流程。</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p>
        </w:tc>
        <w:tc>
          <w:tcPr>
            <w:tcW w:w="876"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4</w:t>
            </w:r>
          </w:p>
        </w:tc>
        <w:tc>
          <w:tcPr>
            <w:tcW w:w="876"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手术麻醉闭环管理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正向流程包括手术医生提交申请单、科主任审核确认、手术排台分配术间、分配器械护士和巡回护士、分配麻醉医师等，逆向流程包括申请撤回、取消手术安排等。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5</w:t>
            </w:r>
          </w:p>
        </w:tc>
        <w:tc>
          <w:tcPr>
            <w:tcW w:w="876"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危急值闭环管理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现检验危急值闭环管理，主要包含危急值生成、危急值复核、危急值发布、医生护士接收处理反馈、危急值超时通知、危急值医技确认全流程闭环管理，达到医护人员及时得到检验危急值信息，迅速给予患者有效的干预措施或治疗。</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6</w:t>
            </w:r>
          </w:p>
        </w:tc>
        <w:tc>
          <w:tcPr>
            <w:tcW w:w="876"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会诊闭环管理</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支持会诊闭环管理，跟踪会诊过程记录，包括：会诊申请、会诊接收、撤销接收、会诊指派、撤销会诊、会诊签到、会诊答复。</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7</w:t>
            </w:r>
          </w:p>
        </w:tc>
        <w:tc>
          <w:tcPr>
            <w:tcW w:w="42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检查闭环管理</w:t>
            </w:r>
          </w:p>
        </w:tc>
        <w:tc>
          <w:tcPr>
            <w:tcW w:w="45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检查闭环是集成检查流程管理功能、检查结果管理功能和检查相关设置功能为一体的完整管理体系，实现对完整检查流程的监管和追溯。</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8</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5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门诊检查闭环</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建立医生开具检查单-患者付费-检查科室登记-检查-生成报告-报告审核-报告查看-打印等整体闭环流程。</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9</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5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住院检查闭环</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建立医生开具检查申请单并符合-检查标签打印-检查科室登记安排-护工护送病人到检查科室-检查-护工护送病人回病房-检查科室生成报告-审核报告-医生处返回报告等整体闭环流程。</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r>
              <w:rPr>
                <w:rFonts w:ascii="宋体" w:hAnsi="宋体" w:cs="宋体"/>
                <w:color w:val="auto"/>
                <w:kern w:val="0"/>
                <w:sz w:val="24"/>
                <w:szCs w:val="21"/>
                <w:highlight w:val="none"/>
              </w:rPr>
              <w:t>0</w:t>
            </w:r>
          </w:p>
        </w:tc>
        <w:tc>
          <w:tcPr>
            <w:tcW w:w="42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检验闭环管理</w:t>
            </w:r>
          </w:p>
        </w:tc>
        <w:tc>
          <w:tcPr>
            <w:tcW w:w="45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检验闭环是集成化验流程管理功能、化验结果管理功能和化验相关设置功能为一体的完整管理体系，实现对完整检验流程的监管和追溯。</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r>
              <w:rPr>
                <w:rFonts w:ascii="宋体" w:hAnsi="宋体" w:cs="宋体"/>
                <w:color w:val="auto"/>
                <w:kern w:val="0"/>
                <w:sz w:val="24"/>
                <w:szCs w:val="21"/>
                <w:highlight w:val="none"/>
              </w:rPr>
              <w:t>1</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5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门诊检验闭环</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建立医生开具检验单-患者付费-打印标本条码-检验科室标本采集-检验-生成报告-报告查看-打印等整体闭环流程。</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r>
              <w:rPr>
                <w:rFonts w:ascii="宋体" w:hAnsi="宋体" w:cs="宋体"/>
                <w:color w:val="auto"/>
                <w:kern w:val="0"/>
                <w:sz w:val="24"/>
                <w:szCs w:val="21"/>
                <w:highlight w:val="none"/>
              </w:rPr>
              <w:t>2</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5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住院检验闭环</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支持设置化验仪器、岗位、容器等相关内容，建立医生开具化验单-护士标本条码打印-标本采集-标本发送-护工运送标本-检验科标本接收-标本化验-生成报告等整体闭环流程。</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82" w:name="_Toc11874"/>
      <w:r>
        <w:rPr>
          <w:rFonts w:hint="eastAsia" w:ascii="宋体" w:hAnsi="宋体" w:cs="Times New Roman"/>
          <w:b/>
          <w:bCs/>
          <w:color w:val="auto"/>
          <w:kern w:val="0"/>
          <w:szCs w:val="21"/>
          <w:highlight w:val="none"/>
          <w:lang w:val="zh-CN"/>
        </w:rPr>
        <w:t>5.1</w:t>
      </w:r>
      <w:r>
        <w:rPr>
          <w:rFonts w:ascii="宋体" w:hAnsi="宋体" w:cs="Times New Roman"/>
          <w:b/>
          <w:bCs/>
          <w:color w:val="auto"/>
          <w:kern w:val="0"/>
          <w:szCs w:val="21"/>
          <w:highlight w:val="none"/>
          <w:lang w:val="zh-CN"/>
        </w:rPr>
        <w:t>2</w:t>
      </w:r>
      <w:r>
        <w:rPr>
          <w:rFonts w:hint="eastAsia" w:ascii="宋体" w:hAnsi="宋体" w:cs="Times New Roman"/>
          <w:b/>
          <w:bCs/>
          <w:color w:val="auto"/>
          <w:kern w:val="0"/>
          <w:szCs w:val="21"/>
          <w:highlight w:val="none"/>
          <w:lang w:val="zh-CN"/>
        </w:rPr>
        <w:t>医院信息集成平台</w:t>
      </w:r>
      <w:bookmarkEnd w:id="82"/>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83" w:name="_Toc14166"/>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2</w:t>
      </w:r>
      <w:r>
        <w:rPr>
          <w:rFonts w:hint="eastAsia" w:ascii="宋体" w:hAnsi="宋体" w:cs="Times New Roman"/>
          <w:b/>
          <w:bCs/>
          <w:color w:val="auto"/>
          <w:kern w:val="0"/>
          <w:szCs w:val="21"/>
          <w:highlight w:val="none"/>
        </w:rPr>
        <w:t>.1主数据管理</w:t>
      </w:r>
      <w:bookmarkEnd w:id="83"/>
    </w:p>
    <w:tbl>
      <w:tblPr>
        <w:tblStyle w:val="18"/>
        <w:tblW w:w="5300" w:type="pct"/>
        <w:jc w:val="center"/>
        <w:tblLayout w:type="autofit"/>
        <w:tblCellMar>
          <w:top w:w="0" w:type="dxa"/>
          <w:left w:w="108" w:type="dxa"/>
          <w:bottom w:w="0" w:type="dxa"/>
          <w:right w:w="108" w:type="dxa"/>
        </w:tblCellMar>
      </w:tblPr>
      <w:tblGrid>
        <w:gridCol w:w="533"/>
        <w:gridCol w:w="1560"/>
        <w:gridCol w:w="5534"/>
        <w:gridCol w:w="1413"/>
      </w:tblGrid>
      <w:tr>
        <w:tblPrEx>
          <w:tblCellMar>
            <w:top w:w="0" w:type="dxa"/>
            <w:left w:w="108" w:type="dxa"/>
            <w:bottom w:w="0" w:type="dxa"/>
            <w:right w:w="108" w:type="dxa"/>
          </w:tblCellMar>
        </w:tblPrEx>
        <w:trPr>
          <w:trHeight w:val="510" w:hRule="atLeast"/>
          <w:tblHeader/>
          <w:jc w:val="center"/>
        </w:trPr>
        <w:tc>
          <w:tcPr>
            <w:tcW w:w="295"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63"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6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78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102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主数据管理的主要功能是基于医院各系统间数据交换的语义级别的统一，管理任何来源系统的数据，包括应用程序、遗留系统或第三方数据源，将医院内重要注册信息、术语、字典等作为主数据进行管理维护，做到统一发布、同步更新，向业务和分析系统提供及时、可靠和标准化的主数据。</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63"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统一的数据字典管理</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构建医院主数据管理体系，以解决医院内字典主数据的数据一致性和准确性问题，如科室代码，职工身份，药品字典，收费项目等字典等主要关键字典数据在异构系统中非唯一性和机构内非标准化问题。</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业务域维护：此功能用于维护术语所属的业务域信息。</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支持院内各业务系统的主要字典的识别定义及维护管理功能。</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平台端数据字典维护：主数据及术语对应的标准类别管理维护。</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机构端数据字典维护：维护主数据管理系统引用的基础数据，建立每条主数据确保系统内唯一的非公布的标识符，并在整个机构内部共享。</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术语值域映射管理：此功能用于维护多套值域及其对应映射关系信息。将值域信息与基准值域映射映射。</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更有效地管理数据变化和异常情况，进行主数据的监控管理。</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863"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主数据字典映射</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所有业务字典统一管理，并能做到与各个系统之间的同步处理。</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基础数据的源头应该统一进行维护，并统一审核对外发布。</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目标系统中对基础数据的操作均统一审核后发布。</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12</w:t>
            </w:r>
          </w:p>
        </w:tc>
        <w:tc>
          <w:tcPr>
            <w:tcW w:w="863"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通用主数据</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主数据审核：对录入的主数据进行审核确定。</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主数据映射：维护针对同一个主数据模型的多个来源版本主数据的映射关系。</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数据注册管理：维护外部系统进行主数据注册通道信息。</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15</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更新通知订阅管理：维护主数据变更后需要通知的外部系统的订阅信息。</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16</w:t>
            </w:r>
          </w:p>
        </w:tc>
        <w:tc>
          <w:tcPr>
            <w:tcW w:w="863" w:type="pct"/>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主数据发布服务</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为了保证医院调用平台数据的准确性，需要实现院内各系统数据库数据的一致性，建立统一的、标准的数据字典（支持不依赖于异构系统的数据一致化），不仅可以为将来接入的医疗系统提供标准、统一的数据接口规则，方便新系统的接入，还可以为平台内数据的准确性、唯一性提供保证。</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17</w:t>
            </w:r>
          </w:p>
        </w:tc>
        <w:tc>
          <w:tcPr>
            <w:tcW w:w="863"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为保障数据的统一性、准确性、唯一性，实现院内各系统数据库数据的一致性，需建立统一的、标准的数据字典，并可通过平台对字典数据进行管理。</w:t>
            </w:r>
          </w:p>
        </w:tc>
        <w:tc>
          <w:tcPr>
            <w:tcW w:w="78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r>
              <w:rPr>
                <w:rFonts w:ascii="宋体" w:hAnsi="宋体" w:cs="宋体"/>
                <w:color w:val="auto"/>
                <w:kern w:val="0"/>
                <w:sz w:val="24"/>
                <w:szCs w:val="21"/>
                <w:highlight w:val="none"/>
              </w:rPr>
              <w:t>8</w:t>
            </w:r>
          </w:p>
        </w:tc>
        <w:tc>
          <w:tcPr>
            <w:tcW w:w="8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功能测试要求</w:t>
            </w:r>
          </w:p>
        </w:tc>
        <w:tc>
          <w:tcPr>
            <w:tcW w:w="306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olor w:val="auto"/>
                <w:sz w:val="24"/>
                <w:szCs w:val="24"/>
                <w:highlight w:val="none"/>
              </w:rPr>
              <w:t>投标人需在投标文件中提供第三方出具的主数据管理系统的验收测试报告，第三方机构需具备市场监督管理局颁发的“检验检测机构资质认定证书”</w:t>
            </w:r>
          </w:p>
        </w:tc>
        <w:tc>
          <w:tcPr>
            <w:tcW w:w="78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84" w:name="_Toc10525"/>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2</w:t>
      </w:r>
      <w:r>
        <w:rPr>
          <w:rFonts w:hint="eastAsia" w:ascii="宋体" w:hAnsi="宋体" w:cs="Times New Roman"/>
          <w:b/>
          <w:bCs/>
          <w:color w:val="auto"/>
          <w:kern w:val="0"/>
          <w:szCs w:val="21"/>
          <w:highlight w:val="none"/>
        </w:rPr>
        <w:t>.2服务总线</w:t>
      </w:r>
      <w:bookmarkEnd w:id="84"/>
    </w:p>
    <w:tbl>
      <w:tblPr>
        <w:tblStyle w:val="18"/>
        <w:tblW w:w="5300" w:type="pct"/>
        <w:jc w:val="center"/>
        <w:tblLayout w:type="autofit"/>
        <w:tblCellMar>
          <w:top w:w="0" w:type="dxa"/>
          <w:left w:w="108" w:type="dxa"/>
          <w:bottom w:w="0" w:type="dxa"/>
          <w:right w:w="108" w:type="dxa"/>
        </w:tblCellMar>
      </w:tblPr>
      <w:tblGrid>
        <w:gridCol w:w="533"/>
        <w:gridCol w:w="1560"/>
        <w:gridCol w:w="5534"/>
        <w:gridCol w:w="1413"/>
      </w:tblGrid>
      <w:tr>
        <w:tblPrEx>
          <w:tblCellMar>
            <w:top w:w="0" w:type="dxa"/>
            <w:left w:w="108" w:type="dxa"/>
            <w:bottom w:w="0" w:type="dxa"/>
            <w:right w:w="108" w:type="dxa"/>
          </w:tblCellMar>
        </w:tblPrEx>
        <w:trPr>
          <w:trHeight w:val="510" w:hRule="atLeast"/>
          <w:tblHeader/>
          <w:jc w:val="center"/>
        </w:trPr>
        <w:tc>
          <w:tcPr>
            <w:tcW w:w="295"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63"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6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78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127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63"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服务总线具备与各临床业务系统集成功能：包括但不仅限于患者信息、门诊处方、住院医嘱、检验业务、检查业务、电子病历、手术麻醉业务、护理业务、移动医疗业务。要求采用SOA架构，须遵循医疗健康信息传输标准-HL7V2版本，消息封装支持采用ER7、XML、SOAP，安全方面支持采用数字证书，传输支持HTTP、HTTPS、MLLP等协议。</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为医院提供一个统一的、标准的、可靠的、可扩展的管理平台，集成平台开发和监控界面统一，一次登录后可同时进行开发和监控，不需单独安装开发程序，方便用户配置和管理。数据映射工具也不需要单独安装。</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开发和监控界面均为网页界面，方便在线远程开发实施及日常维护监控。界面支持多种主流浏览器。</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平台界面同时支持中英文，在使用时可随时切换当页语言。</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平台拥有基于WEB的管理工具，可以支持IE、firefox、safari三种浏览器并支持中英文，支持iOS设备APP监控引擎状态并对相应服务进行管理，并在必要时发送通知和警告。</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可扩充性和升级能力</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系统建设采用零编程和面向服务设计技术，对于其可扩充性和升级能力必须有强力的支持。可以在统一的java及OSGI平台上进行扩充升级。</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代码开发标准</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遵循JAVA模块化框架，轻量化较新技术进行开发。</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平台开发技术</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需使用开源编程平台技术开发，避免侵犯第三方产权。不能使用私有技术开发。</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863"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医疗信息交换标准协议服务</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消息及数据格式:HL7,XML,IHE;ASTM;DICOM。</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网络及数据库连接协议:TCP/IP,JDBC,ODBC。</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开发语言和网络技术:Java,HTTP,HTML,JavaScript,CSS,XSLT。</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12</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安全及授权协议:HTTPS,LDAP,PKI,SSL,IPSec。</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国家医疗互联互通标准：支持EMRCDA及数据集。</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大数据数据交换支持：支持Hadoop数据操作，支持对Kafka分布式流平台发送和接收消息，支持连接消息发布订阅系统进行消息发布和订阅。</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15</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支持LDAP</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支持通过LDAP（Lightweight　Directory　Access　Protocol）协议配合客户的系统基础设施，使用统一的用户名和密码登录集成平台。用户名和密码都以加密的形式保存在内置数据库中，系统通过访问控制表的方式授权登录。</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16</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服务注册</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服务注册是指服务提供者向服务注册管理中心发布服务的功能，服务提供者是服务的所有者，负责定义并实现服务，对服务进行详细、准确、规范地描述，并将该描述发布到服务注册管理中心，供服务请求者查找并绑定使用。</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27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17</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服务发布</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服务发布是由总线自身生成相应服务并对外进行发布，服务请求者使用服务描述中的绑定细节来定位、联系并调用服务。服务发布中心将所有的服务部署到一台或者多台物理服务器上，形成一个整体对外提供服务，服务发布中心对所有发布服务进行统一的管理调配。各个业务系统直接访问服务发布中心查找需要调用的接口位置进而调用。</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27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r>
              <w:rPr>
                <w:rFonts w:ascii="宋体" w:hAnsi="宋体" w:cs="宋体"/>
                <w:color w:val="auto"/>
                <w:kern w:val="0"/>
                <w:sz w:val="24"/>
                <w:szCs w:val="21"/>
                <w:highlight w:val="none"/>
              </w:rPr>
              <w:t>8</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功能测试要求</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olor w:val="auto"/>
                <w:sz w:val="24"/>
                <w:szCs w:val="24"/>
                <w:highlight w:val="none"/>
              </w:rPr>
              <w:t>投标人需在投标文件中提供第三方出具的医院信息集成引擎系统的验收测试报告，第三方机构需具备市场监督管理局颁发的“检验检测机构资质认定证书”</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r>
              <w:rPr>
                <w:rFonts w:ascii="宋体" w:hAnsi="宋体" w:cs="宋体"/>
                <w:color w:val="auto"/>
                <w:kern w:val="0"/>
                <w:sz w:val="24"/>
                <w:szCs w:val="21"/>
                <w:highlight w:val="none"/>
              </w:rPr>
              <w:t>9</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信息安全</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支持实现安全网关，基于证书的安全数据传输，如TLS、SSL、HTTPS等，基于X.509证书的数字签名，实现消息内容加密及审计跟踪与节点验证。</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20</w:t>
            </w:r>
          </w:p>
        </w:tc>
        <w:tc>
          <w:tcPr>
            <w:tcW w:w="863"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消息管理</w:t>
            </w:r>
          </w:p>
        </w:tc>
        <w:tc>
          <w:tcPr>
            <w:tcW w:w="306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▲支持服务注册管理，能够管理与查看注册服务总数、状态、服务类型、服务名称、服务地址与服务操作，投标文件中需提供软件界面截图。</w:t>
            </w:r>
          </w:p>
        </w:tc>
        <w:tc>
          <w:tcPr>
            <w:tcW w:w="78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70" w:hRule="atLeast"/>
          <w:jc w:val="center"/>
        </w:trPr>
        <w:tc>
          <w:tcPr>
            <w:tcW w:w="29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21</w:t>
            </w:r>
          </w:p>
        </w:tc>
        <w:tc>
          <w:tcPr>
            <w:tcW w:w="863"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端对端管理</w:t>
            </w:r>
          </w:p>
        </w:tc>
        <w:tc>
          <w:tcPr>
            <w:tcW w:w="306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开发、测试和部署的工具紧密集成。</w:t>
            </w:r>
          </w:p>
        </w:tc>
        <w:tc>
          <w:tcPr>
            <w:tcW w:w="78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r>
              <w:rPr>
                <w:rFonts w:ascii="宋体" w:hAnsi="宋体" w:cs="宋体"/>
                <w:color w:val="auto"/>
                <w:kern w:val="0"/>
                <w:sz w:val="24"/>
                <w:szCs w:val="21"/>
                <w:highlight w:val="none"/>
              </w:rPr>
              <w:t>2</w:t>
            </w:r>
          </w:p>
        </w:tc>
        <w:tc>
          <w:tcPr>
            <w:tcW w:w="863"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系统集成</w:t>
            </w:r>
          </w:p>
        </w:tc>
        <w:tc>
          <w:tcPr>
            <w:tcW w:w="306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集成区域影像中心、区域心电中心、区域检验中心、区域病理中心、区域质控中心等，实现相关检查、检验结果共享调阅，检查检验申请、预约等过程环节的业务交互以及质控数据的上传和下载等。</w:t>
            </w:r>
          </w:p>
        </w:tc>
        <w:tc>
          <w:tcPr>
            <w:tcW w:w="78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85" w:name="_Toc31187"/>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2</w:t>
      </w:r>
      <w:r>
        <w:rPr>
          <w:rFonts w:hint="eastAsia" w:ascii="宋体" w:hAnsi="宋体" w:cs="Times New Roman"/>
          <w:b/>
          <w:bCs/>
          <w:color w:val="auto"/>
          <w:kern w:val="0"/>
          <w:szCs w:val="21"/>
          <w:highlight w:val="none"/>
        </w:rPr>
        <w:t>.3服务监控</w:t>
      </w:r>
      <w:bookmarkEnd w:id="85"/>
    </w:p>
    <w:tbl>
      <w:tblPr>
        <w:tblStyle w:val="18"/>
        <w:tblW w:w="5382" w:type="pct"/>
        <w:jc w:val="center"/>
        <w:tblLayout w:type="autofit"/>
        <w:tblCellMar>
          <w:top w:w="0" w:type="dxa"/>
          <w:left w:w="108" w:type="dxa"/>
          <w:bottom w:w="0" w:type="dxa"/>
          <w:right w:w="108" w:type="dxa"/>
        </w:tblCellMar>
      </w:tblPr>
      <w:tblGrid>
        <w:gridCol w:w="532"/>
        <w:gridCol w:w="1561"/>
        <w:gridCol w:w="5534"/>
        <w:gridCol w:w="1553"/>
      </w:tblGrid>
      <w:tr>
        <w:tblPrEx>
          <w:tblCellMar>
            <w:top w:w="0" w:type="dxa"/>
            <w:left w:w="108" w:type="dxa"/>
            <w:bottom w:w="0" w:type="dxa"/>
            <w:right w:w="108" w:type="dxa"/>
          </w:tblCellMar>
        </w:tblPrEx>
        <w:trPr>
          <w:trHeight w:val="510" w:hRule="atLeast"/>
          <w:tblHeader/>
          <w:jc w:val="center"/>
        </w:trPr>
        <w:tc>
          <w:tcPr>
            <w:tcW w:w="290"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5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14"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4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50"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服务监控是对医院所有服务运行情况的监控，通过监控，及时发现问题采取干预措施。</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监控概览</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支持展示业务系统与集成平台之间的服务调用关系。</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支持展示提供方、调用方服务调用次数。</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支持展示服务关键指标，包含服务请求次数、服务异常次数、接入系统总数、接入服务总数。</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支持监控服务吞吐量趋势。</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实时监控</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支持系统服务流向关系图例展示。</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支持展示服务列表。</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支持服务调用详情，包含服务调用链路、耗时、路由名称、消息ID。</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患者追踪</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支持模糊查询。</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支持多条件组合查询，例如：患者门诊号、住院号、姓名、身份证号、卡号标识。</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86" w:name="_Toc29125"/>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2</w:t>
      </w:r>
      <w:r>
        <w:rPr>
          <w:rFonts w:hint="eastAsia" w:ascii="宋体" w:hAnsi="宋体" w:cs="Times New Roman"/>
          <w:b/>
          <w:bCs/>
          <w:color w:val="auto"/>
          <w:kern w:val="0"/>
          <w:szCs w:val="21"/>
          <w:highlight w:val="none"/>
        </w:rPr>
        <w:t>.4患者主索引</w:t>
      </w:r>
      <w:bookmarkEnd w:id="86"/>
      <w:r>
        <w:rPr>
          <w:rFonts w:hint="eastAsia" w:ascii="宋体" w:hAnsi="宋体" w:cs="Times New Roman"/>
          <w:b/>
          <w:bCs/>
          <w:color w:val="auto"/>
          <w:kern w:val="0"/>
          <w:szCs w:val="21"/>
          <w:highlight w:val="none"/>
        </w:rPr>
        <w:t>系统</w:t>
      </w:r>
    </w:p>
    <w:tbl>
      <w:tblPr>
        <w:tblStyle w:val="18"/>
        <w:tblW w:w="5300" w:type="pct"/>
        <w:jc w:val="center"/>
        <w:tblLayout w:type="autofit"/>
        <w:tblCellMar>
          <w:top w:w="0" w:type="dxa"/>
          <w:left w:w="108" w:type="dxa"/>
          <w:bottom w:w="0" w:type="dxa"/>
          <w:right w:w="108" w:type="dxa"/>
        </w:tblCellMar>
      </w:tblPr>
      <w:tblGrid>
        <w:gridCol w:w="533"/>
        <w:gridCol w:w="1560"/>
        <w:gridCol w:w="5534"/>
        <w:gridCol w:w="1413"/>
      </w:tblGrid>
      <w:tr>
        <w:tblPrEx>
          <w:tblCellMar>
            <w:top w:w="0" w:type="dxa"/>
            <w:left w:w="108" w:type="dxa"/>
            <w:bottom w:w="0" w:type="dxa"/>
            <w:right w:w="108" w:type="dxa"/>
          </w:tblCellMar>
        </w:tblPrEx>
        <w:trPr>
          <w:trHeight w:val="510" w:hRule="atLeast"/>
          <w:tblHeader/>
          <w:jc w:val="center"/>
        </w:trPr>
        <w:tc>
          <w:tcPr>
            <w:tcW w:w="295"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63"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6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78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102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63"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患者信息注册</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业务系统希望把一个患者的索引加入到交叉索引系统时，向交叉索引系统传送请求注册消息，消息中包含待注册的患者信息，主要元素包括：业务系统ID、患者ID、姓名、性别、出生日期、出生地、民族、母亲姓名、婚姻状况、身份证号、住址、电话等。</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交叉索引系统通过匹配规则检查系统中是否已存在该患者的索引，按照新增索引或更新索引两种情况分别处理。</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新增索引需要在交叉索引系统中记录业务系统的索引，同时产生主索引。如果该患者在交叉索引系统中有潜在重复的记录，还需要记录潜在重复信息。</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更新索引需要更新匹配的业务系统的索引，同时更新主索引。</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主索引更新时，需要对订阅主索引的系统发布更新的主索引。</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63"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患者信息匹配</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接收到外部系统登记患者的请求信息后，交叉索引系统首先使用业务系统号＋患者局部ID（LID）查找，如果存在精确匹配的索引，只需要对原索引信息进行更新即可，如果没有找到精确匹配的患者索引，则需要根据患者的其它信息和系统中的记录进行匹配。</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叉索引匹配引擎首先通过预定义的匹配条件选定一批相近的记录，对每个记录计算匹配度，再根据这组记录的匹配度确定请求登记的信息属于新患者、现有患者或者潜在重复患者。这里所说的潜在重复是指两个患者的信息匹配度比较高但还不足以判定为同一个人。</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通过患者主索引权重配置功能对同一患者的数据进行合并。</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更新主索引</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在交叉索引系统新增或更新一个患者的索引信息后，同时需要对主索引进行更新。向交叉索引提供患者信息注册的系统可能拥有不同的信息可信度，因此其提供的信息对主索引的影响有所不同。更新操作根据新的信息对主索引每个字段记录的信息进行评价，确定该字段的最佳值。</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27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记录潜在重复</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匹配引擎检测到申请登记的患者和现存索引存在潜在重复时，需要对潜在重复的情况进行记录，并返回给业务系统或系统管理员进行处理。发布主索引业务系统可以向交叉索引系统订阅主索引，便于在以后的应用中加快应用，提高信息准确性，交叉索引系统在对一个患者的主索引更新或增加新索引后，需要向订阅主索引的业务系统发布更新。</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记录操作日志</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叉索引系统业务记录发生的变化都需要记录操作日志，并能实现回退。需要记录的业务操作：新增局部索引、更新局部索引、合并索引、新增主索引、更新主索引、取消索引合并、索引自动匹配、取消自动匹配。</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12</w:t>
            </w:r>
          </w:p>
        </w:tc>
        <w:tc>
          <w:tcPr>
            <w:tcW w:w="863"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获取患者交叉索引</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交叉索引系统的主要功能是为业务系统提供业务系统交叉索引表，业务系统可以通过两种方式获取交叉索引：通过全局标识获取、通过患者信息获取。</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如果业务系统中记录了患者全局标识，交叉索引系统可以直接检索到该患者的交叉索引表。</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w:t>
            </w:r>
          </w:p>
        </w:tc>
        <w:tc>
          <w:tcPr>
            <w:tcW w:w="863"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当业务系统仅提供患者本地信息向交叉索引系统检索交叉索引时，交叉索引系统首先要进行患者信息匹配，在交叉索引库中查找可以匹配的病人。如果能够精确匹配，则返回该患者的交叉索引；如果仅能匹配到潜在重复，则返回潜在重复信息，由业务系统进一步选择；如果匹配失败，则返回空记录。</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15</w:t>
            </w:r>
          </w:p>
        </w:tc>
        <w:tc>
          <w:tcPr>
            <w:tcW w:w="863" w:type="pct"/>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获取患者主索引信息</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交叉索引系统存储了患者在多个系统中的标识信息，并由此维护一个主索引，记录最准确的患者基本信息，该信息可以提供给业务系统使用，提高业务系统中患者信息的质量。</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16</w:t>
            </w:r>
          </w:p>
        </w:tc>
        <w:tc>
          <w:tcPr>
            <w:tcW w:w="863"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获取患者主索引信息的使用方法要求与获取患者交叉索引类似，可以由业务系统提供全局标识获取，也可以由业务系统提供患者本地信息获取。</w:t>
            </w:r>
          </w:p>
        </w:tc>
        <w:tc>
          <w:tcPr>
            <w:tcW w:w="78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r>
              <w:rPr>
                <w:rFonts w:ascii="宋体" w:hAnsi="宋体" w:cs="宋体"/>
                <w:color w:val="auto"/>
                <w:kern w:val="0"/>
                <w:sz w:val="24"/>
                <w:szCs w:val="21"/>
                <w:highlight w:val="none"/>
              </w:rPr>
              <w:t>7</w:t>
            </w:r>
          </w:p>
        </w:tc>
        <w:tc>
          <w:tcPr>
            <w:tcW w:w="86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功能测试要求</w:t>
            </w:r>
          </w:p>
        </w:tc>
        <w:tc>
          <w:tcPr>
            <w:tcW w:w="306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olor w:val="auto"/>
                <w:sz w:val="24"/>
                <w:szCs w:val="24"/>
                <w:highlight w:val="none"/>
              </w:rPr>
              <w:t>投标人需在投标文件中提供第三方出具的患者主索引系统的验收测试报告，第三方机构需具备市场监督管理局颁发的“检验检测机构资质认定证书”</w:t>
            </w:r>
          </w:p>
        </w:tc>
        <w:tc>
          <w:tcPr>
            <w:tcW w:w="78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87" w:name="_Toc30497"/>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2</w:t>
      </w:r>
      <w:r>
        <w:rPr>
          <w:rFonts w:hint="eastAsia" w:ascii="宋体" w:hAnsi="宋体" w:cs="Times New Roman"/>
          <w:b/>
          <w:bCs/>
          <w:color w:val="auto"/>
          <w:kern w:val="0"/>
          <w:szCs w:val="21"/>
          <w:highlight w:val="none"/>
        </w:rPr>
        <w:t>.5患者</w:t>
      </w:r>
      <w:r>
        <w:rPr>
          <w:rFonts w:ascii="宋体" w:hAnsi="宋体" w:cs="Times New Roman"/>
          <w:b/>
          <w:bCs/>
          <w:color w:val="auto"/>
          <w:kern w:val="0"/>
          <w:szCs w:val="21"/>
          <w:highlight w:val="none"/>
        </w:rPr>
        <w:t>360°</w:t>
      </w:r>
      <w:r>
        <w:rPr>
          <w:rFonts w:hint="eastAsia" w:ascii="宋体" w:hAnsi="宋体" w:cs="Times New Roman"/>
          <w:b/>
          <w:bCs/>
          <w:color w:val="auto"/>
          <w:kern w:val="0"/>
          <w:szCs w:val="21"/>
          <w:highlight w:val="none"/>
        </w:rPr>
        <w:t>视图</w:t>
      </w:r>
      <w:bookmarkEnd w:id="87"/>
    </w:p>
    <w:tbl>
      <w:tblPr>
        <w:tblStyle w:val="18"/>
        <w:tblW w:w="5382" w:type="pct"/>
        <w:jc w:val="center"/>
        <w:tblLayout w:type="autofit"/>
        <w:tblCellMar>
          <w:top w:w="0" w:type="dxa"/>
          <w:left w:w="108" w:type="dxa"/>
          <w:bottom w:w="0" w:type="dxa"/>
          <w:right w:w="108" w:type="dxa"/>
        </w:tblCellMar>
      </w:tblPr>
      <w:tblGrid>
        <w:gridCol w:w="532"/>
        <w:gridCol w:w="1561"/>
        <w:gridCol w:w="5534"/>
        <w:gridCol w:w="1553"/>
      </w:tblGrid>
      <w:tr>
        <w:tblPrEx>
          <w:tblCellMar>
            <w:top w:w="0" w:type="dxa"/>
            <w:left w:w="108" w:type="dxa"/>
            <w:bottom w:w="0" w:type="dxa"/>
            <w:right w:w="108" w:type="dxa"/>
          </w:tblCellMar>
        </w:tblPrEx>
        <w:trPr>
          <w:trHeight w:val="510" w:hRule="atLeast"/>
          <w:tblHeader/>
          <w:jc w:val="center"/>
        </w:trPr>
        <w:tc>
          <w:tcPr>
            <w:tcW w:w="290"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5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14"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4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102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50"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集成视图综合展现患者的基本健康信息，包括基本信息，最新的个人史，婚育史，家族史，动态累加的既往病史，过敏史，接种史，手术及操作史，输血史。以患者就诊活动为中心，把患者在一次就诊活动中产生的，分散在多个医疗系统中的临床文档有机的整合起来，提供统一视图。</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具体要求</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用户可以访问同一患者信息，无需考虑工作站点。</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支持以病人的时间、诊断或疾病问题为主线进行电子病历信息的展现；展示医疗机构外病历记录的内容。</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按照患者标识、基本信息、就诊时间、就诊科室、接诊医师、疾病编码等关键字分类检索、查阅病历。</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展现历次检查检验结果数值型指标以及趋势图。</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可同时展现多项生理指标的变化趋势图。</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查询、浏览检查检验报告内容，检查检验报告内容展现，提供显示检查检验结果正常参考范围的功能；可展示其他医疗机构检查情况、病人自采健康记录内容。能够展示其他医疗机构的检查结果、图像等。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检查检验报告告知：新检查检验报告告知提示的功能。支持异常结果和危急结果、危急值提示。</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能获取病人医疗及健康信息并能够进行集中展示，包括机构内外的医疗信息、健康记录、体征检测、随访信息、病人自采健康记录（如健康记录、可穿戴设备数据）等。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88" w:name="_Toc23842"/>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2</w:t>
      </w:r>
      <w:r>
        <w:rPr>
          <w:rFonts w:hint="eastAsia" w:ascii="宋体" w:hAnsi="宋体" w:cs="Times New Roman"/>
          <w:b/>
          <w:bCs/>
          <w:color w:val="auto"/>
          <w:kern w:val="0"/>
          <w:szCs w:val="21"/>
          <w:highlight w:val="none"/>
        </w:rPr>
        <w:t>.6电子病历档案服务</w:t>
      </w:r>
      <w:bookmarkEnd w:id="88"/>
    </w:p>
    <w:tbl>
      <w:tblPr>
        <w:tblStyle w:val="18"/>
        <w:tblW w:w="5382" w:type="pct"/>
        <w:jc w:val="center"/>
        <w:tblLayout w:type="autofit"/>
        <w:tblCellMar>
          <w:top w:w="0" w:type="dxa"/>
          <w:left w:w="108" w:type="dxa"/>
          <w:bottom w:w="0" w:type="dxa"/>
          <w:right w:w="108" w:type="dxa"/>
        </w:tblCellMar>
      </w:tblPr>
      <w:tblGrid>
        <w:gridCol w:w="532"/>
        <w:gridCol w:w="1561"/>
        <w:gridCol w:w="5534"/>
        <w:gridCol w:w="1553"/>
      </w:tblGrid>
      <w:tr>
        <w:tblPrEx>
          <w:tblCellMar>
            <w:top w:w="0" w:type="dxa"/>
            <w:left w:w="108" w:type="dxa"/>
            <w:bottom w:w="0" w:type="dxa"/>
            <w:right w:w="108" w:type="dxa"/>
          </w:tblCellMar>
        </w:tblPrEx>
        <w:trPr>
          <w:trHeight w:val="510" w:hRule="atLeast"/>
          <w:tblHeader/>
          <w:jc w:val="center"/>
        </w:trPr>
        <w:tc>
          <w:tcPr>
            <w:tcW w:w="290"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5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14"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4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102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50"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电子病历档案服务利用分布式检索引擎、中文自然语言处理和机器学习技术，实现海量病历文档的查询响应，实现结构化与非结构文档的联合高效检索功能。为临床医生或科研医生提供数据查询工具，进行病例回顾或科研分析。</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50"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病历信息的灵活便捷检索</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比如通过多种关键字检索，多种分类筛查（如病案首页、入院记录、会诊记录、手术记录等等），多种维度筛选（如时间、科室、病人来源、疾病、性别、年龄等等），以及模糊查询、条件分组查询等。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50"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集成患者360视图</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通过病历检索可查看具体患者的360视图详细信息。</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50"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医嘱查询</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可以按条件查询符合的治疗饮食医嘱列表及详情。</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50"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病历收藏</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按医生专业和科研需求可以随时收藏患者或病历等内容，方便后续查看。</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访问记录查询</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医生访问记录支持查询。</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对于跨医疗机构电子病历数据的使用具备完整的记录和授权访问控制，通过与微信公众号、APP等对接，在移动端为病人供完整的电子病历数据浏览服务，浏览内容包括病人医疗文书、检验结果、检查报告等，可形成单独的电子病历文件，按照规范的版式显示病人病历资料，浏览操作有记录。</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89" w:name="_Toc20433"/>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2</w:t>
      </w:r>
      <w:r>
        <w:rPr>
          <w:rFonts w:hint="eastAsia" w:ascii="宋体" w:hAnsi="宋体" w:cs="Times New Roman"/>
          <w:b/>
          <w:bCs/>
          <w:color w:val="auto"/>
          <w:kern w:val="0"/>
          <w:szCs w:val="21"/>
          <w:highlight w:val="none"/>
        </w:rPr>
        <w:t>.7统一用户管理（单点登录）</w:t>
      </w:r>
      <w:bookmarkEnd w:id="89"/>
    </w:p>
    <w:tbl>
      <w:tblPr>
        <w:tblStyle w:val="18"/>
        <w:tblW w:w="5382" w:type="pct"/>
        <w:jc w:val="center"/>
        <w:tblLayout w:type="autofit"/>
        <w:tblCellMar>
          <w:top w:w="0" w:type="dxa"/>
          <w:left w:w="108" w:type="dxa"/>
          <w:bottom w:w="0" w:type="dxa"/>
          <w:right w:w="108" w:type="dxa"/>
        </w:tblCellMar>
      </w:tblPr>
      <w:tblGrid>
        <w:gridCol w:w="532"/>
        <w:gridCol w:w="1561"/>
        <w:gridCol w:w="5534"/>
        <w:gridCol w:w="1553"/>
      </w:tblGrid>
      <w:tr>
        <w:tblPrEx>
          <w:tblCellMar>
            <w:top w:w="0" w:type="dxa"/>
            <w:left w:w="108" w:type="dxa"/>
            <w:bottom w:w="0" w:type="dxa"/>
            <w:right w:w="108" w:type="dxa"/>
          </w:tblCellMar>
        </w:tblPrEx>
        <w:trPr>
          <w:trHeight w:val="510" w:hRule="atLeast"/>
          <w:tblHeader/>
          <w:jc w:val="center"/>
        </w:trPr>
        <w:tc>
          <w:tcPr>
            <w:tcW w:w="290"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5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14"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4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765"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统一用户管理平台主要包含：统一用户管理核心服务、数据同步和账号管理接口服务、统一接入服务、统一认证服务和统一账号管理核心数据存储服务。</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统一用户管理核心服务实现用户在医院全生命周期管理，为管理员和个人用户提供不同权限的管理视图。数据同步接口和账号管理实现与医院应用系统的集成，统一账号管理系统组织机构、人员数据到应用系统的同步。实现医院HR系统或主数据管理系统中的人员数据到统一用户管理平台的同步。</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w:t>
            </w:r>
            <w:r>
              <w:rPr>
                <w:rFonts w:hint="eastAsia" w:ascii="宋体" w:hAnsi="宋体" w:cs="宋体"/>
                <w:color w:val="auto"/>
                <w:kern w:val="0"/>
                <w:sz w:val="24"/>
                <w:szCs w:val="21"/>
                <w:highlight w:val="none"/>
              </w:rPr>
              <w:t>应用集成接入服务为集成的应用系统提供用户统一访问入口、统一认证和单点登录服务。统一认证服务为集成的应用系统提交统一身份认证，以支持单点登录功能。</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用户管理</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用户信息维护：包括用户的新增、删除（逻辑删除）、修改等操作，用户的基本信息包括，用户头像上传、用户登录名、姓名、出生年月、邮箱、固话、移动电话、工作职称、入职时间、生效日期，失效日期、所属角色，所属科室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用户批量导入：支持从业务系统中通过接口直接读取用户信息并导入到平台中。同时也支持按excel模板格式整理用户信息，并一次性导入平台。</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用户批量导出：支持将平台中的用户信息批量导出成excel文件，方便其他第三方系统使用。</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用户对照：对已经存在的第三方系统，平台中的用户与第三方系统用户之间建立对照关系。</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组织机构管理</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维护机构信息维护：包括组织机构的增加、删除（逻辑删除）、修改等操作。组织机构信息包括，组织编号、组织名称、科室类型、父组织、组织电话、组织地址等。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组织机构批量导入：支持从业务系统中通过接口读取组织机构信息并导入到平台中。同时也支持按excel模板格式整理组织机构信息，一次性导入平台中。</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组织机构批量导出：支持将平台中的组织机构信息批量导出成excel文件，方便其他第三方系统使用。</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组织机构对照：对已经存在的第三方系统，平台中的组织机构与第三方系统的组织机构之间建立对照关系。</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12</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应用管理</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应用信息维护：包括第三方应用的增加、删除（逻辑删除）、修改等操作。应用的基本信息包括，应用名称、应用编号、应用简称、是否激活、业务管理员等。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应用接口管理：管理第三方应用提供的接口地址。</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应用单点登录配置：维护第三方应用接入单点登录的基本配置，包括第三方应用地址、第三方应用单点登录的协议类型、第三方应用类型（B/S或C/S）、打开浏览器类型（IE、Chrome、Firefox等）。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15</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应用角色同步：实现平台中应用角色与第三方应用角色同步。</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16</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应用账号管理</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应用账号维护：向第三方应用中推送用户并创建应用账号、启用或停用第三方应用中的账号、修改第三方应用中对应的用户名。</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17</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应用账号权限管理：对第三方应用中，用户的相关权限进行管理。直接在平台中调用第三方应用中权限管理页面进行操作。</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18</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账号角色维护：修改用户在第三方应用中的角色，以修改用户在第三方应用中的权限。</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19</w:t>
            </w:r>
          </w:p>
        </w:tc>
        <w:tc>
          <w:tcPr>
            <w:tcW w:w="850"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审计日志</w:t>
            </w: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操作日志查询：提供后台管理维护的操作日志以及数据同步的日志查询。</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20</w:t>
            </w:r>
          </w:p>
        </w:tc>
        <w:tc>
          <w:tcPr>
            <w:tcW w:w="850"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访问日志查询：提供登录平台以及所有第三方应用的登录日志查询。可按时间段、用户、应用系统进行查询。</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21</w:t>
            </w:r>
          </w:p>
        </w:tc>
        <w:tc>
          <w:tcPr>
            <w:tcW w:w="850"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访问统计分析：对第三方应用的登录日志进行统计，并分析各应用的访问量和高峰期。</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22</w:t>
            </w:r>
          </w:p>
        </w:tc>
        <w:tc>
          <w:tcPr>
            <w:tcW w:w="850" w:type="pct"/>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14"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异常访问提醒：对超出访问权限的操作进行记录，并向相关人员推送消息进行操作。</w:t>
            </w:r>
          </w:p>
        </w:tc>
        <w:tc>
          <w:tcPr>
            <w:tcW w:w="846" w:type="pct"/>
            <w:tcBorders>
              <w:top w:val="nil"/>
              <w:left w:val="nil"/>
              <w:bottom w:val="nil"/>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r>
              <w:rPr>
                <w:rFonts w:ascii="宋体" w:hAnsi="宋体" w:cs="宋体"/>
                <w:color w:val="auto"/>
                <w:kern w:val="0"/>
                <w:sz w:val="24"/>
                <w:szCs w:val="21"/>
                <w:highlight w:val="none"/>
              </w:rPr>
              <w:t>3</w:t>
            </w:r>
          </w:p>
        </w:tc>
        <w:tc>
          <w:tcPr>
            <w:tcW w:w="850"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功能测试要求</w:t>
            </w:r>
          </w:p>
        </w:tc>
        <w:tc>
          <w:tcPr>
            <w:tcW w:w="3014"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olor w:val="auto"/>
                <w:sz w:val="24"/>
                <w:szCs w:val="24"/>
                <w:highlight w:val="none"/>
              </w:rPr>
              <w:t>投标人需在投标文件中提供第三方出具的单点登录门户的验收测试报告，该第三方机构需具备市场监督管理局颁发的“检验检测机构资质认定证书”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90" w:name="_Toc13536"/>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2</w:t>
      </w:r>
      <w:r>
        <w:rPr>
          <w:rFonts w:hint="eastAsia" w:ascii="宋体" w:hAnsi="宋体" w:cs="Times New Roman"/>
          <w:b/>
          <w:bCs/>
          <w:color w:val="auto"/>
          <w:kern w:val="0"/>
          <w:szCs w:val="21"/>
          <w:highlight w:val="none"/>
        </w:rPr>
        <w:t>.8数据访问和存储服务</w:t>
      </w:r>
      <w:bookmarkEnd w:id="90"/>
    </w:p>
    <w:tbl>
      <w:tblPr>
        <w:tblStyle w:val="18"/>
        <w:tblW w:w="5300" w:type="pct"/>
        <w:jc w:val="center"/>
        <w:tblLayout w:type="autofit"/>
        <w:tblCellMar>
          <w:top w:w="0" w:type="dxa"/>
          <w:left w:w="108" w:type="dxa"/>
          <w:bottom w:w="0" w:type="dxa"/>
          <w:right w:w="108" w:type="dxa"/>
        </w:tblCellMar>
      </w:tblPr>
      <w:tblGrid>
        <w:gridCol w:w="533"/>
        <w:gridCol w:w="1560"/>
        <w:gridCol w:w="5534"/>
        <w:gridCol w:w="1413"/>
      </w:tblGrid>
      <w:tr>
        <w:tblPrEx>
          <w:tblCellMar>
            <w:top w:w="0" w:type="dxa"/>
            <w:left w:w="108" w:type="dxa"/>
            <w:bottom w:w="0" w:type="dxa"/>
            <w:right w:w="108" w:type="dxa"/>
          </w:tblCellMar>
        </w:tblPrEx>
        <w:trPr>
          <w:trHeight w:val="510" w:hRule="atLeast"/>
          <w:tblHeader/>
          <w:jc w:val="center"/>
        </w:trPr>
        <w:tc>
          <w:tcPr>
            <w:tcW w:w="295"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63"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6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78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1275"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据访问和存储服务的工作任务是通过数据库抽取相关技术把存储在医院内部不同业务数据库系统中的数据（结构化和非结构化）抽取出来，重新整合，并将采集到的数据统一存储到分布式文件系统中，便于后续的数据分析与挖掘。数据采集主要的功能包括接入系统、输入配置、输出配置、采集配置管理。</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接入系统</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实现对接入系统基本信息的增、删、改、查等维护工作，为后序的数据统计分析做好数据准备工作。</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304"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输入配置</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系统支持自定义配置业务信息系统的数据采集工作，可以自定义数据的接入方式、并可以对数据进行界面化的启用/停止功能，通过编辑可以对输入配置数据源进行详细的配置和测试。</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9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63"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输出配置</w:t>
            </w:r>
          </w:p>
        </w:tc>
        <w:tc>
          <w:tcPr>
            <w:tcW w:w="306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系统对数据输出可以进行统一管理，支持多种数据输出方式，包括SQL、WebService、REST等，通过可视化的界面完成输出端的维护和测试功能。</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63"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采集配置</w:t>
            </w:r>
          </w:p>
        </w:tc>
        <w:tc>
          <w:tcPr>
            <w:tcW w:w="306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支持对院内所有业务系统结构化和非结构化数据的实时采集功能，数据迁移可以实现单表迁移和整库迁移。结构化数据采集时系统可以自动根据源端表结构创建目标端表结构，采集后的病历数据保证展现的样式和原始病历保持一致。</w:t>
            </w:r>
          </w:p>
        </w:tc>
        <w:tc>
          <w:tcPr>
            <w:tcW w:w="78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9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63" w:type="pct"/>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数据质量控制</w:t>
            </w:r>
          </w:p>
        </w:tc>
        <w:tc>
          <w:tcPr>
            <w:tcW w:w="306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▲支持质控得分查询：包含规范性、一致性、完整性、稳定性。支持展示质控得分明细，包含规范性、一致性、完整性、稳定性。支持扣分指标</w:t>
            </w:r>
            <w:r>
              <w:rPr>
                <w:rFonts w:ascii="宋体" w:hAnsi="宋体" w:cs="宋体"/>
                <w:color w:val="auto"/>
                <w:kern w:val="0"/>
                <w:sz w:val="24"/>
                <w:szCs w:val="21"/>
                <w:highlight w:val="none"/>
              </w:rPr>
              <w:t>TOP20展示。支持质控得分分析。投标文件中需提供软件功能截图。</w:t>
            </w:r>
          </w:p>
        </w:tc>
        <w:tc>
          <w:tcPr>
            <w:tcW w:w="781" w:type="pct"/>
            <w:tcBorders>
              <w:top w:val="single" w:color="auto" w:sz="4" w:space="0"/>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91" w:name="_Toc3278"/>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2</w:t>
      </w:r>
      <w:r>
        <w:rPr>
          <w:rFonts w:hint="eastAsia" w:ascii="宋体" w:hAnsi="宋体" w:cs="Times New Roman"/>
          <w:b/>
          <w:bCs/>
          <w:color w:val="auto"/>
          <w:kern w:val="0"/>
          <w:szCs w:val="21"/>
          <w:highlight w:val="none"/>
        </w:rPr>
        <w:t>.9临床数据中心（CDR）</w:t>
      </w:r>
      <w:bookmarkEnd w:id="91"/>
    </w:p>
    <w:tbl>
      <w:tblPr>
        <w:tblStyle w:val="18"/>
        <w:tblW w:w="5466" w:type="pct"/>
        <w:jc w:val="center"/>
        <w:tblLayout w:type="autofit"/>
        <w:tblCellMar>
          <w:top w:w="0" w:type="dxa"/>
          <w:left w:w="108" w:type="dxa"/>
          <w:bottom w:w="0" w:type="dxa"/>
          <w:right w:w="108" w:type="dxa"/>
        </w:tblCellMar>
      </w:tblPr>
      <w:tblGrid>
        <w:gridCol w:w="533"/>
        <w:gridCol w:w="1561"/>
        <w:gridCol w:w="5532"/>
        <w:gridCol w:w="1697"/>
      </w:tblGrid>
      <w:tr>
        <w:tblPrEx>
          <w:tblCellMar>
            <w:top w:w="0" w:type="dxa"/>
            <w:left w:w="108" w:type="dxa"/>
            <w:bottom w:w="0" w:type="dxa"/>
            <w:right w:w="108" w:type="dxa"/>
          </w:tblCellMar>
        </w:tblPrEx>
        <w:trPr>
          <w:trHeight w:val="510" w:hRule="atLeast"/>
          <w:tblHeader/>
          <w:jc w:val="center"/>
        </w:trPr>
        <w:tc>
          <w:tcPr>
            <w:tcW w:w="286"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37"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2967"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91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883"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37"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CDR存储临床电子病历数据和临床文档数据，来源于众多临床业务信息系统，将分散在不同系统、以不同形式表示和存储的数据信息通过统一的标准汇集和交换，并进行统一的建模，形成一个面向临床，以患者为中心的数据存储，实现信息共享。可记录和存储就诊病人医疗机构内外的医疗及健康信息，能够与区域医疗数据整合，形成完整健康记录数据。具有多医疗机构联合的全面临床医疗数据索引，多机构可联合索引的数据项目内容中，具备外部数据的病人人数占全部病人15%以上。支持分布式数据的检索、抽取与处理。</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以患者为中心、标准化的数据格式、关联历次门诊和住院就诊数据、整合包括HIS、LIS、PACS等各个系统、跨主院区、分院区集中存储临床数据，用于临床数据共享和智能化应用。</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有可定义的数据内容选择与抽取工具，具备常用的管理、研究、教学数据处理工具。</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37"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数据存储</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支持住院诊疗、门诊诊疗、LIS常规检验、LIS微生物检验、诊断、过敏史、用药情况等结构化数据的存储。</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837"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文档存储</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支持PDF格式的LIS常规检验报告、LIS微生物检验报告、PACS超声放射等检查报告等文档的存储。</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60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37"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标准CDR服务组件</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临床信息注册服务</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支持各个系统将检查、检验结果、诊断、药品、诊疗过程等各种临床信息注册到临床数据存储库中。</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1.数据注册：支持住院诊疗、门诊诊疗、LIS常规检验结果、LIS微生物检验结果、诊断、用药情况等结构化数据的注册。</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2.数据查询：注册的数据以fhir标准进行注册、以资源作为一个整体，能够根据支持业务系统查询以支持系统间数据共享与利用。</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3.文档注册：支持PDF格式的文档进行注册，存储到文件服务器中，包括LIS常规检验、LIS微生物检验、超声检查报告、放射检查报告、病理检查报告等文档的注册。</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4.文档查询：支持自助机、app、医生工作站等系统进行报告与文档的查询。</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53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临床信息检索服务</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支持基于CDR的上层应用所需对各种临床信息的检索。</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1.数据检索：支持基于CDR的上层应用所需对各种结构化数据的检索，可返回符合条件的数据。</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2.文档检索：支持基于CDR的上层应用所需对文档的检索，可返回符合条件的文档列表。</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275"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标准化服务</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支持CDR内部、外部对标准化的要求。</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1.接口标准化：CDR提供标准化接口。</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2.数据标准化：CDR服务使用字典可与主数据中维护标准字典进行校验，保证各个与CDR交互系统使用数据的准确性与一致性。</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837"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CDR服务管理系统</w:t>
            </w: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CDR服务管理为CDR服务以及存储数据内容提供了可视化的消息监控平台。</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日志管理：可以查看服务运行日志，包括入参、出参、异常日志。</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患者就诊管理：以图表形式展现患者挂号、建档数量，以及按照门诊、住院维度查看患者分布情况，根据年龄性别查看患者分布情况等。</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12</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申请单管理：提供检查检验申请单数据查看。</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病历文档管理：提供检查检验报告文档图形展示与分析，能够按文档类型进行分类查看，根据患者信息查看相关文档以及pdf。</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运维工具：提供与EMPI对接补发机制，能够设置定时任务，定时将患者数据补发到EMPI中，也可将某一条数据发送到EMPI获得EMPIId，提供日志管理工具，能够手动删除已记录日志释放数据存储空间。</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15</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数据库管理：提供CDR使用表空间、会话、索引等监控功能。</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275" w:hRule="atLeast"/>
          <w:jc w:val="center"/>
        </w:trPr>
        <w:tc>
          <w:tcPr>
            <w:tcW w:w="286"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16</w:t>
            </w:r>
          </w:p>
        </w:tc>
        <w:tc>
          <w:tcPr>
            <w:tcW w:w="837"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67"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临床数据仓库：有统一索引与规范数据格式，结构化的数据内容包括，住院病案首页、门诊就诊记录、医嘱记录、检查报告、检验报告、手术记录、治疗记录、体征记录。包括从病历中的入院记录、病程记录、出院小结，检查报告和病历报告中的检查描述、检查结论（诊断）内容中抽取出的结构化数据内容。</w:t>
            </w:r>
          </w:p>
        </w:tc>
        <w:tc>
          <w:tcPr>
            <w:tcW w:w="91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92" w:name="_Toc29798"/>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2</w:t>
      </w:r>
      <w:r>
        <w:rPr>
          <w:rFonts w:hint="eastAsia" w:ascii="宋体" w:hAnsi="宋体" w:cs="Times New Roman"/>
          <w:b/>
          <w:bCs/>
          <w:color w:val="auto"/>
          <w:kern w:val="0"/>
          <w:szCs w:val="21"/>
          <w:highlight w:val="none"/>
        </w:rPr>
        <w:t>.10平台可视化管理</w:t>
      </w:r>
      <w:bookmarkEnd w:id="92"/>
    </w:p>
    <w:tbl>
      <w:tblPr>
        <w:tblStyle w:val="18"/>
        <w:tblW w:w="5549" w:type="pct"/>
        <w:jc w:val="center"/>
        <w:tblLayout w:type="autofit"/>
        <w:tblCellMar>
          <w:top w:w="0" w:type="dxa"/>
          <w:left w:w="108" w:type="dxa"/>
          <w:bottom w:w="0" w:type="dxa"/>
          <w:right w:w="108" w:type="dxa"/>
        </w:tblCellMar>
      </w:tblPr>
      <w:tblGrid>
        <w:gridCol w:w="533"/>
        <w:gridCol w:w="1562"/>
        <w:gridCol w:w="5531"/>
        <w:gridCol w:w="1838"/>
      </w:tblGrid>
      <w:tr>
        <w:tblPrEx>
          <w:tblCellMar>
            <w:top w:w="0" w:type="dxa"/>
            <w:left w:w="108" w:type="dxa"/>
            <w:bottom w:w="0" w:type="dxa"/>
            <w:right w:w="108" w:type="dxa"/>
          </w:tblCellMar>
        </w:tblPrEx>
        <w:trPr>
          <w:trHeight w:val="510" w:hRule="atLeast"/>
          <w:tblHeader/>
          <w:jc w:val="center"/>
        </w:trPr>
        <w:tc>
          <w:tcPr>
            <w:tcW w:w="282"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25"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2922"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97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765" w:hRule="atLeast"/>
          <w:jc w:val="center"/>
        </w:trPr>
        <w:tc>
          <w:tcPr>
            <w:tcW w:w="282"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25"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292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Times New Roman"/>
                <w:color w:val="auto"/>
                <w:sz w:val="24"/>
                <w:szCs w:val="21"/>
                <w:highlight w:val="none"/>
              </w:rPr>
              <w:t>▲</w:t>
            </w:r>
            <w:r>
              <w:rPr>
                <w:rFonts w:hint="eastAsia" w:ascii="宋体" w:hAnsi="宋体" w:cs="宋体"/>
                <w:color w:val="auto"/>
                <w:kern w:val="0"/>
                <w:sz w:val="24"/>
                <w:szCs w:val="21"/>
                <w:highlight w:val="none"/>
              </w:rPr>
              <w:t>平台需具备可视化功能，包括共享文档配置与管理、CDR展现与管理、患者主索引管理、CPOE展现、交互服务配置管理、服务运营状况监控管理、基础字典管理和医学术语字典配置管理。</w:t>
            </w:r>
          </w:p>
        </w:tc>
        <w:tc>
          <w:tcPr>
            <w:tcW w:w="97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93" w:name="_Toc8548"/>
      <w:r>
        <w:rPr>
          <w:rFonts w:ascii="宋体" w:hAnsi="宋体" w:cs="Times New Roman"/>
          <w:b/>
          <w:bCs/>
          <w:color w:val="auto"/>
          <w:kern w:val="0"/>
          <w:szCs w:val="21"/>
          <w:highlight w:val="none"/>
        </w:rPr>
        <w:t>5.12.11</w:t>
      </w:r>
      <w:r>
        <w:rPr>
          <w:rFonts w:hint="eastAsia" w:ascii="宋体" w:hAnsi="宋体" w:cs="Times New Roman"/>
          <w:b/>
          <w:bCs/>
          <w:color w:val="auto"/>
          <w:kern w:val="0"/>
          <w:szCs w:val="21"/>
          <w:highlight w:val="none"/>
        </w:rPr>
        <w:t>系统集成总体要求</w:t>
      </w:r>
    </w:p>
    <w:tbl>
      <w:tblPr>
        <w:tblStyle w:val="18"/>
        <w:tblW w:w="5382" w:type="pct"/>
        <w:jc w:val="center"/>
        <w:tblLayout w:type="autofit"/>
        <w:tblCellMar>
          <w:top w:w="0" w:type="dxa"/>
          <w:left w:w="108" w:type="dxa"/>
          <w:bottom w:w="0" w:type="dxa"/>
          <w:right w:w="108" w:type="dxa"/>
        </w:tblCellMar>
      </w:tblPr>
      <w:tblGrid>
        <w:gridCol w:w="486"/>
        <w:gridCol w:w="1807"/>
        <w:gridCol w:w="5416"/>
        <w:gridCol w:w="1471"/>
      </w:tblGrid>
      <w:tr>
        <w:tblPrEx>
          <w:tblCellMar>
            <w:top w:w="0" w:type="dxa"/>
            <w:left w:w="108" w:type="dxa"/>
            <w:bottom w:w="0" w:type="dxa"/>
            <w:right w:w="108" w:type="dxa"/>
          </w:tblCellMar>
        </w:tblPrEx>
        <w:trPr>
          <w:trHeight w:val="510" w:hRule="atLeast"/>
          <w:tblHeader/>
          <w:jc w:val="center"/>
        </w:trPr>
        <w:tc>
          <w:tcPr>
            <w:tcW w:w="265"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984"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295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0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984" w:type="pct"/>
            <w:vMerge w:val="restart"/>
            <w:tcBorders>
              <w:top w:val="single" w:color="auto" w:sz="4" w:space="0"/>
              <w:left w:val="single" w:color="auto" w:sz="4" w:space="0"/>
              <w:bottom w:val="single" w:color="000000"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本次建设的兵团乌鲁木齐区域医联体中心医院（含4个分院）信息系统，依托全民健康信息平台实现内外部的业务协同和数据交换。</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984"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需实现本次项目涉及的院内系统间的互联互通，做好院内系统的对接集成。</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426"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984"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需支持与医保、全民健康信息平台、医联体区域中心等平台/系统对接，实现全域的信息互联互通和业务协同，包括但不限于以下对接要求：</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与兵团、自治区、乌鲁木齐市、铁路等医保对接；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与兵团全民健康信息平台对接；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与居民电子健康卡卡管平台对接；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与统一支付平台对接；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与统一预约挂号资源池对接；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与健康兵团微信公众号/小程序对接；</w:t>
            </w:r>
          </w:p>
          <w:p>
            <w:pPr>
              <w:snapToGrid w:val="0"/>
              <w:spacing w:line="360" w:lineRule="auto"/>
              <w:jc w:val="left"/>
              <w:rPr>
                <w:rFonts w:ascii="宋体" w:hAnsi="宋体" w:cs="宋体"/>
                <w:color w:val="auto"/>
                <w:kern w:val="0"/>
                <w:sz w:val="24"/>
                <w:szCs w:val="21"/>
                <w:highlight w:val="none"/>
              </w:rPr>
            </w:pPr>
            <w:r>
              <w:rPr>
                <w:rFonts w:ascii="宋体" w:hAnsi="宋体" w:cs="宋体"/>
                <w:color w:val="auto"/>
                <w:kern w:val="0"/>
                <w:sz w:val="24"/>
                <w:szCs w:val="21"/>
                <w:highlight w:val="none"/>
              </w:rPr>
              <w:t>与兵团基层医疗卫生机构业务系统的对接</w:t>
            </w:r>
            <w:r>
              <w:rPr>
                <w:rFonts w:hint="eastAsia" w:ascii="宋体" w:hAnsi="宋体" w:cs="宋体"/>
                <w:color w:val="auto"/>
                <w:kern w:val="0"/>
                <w:sz w:val="24"/>
                <w:szCs w:val="21"/>
                <w:highlight w:val="none"/>
              </w:rPr>
              <w:t>；</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与区域影像中心对接；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与区域心电中心对接；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与区域检验中心对接；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与区域病理中心对接；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与区域消毒供应中心对接；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与远程会诊中心对接；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与双向转诊中心对接；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与区域质控中心对接；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与兵团/自治区血液中心对接；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与兵团疾控中心业务系统对接；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与兵团/自治区急救中心院前急救系统对接；</w:t>
            </w: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与医院综合运营管理系统（HRP）的对接。</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w:t>
      </w:r>
      <w:r>
        <w:rPr>
          <w:rFonts w:ascii="宋体" w:hAnsi="宋体" w:cs="Times New Roman"/>
          <w:b/>
          <w:bCs/>
          <w:color w:val="auto"/>
          <w:kern w:val="0"/>
          <w:szCs w:val="21"/>
          <w:highlight w:val="none"/>
          <w:lang w:val="zh-CN"/>
        </w:rPr>
        <w:t>3</w:t>
      </w:r>
      <w:r>
        <w:rPr>
          <w:rFonts w:hint="eastAsia" w:ascii="宋体" w:hAnsi="宋体" w:cs="Times New Roman"/>
          <w:b/>
          <w:bCs/>
          <w:color w:val="auto"/>
          <w:kern w:val="0"/>
          <w:szCs w:val="21"/>
          <w:highlight w:val="none"/>
          <w:lang w:val="zh-CN"/>
        </w:rPr>
        <w:t>医院管理决策支持系统</w:t>
      </w:r>
      <w:bookmarkEnd w:id="93"/>
    </w:p>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94" w:name="_Toc6476"/>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3</w:t>
      </w:r>
      <w:r>
        <w:rPr>
          <w:rFonts w:hint="eastAsia" w:ascii="宋体" w:hAnsi="宋体" w:cs="Times New Roman"/>
          <w:b/>
          <w:bCs/>
          <w:color w:val="auto"/>
          <w:kern w:val="0"/>
          <w:szCs w:val="21"/>
          <w:highlight w:val="none"/>
        </w:rPr>
        <w:t>.1医院日常运营数据分析系统（含智能手机终端应用）</w:t>
      </w:r>
      <w:bookmarkEnd w:id="94"/>
    </w:p>
    <w:tbl>
      <w:tblPr>
        <w:tblStyle w:val="18"/>
        <w:tblW w:w="5382" w:type="pct"/>
        <w:jc w:val="center"/>
        <w:tblLayout w:type="autofit"/>
        <w:tblCellMar>
          <w:top w:w="0" w:type="dxa"/>
          <w:left w:w="108" w:type="dxa"/>
          <w:bottom w:w="0" w:type="dxa"/>
          <w:right w:w="108" w:type="dxa"/>
        </w:tblCellMar>
      </w:tblPr>
      <w:tblGrid>
        <w:gridCol w:w="534"/>
        <w:gridCol w:w="1561"/>
        <w:gridCol w:w="5532"/>
        <w:gridCol w:w="1553"/>
      </w:tblGrid>
      <w:tr>
        <w:tblPrEx>
          <w:tblCellMar>
            <w:top w:w="0" w:type="dxa"/>
            <w:left w:w="108" w:type="dxa"/>
            <w:bottom w:w="0" w:type="dxa"/>
            <w:right w:w="108" w:type="dxa"/>
          </w:tblCellMar>
        </w:tblPrEx>
        <w:trPr>
          <w:trHeight w:val="510" w:hRule="atLeast"/>
          <w:tblHeader/>
          <w:jc w:val="center"/>
        </w:trPr>
        <w:tc>
          <w:tcPr>
            <w:tcW w:w="291"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5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13"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4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472" w:hRule="atLeast"/>
          <w:jc w:val="center"/>
        </w:trPr>
        <w:tc>
          <w:tcPr>
            <w:tcW w:w="29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50" w:type="pct"/>
            <w:vMerge w:val="restart"/>
            <w:tcBorders>
              <w:top w:val="nil"/>
              <w:left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基于集成平台和临床数据中心，采集HIS等基础业务系统产生的数据，建立医院标准化日常运营数据仓库，为医院的各级管理者提供一个实现管理工作的统一门户，通过关键业务指标展示，决策驾驶舱中的动态仪表盘、决策预警雷达等方式，为医院决策者提供全方位的决策警示和支持。系统涵盖了对业务数据的汇总统计查询、对关键指标的监控预警、对重要业务主体的深度分析等。同时系统功能应结合医院现有的医务管理功能进行完善。系统建成后应能满足多用户的并行实时查询和动态分析需要。</w:t>
            </w:r>
          </w:p>
        </w:tc>
        <w:tc>
          <w:tcPr>
            <w:tcW w:w="846"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9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850" w:type="pct"/>
            <w:vMerge w:val="continue"/>
            <w:tcBorders>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系统采用ETL技术，能够完成对多种异构数据源进行采集和集中存储。处理过程应包括：数据采集，数据处理，数据存储，数据展示，日志记录与调阅，数据挖掘和辅助决策等。</w:t>
            </w:r>
          </w:p>
        </w:tc>
        <w:tc>
          <w:tcPr>
            <w:tcW w:w="846"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70" w:hRule="atLeast"/>
          <w:jc w:val="center"/>
        </w:trPr>
        <w:tc>
          <w:tcPr>
            <w:tcW w:w="29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850" w:type="pct"/>
            <w:vMerge w:val="restart"/>
            <w:tcBorders>
              <w:top w:val="nil"/>
              <w:left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数据仓库标准化</w:t>
            </w: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为医院建立规范、完整、高效可持续发展的数据仓库核心模型、多维分析模型。标准数据集符合卫计委标准。</w:t>
            </w:r>
          </w:p>
        </w:tc>
        <w:tc>
          <w:tcPr>
            <w:tcW w:w="846"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9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850" w:type="pct"/>
            <w:vMerge w:val="continue"/>
            <w:tcBorders>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p>
        </w:tc>
        <w:tc>
          <w:tcPr>
            <w:tcW w:w="3013"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除电脑端应用外，提供智能手机终端应用。</w:t>
            </w:r>
          </w:p>
        </w:tc>
        <w:tc>
          <w:tcPr>
            <w:tcW w:w="846"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w:t>
      </w:r>
      <w:r>
        <w:rPr>
          <w:rFonts w:ascii="宋体" w:hAnsi="宋体" w:cs="Times New Roman"/>
          <w:b/>
          <w:bCs/>
          <w:color w:val="auto"/>
          <w:kern w:val="0"/>
          <w:szCs w:val="21"/>
          <w:highlight w:val="none"/>
          <w:lang w:val="zh-CN"/>
        </w:rPr>
        <w:t>3.1</w:t>
      </w:r>
      <w:r>
        <w:rPr>
          <w:rFonts w:hint="eastAsia" w:ascii="宋体" w:hAnsi="宋体" w:cs="Times New Roman"/>
          <w:b/>
          <w:bCs/>
          <w:color w:val="auto"/>
          <w:kern w:val="0"/>
          <w:szCs w:val="21"/>
          <w:highlight w:val="none"/>
          <w:lang w:val="zh-CN"/>
        </w:rPr>
        <w:t>.</w:t>
      </w:r>
      <w:r>
        <w:rPr>
          <w:rFonts w:ascii="宋体" w:hAnsi="宋体" w:cs="Times New Roman"/>
          <w:b/>
          <w:bCs/>
          <w:color w:val="auto"/>
          <w:kern w:val="0"/>
          <w:szCs w:val="21"/>
          <w:highlight w:val="none"/>
          <w:lang w:val="zh-CN"/>
        </w:rPr>
        <w:t>1</w:t>
      </w:r>
      <w:r>
        <w:rPr>
          <w:rFonts w:hint="eastAsia" w:ascii="宋体" w:hAnsi="宋体" w:cs="Times New Roman"/>
          <w:b/>
          <w:bCs/>
          <w:color w:val="auto"/>
          <w:kern w:val="0"/>
          <w:szCs w:val="21"/>
          <w:highlight w:val="none"/>
          <w:lang w:val="zh-CN"/>
        </w:rPr>
        <w:t>运营决策分析</w:t>
      </w:r>
    </w:p>
    <w:tbl>
      <w:tblPr>
        <w:tblStyle w:val="18"/>
        <w:tblW w:w="5000" w:type="pct"/>
        <w:tblInd w:w="0" w:type="dxa"/>
        <w:tblLayout w:type="fixed"/>
        <w:tblCellMar>
          <w:top w:w="0" w:type="dxa"/>
          <w:left w:w="108" w:type="dxa"/>
          <w:bottom w:w="0" w:type="dxa"/>
          <w:right w:w="108" w:type="dxa"/>
        </w:tblCellMar>
      </w:tblPr>
      <w:tblGrid>
        <w:gridCol w:w="469"/>
        <w:gridCol w:w="1566"/>
        <w:gridCol w:w="5101"/>
        <w:gridCol w:w="1392"/>
      </w:tblGrid>
      <w:tr>
        <w:tblPrEx>
          <w:tblCellMar>
            <w:top w:w="0" w:type="dxa"/>
            <w:left w:w="108" w:type="dxa"/>
            <w:bottom w:w="0" w:type="dxa"/>
            <w:right w:w="108" w:type="dxa"/>
          </w:tblCellMar>
        </w:tblPrEx>
        <w:trPr>
          <w:trHeight w:val="285" w:hRule="atLeast"/>
          <w:tblHeader/>
        </w:trPr>
        <w:tc>
          <w:tcPr>
            <w:tcW w:w="275" w:type="pct"/>
            <w:tcBorders>
              <w:top w:val="single" w:color="auto" w:sz="4" w:space="0"/>
              <w:left w:val="single" w:color="auto" w:sz="4" w:space="0"/>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918" w:type="pct"/>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系统功能模块</w:t>
            </w:r>
          </w:p>
        </w:tc>
        <w:tc>
          <w:tcPr>
            <w:tcW w:w="2991" w:type="pct"/>
            <w:tcBorders>
              <w:top w:val="single" w:color="auto" w:sz="4" w:space="0"/>
              <w:left w:val="nil"/>
              <w:bottom w:val="single" w:color="auto" w:sz="4" w:space="0"/>
              <w:right w:val="single" w:color="auto" w:sz="4" w:space="0"/>
            </w:tcBorders>
            <w:shd w:val="clear" w:color="000000" w:fill="F2F2F2"/>
            <w:vAlign w:val="center"/>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详细技术要求</w:t>
            </w:r>
          </w:p>
        </w:tc>
        <w:tc>
          <w:tcPr>
            <w:tcW w:w="816" w:type="pct"/>
            <w:tcBorders>
              <w:top w:val="single" w:color="auto" w:sz="4" w:space="0"/>
              <w:left w:val="nil"/>
              <w:bottom w:val="single" w:color="auto" w:sz="4" w:space="0"/>
              <w:right w:val="single" w:color="auto" w:sz="4" w:space="0"/>
            </w:tcBorders>
            <w:shd w:val="clear" w:color="000000" w:fill="F2F2F2"/>
          </w:tcPr>
          <w:p>
            <w:pPr>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投标人对照响应</w:t>
            </w:r>
          </w:p>
        </w:tc>
      </w:tr>
      <w:tr>
        <w:tblPrEx>
          <w:tblCellMar>
            <w:top w:w="0" w:type="dxa"/>
            <w:left w:w="108" w:type="dxa"/>
            <w:bottom w:w="0" w:type="dxa"/>
            <w:right w:w="108" w:type="dxa"/>
          </w:tblCellMar>
        </w:tblPrEx>
        <w:trPr>
          <w:trHeight w:val="285"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56"/>
              </w:numPr>
              <w:spacing w:line="360" w:lineRule="auto"/>
              <w:ind w:firstLineChars="0"/>
              <w:jc w:val="center"/>
              <w:rPr>
                <w:rFonts w:ascii="宋体" w:hAnsi="宋体" w:cs="宋体"/>
                <w:color w:val="auto"/>
                <w:kern w:val="0"/>
                <w:sz w:val="24"/>
                <w:szCs w:val="24"/>
                <w:highlight w:val="none"/>
              </w:rPr>
            </w:pPr>
          </w:p>
        </w:tc>
        <w:tc>
          <w:tcPr>
            <w:tcW w:w="9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olor w:val="auto"/>
                <w:sz w:val="24"/>
                <w:szCs w:val="24"/>
                <w:highlight w:val="none"/>
              </w:rPr>
            </w:pPr>
            <w:r>
              <w:rPr>
                <w:rFonts w:hint="eastAsia" w:ascii="宋体" w:hAnsi="宋体" w:cs="Arial"/>
                <w:color w:val="auto"/>
                <w:sz w:val="24"/>
                <w:szCs w:val="24"/>
                <w:highlight w:val="none"/>
              </w:rPr>
              <w:t>总体要求</w:t>
            </w:r>
          </w:p>
        </w:tc>
        <w:tc>
          <w:tcPr>
            <w:tcW w:w="2991"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auto"/>
                <w:sz w:val="24"/>
                <w:szCs w:val="24"/>
                <w:highlight w:val="none"/>
              </w:rPr>
            </w:pPr>
            <w:r>
              <w:rPr>
                <w:rFonts w:ascii="宋体" w:hAnsi="宋体"/>
                <w:color w:val="auto"/>
                <w:sz w:val="24"/>
                <w:szCs w:val="24"/>
                <w:highlight w:val="none"/>
              </w:rPr>
              <w:t>主要展现的指标可以为核心指标的监控，也可以给根据</w:t>
            </w:r>
            <w:r>
              <w:rPr>
                <w:rFonts w:hint="eastAsia" w:ascii="宋体" w:hAnsi="宋体"/>
                <w:color w:val="auto"/>
                <w:sz w:val="24"/>
                <w:szCs w:val="24"/>
                <w:highlight w:val="none"/>
              </w:rPr>
              <w:t>医院</w:t>
            </w:r>
            <w:r>
              <w:rPr>
                <w:rFonts w:ascii="宋体" w:hAnsi="宋体"/>
                <w:color w:val="auto"/>
                <w:sz w:val="24"/>
                <w:szCs w:val="24"/>
                <w:highlight w:val="none"/>
              </w:rPr>
              <w:t>的实际需求设置其他指标</w:t>
            </w:r>
          </w:p>
        </w:tc>
        <w:tc>
          <w:tcPr>
            <w:tcW w:w="816"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56"/>
              </w:numPr>
              <w:spacing w:line="360" w:lineRule="auto"/>
              <w:ind w:firstLineChars="0"/>
              <w:jc w:val="center"/>
              <w:rPr>
                <w:rFonts w:ascii="宋体" w:hAnsi="宋体" w:cs="宋体"/>
                <w:color w:val="auto"/>
                <w:kern w:val="0"/>
                <w:sz w:val="24"/>
                <w:szCs w:val="24"/>
                <w:highlight w:val="none"/>
              </w:rPr>
            </w:pPr>
          </w:p>
        </w:tc>
        <w:tc>
          <w:tcPr>
            <w:tcW w:w="9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Arial"/>
                <w:color w:val="auto"/>
                <w:sz w:val="24"/>
                <w:szCs w:val="24"/>
                <w:highlight w:val="none"/>
              </w:rPr>
            </w:pPr>
            <w:r>
              <w:rPr>
                <w:rFonts w:hint="eastAsia" w:ascii="宋体" w:hAnsi="宋体" w:cs="宋体"/>
                <w:color w:val="auto"/>
                <w:kern w:val="0"/>
                <w:sz w:val="24"/>
                <w:szCs w:val="24"/>
                <w:highlight w:val="none"/>
                <w:lang w:bidi="ar"/>
              </w:rPr>
              <w:t>医院运营实时决策分析</w:t>
            </w:r>
          </w:p>
        </w:tc>
        <w:tc>
          <w:tcPr>
            <w:tcW w:w="2991"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门诊实时信息可以，包括（但不仅限于）以下功能：</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门诊实时信息</w:t>
            </w:r>
          </w:p>
          <w:p>
            <w:pPr>
              <w:pStyle w:val="15"/>
              <w:numPr>
                <w:ilvl w:val="0"/>
                <w:numId w:val="57"/>
              </w:numPr>
              <w:spacing w:before="0" w:beforeAutospacing="0" w:after="0" w:afterAutospacing="0"/>
              <w:rPr>
                <w:rFonts w:cs="Arial"/>
                <w:color w:val="auto"/>
                <w:szCs w:val="24"/>
                <w:highlight w:val="none"/>
              </w:rPr>
            </w:pPr>
            <w:r>
              <w:rPr>
                <w:rFonts w:hint="eastAsia"/>
                <w:color w:val="auto"/>
                <w:szCs w:val="24"/>
                <w:highlight w:val="none"/>
                <w:lang w:bidi="ar"/>
              </w:rPr>
              <w:t>挂号人次</w:t>
            </w:r>
          </w:p>
          <w:p>
            <w:pPr>
              <w:pStyle w:val="15"/>
              <w:numPr>
                <w:ilvl w:val="0"/>
                <w:numId w:val="57"/>
              </w:numPr>
              <w:spacing w:before="0" w:beforeAutospacing="0" w:after="0" w:afterAutospacing="0"/>
              <w:rPr>
                <w:rFonts w:cs="Arial"/>
                <w:color w:val="auto"/>
                <w:szCs w:val="24"/>
                <w:highlight w:val="none"/>
              </w:rPr>
            </w:pPr>
            <w:r>
              <w:rPr>
                <w:rFonts w:hint="eastAsia"/>
                <w:color w:val="auto"/>
                <w:szCs w:val="24"/>
                <w:highlight w:val="none"/>
                <w:lang w:bidi="ar"/>
              </w:rPr>
              <w:t>接诊医生数</w:t>
            </w:r>
          </w:p>
          <w:p>
            <w:pPr>
              <w:pStyle w:val="15"/>
              <w:numPr>
                <w:ilvl w:val="0"/>
                <w:numId w:val="57"/>
              </w:numPr>
              <w:spacing w:before="0" w:beforeAutospacing="0" w:after="0" w:afterAutospacing="0"/>
              <w:rPr>
                <w:rFonts w:cs="Arial"/>
                <w:color w:val="auto"/>
                <w:szCs w:val="24"/>
                <w:highlight w:val="none"/>
              </w:rPr>
            </w:pPr>
            <w:r>
              <w:rPr>
                <w:rFonts w:hint="eastAsia"/>
                <w:color w:val="auto"/>
                <w:szCs w:val="24"/>
                <w:highlight w:val="none"/>
                <w:lang w:bidi="ar"/>
              </w:rPr>
              <w:t>完成人数</w:t>
            </w:r>
          </w:p>
          <w:p>
            <w:pPr>
              <w:pStyle w:val="15"/>
              <w:numPr>
                <w:ilvl w:val="0"/>
                <w:numId w:val="57"/>
              </w:numPr>
              <w:spacing w:before="0" w:beforeAutospacing="0" w:after="0" w:afterAutospacing="0"/>
              <w:rPr>
                <w:rFonts w:cs="Arial"/>
                <w:color w:val="auto"/>
                <w:szCs w:val="24"/>
                <w:highlight w:val="none"/>
              </w:rPr>
            </w:pPr>
            <w:r>
              <w:rPr>
                <w:rFonts w:hint="eastAsia"/>
                <w:color w:val="auto"/>
                <w:szCs w:val="24"/>
                <w:highlight w:val="none"/>
                <w:lang w:bidi="ar"/>
              </w:rPr>
              <w:t>候诊人数</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门诊收入</w:t>
            </w:r>
            <w:r>
              <w:rPr>
                <w:rFonts w:ascii="宋体" w:hAnsi="宋体" w:cs="宋体"/>
                <w:color w:val="auto"/>
                <w:kern w:val="0"/>
                <w:sz w:val="24"/>
                <w:szCs w:val="24"/>
                <w:highlight w:val="none"/>
                <w:lang w:bidi="ar"/>
              </w:rPr>
              <w:t>TOP5</w:t>
            </w:r>
            <w:r>
              <w:rPr>
                <w:rFonts w:hint="eastAsia" w:ascii="宋体" w:hAnsi="宋体" w:cs="宋体"/>
                <w:color w:val="auto"/>
                <w:kern w:val="0"/>
                <w:sz w:val="24"/>
                <w:szCs w:val="24"/>
                <w:highlight w:val="none"/>
                <w:lang w:bidi="ar"/>
              </w:rPr>
              <w:t>科室</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门诊收入</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门诊候诊科室耗时</w:t>
            </w:r>
            <w:r>
              <w:rPr>
                <w:rFonts w:ascii="宋体" w:hAnsi="宋体" w:cs="宋体"/>
                <w:color w:val="auto"/>
                <w:kern w:val="0"/>
                <w:sz w:val="24"/>
                <w:szCs w:val="24"/>
                <w:highlight w:val="none"/>
                <w:lang w:bidi="ar"/>
              </w:rPr>
              <w:t>TOP5</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门诊耗时</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门诊候诊科室人数</w:t>
            </w:r>
            <w:r>
              <w:rPr>
                <w:rFonts w:ascii="宋体" w:hAnsi="宋体" w:cs="宋体"/>
                <w:color w:val="auto"/>
                <w:kern w:val="0"/>
                <w:sz w:val="24"/>
                <w:szCs w:val="24"/>
                <w:highlight w:val="none"/>
                <w:lang w:bidi="ar"/>
              </w:rPr>
              <w:t>TOP5</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候诊人数</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住院运营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出院人均药费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出院人均检查费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出院人均检验费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出院床位日均费</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总收入分布</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门诊总收入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住院总收入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总收入</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总费用构成</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药品费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检查费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检验费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其他诊疗费</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普通门诊流量监测</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出诊医生数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挂号人次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预约人次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预约率</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住院实时信息</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入院人次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在院人次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指数指标信息</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全院药占比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门诊药占比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住院药占比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全院抗菌药占比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门诊抗菌药占比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住院抗菌药占比</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出院诊断</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rFonts w:cs="Arial"/>
                <w:color w:val="auto"/>
                <w:szCs w:val="24"/>
                <w:highlight w:val="none"/>
              </w:rPr>
            </w:pPr>
            <w:r>
              <w:rPr>
                <w:rFonts w:hint="eastAsia"/>
                <w:color w:val="auto"/>
                <w:szCs w:val="24"/>
                <w:highlight w:val="none"/>
                <w:lang w:bidi="ar"/>
              </w:rPr>
              <w:t>出院诊断</w:t>
            </w:r>
          </w:p>
        </w:tc>
        <w:tc>
          <w:tcPr>
            <w:tcW w:w="816"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56"/>
              </w:numPr>
              <w:spacing w:line="360" w:lineRule="auto"/>
              <w:ind w:firstLineChars="0"/>
              <w:jc w:val="center"/>
              <w:rPr>
                <w:rFonts w:ascii="宋体" w:hAnsi="宋体" w:cs="宋体"/>
                <w:color w:val="auto"/>
                <w:kern w:val="0"/>
                <w:sz w:val="24"/>
                <w:szCs w:val="24"/>
                <w:highlight w:val="none"/>
              </w:rPr>
            </w:pPr>
          </w:p>
        </w:tc>
        <w:tc>
          <w:tcPr>
            <w:tcW w:w="9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Arial"/>
                <w:color w:val="auto"/>
                <w:sz w:val="24"/>
                <w:szCs w:val="24"/>
                <w:highlight w:val="none"/>
              </w:rPr>
            </w:pPr>
            <w:r>
              <w:rPr>
                <w:rFonts w:hint="eastAsia" w:ascii="宋体" w:hAnsi="宋体" w:cs="宋体"/>
                <w:color w:val="auto"/>
                <w:kern w:val="0"/>
                <w:sz w:val="24"/>
                <w:szCs w:val="24"/>
                <w:highlight w:val="none"/>
                <w:lang w:bidi="ar"/>
              </w:rPr>
              <w:t>院长查询</w:t>
            </w:r>
          </w:p>
        </w:tc>
        <w:tc>
          <w:tcPr>
            <w:tcW w:w="2991"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核心指标可以，包括（但不仅限于）以下功能：</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核心指标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门急诊人次趋势</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门急诊量</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住院人次趋势</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住院收入</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数据列表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门急诊量</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门诊量</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住院量</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出院量</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占床率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总收入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急诊量</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急诊床数</w:t>
            </w:r>
          </w:p>
          <w:p>
            <w:pPr>
              <w:pStyle w:val="15"/>
              <w:numPr>
                <w:ilvl w:val="0"/>
                <w:numId w:val="57"/>
              </w:numPr>
              <w:spacing w:before="0" w:beforeAutospacing="0" w:after="0" w:afterAutospacing="0"/>
              <w:rPr>
                <w:color w:val="auto"/>
                <w:szCs w:val="24"/>
                <w:highlight w:val="none"/>
              </w:rPr>
            </w:pPr>
            <w:r>
              <w:rPr>
                <w:color w:val="auto"/>
                <w:szCs w:val="24"/>
                <w:highlight w:val="none"/>
                <w:lang w:bidi="ar"/>
              </w:rPr>
              <w:t>ICU</w:t>
            </w:r>
            <w:r>
              <w:rPr>
                <w:rFonts w:hint="eastAsia"/>
                <w:color w:val="auto"/>
                <w:szCs w:val="24"/>
                <w:highlight w:val="none"/>
                <w:lang w:bidi="ar"/>
              </w:rPr>
              <w:t>床数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总床数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门诊药占比</w:t>
            </w:r>
          </w:p>
          <w:p>
            <w:pPr>
              <w:pStyle w:val="15"/>
              <w:numPr>
                <w:ilvl w:val="0"/>
                <w:numId w:val="57"/>
              </w:numPr>
              <w:spacing w:before="0" w:beforeAutospacing="0" w:after="0" w:afterAutospacing="0"/>
              <w:rPr>
                <w:rFonts w:cs="Arial"/>
                <w:color w:val="auto"/>
                <w:szCs w:val="24"/>
                <w:highlight w:val="none"/>
              </w:rPr>
            </w:pPr>
            <w:r>
              <w:rPr>
                <w:rFonts w:hint="eastAsia"/>
                <w:color w:val="auto"/>
                <w:szCs w:val="24"/>
                <w:highlight w:val="none"/>
                <w:lang w:bidi="ar"/>
              </w:rPr>
              <w:t>住院药占比</w:t>
            </w:r>
          </w:p>
        </w:tc>
        <w:tc>
          <w:tcPr>
            <w:tcW w:w="816"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pStyle w:val="225"/>
              <w:numPr>
                <w:ilvl w:val="0"/>
                <w:numId w:val="56"/>
              </w:numPr>
              <w:spacing w:line="360" w:lineRule="auto"/>
              <w:ind w:firstLineChars="0"/>
              <w:jc w:val="center"/>
              <w:rPr>
                <w:rFonts w:ascii="宋体" w:hAnsi="宋体" w:cs="宋体"/>
                <w:color w:val="auto"/>
                <w:kern w:val="0"/>
                <w:sz w:val="24"/>
                <w:szCs w:val="24"/>
                <w:highlight w:val="none"/>
              </w:rPr>
            </w:pPr>
          </w:p>
        </w:tc>
        <w:tc>
          <w:tcPr>
            <w:tcW w:w="9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Arial"/>
                <w:color w:val="auto"/>
                <w:sz w:val="24"/>
                <w:szCs w:val="24"/>
                <w:highlight w:val="none"/>
              </w:rPr>
            </w:pPr>
            <w:r>
              <w:rPr>
                <w:rFonts w:hint="eastAsia" w:ascii="宋体" w:hAnsi="宋体" w:cs="宋体"/>
                <w:color w:val="auto"/>
                <w:kern w:val="0"/>
                <w:sz w:val="24"/>
                <w:szCs w:val="24"/>
                <w:highlight w:val="none"/>
                <w:lang w:bidi="ar"/>
              </w:rPr>
              <w:t>门诊概览</w:t>
            </w:r>
          </w:p>
        </w:tc>
        <w:tc>
          <w:tcPr>
            <w:tcW w:w="2991" w:type="pct"/>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门诊概览可以，包括（但不仅限于）以下功能：</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挂号人次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退号人次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待发药人次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接诊医生数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候诊人数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诊毕人数</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门诊人次</w:t>
            </w:r>
            <w:r>
              <w:rPr>
                <w:rFonts w:ascii="宋体" w:hAnsi="宋体" w:cs="宋体"/>
                <w:color w:val="auto"/>
                <w:kern w:val="0"/>
                <w:sz w:val="24"/>
                <w:szCs w:val="24"/>
                <w:highlight w:val="none"/>
                <w:lang w:bidi="ar"/>
              </w:rPr>
              <w:t>TOP10</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门诊类型</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普通</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专家</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其他</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门诊人次分析</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候诊人次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检验人次分析</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申请人次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等侯人次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检查人次分析</w:t>
            </w:r>
            <w:r>
              <w:rPr>
                <w:rFonts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取号人次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等候人次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发药人次</w:t>
            </w:r>
            <w:r>
              <w:rPr>
                <w:rFonts w:ascii="宋体" w:hAnsi="宋体" w:cs="宋体"/>
                <w:color w:val="auto"/>
                <w:kern w:val="0"/>
                <w:sz w:val="24"/>
                <w:szCs w:val="24"/>
                <w:highlight w:val="none"/>
                <w:lang w:bidi="ar"/>
              </w:rPr>
              <w:tab/>
            </w:r>
          </w:p>
          <w:p>
            <w:pPr>
              <w:spacing w:line="360" w:lineRule="auto"/>
              <w:rPr>
                <w:rFonts w:ascii="宋体" w:hAnsi="宋体" w:cs="Arial"/>
                <w:color w:val="auto"/>
                <w:sz w:val="24"/>
                <w:szCs w:val="24"/>
                <w:highlight w:val="none"/>
              </w:rPr>
            </w:pPr>
            <w:r>
              <w:rPr>
                <w:rFonts w:hint="eastAsia" w:ascii="宋体" w:hAnsi="宋体"/>
                <w:color w:val="auto"/>
                <w:sz w:val="24"/>
                <w:szCs w:val="24"/>
                <w:highlight w:val="none"/>
                <w:lang w:bidi="ar"/>
              </w:rPr>
              <w:t>发药人次</w:t>
            </w:r>
          </w:p>
        </w:tc>
        <w:tc>
          <w:tcPr>
            <w:tcW w:w="816"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auto"/>
                <w:kern w:val="0"/>
                <w:sz w:val="24"/>
                <w:szCs w:val="24"/>
                <w:highlight w:val="none"/>
              </w:rPr>
            </w:pP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w:t>
      </w:r>
      <w:r>
        <w:rPr>
          <w:rFonts w:ascii="宋体" w:hAnsi="宋体" w:cs="Times New Roman"/>
          <w:b/>
          <w:bCs/>
          <w:color w:val="auto"/>
          <w:kern w:val="0"/>
          <w:szCs w:val="21"/>
          <w:highlight w:val="none"/>
          <w:lang w:val="zh-CN"/>
        </w:rPr>
        <w:t>3</w:t>
      </w:r>
      <w:r>
        <w:rPr>
          <w:rFonts w:hint="eastAsia" w:ascii="宋体" w:hAnsi="宋体" w:cs="Times New Roman"/>
          <w:b/>
          <w:bCs/>
          <w:color w:val="auto"/>
          <w:kern w:val="0"/>
          <w:szCs w:val="21"/>
          <w:highlight w:val="none"/>
          <w:lang w:val="zh-CN"/>
        </w:rPr>
        <w:t>.1.</w:t>
      </w:r>
      <w:r>
        <w:rPr>
          <w:rFonts w:ascii="宋体" w:hAnsi="宋体" w:cs="Times New Roman"/>
          <w:b/>
          <w:bCs/>
          <w:color w:val="auto"/>
          <w:kern w:val="0"/>
          <w:szCs w:val="21"/>
          <w:highlight w:val="none"/>
          <w:lang w:val="zh-CN"/>
        </w:rPr>
        <w:t>2</w:t>
      </w:r>
      <w:r>
        <w:rPr>
          <w:rFonts w:hint="eastAsia" w:ascii="宋体" w:hAnsi="宋体" w:cs="Times New Roman"/>
          <w:b/>
          <w:bCs/>
          <w:color w:val="auto"/>
          <w:kern w:val="0"/>
          <w:szCs w:val="21"/>
          <w:highlight w:val="none"/>
          <w:lang w:val="zh-CN"/>
        </w:rPr>
        <w:t>运营决策支持</w:t>
      </w:r>
    </w:p>
    <w:tbl>
      <w:tblPr>
        <w:tblStyle w:val="18"/>
        <w:tblW w:w="5300" w:type="pct"/>
        <w:jc w:val="center"/>
        <w:tblLayout w:type="autofit"/>
        <w:tblCellMar>
          <w:top w:w="0" w:type="dxa"/>
          <w:left w:w="108" w:type="dxa"/>
          <w:bottom w:w="0" w:type="dxa"/>
          <w:right w:w="108" w:type="dxa"/>
        </w:tblCellMar>
      </w:tblPr>
      <w:tblGrid>
        <w:gridCol w:w="488"/>
        <w:gridCol w:w="774"/>
        <w:gridCol w:w="833"/>
        <w:gridCol w:w="5532"/>
        <w:gridCol w:w="1413"/>
      </w:tblGrid>
      <w:tr>
        <w:tblPrEx>
          <w:tblCellMar>
            <w:top w:w="0" w:type="dxa"/>
            <w:left w:w="108" w:type="dxa"/>
            <w:bottom w:w="0" w:type="dxa"/>
            <w:right w:w="108" w:type="dxa"/>
          </w:tblCellMar>
        </w:tblPrEx>
        <w:trPr>
          <w:trHeight w:val="510" w:hRule="atLeast"/>
          <w:tblHeader/>
          <w:jc w:val="center"/>
        </w:trPr>
        <w:tc>
          <w:tcPr>
            <w:tcW w:w="270"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889" w:type="pct"/>
            <w:gridSpan w:val="2"/>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306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78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27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889"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以可视化图表大屏开展决策分析、展示。</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53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428"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门诊住院综合管理系统</w:t>
            </w:r>
          </w:p>
        </w:tc>
        <w:tc>
          <w:tcPr>
            <w:tcW w:w="461"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门诊住院综合管理系统首页为两个板块：“门诊业务监测”和“门诊简报”。“门诊业务监测”板块展示当日门诊实时监测数据，包括“门急诊人次实时监测”、“实时挂号人数时段监测”、“患者就诊流程实时监测”、“患者就诊流程累计值实时监测”以及“门诊简报”，其中，“门诊简报”从年、月、日对就诊人次进行统计分析，并且以曲线图形式按天展示过去两周门急诊人次、门诊人次、急诊人次、留观人次的变动情况。</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产品功能包括：门诊实时监测、住院出入转分析。</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275"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门诊实时监测</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监控当日指标的实时数据，界面每5分钟会自动刷新。</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门诊预约诊疗；</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门诊工作日报；</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诊室占用率分析；</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门诊工作周报月报。</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785"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住院出入转分析</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出入转日报分析是分析各个科室的基本出入转指标，包括：入院人数、出院人数、原有人数、现有人数、退院人数、死亡人数、固定床位数、加床数和平均床位利用率。</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入院、出院趋势分析；</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住院平均住院日趋势分析；</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住院床位使用率分析。</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通过系统总结出领导比较关心的指标进行综合展示，让领导更好的决策。</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889"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就医人群分析</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实现对就医人群情况的监控，包括上转人次、下转人次、区域外转诊人次等。</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889"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基本公共卫生服务分析</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支持以可视化图表大屏展示的方式，实现对于基本公共卫生服务情况的监控，包括高血压患者管理、糖尿病患者管理、孕产妇管理等。</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889"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家庭医生签约服务分析</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支持以可视化图表大屏展示的方式，实现对于家庭医生签约服务情况的监控，包括签约覆盖率、重点人群签约覆盖率等。</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428"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临床科室主任决策支持</w:t>
            </w:r>
          </w:p>
        </w:tc>
        <w:tc>
          <w:tcPr>
            <w:tcW w:w="461"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基于科主任驾驶舱，实现科级数据的整合；基于管理专题域实现科室各类管理指标的整合；在管理专题域、各类指标中实现科室组、科室、医疗组、医生、患者明细等多级钻取，同时单独对药品、手术、病种等项目对应的指标做更深入的分析、挖掘，做到各类管理指标都能追本溯源。</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主任驾驶舱</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给科主任一个完整的医院管理指标概述，概述中含有各类指标横向、纵向、基值对比，可以根据管理专题或指标进行钻取，实现院级、科室组、科室、医疗组、医生、患者的多层级数据查看及原因分析；可以进行年分析、月分析、周分析、日分析等时间维度的分析。</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专题管理</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展示该专题相关的指标，可以进行科室影响度，科室对比，科室综合评价，科室指标报表，科室矩阵集合等展示分析。</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12</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实时监测</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包含门诊实时监测和住院实时监测。门诊实时监测：对当天挂号，就诊，取药，缴费等人次进行实时监控，便了解医院当日运营情况、调整资源分配。住院实时监测：对入院、出院、转科、死亡等人次以及收入进行监控，以便了解医院当日运营情况、整资源分配。</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295"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每日概况</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按天进行指标统计和查询；</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以上功能模块涉及的指标可以进行钻取到科室、医生级、患者明细。</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科室级功能：总体概述（可查看该指标的各种构成方式饼图），科室排名分析（正序，倒序），科室趋势分析科室频数分布（各个科室的分布范围），自定义分析（对比分析）。</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医生级页签：总体概述，医生排名分析，医生趋势分析，医生频数分布，自定义分析。</w:t>
            </w:r>
          </w:p>
          <w:p>
            <w:pPr>
              <w:pStyle w:val="26"/>
              <w:rPr>
                <w:color w:val="auto"/>
                <w:highlight w:val="none"/>
              </w:rPr>
            </w:pPr>
          </w:p>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患者明细：对病人进行患者基本信息、诊断、费用构成、病历等信息的展示。</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w:t>
            </w:r>
          </w:p>
        </w:tc>
        <w:tc>
          <w:tcPr>
            <w:tcW w:w="428"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医保分析与评价系统</w:t>
            </w:r>
          </w:p>
        </w:tc>
        <w:tc>
          <w:tcPr>
            <w:tcW w:w="461"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基于领导者驾驶舱，实现院级数据的整合；基于管理专题域实现医院各类管理指标的整合；在管理专题域、各类单指标中实现了集团医院、院级、科室组、科室、医疗组、医生等6级钻取，做到各类管理指标都能追本溯源。</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15</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产品功能包括：医保驾驶舱、医保专题。</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16</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医保驾驶舱</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给医保办主任一个完整的医院管理指标概述，概述中含有各类指标横向、纵向、基值对比，可以根据管理专题或者指标进行钻取，实现院级、科室组、科室、医疗组、医生、患者的多层级数据查看及原因分析；可以进行年分析、月分析、周分析、日分析等时间维度的分析。</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17</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医保专题</w:t>
            </w: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展示该专题相关的指标，可以进行科室影响度，科室对比，科室综合评价，科室指标报表，科室矩阵集合等展示分析。</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18</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以上功能模块涉及的指标可以进行钻取到科室、医生级、患者明细。</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19</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科室级功能：总体概述（可查看该指标的各种构成方式饼图），科室排名分析（正序，倒序），科室趋势分析，科室频数分布（各个科室的分布范围），自定义分析（对比分析）。</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20</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医生级功能：总体概述，医生排名分析，医生趋势分析，医生频数分布，自定义分析。</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21</w:t>
            </w:r>
          </w:p>
        </w:tc>
        <w:tc>
          <w:tcPr>
            <w:tcW w:w="428"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461"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06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患者明细：对病人进行患者基本信息、诊断、费用构成、病历等信息的展示。</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3"/>
          <w:numId w:val="0"/>
        </w:numPr>
        <w:snapToGrid w:val="0"/>
        <w:spacing w:line="360" w:lineRule="auto"/>
        <w:outlineLvl w:val="3"/>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w:t>
      </w:r>
      <w:r>
        <w:rPr>
          <w:rFonts w:ascii="宋体" w:hAnsi="宋体" w:cs="Times New Roman"/>
          <w:b/>
          <w:bCs/>
          <w:color w:val="auto"/>
          <w:kern w:val="0"/>
          <w:szCs w:val="21"/>
          <w:highlight w:val="none"/>
          <w:lang w:val="zh-CN"/>
        </w:rPr>
        <w:t>3</w:t>
      </w:r>
      <w:r>
        <w:rPr>
          <w:rFonts w:hint="eastAsia" w:ascii="宋体" w:hAnsi="宋体" w:cs="Times New Roman"/>
          <w:b/>
          <w:bCs/>
          <w:color w:val="auto"/>
          <w:kern w:val="0"/>
          <w:szCs w:val="21"/>
          <w:highlight w:val="none"/>
          <w:lang w:val="zh-CN"/>
        </w:rPr>
        <w:t>.1.</w:t>
      </w:r>
      <w:r>
        <w:rPr>
          <w:rFonts w:ascii="宋体" w:hAnsi="宋体" w:cs="Times New Roman"/>
          <w:b/>
          <w:bCs/>
          <w:color w:val="auto"/>
          <w:kern w:val="0"/>
          <w:szCs w:val="21"/>
          <w:highlight w:val="none"/>
          <w:lang w:val="zh-CN"/>
        </w:rPr>
        <w:t>3</w:t>
      </w:r>
      <w:r>
        <w:rPr>
          <w:rFonts w:hint="eastAsia" w:ascii="宋体" w:hAnsi="宋体" w:cs="Times New Roman"/>
          <w:b/>
          <w:bCs/>
          <w:color w:val="auto"/>
          <w:kern w:val="0"/>
          <w:szCs w:val="21"/>
          <w:highlight w:val="none"/>
          <w:lang w:val="zh-CN"/>
        </w:rPr>
        <w:t>运营数据中心（ODR）</w:t>
      </w:r>
    </w:p>
    <w:tbl>
      <w:tblPr>
        <w:tblStyle w:val="18"/>
        <w:tblW w:w="5300" w:type="pct"/>
        <w:jc w:val="center"/>
        <w:tblLayout w:type="autofit"/>
        <w:tblCellMar>
          <w:top w:w="0" w:type="dxa"/>
          <w:left w:w="108" w:type="dxa"/>
          <w:bottom w:w="0" w:type="dxa"/>
          <w:right w:w="108" w:type="dxa"/>
        </w:tblCellMar>
      </w:tblPr>
      <w:tblGrid>
        <w:gridCol w:w="488"/>
        <w:gridCol w:w="1806"/>
        <w:gridCol w:w="5334"/>
        <w:gridCol w:w="1412"/>
      </w:tblGrid>
      <w:tr>
        <w:tblPrEx>
          <w:tblCellMar>
            <w:top w:w="0" w:type="dxa"/>
            <w:left w:w="108" w:type="dxa"/>
            <w:bottom w:w="0" w:type="dxa"/>
            <w:right w:w="108" w:type="dxa"/>
          </w:tblCellMar>
        </w:tblPrEx>
        <w:trPr>
          <w:trHeight w:val="510" w:hRule="atLeast"/>
          <w:tblHeader/>
          <w:jc w:val="center"/>
        </w:trPr>
        <w:tc>
          <w:tcPr>
            <w:tcW w:w="270"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999"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2950"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78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999" w:type="pct"/>
            <w:vMerge w:val="restart"/>
            <w:tcBorders>
              <w:top w:val="single" w:color="auto" w:sz="4" w:space="0"/>
              <w:left w:val="single" w:color="auto" w:sz="4" w:space="0"/>
              <w:bottom w:val="single" w:color="000000"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运营数据中心（ODR）是医院BI商业智能产品的数据基础，它整合各类运营数据，形成完整的数据链，为建设各种BI子系统提供数据支撑。</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999"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支持以运营数据中心为核心的服务建设运营决策支持系统、移动运营决策支持系统、质量指标管理系统。</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999"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支持实时或近实时的数据存储方式。通过对医院数据仓库的数据抽取、清洗、转换处理后集中存储，所产生的数据支持灵活的查询利用。</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999"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支持根据医院业务管理域设计运营数据中心的存储结构模型。</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999"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支持医院运营管理和医疗质量管理KPI监管指标的内置，指标包含业务量、收入、工作效率、感染、合理用药主题。</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999"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支持通过数据校验机制保障前台展示数据和业务系统数据以及相关外挂报表数据口径的一致性。</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999"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支持包括院区、时间、时段、科室、科室扩展、标志、事实多维度模型。</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999"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支持包括门诊业务、门诊费用、门诊效率、住院业务、住院收入、住院效率、住院医保模型。</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70"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999"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0"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支持包括按年、季度、月度、院区、科室、医生统计的汇总表模型。</w:t>
            </w:r>
          </w:p>
        </w:tc>
        <w:tc>
          <w:tcPr>
            <w:tcW w:w="78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2"/>
          <w:numId w:val="0"/>
        </w:numPr>
        <w:snapToGrid w:val="0"/>
        <w:spacing w:line="360" w:lineRule="auto"/>
        <w:outlineLvl w:val="2"/>
        <w:rPr>
          <w:rFonts w:ascii="宋体" w:hAnsi="宋体" w:cs="Times New Roman"/>
          <w:b/>
          <w:bCs/>
          <w:color w:val="auto"/>
          <w:kern w:val="0"/>
          <w:szCs w:val="21"/>
          <w:highlight w:val="none"/>
        </w:rPr>
      </w:pPr>
      <w:bookmarkStart w:id="95" w:name="_Toc30302"/>
      <w:r>
        <w:rPr>
          <w:rFonts w:hint="eastAsia" w:ascii="宋体" w:hAnsi="宋体" w:cs="Times New Roman"/>
          <w:b/>
          <w:bCs/>
          <w:color w:val="auto"/>
          <w:kern w:val="0"/>
          <w:szCs w:val="21"/>
          <w:highlight w:val="none"/>
        </w:rPr>
        <w:t>5.1</w:t>
      </w:r>
      <w:r>
        <w:rPr>
          <w:rFonts w:ascii="宋体" w:hAnsi="宋体" w:cs="Times New Roman"/>
          <w:b/>
          <w:bCs/>
          <w:color w:val="auto"/>
          <w:kern w:val="0"/>
          <w:szCs w:val="21"/>
          <w:highlight w:val="none"/>
        </w:rPr>
        <w:t>3</w:t>
      </w:r>
      <w:r>
        <w:rPr>
          <w:rFonts w:hint="eastAsia" w:ascii="宋体" w:hAnsi="宋体" w:cs="Times New Roman"/>
          <w:b/>
          <w:bCs/>
          <w:color w:val="auto"/>
          <w:kern w:val="0"/>
          <w:szCs w:val="21"/>
          <w:highlight w:val="none"/>
        </w:rPr>
        <w:t>.2医院智能BI管理</w:t>
      </w:r>
      <w:bookmarkEnd w:id="95"/>
    </w:p>
    <w:tbl>
      <w:tblPr>
        <w:tblStyle w:val="18"/>
        <w:tblW w:w="5105"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1130"/>
        <w:gridCol w:w="1236"/>
        <w:gridCol w:w="451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6" w:type="pct"/>
            <w:tcBorders>
              <w:tl2br w:val="nil"/>
              <w:tr2bl w:val="nil"/>
            </w:tcBorders>
            <w:vAlign w:val="center"/>
          </w:tcPr>
          <w:p>
            <w:pPr>
              <w:spacing w:line="360" w:lineRule="auto"/>
              <w:jc w:val="center"/>
              <w:rPr>
                <w:rFonts w:ascii="宋体" w:hAnsi="宋体" w:cs="Arial"/>
                <w:b/>
                <w:bCs/>
                <w:color w:val="auto"/>
                <w:kern w:val="0"/>
                <w:sz w:val="24"/>
                <w:szCs w:val="24"/>
                <w:highlight w:val="none"/>
              </w:rPr>
            </w:pPr>
            <w:bookmarkStart w:id="96" w:name="_Toc3191"/>
            <w:r>
              <w:rPr>
                <w:rFonts w:hint="eastAsia" w:ascii="宋体" w:hAnsi="宋体" w:cs="宋体"/>
                <w:b/>
                <w:bCs/>
                <w:color w:val="auto"/>
                <w:kern w:val="0"/>
                <w:sz w:val="24"/>
                <w:szCs w:val="24"/>
                <w:highlight w:val="none"/>
                <w:lang w:bidi="ar"/>
              </w:rPr>
              <w:t>序号</w:t>
            </w:r>
          </w:p>
        </w:tc>
        <w:tc>
          <w:tcPr>
            <w:tcW w:w="1359" w:type="pct"/>
            <w:gridSpan w:val="2"/>
            <w:tcBorders>
              <w:tl2br w:val="nil"/>
              <w:tr2bl w:val="nil"/>
            </w:tcBorders>
            <w:vAlign w:val="center"/>
          </w:tcPr>
          <w:p>
            <w:pPr>
              <w:spacing w:line="360" w:lineRule="auto"/>
              <w:jc w:val="center"/>
              <w:rPr>
                <w:rFonts w:ascii="宋体" w:hAnsi="宋体" w:cs="Arial"/>
                <w:b/>
                <w:bCs/>
                <w:color w:val="auto"/>
                <w:kern w:val="0"/>
                <w:sz w:val="24"/>
                <w:szCs w:val="24"/>
                <w:highlight w:val="none"/>
              </w:rPr>
            </w:pPr>
            <w:r>
              <w:rPr>
                <w:rFonts w:hint="eastAsia" w:ascii="宋体" w:hAnsi="宋体" w:cs="宋体"/>
                <w:b/>
                <w:bCs/>
                <w:color w:val="auto"/>
                <w:kern w:val="0"/>
                <w:sz w:val="24"/>
                <w:szCs w:val="24"/>
                <w:highlight w:val="none"/>
                <w:lang w:bidi="ar"/>
              </w:rPr>
              <w:t>功能</w:t>
            </w:r>
          </w:p>
        </w:tc>
        <w:tc>
          <w:tcPr>
            <w:tcW w:w="2592" w:type="pct"/>
            <w:tcBorders>
              <w:tl2br w:val="nil"/>
              <w:tr2bl w:val="nil"/>
            </w:tcBorders>
            <w:vAlign w:val="center"/>
          </w:tcPr>
          <w:p>
            <w:pPr>
              <w:spacing w:line="360" w:lineRule="auto"/>
              <w:jc w:val="center"/>
              <w:rPr>
                <w:rFonts w:ascii="宋体" w:hAnsi="宋体" w:cs="Arial"/>
                <w:b/>
                <w:bCs/>
                <w:color w:val="auto"/>
                <w:kern w:val="0"/>
                <w:sz w:val="24"/>
                <w:szCs w:val="24"/>
                <w:highlight w:val="none"/>
              </w:rPr>
            </w:pPr>
            <w:r>
              <w:rPr>
                <w:rFonts w:hint="eastAsia" w:ascii="宋体" w:hAnsi="宋体" w:cs="宋体"/>
                <w:b/>
                <w:bCs/>
                <w:color w:val="auto"/>
                <w:kern w:val="0"/>
                <w:sz w:val="24"/>
                <w:szCs w:val="24"/>
                <w:highlight w:val="none"/>
                <w:lang w:bidi="ar"/>
              </w:rPr>
              <w:t>详细技术参数</w:t>
            </w:r>
          </w:p>
        </w:tc>
        <w:tc>
          <w:tcPr>
            <w:tcW w:w="753" w:type="pct"/>
            <w:tcBorders>
              <w:tl2br w:val="nil"/>
              <w:tr2bl w:val="nil"/>
            </w:tcBorders>
          </w:tcPr>
          <w:p>
            <w:pPr>
              <w:spacing w:line="360" w:lineRule="auto"/>
              <w:jc w:val="center"/>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rPr>
              <w:t>投标人对照响应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vAlign w:val="center"/>
          </w:tcPr>
          <w:p>
            <w:pPr>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w:t>
            </w:r>
          </w:p>
        </w:tc>
        <w:tc>
          <w:tcPr>
            <w:tcW w:w="1359" w:type="pct"/>
            <w:gridSpan w:val="2"/>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数据缓存管理</w:t>
            </w: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用于提高数据访问性能</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w:t>
            </w:r>
          </w:p>
        </w:tc>
        <w:tc>
          <w:tcPr>
            <w:tcW w:w="1359" w:type="pct"/>
            <w:gridSpan w:val="2"/>
            <w:tcBorders>
              <w:tl2br w:val="nil"/>
              <w:tr2bl w:val="nil"/>
            </w:tcBorders>
            <w:noWrap/>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任务调度</w:t>
            </w: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支持不同频次、多种任务类型。如调用了主数据管理的接口</w:t>
            </w:r>
            <w:r>
              <w:rPr>
                <w:rFonts w:hint="eastAsia" w:ascii="宋体" w:hAnsi="宋体" w:cs="Arial"/>
                <w:color w:val="auto"/>
                <w:kern w:val="0"/>
                <w:sz w:val="24"/>
                <w:szCs w:val="24"/>
                <w:highlight w:val="none"/>
                <w:lang w:bidi="ar"/>
              </w:rPr>
              <w:t>API、SQL任务</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vAlign w:val="center"/>
          </w:tcPr>
          <w:p>
            <w:pPr>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数据仓库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noWrap/>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w:t>
            </w:r>
          </w:p>
        </w:tc>
        <w:tc>
          <w:tcPr>
            <w:tcW w:w="1359" w:type="pct"/>
            <w:gridSpan w:val="2"/>
            <w:tcBorders>
              <w:tl2br w:val="nil"/>
              <w:tr2bl w:val="nil"/>
            </w:tcBorders>
            <w:noWrap/>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行业数据模型</w:t>
            </w: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涵盖收入、患者、药品、医保、人事、财务、医疗管理等众多业务域</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lang w:bidi="ar"/>
              </w:rPr>
              <w:t>2</w:t>
            </w:r>
          </w:p>
        </w:tc>
        <w:tc>
          <w:tcPr>
            <w:tcW w:w="1359" w:type="pct"/>
            <w:gridSpan w:val="2"/>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指标数据采集</w:t>
            </w: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提供指标数据的定时采集参数配置功能，支持批量配置，功能包括：数据源配置、采集模型配置、采集调度管理、错误日志查看等</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vAlign w:val="center"/>
          </w:tcPr>
          <w:p>
            <w:pPr>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数据分析工具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w:t>
            </w:r>
          </w:p>
        </w:tc>
        <w:tc>
          <w:tcPr>
            <w:tcW w:w="1359" w:type="pct"/>
            <w:gridSpan w:val="2"/>
            <w:vMerge w:val="restar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图表分析工具</w:t>
            </w: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可以选择数据服务器</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可以选择数据库</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3</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可以选择多维数据集</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lang w:bidi="ar"/>
              </w:rPr>
              <w:t>4</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可以编辑图表算法</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lang w:bidi="ar"/>
              </w:rPr>
              <w:t>5</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可以设置下钻图表</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6</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图表样式有常用样式和全部样式，常用样式有柱状图，条形图、趋势图、饼图、面积图、仪表盘、雷达图、散点图、漏斗图、指标卡</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7</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可以设置图形的共性设置：标题，提示，图例，风格，数据标签，轴设置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9</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如果是折线图，需要增加时间联动属性</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10</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如果是仪表盘，需要增加</w:t>
            </w:r>
            <w:r>
              <w:rPr>
                <w:rFonts w:hint="eastAsia" w:ascii="宋体" w:hAnsi="宋体" w:cs="Arial"/>
                <w:color w:val="auto"/>
                <w:kern w:val="0"/>
                <w:sz w:val="24"/>
                <w:szCs w:val="24"/>
                <w:highlight w:val="none"/>
                <w:lang w:bidi="ar"/>
              </w:rPr>
              <w:t>值和颜色显示范围的设置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11</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有</w:t>
            </w:r>
            <w:r>
              <w:rPr>
                <w:rFonts w:hint="eastAsia" w:ascii="宋体" w:hAnsi="宋体" w:cs="Arial"/>
                <w:color w:val="auto"/>
                <w:kern w:val="0"/>
                <w:sz w:val="24"/>
                <w:szCs w:val="24"/>
                <w:highlight w:val="none"/>
                <w:lang w:bidi="ar"/>
              </w:rPr>
              <w:t>X\Y轴，需要增加右轴的数据属性设置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12</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可以设置右轴中的度量值，剩余的在左轴显示</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13</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气泡图的特殊属性，可以输入气泡值得大小</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14</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组合图设置：若图表的维度值有多个，且图表的呈现方式为组合图，那么在组合图设置</w:t>
            </w:r>
            <w:r>
              <w:rPr>
                <w:rFonts w:hint="eastAsia" w:ascii="宋体" w:hAnsi="宋体" w:cs="Arial"/>
                <w:color w:val="auto"/>
                <w:kern w:val="0"/>
                <w:sz w:val="24"/>
                <w:szCs w:val="24"/>
                <w:highlight w:val="none"/>
                <w:lang w:bidi="ar"/>
              </w:rPr>
              <w:t>—折线度量值选择中被选中的度量值将以折线图的形式展现，没被选中的仍已默认（柱状图）展现</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15</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雷达图设置：当选择图表类型为雷达图时，右侧的属性设置中会出现雷达图设置，包括分割段数、半径、形状、文本标签、填充、标记图形、图形大小</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16</w:t>
            </w:r>
          </w:p>
        </w:tc>
        <w:tc>
          <w:tcPr>
            <w:tcW w:w="1359" w:type="pct"/>
            <w:gridSpan w:val="2"/>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数据源配置</w:t>
            </w: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可以配置</w:t>
            </w:r>
            <w:r>
              <w:rPr>
                <w:rFonts w:hint="eastAsia" w:ascii="宋体" w:hAnsi="宋体" w:cs="Arial"/>
                <w:color w:val="auto"/>
                <w:kern w:val="0"/>
                <w:sz w:val="24"/>
                <w:szCs w:val="24"/>
                <w:highlight w:val="none"/>
                <w:lang w:bidi="ar"/>
              </w:rPr>
              <w:t>sql、Oracle、mysql</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17</w:t>
            </w:r>
          </w:p>
        </w:tc>
        <w:tc>
          <w:tcPr>
            <w:tcW w:w="1359" w:type="pct"/>
            <w:gridSpan w:val="2"/>
            <w:vMerge w:val="restar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配置报表</w:t>
            </w: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支持配置不同服务器，不同存储过程的报表配置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18</w:t>
            </w:r>
          </w:p>
        </w:tc>
        <w:tc>
          <w:tcPr>
            <w:tcW w:w="1359" w:type="pct"/>
            <w:gridSpan w:val="2"/>
            <w:vMerge w:val="continue"/>
            <w:tcBorders>
              <w:tl2br w:val="nil"/>
              <w:tr2bl w:val="nil"/>
            </w:tcBorders>
            <w:vAlign w:val="center"/>
          </w:tcPr>
          <w:p>
            <w:pPr>
              <w:spacing w:line="360" w:lineRule="auto"/>
              <w:jc w:val="left"/>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支持多级表头设置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19</w:t>
            </w:r>
          </w:p>
        </w:tc>
        <w:tc>
          <w:tcPr>
            <w:tcW w:w="1359" w:type="pct"/>
            <w:gridSpan w:val="2"/>
            <w:vMerge w:val="continue"/>
            <w:tcBorders>
              <w:tl2br w:val="nil"/>
              <w:tr2bl w:val="nil"/>
            </w:tcBorders>
            <w:vAlign w:val="center"/>
          </w:tcPr>
          <w:p>
            <w:pPr>
              <w:spacing w:line="360" w:lineRule="auto"/>
              <w:jc w:val="left"/>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支持表头锁定设置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20</w:t>
            </w:r>
          </w:p>
        </w:tc>
        <w:tc>
          <w:tcPr>
            <w:tcW w:w="1359" w:type="pct"/>
            <w:gridSpan w:val="2"/>
            <w:vMerge w:val="continue"/>
            <w:tcBorders>
              <w:tl2br w:val="nil"/>
              <w:tr2bl w:val="nil"/>
            </w:tcBorders>
            <w:vAlign w:val="center"/>
          </w:tcPr>
          <w:p>
            <w:pPr>
              <w:spacing w:line="360" w:lineRule="auto"/>
              <w:jc w:val="left"/>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支持导出配置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21</w:t>
            </w:r>
          </w:p>
        </w:tc>
        <w:tc>
          <w:tcPr>
            <w:tcW w:w="1359" w:type="pct"/>
            <w:gridSpan w:val="2"/>
            <w:vMerge w:val="continue"/>
            <w:tcBorders>
              <w:tl2br w:val="nil"/>
              <w:tr2bl w:val="nil"/>
            </w:tcBorders>
            <w:vAlign w:val="center"/>
          </w:tcPr>
          <w:p>
            <w:pPr>
              <w:spacing w:line="360" w:lineRule="auto"/>
              <w:jc w:val="left"/>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支持单页显示条数配置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22</w:t>
            </w:r>
          </w:p>
        </w:tc>
        <w:tc>
          <w:tcPr>
            <w:tcW w:w="1359" w:type="pct"/>
            <w:gridSpan w:val="2"/>
            <w:vMerge w:val="continue"/>
            <w:tcBorders>
              <w:tl2br w:val="nil"/>
              <w:tr2bl w:val="nil"/>
            </w:tcBorders>
            <w:vAlign w:val="center"/>
          </w:tcPr>
          <w:p>
            <w:pPr>
              <w:spacing w:line="360" w:lineRule="auto"/>
              <w:jc w:val="left"/>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支持报表名称配置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23</w:t>
            </w:r>
          </w:p>
        </w:tc>
        <w:tc>
          <w:tcPr>
            <w:tcW w:w="1359" w:type="pct"/>
            <w:gridSpan w:val="2"/>
            <w:vMerge w:val="continue"/>
            <w:tcBorders>
              <w:tl2br w:val="nil"/>
              <w:tr2bl w:val="nil"/>
            </w:tcBorders>
            <w:vAlign w:val="center"/>
          </w:tcPr>
          <w:p>
            <w:pPr>
              <w:spacing w:line="360" w:lineRule="auto"/>
              <w:jc w:val="left"/>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支持警告值设置。（设置和</w:t>
            </w:r>
            <w:r>
              <w:rPr>
                <w:rFonts w:hint="eastAsia" w:ascii="宋体" w:hAnsi="宋体" w:cs="Arial"/>
                <w:color w:val="auto"/>
                <w:kern w:val="0"/>
                <w:sz w:val="24"/>
                <w:szCs w:val="24"/>
                <w:highlight w:val="none"/>
                <w:lang w:bidi="ar"/>
              </w:rPr>
              <w:t>CUBE表格中类似）</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24</w:t>
            </w:r>
          </w:p>
        </w:tc>
        <w:tc>
          <w:tcPr>
            <w:tcW w:w="1359" w:type="pct"/>
            <w:gridSpan w:val="2"/>
            <w:vMerge w:val="continue"/>
            <w:tcBorders>
              <w:tl2br w:val="nil"/>
              <w:tr2bl w:val="nil"/>
            </w:tcBorders>
            <w:vAlign w:val="center"/>
          </w:tcPr>
          <w:p>
            <w:pPr>
              <w:spacing w:line="360" w:lineRule="auto"/>
              <w:jc w:val="left"/>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支持表头表尾设置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25</w:t>
            </w:r>
          </w:p>
        </w:tc>
        <w:tc>
          <w:tcPr>
            <w:tcW w:w="1359" w:type="pct"/>
            <w:gridSpan w:val="2"/>
            <w:vMerge w:val="restar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报表一览</w:t>
            </w: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可以查询所有建好的报表列表</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26</w:t>
            </w:r>
          </w:p>
        </w:tc>
        <w:tc>
          <w:tcPr>
            <w:tcW w:w="1359" w:type="pct"/>
            <w:gridSpan w:val="2"/>
            <w:vMerge w:val="continue"/>
            <w:tcBorders>
              <w:tl2br w:val="nil"/>
              <w:tr2bl w:val="nil"/>
            </w:tcBorders>
            <w:vAlign w:val="center"/>
          </w:tcPr>
          <w:p>
            <w:pPr>
              <w:spacing w:line="360" w:lineRule="auto"/>
              <w:jc w:val="left"/>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可以设置主题的菜单配置</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27</w:t>
            </w:r>
          </w:p>
        </w:tc>
        <w:tc>
          <w:tcPr>
            <w:tcW w:w="1359" w:type="pct"/>
            <w:gridSpan w:val="2"/>
            <w:vMerge w:val="continue"/>
            <w:tcBorders>
              <w:tl2br w:val="nil"/>
              <w:tr2bl w:val="nil"/>
            </w:tcBorders>
            <w:vAlign w:val="center"/>
          </w:tcPr>
          <w:p>
            <w:pPr>
              <w:spacing w:line="360" w:lineRule="auto"/>
              <w:jc w:val="left"/>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可以设置报表的发布</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28</w:t>
            </w:r>
          </w:p>
        </w:tc>
        <w:tc>
          <w:tcPr>
            <w:tcW w:w="1359" w:type="pct"/>
            <w:gridSpan w:val="2"/>
            <w:vMerge w:val="continue"/>
            <w:tcBorders>
              <w:tl2br w:val="nil"/>
              <w:tr2bl w:val="nil"/>
            </w:tcBorders>
            <w:vAlign w:val="center"/>
          </w:tcPr>
          <w:p>
            <w:pPr>
              <w:spacing w:line="360" w:lineRule="auto"/>
              <w:jc w:val="left"/>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可以修改删除预览报表</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29</w:t>
            </w:r>
          </w:p>
        </w:tc>
        <w:tc>
          <w:tcPr>
            <w:tcW w:w="1359" w:type="pct"/>
            <w:gridSpan w:val="2"/>
            <w:vMerge w:val="restar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查询条件</w:t>
            </w: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根据控件类型、控件名称、参数名称配置控件</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30</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可添加备注</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31</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服务器名称：需要输入服务器的地址（</w:t>
            </w:r>
            <w:r>
              <w:rPr>
                <w:rFonts w:hint="eastAsia" w:ascii="宋体" w:hAnsi="宋体" w:cs="Arial"/>
                <w:color w:val="auto"/>
                <w:kern w:val="0"/>
                <w:sz w:val="24"/>
                <w:szCs w:val="24"/>
                <w:highlight w:val="none"/>
                <w:lang w:bidi="ar"/>
              </w:rPr>
              <w:t>ip地址）</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32</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登录名、密码：登录数据库服务器的用户名和密码</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33</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选择数据库：选择要链接的数据库名称</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34</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Sql语句：编写条件的SQL语句</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35</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显示值：条件的显示值</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36</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实际值：条件的实际值。</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37</w:t>
            </w:r>
          </w:p>
        </w:tc>
        <w:tc>
          <w:tcPr>
            <w:tcW w:w="1359" w:type="pct"/>
            <w:gridSpan w:val="2"/>
            <w:vMerge w:val="restar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报表设计器</w:t>
            </w: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聚合报表模式，用于支持不规则大报表的设计，处理不规则报表</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38</w:t>
            </w:r>
          </w:p>
        </w:tc>
        <w:tc>
          <w:tcPr>
            <w:tcW w:w="1359" w:type="pct"/>
            <w:gridSpan w:val="2"/>
            <w:vMerge w:val="continue"/>
            <w:tcBorders>
              <w:tl2br w:val="nil"/>
              <w:tr2bl w:val="nil"/>
            </w:tcBorders>
            <w:vAlign w:val="center"/>
          </w:tcPr>
          <w:p>
            <w:pPr>
              <w:spacing w:line="360" w:lineRule="auto"/>
              <w:rPr>
                <w:rFonts w:ascii="宋体" w:hAnsi="宋体"/>
                <w:color w:val="auto"/>
                <w:sz w:val="24"/>
                <w:szCs w:val="24"/>
                <w:highlight w:val="none"/>
              </w:rPr>
            </w:pPr>
          </w:p>
        </w:tc>
        <w:tc>
          <w:tcPr>
            <w:tcW w:w="2592" w:type="pct"/>
            <w:tcBorders>
              <w:tl2br w:val="nil"/>
              <w:tr2bl w:val="nil"/>
            </w:tcBorders>
            <w:vAlign w:val="center"/>
          </w:tcPr>
          <w:p>
            <w:pPr>
              <w:spacing w:line="360" w:lineRule="auto"/>
              <w:jc w:val="left"/>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决策报表模式，用于实现酷炫的驾驶舱、管理看板等</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vAlign w:val="center"/>
          </w:tcPr>
          <w:p>
            <w:pPr>
              <w:spacing w:line="360" w:lineRule="auto"/>
              <w:jc w:val="left"/>
              <w:rPr>
                <w:rFonts w:ascii="宋体" w:hAnsi="宋体" w:cs="宋体"/>
                <w:color w:val="auto"/>
                <w:kern w:val="0"/>
                <w:sz w:val="24"/>
                <w:szCs w:val="24"/>
                <w:highlight w:val="none"/>
                <w:lang w:bidi="ar"/>
              </w:rPr>
            </w:pPr>
            <w:r>
              <w:rPr>
                <w:rFonts w:hint="eastAsia" w:ascii="宋体" w:hAnsi="宋体" w:cs="宋体"/>
                <w:b/>
                <w:bCs/>
                <w:color w:val="auto"/>
                <w:kern w:val="0"/>
                <w:sz w:val="24"/>
                <w:szCs w:val="24"/>
                <w:highlight w:val="none"/>
                <w:lang w:bidi="ar"/>
              </w:rPr>
              <w:t>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1</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bidi="ar"/>
              </w:rPr>
              <w:t>门诊挂号途径分析</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门诊挂号途径分析，包括（但不仅限于）以下功能：</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窗口挂号</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自助机挂号</w:t>
            </w:r>
          </w:p>
          <w:p>
            <w:pPr>
              <w:pStyle w:val="15"/>
              <w:rPr>
                <w:color w:val="auto"/>
                <w:szCs w:val="24"/>
                <w:highlight w:val="none"/>
              </w:rPr>
            </w:pPr>
            <w:r>
              <w:rPr>
                <w:rFonts w:hint="eastAsia"/>
                <w:color w:val="auto"/>
                <w:szCs w:val="24"/>
                <w:highlight w:val="none"/>
              </w:rPr>
              <w:t>投标文件中需提供软件界面截图</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2</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门诊预约</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门诊预约，包括（但不仅限于）以下功能：</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预约诊疗人次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预约就诊率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普通门诊预约人次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特需门诊预约人次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专科门诊预约人次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专病门诊预约人次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普通门诊预约率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特需门诊预约率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专科门诊预约率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专病门诊预约率</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特需门诊</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特需门诊人次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特需门诊服务人次数比例</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预约取号</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按时取号人次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提前取号人次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延迟取号人次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总预约人次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爽约人次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取号比率</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3</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门急诊服务</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门急诊人次</w:t>
            </w:r>
            <w:r>
              <w:rPr>
                <w:rFonts w:hint="eastAsia" w:ascii="宋体" w:hAnsi="宋体" w:cs="宋体"/>
                <w:color w:val="auto"/>
                <w:kern w:val="0"/>
                <w:sz w:val="24"/>
                <w:szCs w:val="24"/>
                <w:highlight w:val="none"/>
                <w:lang w:bidi="ar"/>
              </w:rPr>
              <w:tab/>
            </w:r>
            <w:r>
              <w:rPr>
                <w:rFonts w:hint="eastAsia" w:ascii="宋体" w:hAnsi="宋体" w:cs="宋体"/>
                <w:color w:val="auto"/>
                <w:kern w:val="0"/>
                <w:sz w:val="24"/>
                <w:szCs w:val="24"/>
                <w:highlight w:val="none"/>
                <w:lang w:bidi="ar"/>
              </w:rPr>
              <w:t>，包括（但不仅限于）以下功能：</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总诊疗人次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门诊人次占比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急诊人次占比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门诊人头数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门诊人头人次比</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门急诊人次增幅</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门诊人次增减率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急诊人次增减率</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4</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诊断顺位</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门诊诊断顺位，包括（但不仅限于）以下功能：</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诊断名称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ab/>
            </w:r>
            <w:r>
              <w:rPr>
                <w:rFonts w:hint="eastAsia"/>
                <w:color w:val="auto"/>
                <w:szCs w:val="24"/>
                <w:highlight w:val="none"/>
                <w:lang w:bidi="ar"/>
              </w:rPr>
              <w:t>诊断人次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急诊诊断顺位</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诊断名称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ab/>
            </w:r>
            <w:r>
              <w:rPr>
                <w:rFonts w:hint="eastAsia"/>
                <w:color w:val="auto"/>
                <w:szCs w:val="24"/>
                <w:highlight w:val="none"/>
                <w:lang w:bidi="ar"/>
              </w:rPr>
              <w:t>诊断人次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住院诊断顺位</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诊断名称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诊断人次</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5</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bidi="ar"/>
              </w:rPr>
              <w:t>住院服务</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出入院人次，包括（但不仅限于）以下功能：</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入院人次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住院人头数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住院人次数</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住院人次，包括（但不仅限于）以下功能：</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入院人次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住院人头数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住院人次数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住院人头人次比</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入院途径</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门诊入院人次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急诊入院人次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其他医疗机构转入</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门急诊入院人数</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每百门急诊入院人数</w:t>
            </w:r>
          </w:p>
          <w:p>
            <w:pPr>
              <w:pStyle w:val="15"/>
              <w:rPr>
                <w:color w:val="auto"/>
                <w:szCs w:val="24"/>
                <w:highlight w:val="none"/>
              </w:rPr>
            </w:pPr>
            <w:r>
              <w:rPr>
                <w:rFonts w:hint="eastAsia"/>
                <w:color w:val="auto"/>
                <w:szCs w:val="24"/>
                <w:highlight w:val="none"/>
              </w:rPr>
              <w:t>投标文件中需提供软件界面截图</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6</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病人就诊跟踪</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接诊情况，包括（但不仅限于）以下功能：</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接诊总人数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挂号总人数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接诊流失率</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取药情况，包括（但不仅限于）以下功能：</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实际配药人数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应配药人数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取药流失率</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检查情况，包括（但不仅限于）以下功能：</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实际检查人数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应检查人数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检查流失率</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检验情况，包括（但不仅限于）以下功能：</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实际检验人数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应检验人数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检验流失率</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7</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门诊候诊分析</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门诊候诊分析，包括（但不仅限于）以下功能：</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预约总时间</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预约总人数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挂号总时间</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挂号总人数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预约患者候诊时间</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现场挂号候诊时间</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tcPr>
          <w:p>
            <w:pPr>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医疗质量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1</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单病种管理</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单病种数量</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单病种例数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单病种覆盖病种数</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单病种费用</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单病种</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单病种出院患者平均费用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单病种药占比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单病种卫生材料费用占比</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单病种费用</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单病种</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某单病种出院患者平均住院日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某单病种出院患者术前平均住院日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某单病种出院患者占用总床日数</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lang w:bidi="ar"/>
              </w:rPr>
              <w:t>2</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患者安全</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患者安全</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出院患者压疮发生人数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输血反应人次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住院压疮发生率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输血反应发生率</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lang w:bidi="ar"/>
              </w:rPr>
              <w:t>3</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诊断质量</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诊断符合率</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出入院诊断符合人数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出入院诊断符合率</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lang w:bidi="ar"/>
              </w:rPr>
              <w:t>4</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重点疾病管理</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重点疾病住院情况</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住院重点疾病出院例数</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重点疾病患者住院死亡情况</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住院重点疾病出院人数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重点疾病患者住院死亡人数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住院重点疾病死亡率</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lang w:bidi="ar"/>
              </w:rPr>
              <w:t>5</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医院感染情况</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感染人数分析</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医院感染人数</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感染率分析</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医院感染发生率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尿道插管相关泌尿道感染发病率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中央血管导管相关血流感染发病率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呼吸机相关肺炎发病率</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tcPr>
          <w:p>
            <w:pPr>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医疗效率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1</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医生效率</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院区执业医师效率</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执业医师日均担负诊疗人次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执业医师日均担负住院床日数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执业医师人均担负住院手术人次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执业医师人均担负门急诊手术人次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科室执业医师效率</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科室执业医师人均担负住院手术人次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科室执业医师人均担负门急诊手术人次</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2</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床位效率</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床位效率</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平均住院日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病床使用率</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病床周转次数</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tcPr>
          <w:p>
            <w:pPr>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用药管理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1</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全院药占比</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全院药占比</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药品总费用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全院药占比</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门诊药占比</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门诊药品总费用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全院药占比</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住院药占比</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住院药品总费用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全院药占比</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抗菌药占比</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全院抗菌药占比</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药品总费用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抗菌药品总费用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全院抗菌药占比</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门诊抗菌药占比</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门诊药品总费用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门诊抗菌药品总费用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门诊抗菌药占比</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住院抗菌药占比</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住院药品总费用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住院抗菌药品总费用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住院抗菌药占比</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3</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抗菌药使用率</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门诊抗菌药使用率</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门诊总处方数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门诊抗菌药品处方数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门诊抗菌药使用率</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住院抗菌药使用率</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出院总人数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抗菌药使用人数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住院抗菌药使用占比</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抗菌药使用强度</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抗菌药消耗量</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同期收治患者天数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住院抗菌药使用强度</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tcPr>
          <w:p>
            <w:pPr>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医疗收入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1</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门急诊收入</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门急诊收入</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门急诊总收入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门诊总收入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急诊总收入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门诊药品收入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门诊收入占比</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门急诊费用类型统计</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药品类</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材料类</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检查类</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化验类</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其他</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收入占比</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门急诊医疗保险收入占比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门急诊材料费用占比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门诊医疗服务收入占比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特需门诊收入占比</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5"/>
            <w:tcBorders>
              <w:tl2br w:val="nil"/>
              <w:tr2bl w:val="nil"/>
            </w:tcBorders>
          </w:tcPr>
          <w:p>
            <w:pPr>
              <w:spacing w:line="360" w:lineRule="auto"/>
              <w:jc w:val="left"/>
              <w:rPr>
                <w:rFonts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t>医疗负担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宋体"/>
                <w:color w:val="auto"/>
                <w:kern w:val="0"/>
                <w:sz w:val="24"/>
                <w:szCs w:val="24"/>
                <w:highlight w:val="none"/>
                <w:lang w:bidi="ar"/>
              </w:rPr>
              <w:t>2</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门急诊均次费用</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门急诊均次费用</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门急诊次均费用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门诊患者次均费用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急诊患者次均费用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门急诊均次费用趋势</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门急诊均次费用趋势</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门急诊次均费用占比</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门急诊次均药品费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门急诊次均药品费占比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门急诊次均卫生材料费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门急诊次均卫生材料费占比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门急诊次均检查费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门急诊次均检查费占比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门急诊总收入</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门急诊总药费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门急诊总材料费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门急诊总检查费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门急诊总人次</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jc w:val="center"/>
              <w:rPr>
                <w:rFonts w:ascii="宋体" w:hAnsi="宋体" w:cs="Arial"/>
                <w:color w:val="auto"/>
                <w:kern w:val="0"/>
                <w:sz w:val="24"/>
                <w:szCs w:val="24"/>
                <w:highlight w:val="none"/>
              </w:rPr>
            </w:pPr>
            <w:r>
              <w:rPr>
                <w:rFonts w:hint="eastAsia" w:ascii="宋体" w:hAnsi="宋体" w:cs="Arial"/>
                <w:color w:val="auto"/>
                <w:kern w:val="0"/>
                <w:sz w:val="24"/>
                <w:szCs w:val="24"/>
                <w:highlight w:val="none"/>
              </w:rPr>
              <w:t>3</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门急诊药费情况</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门急诊均次药费</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门诊次均药费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急诊次均药费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门急诊次均药费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门急诊均次药费分析</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门诊次均中药药费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门诊次均西药费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门诊次均中成药药费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急诊次均西药费用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急诊次均中药费用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急诊次均中成药费用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门诊中药费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门诊西药费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急诊中药费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急诊西药费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门诊人次</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急诊人次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门急诊均次药费趋势</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门急诊均次药费趋势</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门急诊次均药费占比</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门急诊次均药费占比</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 w:type="pct"/>
            <w:tcBorders>
              <w:tl2br w:val="nil"/>
              <w:tr2bl w:val="nil"/>
            </w:tcBorders>
            <w:vAlign w:val="center"/>
          </w:tcPr>
          <w:p>
            <w:pPr>
              <w:spacing w:line="360" w:lineRule="auto"/>
              <w:rPr>
                <w:rFonts w:ascii="宋体" w:hAnsi="宋体" w:cs="Arial"/>
                <w:color w:val="auto"/>
                <w:kern w:val="0"/>
                <w:sz w:val="24"/>
                <w:szCs w:val="24"/>
                <w:highlight w:val="none"/>
              </w:rPr>
            </w:pPr>
            <w:r>
              <w:rPr>
                <w:rFonts w:hint="eastAsia" w:ascii="宋体" w:hAnsi="宋体" w:cs="Arial"/>
                <w:color w:val="auto"/>
                <w:kern w:val="0"/>
                <w:sz w:val="24"/>
                <w:szCs w:val="24"/>
                <w:highlight w:val="none"/>
              </w:rPr>
              <w:t>4</w:t>
            </w:r>
          </w:p>
        </w:tc>
        <w:tc>
          <w:tcPr>
            <w:tcW w:w="649" w:type="pct"/>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住院医疗费用</w:t>
            </w:r>
          </w:p>
        </w:tc>
        <w:tc>
          <w:tcPr>
            <w:tcW w:w="3302" w:type="pct"/>
            <w:gridSpan w:val="2"/>
            <w:tcBorders>
              <w:tl2br w:val="nil"/>
              <w:tr2bl w:val="nil"/>
            </w:tcBorders>
            <w:vAlign w:val="center"/>
          </w:tcPr>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住院均次费用</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住院患者次均费用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住院患者次均药费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住院总药费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住院患者次均变化趋势</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住院患者次均变化趋势</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住院日均费用</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住院天数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住院日均费用</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不同来源患者住院均次费用</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入院类型</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住院均次费用</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各病种出院患者次均费用</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病种</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病种住院患者次均费用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出院人次</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住院次均费用占比分析</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住院次均药品费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住院次均药品费占比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住院次均材料费用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住院次均材料费占比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住院次均检查和检验费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住院次均检查和检验费占比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住院次均治疗费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住院次均治疗费占比</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药品费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材料费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检验费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治疗费</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出院人数</w:t>
            </w:r>
          </w:p>
          <w:p>
            <w:pPr>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各病种出院患者平均床日费用</w:t>
            </w:r>
            <w:r>
              <w:rPr>
                <w:rFonts w:hint="eastAsia" w:ascii="宋体" w:hAnsi="宋体" w:cs="宋体"/>
                <w:color w:val="auto"/>
                <w:kern w:val="0"/>
                <w:sz w:val="24"/>
                <w:szCs w:val="24"/>
                <w:highlight w:val="none"/>
                <w:lang w:bidi="ar"/>
              </w:rPr>
              <w:tab/>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病种</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住院天数</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住院总费用</w:t>
            </w:r>
          </w:p>
          <w:p>
            <w:pPr>
              <w:pStyle w:val="15"/>
              <w:numPr>
                <w:ilvl w:val="0"/>
                <w:numId w:val="57"/>
              </w:numPr>
              <w:spacing w:before="0" w:beforeAutospacing="0" w:after="0" w:afterAutospacing="0"/>
              <w:rPr>
                <w:color w:val="auto"/>
                <w:szCs w:val="24"/>
                <w:highlight w:val="none"/>
              </w:rPr>
            </w:pPr>
            <w:r>
              <w:rPr>
                <w:rFonts w:hint="eastAsia"/>
                <w:color w:val="auto"/>
                <w:szCs w:val="24"/>
                <w:highlight w:val="none"/>
                <w:lang w:bidi="ar"/>
              </w:rPr>
              <w:t>住院日均费用</w:t>
            </w:r>
          </w:p>
        </w:tc>
        <w:tc>
          <w:tcPr>
            <w:tcW w:w="753" w:type="pct"/>
            <w:tcBorders>
              <w:tl2br w:val="nil"/>
              <w:tr2bl w:val="nil"/>
            </w:tcBorders>
          </w:tcPr>
          <w:p>
            <w:pPr>
              <w:spacing w:line="360" w:lineRule="auto"/>
              <w:jc w:val="left"/>
              <w:rPr>
                <w:rFonts w:ascii="宋体" w:hAnsi="宋体" w:cs="宋体"/>
                <w:color w:val="auto"/>
                <w:kern w:val="0"/>
                <w:sz w:val="24"/>
                <w:szCs w:val="24"/>
                <w:highlight w:val="none"/>
                <w:lang w:bidi="ar"/>
              </w:rPr>
            </w:pPr>
          </w:p>
        </w:tc>
      </w:tr>
    </w:tbl>
    <w:p>
      <w:pPr>
        <w:rPr>
          <w:color w:val="auto"/>
          <w:highlight w:val="none"/>
        </w:rPr>
      </w:pPr>
    </w:p>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r>
        <w:rPr>
          <w:rFonts w:hint="eastAsia" w:ascii="宋体" w:hAnsi="宋体" w:cs="Times New Roman"/>
          <w:b/>
          <w:bCs/>
          <w:color w:val="auto"/>
          <w:kern w:val="0"/>
          <w:szCs w:val="21"/>
          <w:highlight w:val="none"/>
          <w:lang w:val="zh-CN"/>
        </w:rPr>
        <w:t>5.1</w:t>
      </w:r>
      <w:r>
        <w:rPr>
          <w:rFonts w:ascii="宋体" w:hAnsi="宋体" w:cs="Times New Roman"/>
          <w:b/>
          <w:bCs/>
          <w:color w:val="auto"/>
          <w:kern w:val="0"/>
          <w:szCs w:val="21"/>
          <w:highlight w:val="none"/>
          <w:lang w:val="zh-CN"/>
        </w:rPr>
        <w:t>4</w:t>
      </w:r>
      <w:r>
        <w:rPr>
          <w:rFonts w:hint="eastAsia" w:ascii="宋体" w:hAnsi="宋体" w:cs="Times New Roman"/>
          <w:b/>
          <w:bCs/>
          <w:color w:val="auto"/>
          <w:kern w:val="0"/>
          <w:szCs w:val="21"/>
          <w:highlight w:val="none"/>
          <w:lang w:val="zh-CN"/>
        </w:rPr>
        <w:t>院内统一预约平台</w:t>
      </w:r>
      <w:bookmarkEnd w:id="96"/>
    </w:p>
    <w:tbl>
      <w:tblPr>
        <w:tblStyle w:val="18"/>
        <w:tblW w:w="5382" w:type="pct"/>
        <w:jc w:val="center"/>
        <w:tblLayout w:type="autofit"/>
        <w:tblCellMar>
          <w:top w:w="0" w:type="dxa"/>
          <w:left w:w="108" w:type="dxa"/>
          <w:bottom w:w="0" w:type="dxa"/>
          <w:right w:w="108" w:type="dxa"/>
        </w:tblCellMar>
      </w:tblPr>
      <w:tblGrid>
        <w:gridCol w:w="486"/>
        <w:gridCol w:w="775"/>
        <w:gridCol w:w="1032"/>
        <w:gridCol w:w="5334"/>
        <w:gridCol w:w="1553"/>
      </w:tblGrid>
      <w:tr>
        <w:tblPrEx>
          <w:tblCellMar>
            <w:top w:w="0" w:type="dxa"/>
            <w:left w:w="108" w:type="dxa"/>
            <w:bottom w:w="0" w:type="dxa"/>
            <w:right w:w="108" w:type="dxa"/>
          </w:tblCellMar>
        </w:tblPrEx>
        <w:trPr>
          <w:trHeight w:val="510" w:hRule="atLeast"/>
          <w:tblHeader/>
          <w:jc w:val="center"/>
        </w:trPr>
        <w:tc>
          <w:tcPr>
            <w:tcW w:w="265"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984" w:type="pct"/>
            <w:gridSpan w:val="2"/>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2905"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46"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984"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需实现对接院内系统，获取医技、住院、手术号源，为患者、医生、协作医院提供统一的预约服务。</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42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一体化医技预约</w:t>
            </w: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检查预约</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需支持对接主流读卡器，可以自动获取患者信息和检查信息。</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检查预约：需支持检查预约功能，可结合其他部门检查、治疗安排，智能提示检查安排的冲突并给出提示，减少检查项目间的冲突而造成的时间延误。</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强制预约：患者预约多个检查项目时，不受这些规则的约束，凡是有号源都可以预约。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取消预约：在未完成检查前的任何一个环节均可取消预约（保存流程信息），选择欲取消的预约单，点击取消预约，如果患者没有退费，则可以重新预约。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改约：在检查日期之前对于已经预约好的申请单可允许改约。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历史记录：如果该病人在该医院预约过检查项目，则在病人申请的检查项目上方可查看该病人的历史预约记录。</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8</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申请单详情：在申请单详情内可查看医生开的申请单详情，包含病人主诉、病史、临床诊断等内容。</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9</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拆分预约和合并预约：多张预约单可以拆分预约也可以合并预约。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10</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号源过滤：勾选号源过滤后，可过滤已经预约过的号源，只显示未预约的号源。</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号源日历功能：号源日历功能可以浏览预约状况，选择日期后快速定位左侧号源。</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12</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签到：患者到医院后，拿着申请单到签到机上扫码，可以信息推送到排队叫号系统。</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预约单打印</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实现预约完成后，生成申请单，供医护人员打印的功能，预约单的信息包括，患者基本信息、预约的检查项目、该项目对应的检查时间、检查地点、序号、注意事项，签到的二维码。</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号源管理</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号源配置：设置好每一个检查类型对应的具体某一队列在具体的某个时间段会有多少号源。以周为字典形成的最小数据集，由系统按预约生成周期，定期自动生成可供选择的号源表。</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15</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pc端独享号源：pc端独享一定比例或一定数量的号源，这些号源在手机端和自助机端不可见。</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16</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查看号源：展示所有检查类型和队列下配置好的号源。</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17</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新增号源：定位到检查类型和队列下某个时段后，可新增该时段的号源，新增的附加号即时生效。</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18</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冻结号源：勾选某个号源后并冻结，则该号源在预约页面处于冻结状态，不可预约。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19</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释放号源：对冻结的号源进行释放，释放后号源恢复正常状态。</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20</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号源规则：号源规则，每一个号源规则下配置上下午晚上的号源，一周为周期，可以设定具体的日期开放，具有一定特权的人可以增加扩展号源。号源字典里面包含：时间（一周上下午晚上）、检查类型、队列名称、日期、每个时间段配置的号源数、可预约号源的周期、总号数。</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21</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预约管理</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已预约列表：已预约列表中包含的是已经预约好的患者信息，里面会显示患者的基本信息以及预约信息；用户可以打印预约单、点击查看预约单详情、取消预约。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22</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已过期列表：医生开具检查申请单后患者在规定时间内没有预约，则该检查申请单会自动到已过期列表中。</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23</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预约一览表</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预约一览表需支持查看检查队列下病人的预约情况，以及号源占用情况，方便医护人员实时掌握号源动态。</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24</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基础数据管理</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检查类型维护：在线上维护科室介绍、检查地点、检查编码、检查类型等基础信息。</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25</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队列管理：1、维护某个检查类型下的队列信息。2、勾选队列属性。队列属性根据病人类型进行过滤，比如队列属性勾选的急诊，则该队列默认只给急诊病人预约，其他类型的病人则不能预约。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26</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检查部位维护：维护某个检查类型下的检查部位信息，以使检查类型、检查部位、检查项目建立关联关系。</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27</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项目维护：1、维护检查项目编码、his编码、检查项目名称等基本信息，并将检查类型、检查部位、检查项目三者建立关联关系。2、勾选相应的预约方式，预约方式需包含：自动（接口）预约、手机预约、pc端预约、自助机预约，勾选不同的预约方式后预约的渠道会不同。</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28</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注意事项维护：维护注意事项和注意事项编码的相关信息。</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29</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检查项目检查队列关联：将检查项目与队列建立关联关系，使得在首页中选择某个检查申请单后，系统可自动定位到相应的队列中进行预约。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30</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检查项目注意事项关联：根据对应检查项目，从注意事项字典中配置相应的检查注意事项（添加检查项目注意事项、修改检查项目注意事项、移除已存在且不再需要的检查项目注意事项）的字典。</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31</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不同病人类型预约比例维护：不同的时段号源可根据不同的病人类型来配置预约比例，配置完比例后，在首页预约时判断一下该时段该病人类型预约时有没有超过最多可预约号数，如果超过，则不可约。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32</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就诊规则维护：就诊规则维护是对手机端医技预约须知中的就诊提示内容进行维护，预约不同的检查类型，就诊规则内容展示也会不同。</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33</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检查项目时间维护：主要维护检查项目的检查时间，需支持根据检查项目所需的检查时间和配置的号源时间来判断需要占用的号源数。</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34</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消息管理</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消息模版管理：需支持自助配置不同预约状态下的消息模版。</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35</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消息设置：需支持设置不同消息类型和不同消息渠道下对应发送的消息模版；支持消息再次提醒。</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36</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消息发送记录：需支持查看消息发送成功后的所有记录集合，以及再次发送和修改手机号。</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37</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队列排班</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队列排班：需支持用户给不同的诊室每周都进行排班。</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38</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队列排班停诊：需支持对不同诊室的排班进行停诊，停诊后首页该诊室的号源将不可约。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102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39</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预约配置</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预约配置模块需包含手机、自助机、pc端申请单有效期的设置；同时需包含手机、自助机、pc端号源预约有效期的设置；互斥启用；空腹标签；自助机预约时段余号显示配置；检查预约排队号显示配置；检查项目时间启用的配置；病人类型预约比例启用的配置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40</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检查项目互斥</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检查项目互斥规则配置：需支持互斥的两个检查项目间配置互斥时效，并生成互斥规则。</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41</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规则生成：互斥规则生效后，用户在预约检查项目时，系统需支持自动检测是否存在互斥的检查项目并自动为用户选择最佳号源。。</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42</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查询统计</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查询统计模块需包含各队列预约量分析功能，能够统计各队列预约数以及预约率等。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43</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移动端</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对接健康兵团微信公众号和小程序，支持移动端预约、取消预约、预约须知和预约号源查看等功能。</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44</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移动预约：部分特殊检查，医生开完检查申请单交完费用后需支持手机自助预约。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45</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取消预约：在检查日期前需支持取消预约。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46</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预约须知：在移动端点击预约时需展示预约须知，根据不同的检查项目或检查类型展示的须知内容会不同。</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47</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预约号源查看：需支持用户在移动端查看医技科室的预约号源。</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48</w:t>
            </w:r>
          </w:p>
        </w:tc>
        <w:tc>
          <w:tcPr>
            <w:tcW w:w="42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一体化诊间预约</w:t>
            </w: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Times New Roman"/>
                <w:color w:val="auto"/>
                <w:sz w:val="24"/>
                <w:szCs w:val="21"/>
                <w:highlight w:val="none"/>
              </w:rPr>
              <w:t>▲</w:t>
            </w:r>
            <w:r>
              <w:rPr>
                <w:rFonts w:hint="eastAsia" w:ascii="宋体" w:hAnsi="宋体" w:cs="宋体"/>
                <w:color w:val="auto"/>
                <w:kern w:val="0"/>
                <w:sz w:val="24"/>
                <w:szCs w:val="21"/>
                <w:highlight w:val="none"/>
              </w:rPr>
              <w:t>门诊诊间预约</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患者如果需要预约，在诊毕时由医生填写预约信息，预约信息包括：患者姓名、患者电话号码、预约日期、门诊科别、医生等。</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49</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医生信息填写完成之后，根据预约日期和预约科别，生成预约号和验证码，医生把预约号和验证码提供给患者。</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50</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在预约日期当天，患者需要到挂号窗口进行预约挂号确认。患者提供预约时登记的电话号码和验证码，由挂号人员进行确认并收取挂号费用。确认成功之后，患者到医生处就诊。</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51</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医技诊间预约</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开完检查申请后，系统提供诊间预约界面进行预约，系统默认匹配、推荐预约资源。</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52</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诊间预约界面展示可用的预约时间段信息，默认选中推荐的最早的预约资源，还可根据实际情况询问患者或者相应的治疗安排进行检查资源的预约。</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53</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可以取消已经预约好的检查或修改预约时间，预约之后可以打印预约单，提示患者按时检查以及检查的注意事项。</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54</w:t>
            </w:r>
          </w:p>
        </w:tc>
        <w:tc>
          <w:tcPr>
            <w:tcW w:w="42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一体化手术预约</w:t>
            </w: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手术申请</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手术申请：1、需支持医生在手术申请页面为患者申请手术；2、如果与用户中心接通后，需支持直接获取患者信息，如果未接通，需支持手动输入患者信息。</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55</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申请列表：1、申请列表需包含已经申请的患者手术信息，能够实现查看申请详情和申请状态；2、需支持取消申请。</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56</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手术审核</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手术分配：需实现护士在查看到具体的手术申请单后可根据实际情况分配手术时间和手术地点。</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57</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手术拒绝：需实现拒绝手术申请功能。</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58</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手术申请详情：需支持查看手术申请详情。</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59</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已审核列表：1、已审核列表需包含已经分配好手术时间和手术地点的患者手术信息；2、已审核列表需支持拒绝手术申请和查看手术分配详情。</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765"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60</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已取消列表：已取消列表是指所有取消手术申请的手术信息集合，分为审核取消和申请取消，即医生申请手术后在未审核之前就取消的为申请取消，医生申请完手术并且手术已经被审核然后取消的为审核取消。</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61</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已拒绝列表：已拒绝列表是指所有拒绝手术申请的手术信息集合。</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62</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手术室审核权限：需支持设置所有科室所有医生查看手术室的权限。</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63</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手术排班</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投标人提供的手术排班需支持设置每个手术台一周7天的排班。</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64</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系统管理</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需支持对手术室、手术间、手术台进行增删改查操作</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65</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需建立手术室、手术间、手术台之间的关联关系。</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66</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消息管理</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消息模版管理：需支持自助配置不同预约状态下的消息模版</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67</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消息设置：需支持设置不同消息类型和不同消息渠道下对应发送的消息模版。</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68</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消息发送记录：消息发送成功后，需支持所有记录集合。</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69</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移动端</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移动端手术申请：需支持医生在移动端为患者申请手术。</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70</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移动端手术申请记录：1、需支持查看手术申请审核结果以及手术申请详情；2、需支持取消申请。</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71</w:t>
            </w:r>
          </w:p>
        </w:tc>
        <w:tc>
          <w:tcPr>
            <w:tcW w:w="422" w:type="pct"/>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一体化住院预约</w:t>
            </w: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查看床位申请信息</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需实现查看申请的床位信息功能。</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72</w:t>
            </w:r>
          </w:p>
        </w:tc>
        <w:tc>
          <w:tcPr>
            <w:tcW w:w="42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床位预约</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通知患者入院：护士查看到院内有床位时，需支持通知患者入院功能。</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73</w:t>
            </w:r>
          </w:p>
        </w:tc>
        <w:tc>
          <w:tcPr>
            <w:tcW w:w="42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新增患者信息：与用户中心未接通的情况下需支持新增患者信息为患者预约床位。</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74</w:t>
            </w:r>
          </w:p>
        </w:tc>
        <w:tc>
          <w:tcPr>
            <w:tcW w:w="42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pc端申请床位：需支持pc端为患者申请床位。</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75</w:t>
            </w:r>
          </w:p>
        </w:tc>
        <w:tc>
          <w:tcPr>
            <w:tcW w:w="42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系统管理</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床位管理：需支持对病区和房间类型的信息进行增删改查。</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76</w:t>
            </w:r>
          </w:p>
        </w:tc>
        <w:tc>
          <w:tcPr>
            <w:tcW w:w="42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消息管理</w:t>
            </w: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消息模版管理：需支持自助配置不同预约状态下的消息模版。</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51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77</w:t>
            </w:r>
          </w:p>
        </w:tc>
        <w:tc>
          <w:tcPr>
            <w:tcW w:w="42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消息设置：需支持设置不同消息类型和不同消息渠道下对应发送的消息模版。</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r>
        <w:tblPrEx>
          <w:tblCellMar>
            <w:top w:w="0" w:type="dxa"/>
            <w:left w:w="108" w:type="dxa"/>
            <w:bottom w:w="0" w:type="dxa"/>
            <w:right w:w="108" w:type="dxa"/>
          </w:tblCellMar>
        </w:tblPrEx>
        <w:trPr>
          <w:trHeight w:val="270" w:hRule="atLeast"/>
          <w:jc w:val="center"/>
        </w:trPr>
        <w:tc>
          <w:tcPr>
            <w:tcW w:w="265"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78</w:t>
            </w:r>
          </w:p>
        </w:tc>
        <w:tc>
          <w:tcPr>
            <w:tcW w:w="42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05"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消息发送记录：消息发送成功后，需支持所有记录集合。</w:t>
            </w:r>
          </w:p>
        </w:tc>
        <w:tc>
          <w:tcPr>
            <w:tcW w:w="846"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　</w:t>
            </w:r>
          </w:p>
        </w:tc>
      </w:tr>
    </w:tbl>
    <w:p>
      <w:pPr>
        <w:keepNext/>
        <w:keepLines/>
        <w:numPr>
          <w:ilvl w:val="1"/>
          <w:numId w:val="0"/>
        </w:numPr>
        <w:snapToGrid w:val="0"/>
        <w:spacing w:line="360" w:lineRule="auto"/>
        <w:outlineLvl w:val="1"/>
        <w:rPr>
          <w:rFonts w:ascii="宋体" w:hAnsi="宋体" w:cs="Times New Roman"/>
          <w:b/>
          <w:bCs/>
          <w:color w:val="auto"/>
          <w:kern w:val="0"/>
          <w:szCs w:val="21"/>
          <w:highlight w:val="none"/>
          <w:lang w:val="zh-CN"/>
        </w:rPr>
      </w:pPr>
      <w:bookmarkStart w:id="97" w:name="_Toc3887"/>
      <w:r>
        <w:rPr>
          <w:rFonts w:hint="eastAsia" w:ascii="宋体" w:hAnsi="宋体" w:cs="Times New Roman"/>
          <w:b/>
          <w:bCs/>
          <w:color w:val="auto"/>
          <w:kern w:val="0"/>
          <w:szCs w:val="21"/>
          <w:highlight w:val="none"/>
          <w:lang w:val="zh-CN"/>
        </w:rPr>
        <w:t>5.1</w:t>
      </w:r>
      <w:bookmarkEnd w:id="97"/>
      <w:bookmarkStart w:id="98" w:name="_Toc4394"/>
      <w:r>
        <w:rPr>
          <w:rFonts w:hint="eastAsia" w:ascii="宋体" w:hAnsi="宋体" w:cs="Times New Roman"/>
          <w:b/>
          <w:bCs/>
          <w:color w:val="auto"/>
          <w:kern w:val="0"/>
          <w:szCs w:val="21"/>
          <w:highlight w:val="none"/>
          <w:lang w:val="zh-CN"/>
        </w:rPr>
        <w:t>5数字CA认证签名系统</w:t>
      </w:r>
      <w:bookmarkEnd w:id="98"/>
    </w:p>
    <w:tbl>
      <w:tblPr>
        <w:tblStyle w:val="18"/>
        <w:tblW w:w="5382" w:type="pct"/>
        <w:jc w:val="center"/>
        <w:tblLayout w:type="autofit"/>
        <w:tblCellMar>
          <w:top w:w="0" w:type="dxa"/>
          <w:left w:w="108" w:type="dxa"/>
          <w:bottom w:w="0" w:type="dxa"/>
          <w:right w:w="108" w:type="dxa"/>
        </w:tblCellMar>
      </w:tblPr>
      <w:tblGrid>
        <w:gridCol w:w="484"/>
        <w:gridCol w:w="775"/>
        <w:gridCol w:w="1032"/>
        <w:gridCol w:w="5418"/>
        <w:gridCol w:w="1471"/>
      </w:tblGrid>
      <w:tr>
        <w:tblPrEx>
          <w:tblCellMar>
            <w:top w:w="0" w:type="dxa"/>
            <w:left w:w="108" w:type="dxa"/>
            <w:bottom w:w="0" w:type="dxa"/>
            <w:right w:w="108" w:type="dxa"/>
          </w:tblCellMar>
        </w:tblPrEx>
        <w:trPr>
          <w:trHeight w:val="510" w:hRule="atLeast"/>
          <w:tblHeader/>
          <w:jc w:val="center"/>
        </w:trPr>
        <w:tc>
          <w:tcPr>
            <w:tcW w:w="264" w:type="pct"/>
            <w:tcBorders>
              <w:top w:val="single" w:color="auto" w:sz="4" w:space="0"/>
              <w:left w:val="single" w:color="auto" w:sz="4" w:space="0"/>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bookmarkStart w:id="99" w:name="_Hlk109652048"/>
            <w:r>
              <w:rPr>
                <w:rFonts w:hint="eastAsia" w:ascii="宋体" w:hAnsi="宋体" w:cs="宋体"/>
                <w:b/>
                <w:bCs/>
                <w:color w:val="auto"/>
                <w:kern w:val="0"/>
                <w:sz w:val="24"/>
                <w:szCs w:val="21"/>
                <w:highlight w:val="none"/>
              </w:rPr>
              <w:t>序号</w:t>
            </w:r>
          </w:p>
        </w:tc>
        <w:tc>
          <w:tcPr>
            <w:tcW w:w="984" w:type="pct"/>
            <w:gridSpan w:val="2"/>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系统功能模块</w:t>
            </w:r>
          </w:p>
        </w:tc>
        <w:tc>
          <w:tcPr>
            <w:tcW w:w="295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详细技术要求</w:t>
            </w:r>
          </w:p>
        </w:tc>
        <w:tc>
          <w:tcPr>
            <w:tcW w:w="801" w:type="pct"/>
            <w:tcBorders>
              <w:top w:val="single" w:color="auto" w:sz="4" w:space="0"/>
              <w:left w:val="nil"/>
              <w:bottom w:val="single" w:color="auto" w:sz="4" w:space="0"/>
              <w:right w:val="single" w:color="auto" w:sz="4" w:space="0"/>
            </w:tcBorders>
            <w:shd w:val="clear" w:color="000000"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42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数字签名验签服务</w:t>
            </w: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数字签名验签服务模块提供数字签名/验签服务，保障关键操作和数据在交互过程中的信息完整性、不可否认性和事后可追溯性。医护人员C</w:t>
            </w:r>
            <w:r>
              <w:rPr>
                <w:rFonts w:ascii="宋体" w:hAnsi="宋体" w:cs="宋体"/>
                <w:color w:val="auto"/>
                <w:kern w:val="0"/>
                <w:sz w:val="24"/>
                <w:szCs w:val="21"/>
                <w:highlight w:val="none"/>
              </w:rPr>
              <w:t>A</w:t>
            </w:r>
            <w:r>
              <w:rPr>
                <w:rFonts w:hint="eastAsia" w:ascii="宋体" w:hAnsi="宋体" w:cs="宋体"/>
                <w:color w:val="auto"/>
                <w:kern w:val="0"/>
                <w:sz w:val="24"/>
                <w:szCs w:val="21"/>
                <w:highlight w:val="none"/>
              </w:rPr>
              <w:t>认证支持生物识别（刷脸、指纹等）等方式。患者数字签名支持刷身份证+电子签名板、采集人脸+电子签名板等方式。</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数据签名功能</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提供pkcs1/Pkcs7attach/Pkcs7detach/xmlSign等多种格式的数字签名功能，提供对文件数字签名和验证功能，支持对文件进行MD2、MD5、SHA-1、SHA-256等方式的数字摘要签名。</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签名验证功能</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提供pkcs1/Pkcs7attach/Pkcs7detach/xmlSign等格式的数字签名验证功能。</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证书有效性效验功能</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对获得的证书进行CRL/OCSP方式的有效性验证，CRL更新配置可自动定时进行，并支持对X.509Version3，X.500，PKCS系列证书的DER和PEM格式的应用与验证。</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5</w:t>
            </w:r>
          </w:p>
        </w:tc>
        <w:tc>
          <w:tcPr>
            <w:tcW w:w="422" w:type="pct"/>
            <w:vMerge w:val="restart"/>
            <w:tcBorders>
              <w:top w:val="nil"/>
              <w:left w:val="single" w:color="auto" w:sz="4" w:space="0"/>
              <w:bottom w:val="single" w:color="000000"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时间戳服务</w:t>
            </w: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总体要求</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时间戳服务模块基于国家标准权威时间源为用户、信息系统提供时间戳的签发和验证功能，提供信息和操作的时效性的权威证明，提供时间抗抵赖服务。</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7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6</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标准时间服务</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提供标准时间源功能，为网络或系统提供权威标准时间服务。</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7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7</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时间戳申请</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申请时间戳文件格式可以支持消息格式或文件形式。</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8</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时间戳签发</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时间戳服务根据应用系统的时间戳签发请求生成时间戳，并将时间戳发送给应用系统。</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9</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时间戳验证</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通过时间戳服务证书验证用户给定的时间戳是否该时间戳服务模块签发；通过时间戳和源文件验证该时间戳是否该文件时间戳。从而验证盖戳数据是否被篡改、时间戳文件是否被篡改。</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10</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时间戳解析</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通过时间戳数据或时间戳文件中获取时间戳加盖时间、时间戳加盖主体等权威信息。</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11</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时间戳保存和备份</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时间戳服务保存该服务器上产生的所有时间戳。</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7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12</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时间戳查询</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时间戳服务为用户提供时间戳检索查询。</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13</w:t>
            </w:r>
          </w:p>
        </w:tc>
        <w:tc>
          <w:tcPr>
            <w:tcW w:w="422" w:type="pct"/>
            <w:vMerge w:val="continue"/>
            <w:tcBorders>
              <w:top w:val="nil"/>
              <w:left w:val="single" w:color="auto" w:sz="4" w:space="0"/>
              <w:bottom w:val="single" w:color="000000"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562"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时间戳删除和销毁</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提供一定条件下的时间戳删除和销毁功能。</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102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14</w:t>
            </w:r>
          </w:p>
        </w:tc>
        <w:tc>
          <w:tcPr>
            <w:tcW w:w="984"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密码运算服务</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密码运算服务需要为用户和业务系统提供摘要运算、随机序列生成、对称加解密、非对称加解密、加解密数字信封、base64编解码操作等数据加解密功能。支持算法有RSA、3DES、DES、AES、MD2、MD5、SHA1、SHA256等，支持私钥管理、私钥加密/解密、PCKS#1签名等功能，并能支持国密最新算法。</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1785"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15</w:t>
            </w:r>
          </w:p>
        </w:tc>
        <w:tc>
          <w:tcPr>
            <w:tcW w:w="984"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身份认证服务</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身份认证服务需要为用户和业务系统需提供基于数字证书的强安全身份真实性认证服务。该身份认证服务基于数字证书和数字签名技术，通过CA根证书和证书链验证客户端证书签发者可信域、CRL验证客户端证书状态有效性、OCSP服务器验证客户端证书实时有效性，从而验证客户端数字签名真实、有效，从而确保接入身份的真实性，身份认证对象包含用户身份认证、服务器身份认证。支持有医疗信息交换与共享相关的医疗机构之间的电子病历中的电子签名可互认。</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102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16</w:t>
            </w:r>
          </w:p>
        </w:tc>
        <w:tc>
          <w:tcPr>
            <w:tcW w:w="984" w:type="pct"/>
            <w:gridSpan w:val="2"/>
            <w:tcBorders>
              <w:top w:val="single" w:color="auto" w:sz="4" w:space="0"/>
              <w:left w:val="nil"/>
              <w:bottom w:val="single" w:color="auto"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电子签名接口</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s="宋体"/>
                <w:color w:val="auto"/>
                <w:kern w:val="0"/>
                <w:sz w:val="24"/>
                <w:szCs w:val="21"/>
                <w:highlight w:val="none"/>
              </w:rPr>
              <w:t>需支持用户CA登录；门诊电子申请单、门诊病历支持电子签名；住院医嘱、住院电子申请单、住院病历支持电子签名；护理医嘱执行、护理病历支持电子签名；门诊发药、住房发药支持电子签名；检查报告、检验报告、不良事件上报、患者告知同意等各类医疗文书支持电子签名。</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ascii="宋体" w:hAnsi="宋体" w:cs="宋体"/>
                <w:color w:val="auto"/>
                <w:kern w:val="0"/>
                <w:sz w:val="24"/>
                <w:szCs w:val="21"/>
                <w:highlight w:val="none"/>
              </w:rPr>
              <w:t>17</w:t>
            </w:r>
          </w:p>
        </w:tc>
        <w:tc>
          <w:tcPr>
            <w:tcW w:w="984" w:type="pct"/>
            <w:gridSpan w:val="2"/>
            <w:vMerge w:val="restart"/>
            <w:tcBorders>
              <w:top w:val="single" w:color="auto" w:sz="4" w:space="0"/>
              <w:left w:val="single" w:color="auto" w:sz="4" w:space="0"/>
              <w:bottom w:val="single" w:color="000000" w:sz="4" w:space="0"/>
              <w:right w:val="single" w:color="000000"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需支持接口封装</w:t>
            </w: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需支持对已签名数据的验证，对已签名过的各类医疗记录通过验证接口进行比对，提供防篡改和抗抵赖支持。</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r>
              <w:rPr>
                <w:rFonts w:ascii="宋体" w:hAnsi="宋体" w:cs="宋体"/>
                <w:color w:val="auto"/>
                <w:kern w:val="0"/>
                <w:sz w:val="24"/>
                <w:szCs w:val="21"/>
                <w:highlight w:val="none"/>
              </w:rPr>
              <w:t>8</w:t>
            </w:r>
          </w:p>
        </w:tc>
        <w:tc>
          <w:tcPr>
            <w:tcW w:w="984" w:type="pct"/>
            <w:gridSpan w:val="2"/>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需支持签名操作查询。支持按照时间段查询签名的各类动作，提交时间，提交状态，签名时间、签名人。支持对原签名文件的查看，可以查看签名后的文件，并对签章进行验证。</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7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r>
              <w:rPr>
                <w:rFonts w:ascii="宋体" w:hAnsi="宋体" w:cs="宋体"/>
                <w:color w:val="auto"/>
                <w:kern w:val="0"/>
                <w:sz w:val="24"/>
                <w:szCs w:val="21"/>
                <w:highlight w:val="none"/>
              </w:rPr>
              <w:t>9</w:t>
            </w:r>
          </w:p>
        </w:tc>
        <w:tc>
          <w:tcPr>
            <w:tcW w:w="984" w:type="pct"/>
            <w:gridSpan w:val="2"/>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需支持跟踪追溯签名使用情况，进行签名动作分析。</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r>
              <w:rPr>
                <w:rFonts w:ascii="宋体" w:hAnsi="宋体" w:cs="宋体"/>
                <w:color w:val="auto"/>
                <w:kern w:val="0"/>
                <w:sz w:val="24"/>
                <w:szCs w:val="21"/>
                <w:highlight w:val="none"/>
              </w:rPr>
              <w:t>0</w:t>
            </w:r>
          </w:p>
        </w:tc>
        <w:tc>
          <w:tcPr>
            <w:tcW w:w="984" w:type="pct"/>
            <w:gridSpan w:val="2"/>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ascii="宋体" w:hAnsi="宋体" w:cs="宋体"/>
                <w:color w:val="auto"/>
                <w:kern w:val="0"/>
                <w:sz w:val="24"/>
                <w:szCs w:val="21"/>
                <w:highlight w:val="none"/>
              </w:rPr>
              <w:t>身份认证接口封装支持将CA公司提供的接口封装给业务系统调用，用于验证</w:t>
            </w:r>
            <w:r>
              <w:rPr>
                <w:rFonts w:hint="eastAsia" w:ascii="宋体" w:hAnsi="宋体" w:cs="宋体"/>
                <w:color w:val="auto"/>
                <w:kern w:val="0"/>
                <w:sz w:val="24"/>
                <w:szCs w:val="21"/>
                <w:highlight w:val="none"/>
              </w:rPr>
              <w:t>数字证书</w:t>
            </w:r>
            <w:r>
              <w:rPr>
                <w:rFonts w:ascii="宋体" w:hAnsi="宋体" w:cs="宋体"/>
                <w:color w:val="auto"/>
                <w:kern w:val="0"/>
                <w:sz w:val="24"/>
                <w:szCs w:val="21"/>
                <w:highlight w:val="none"/>
              </w:rPr>
              <w:t>，识别患者标志。</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r>
              <w:rPr>
                <w:rFonts w:ascii="宋体" w:hAnsi="宋体" w:cs="宋体"/>
                <w:color w:val="auto"/>
                <w:kern w:val="0"/>
                <w:sz w:val="24"/>
                <w:szCs w:val="21"/>
                <w:highlight w:val="none"/>
              </w:rPr>
              <w:t>1</w:t>
            </w:r>
          </w:p>
        </w:tc>
        <w:tc>
          <w:tcPr>
            <w:tcW w:w="984" w:type="pct"/>
            <w:gridSpan w:val="2"/>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数字签名接口封装，支持将CA公司提供的接口封装给业务系统调用，用于实现诊疗数据签名认证。</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r>
              <w:rPr>
                <w:rFonts w:ascii="宋体" w:hAnsi="宋体" w:cs="宋体"/>
                <w:color w:val="auto"/>
                <w:kern w:val="0"/>
                <w:sz w:val="24"/>
                <w:szCs w:val="21"/>
                <w:highlight w:val="none"/>
              </w:rPr>
              <w:t>2</w:t>
            </w:r>
          </w:p>
        </w:tc>
        <w:tc>
          <w:tcPr>
            <w:tcW w:w="984" w:type="pct"/>
            <w:gridSpan w:val="2"/>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时间戳接口封装。支持将CA公司提供的接口封装给业务系统调用，用于实现数据加签时间戳认证。</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264"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r>
              <w:rPr>
                <w:rFonts w:ascii="宋体" w:hAnsi="宋体" w:cs="宋体"/>
                <w:color w:val="auto"/>
                <w:kern w:val="0"/>
                <w:sz w:val="24"/>
                <w:szCs w:val="21"/>
                <w:highlight w:val="none"/>
              </w:rPr>
              <w:t>3</w:t>
            </w:r>
          </w:p>
        </w:tc>
        <w:tc>
          <w:tcPr>
            <w:tcW w:w="984" w:type="pct"/>
            <w:gridSpan w:val="2"/>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295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数字印章接口封装。支持将CA公司提供的接口封装给业务系统调用，用于实现PDF文档数字印章认证。</w:t>
            </w:r>
          </w:p>
        </w:tc>
        <w:tc>
          <w:tcPr>
            <w:tcW w:w="801"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r>
      <w:bookmarkEnd w:id="99"/>
    </w:tbl>
    <w:p>
      <w:pPr>
        <w:rPr>
          <w:color w:val="auto"/>
          <w:highlight w:val="none"/>
        </w:rPr>
      </w:pPr>
    </w:p>
    <w:p>
      <w:pPr>
        <w:keepNext/>
        <w:keepLines/>
        <w:adjustRightInd w:val="0"/>
        <w:snapToGrid w:val="0"/>
        <w:spacing w:line="360" w:lineRule="auto"/>
        <w:ind w:firstLine="289"/>
        <w:jc w:val="left"/>
        <w:outlineLvl w:val="0"/>
        <w:rPr>
          <w:rFonts w:ascii="宋体" w:hAnsi="宋体" w:cs="Times New Roman"/>
          <w:b/>
          <w:bCs/>
          <w:color w:val="auto"/>
          <w:kern w:val="44"/>
          <w:szCs w:val="21"/>
          <w:highlight w:val="none"/>
          <w:lang w:val="zh-CN"/>
        </w:rPr>
      </w:pPr>
      <w:bookmarkStart w:id="100" w:name="_Toc20874"/>
      <w:bookmarkStart w:id="101" w:name="_Toc111025236"/>
      <w:r>
        <w:rPr>
          <w:rFonts w:ascii="宋体" w:hAnsi="宋体" w:cs="Times New Roman"/>
          <w:b/>
          <w:bCs/>
          <w:color w:val="auto"/>
          <w:kern w:val="44"/>
          <w:szCs w:val="21"/>
          <w:highlight w:val="none"/>
          <w:lang w:val="zh-CN"/>
        </w:rPr>
        <w:t>6</w:t>
      </w:r>
      <w:r>
        <w:rPr>
          <w:rFonts w:hint="eastAsia" w:ascii="宋体" w:hAnsi="宋体" w:cs="Times New Roman"/>
          <w:b/>
          <w:bCs/>
          <w:color w:val="auto"/>
          <w:kern w:val="44"/>
          <w:szCs w:val="21"/>
          <w:highlight w:val="none"/>
          <w:lang w:val="zh-CN"/>
        </w:rPr>
        <w:t>.技术条款及其他相关要求</w:t>
      </w:r>
      <w:bookmarkEnd w:id="100"/>
      <w:bookmarkEnd w:id="101"/>
    </w:p>
    <w:p>
      <w:pPr>
        <w:snapToGrid w:val="0"/>
        <w:spacing w:line="360" w:lineRule="auto"/>
        <w:ind w:firstLine="420"/>
        <w:rPr>
          <w:rFonts w:ascii="宋体" w:hAnsi="宋体" w:cs="Times New Roman"/>
          <w:b/>
          <w:bCs/>
          <w:color w:val="auto"/>
          <w:sz w:val="24"/>
          <w:szCs w:val="21"/>
          <w:highlight w:val="none"/>
        </w:rPr>
      </w:pPr>
      <w:r>
        <w:rPr>
          <w:rFonts w:hint="eastAsia" w:ascii="宋体" w:hAnsi="宋体" w:cs="Times New Roman"/>
          <w:color w:val="auto"/>
          <w:sz w:val="24"/>
          <w:szCs w:val="21"/>
          <w:highlight w:val="none"/>
        </w:rPr>
        <w:t>（标“★”为核心条款，有一条不满足即可废标）</w:t>
      </w:r>
    </w:p>
    <w:tbl>
      <w:tblPr>
        <w:tblStyle w:val="18"/>
        <w:tblW w:w="5470" w:type="pct"/>
        <w:jc w:val="center"/>
        <w:tblLayout w:type="autofit"/>
        <w:tblCellMar>
          <w:top w:w="0" w:type="dxa"/>
          <w:left w:w="108" w:type="dxa"/>
          <w:bottom w:w="0" w:type="dxa"/>
          <w:right w:w="108" w:type="dxa"/>
        </w:tblCellMar>
      </w:tblPr>
      <w:tblGrid>
        <w:gridCol w:w="1327"/>
        <w:gridCol w:w="6510"/>
        <w:gridCol w:w="1493"/>
      </w:tblGrid>
      <w:tr>
        <w:tblPrEx>
          <w:tblCellMar>
            <w:top w:w="0" w:type="dxa"/>
            <w:left w:w="108" w:type="dxa"/>
            <w:bottom w:w="0" w:type="dxa"/>
            <w:right w:w="108" w:type="dxa"/>
          </w:tblCellMar>
        </w:tblPrEx>
        <w:trPr>
          <w:trHeight w:val="525" w:hRule="atLeast"/>
          <w:tblHeader/>
          <w:jc w:val="center"/>
        </w:trPr>
        <w:tc>
          <w:tcPr>
            <w:tcW w:w="711" w:type="pct"/>
            <w:tcBorders>
              <w:top w:val="single" w:color="auto" w:sz="4" w:space="0"/>
              <w:left w:val="single" w:color="auto" w:sz="4" w:space="0"/>
              <w:bottom w:val="single" w:color="auto" w:sz="4" w:space="0"/>
              <w:right w:val="single" w:color="auto" w:sz="4" w:space="0"/>
            </w:tcBorders>
            <w:shd w:val="clear" w:color="auto"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序号</w:t>
            </w:r>
          </w:p>
        </w:tc>
        <w:tc>
          <w:tcPr>
            <w:tcW w:w="3489" w:type="pct"/>
            <w:tcBorders>
              <w:top w:val="single" w:color="auto" w:sz="4" w:space="0"/>
              <w:left w:val="nil"/>
              <w:bottom w:val="single" w:color="auto" w:sz="4" w:space="0"/>
              <w:right w:val="single" w:color="auto" w:sz="4" w:space="0"/>
            </w:tcBorders>
            <w:shd w:val="clear" w:color="auto" w:fill="F2F2F2"/>
            <w:vAlign w:val="center"/>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技术条款及其它要求</w:t>
            </w:r>
          </w:p>
        </w:tc>
        <w:tc>
          <w:tcPr>
            <w:tcW w:w="800" w:type="pct"/>
            <w:tcBorders>
              <w:top w:val="single" w:color="auto" w:sz="4" w:space="0"/>
              <w:left w:val="nil"/>
              <w:bottom w:val="single" w:color="auto" w:sz="4" w:space="0"/>
              <w:right w:val="single" w:color="auto" w:sz="4" w:space="0"/>
            </w:tcBorders>
            <w:shd w:val="clear" w:color="auto" w:fill="F2F2F2"/>
          </w:tcPr>
          <w:p>
            <w:pPr>
              <w:snapToGrid w:val="0"/>
              <w:spacing w:line="360" w:lineRule="auto"/>
              <w:jc w:val="center"/>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投标人对照响应</w:t>
            </w:r>
          </w:p>
        </w:tc>
      </w:tr>
      <w:tr>
        <w:tblPrEx>
          <w:tblCellMar>
            <w:top w:w="0" w:type="dxa"/>
            <w:left w:w="108" w:type="dxa"/>
            <w:bottom w:w="0" w:type="dxa"/>
            <w:right w:w="108" w:type="dxa"/>
          </w:tblCellMar>
        </w:tblPrEx>
        <w:trPr>
          <w:trHeight w:val="70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总体要求：</w:t>
            </w:r>
          </w:p>
          <w:p>
            <w:pPr>
              <w:snapToGrid w:val="0"/>
              <w:spacing w:line="360" w:lineRule="auto"/>
              <w:rPr>
                <w:rFonts w:ascii="宋体" w:hAnsi="宋体" w:cs="宋体"/>
                <w:color w:val="auto"/>
                <w:sz w:val="24"/>
                <w:szCs w:val="21"/>
                <w:highlight w:val="none"/>
                <w:lang w:bidi="ar"/>
              </w:rPr>
            </w:pPr>
            <w:r>
              <w:rPr>
                <w:rFonts w:hint="eastAsia" w:ascii="宋体" w:hAnsi="宋体" w:cs="宋体"/>
                <w:color w:val="auto"/>
                <w:sz w:val="24"/>
                <w:szCs w:val="21"/>
                <w:highlight w:val="none"/>
                <w:lang w:bidi="ar"/>
              </w:rPr>
              <w:t>本次项目要求所有业务软件系统必须支持：</w:t>
            </w:r>
          </w:p>
          <w:p>
            <w:pPr>
              <w:snapToGrid w:val="0"/>
              <w:spacing w:line="360" w:lineRule="auto"/>
              <w:rPr>
                <w:rFonts w:ascii="宋体" w:hAnsi="宋体" w:cs="宋体"/>
                <w:color w:val="auto"/>
                <w:sz w:val="24"/>
                <w:szCs w:val="21"/>
                <w:highlight w:val="none"/>
                <w:lang w:bidi="ar"/>
              </w:rPr>
            </w:pPr>
            <w:r>
              <w:rPr>
                <w:rFonts w:ascii="宋体" w:hAnsi="宋体" w:cs="宋体"/>
                <w:color w:val="auto"/>
                <w:sz w:val="24"/>
                <w:szCs w:val="21"/>
                <w:highlight w:val="none"/>
                <w:lang w:bidi="ar"/>
              </w:rPr>
              <w:t>1.要求采用云计算技术，软件</w:t>
            </w:r>
            <w:r>
              <w:rPr>
                <w:rFonts w:hint="eastAsia" w:ascii="宋体" w:hAnsi="宋体" w:cs="宋体"/>
                <w:color w:val="auto"/>
                <w:sz w:val="24"/>
                <w:szCs w:val="21"/>
                <w:highlight w:val="none"/>
                <w:lang w:bidi="ar"/>
              </w:rPr>
              <w:t>架构不能是客户机/服务器两层</w:t>
            </w:r>
            <w:r>
              <w:rPr>
                <w:rFonts w:ascii="宋体" w:hAnsi="宋体" w:cs="宋体"/>
                <w:color w:val="auto"/>
                <w:sz w:val="24"/>
                <w:szCs w:val="21"/>
                <w:highlight w:val="none"/>
                <w:lang w:bidi="ar"/>
              </w:rPr>
              <w:t>架构</w:t>
            </w:r>
            <w:r>
              <w:rPr>
                <w:rFonts w:hint="eastAsia" w:ascii="宋体" w:hAnsi="宋体" w:cs="宋体"/>
                <w:color w:val="auto"/>
                <w:sz w:val="24"/>
                <w:szCs w:val="21"/>
                <w:highlight w:val="none"/>
                <w:lang w:bidi="ar"/>
              </w:rPr>
              <w:t>（</w:t>
            </w:r>
            <w:r>
              <w:rPr>
                <w:rFonts w:ascii="宋体" w:hAnsi="宋体" w:cs="宋体"/>
                <w:color w:val="auto"/>
                <w:sz w:val="24"/>
                <w:szCs w:val="21"/>
                <w:highlight w:val="none"/>
                <w:lang w:bidi="ar"/>
              </w:rPr>
              <w:t>C/S</w:t>
            </w:r>
            <w:r>
              <w:rPr>
                <w:rFonts w:hint="eastAsia" w:ascii="宋体" w:hAnsi="宋体" w:cs="宋体"/>
                <w:color w:val="auto"/>
                <w:sz w:val="24"/>
                <w:szCs w:val="21"/>
                <w:highlight w:val="none"/>
                <w:lang w:bidi="ar"/>
              </w:rPr>
              <w:t>）</w:t>
            </w:r>
            <w:r>
              <w:rPr>
                <w:rFonts w:ascii="宋体" w:hAnsi="宋体" w:cs="宋体"/>
                <w:color w:val="auto"/>
                <w:sz w:val="24"/>
                <w:szCs w:val="21"/>
                <w:highlight w:val="none"/>
                <w:lang w:bidi="ar"/>
              </w:rPr>
              <w:t>，</w:t>
            </w:r>
            <w:r>
              <w:rPr>
                <w:rFonts w:hint="eastAsia" w:ascii="宋体" w:hAnsi="宋体" w:cs="宋体"/>
                <w:color w:val="auto"/>
                <w:sz w:val="24"/>
                <w:szCs w:val="21"/>
                <w:highlight w:val="none"/>
                <w:lang w:bidi="ar"/>
              </w:rPr>
              <w:t>必须是支持公有</w:t>
            </w:r>
            <w:r>
              <w:rPr>
                <w:rFonts w:ascii="宋体" w:hAnsi="宋体" w:cs="宋体"/>
                <w:color w:val="auto"/>
                <w:sz w:val="24"/>
                <w:szCs w:val="21"/>
                <w:highlight w:val="none"/>
                <w:lang w:bidi="ar"/>
              </w:rPr>
              <w:t>“云”化部署</w:t>
            </w:r>
            <w:r>
              <w:rPr>
                <w:rFonts w:hint="eastAsia" w:ascii="宋体" w:hAnsi="宋体" w:cs="宋体"/>
                <w:color w:val="auto"/>
                <w:sz w:val="24"/>
                <w:szCs w:val="21"/>
                <w:highlight w:val="none"/>
                <w:lang w:bidi="ar"/>
              </w:rPr>
              <w:t>的多层架构</w:t>
            </w:r>
            <w:r>
              <w:rPr>
                <w:rFonts w:ascii="宋体" w:hAnsi="宋体" w:cs="宋体"/>
                <w:color w:val="auto"/>
                <w:sz w:val="24"/>
                <w:szCs w:val="21"/>
                <w:highlight w:val="none"/>
                <w:lang w:bidi="ar"/>
              </w:rPr>
              <w:t>；</w:t>
            </w:r>
          </w:p>
          <w:p>
            <w:pPr>
              <w:snapToGrid w:val="0"/>
              <w:spacing w:line="360" w:lineRule="auto"/>
              <w:rPr>
                <w:rFonts w:ascii="宋体" w:hAnsi="宋体" w:cs="宋体"/>
                <w:color w:val="auto"/>
                <w:sz w:val="24"/>
                <w:szCs w:val="21"/>
                <w:highlight w:val="none"/>
                <w:lang w:bidi="ar"/>
              </w:rPr>
            </w:pPr>
            <w:r>
              <w:rPr>
                <w:rFonts w:ascii="宋体" w:hAnsi="宋体" w:cs="宋体"/>
                <w:color w:val="auto"/>
                <w:sz w:val="24"/>
                <w:szCs w:val="21"/>
                <w:highlight w:val="none"/>
                <w:lang w:bidi="ar"/>
              </w:rPr>
              <w:t>2.支持同“云”端部署一套系统供多家医院使用，并且支持一家医院不同院区不同医院等级（不同收费标准）；</w:t>
            </w:r>
          </w:p>
          <w:p>
            <w:pPr>
              <w:snapToGrid w:val="0"/>
              <w:spacing w:line="360" w:lineRule="auto"/>
              <w:rPr>
                <w:rFonts w:ascii="宋体" w:hAnsi="宋体" w:cs="宋体"/>
                <w:b/>
                <w:bCs/>
                <w:color w:val="auto"/>
                <w:kern w:val="0"/>
                <w:sz w:val="24"/>
                <w:szCs w:val="21"/>
                <w:highlight w:val="none"/>
              </w:rPr>
            </w:pPr>
            <w:r>
              <w:rPr>
                <w:rFonts w:ascii="宋体" w:hAnsi="宋体" w:cs="宋体"/>
                <w:color w:val="auto"/>
                <w:sz w:val="24"/>
                <w:szCs w:val="21"/>
                <w:highlight w:val="none"/>
                <w:lang w:bidi="ar"/>
              </w:rPr>
              <w:t>3.“云”端只能有一个数据中心（如：一个HIS、EMR、集成平台、LIS、PACS等业务系统数据库支持多家医院各相应业务系统应用）。</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711" w:type="pct"/>
            <w:vMerge w:val="restart"/>
            <w:tcBorders>
              <w:top w:val="nil"/>
              <w:left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1.1</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等线" w:hAnsi="等线" w:cs="Times New Roman"/>
                <w:color w:val="auto"/>
                <w:sz w:val="24"/>
                <w:highlight w:val="none"/>
              </w:rPr>
              <w:t>▲</w:t>
            </w:r>
            <w:r>
              <w:rPr>
                <w:rFonts w:hint="eastAsia" w:ascii="宋体" w:hAnsi="宋体" w:cs="宋体"/>
                <w:color w:val="auto"/>
                <w:sz w:val="24"/>
                <w:szCs w:val="21"/>
                <w:highlight w:val="none"/>
                <w:lang w:bidi="ar"/>
              </w:rPr>
              <w:t>本项目覆盖医疗机构多，业务涉及面广，投标人自主研发的医疗卫生信息软件产品性能至少满足5000及以上并发量时，事务处理成功率100%的性能要求，需提供国家级权威测评机构出具的符合要求的性能测试报告复印件并加盖投标供应商公章。</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711" w:type="pct"/>
            <w:vMerge w:val="continue"/>
            <w:tcBorders>
              <w:left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sz w:val="24"/>
                <w:szCs w:val="21"/>
                <w:highlight w:val="none"/>
                <w:lang w:bidi="ar"/>
              </w:rPr>
              <w:t>本项目不统一组织现场踏勘，由投标人自行踏勘，中标后，供应商不得以不完全了解施工现场和软硬件系统及周围环境情况为借口，提出额外补偿的要求。如供应商需踏勘现场，要求提前电话预约到场时间，地点：新疆生产建设兵团医院，采购人联系电话：</w:t>
            </w:r>
            <w:r>
              <w:rPr>
                <w:rFonts w:ascii="宋体" w:hAnsi="宋体" w:cs="宋体"/>
                <w:color w:val="auto"/>
                <w:sz w:val="24"/>
                <w:szCs w:val="21"/>
                <w:highlight w:val="none"/>
                <w:lang w:bidi="ar"/>
              </w:rPr>
              <w:t>0991-7580597</w:t>
            </w:r>
            <w:r>
              <w:rPr>
                <w:rFonts w:hint="eastAsia" w:ascii="宋体" w:hAnsi="宋体" w:cs="宋体"/>
                <w:color w:val="auto"/>
                <w:sz w:val="24"/>
                <w:szCs w:val="21"/>
                <w:highlight w:val="none"/>
                <w:lang w:bidi="ar"/>
              </w:rPr>
              <w:t>、1</w:t>
            </w:r>
            <w:r>
              <w:rPr>
                <w:rFonts w:ascii="宋体" w:hAnsi="宋体" w:cs="宋体"/>
                <w:color w:val="auto"/>
                <w:sz w:val="24"/>
                <w:szCs w:val="21"/>
                <w:highlight w:val="none"/>
                <w:lang w:bidi="ar"/>
              </w:rPr>
              <w:t>3579939238</w:t>
            </w:r>
            <w:r>
              <w:rPr>
                <w:rFonts w:hint="eastAsia" w:ascii="宋体" w:hAnsi="宋体" w:cs="宋体"/>
                <w:color w:val="auto"/>
                <w:sz w:val="24"/>
                <w:szCs w:val="21"/>
                <w:highlight w:val="none"/>
                <w:lang w:bidi="ar"/>
              </w:rPr>
              <w:t>）</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711" w:type="pct"/>
            <w:vMerge w:val="continue"/>
            <w:tcBorders>
              <w:left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w:t>
            </w:r>
            <w:r>
              <w:rPr>
                <w:rFonts w:hint="eastAsia" w:ascii="宋体" w:hAnsi="宋体" w:cs="宋体"/>
                <w:b/>
                <w:bCs/>
                <w:color w:val="auto"/>
                <w:kern w:val="0"/>
                <w:sz w:val="24"/>
                <w:szCs w:val="21"/>
                <w:highlight w:val="none"/>
              </w:rPr>
              <w:t>项目实施工期要求：</w:t>
            </w:r>
            <w:r>
              <w:rPr>
                <w:rFonts w:hint="eastAsia" w:ascii="宋体" w:hAnsi="宋体" w:cs="宋体"/>
                <w:color w:val="auto"/>
                <w:kern w:val="0"/>
                <w:sz w:val="24"/>
                <w:szCs w:val="21"/>
                <w:highlight w:val="none"/>
              </w:rPr>
              <w:t>合同签定之日起6个月内。投标人须在合同签订后1周内提交项目整体实施方案。投标人承诺中标后严格按照采购人要求的进度完成兵团二、三级医院实施工作。</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189" w:hRule="atLeast"/>
          <w:jc w:val="center"/>
        </w:trPr>
        <w:tc>
          <w:tcPr>
            <w:tcW w:w="711"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color w:val="auto"/>
                <w:kern w:val="0"/>
                <w:sz w:val="24"/>
                <w:szCs w:val="21"/>
                <w:highlight w:val="none"/>
              </w:rPr>
              <w:t>★因非采购人方面的原因导致项目延期不能按时交付的，投标人须在3个工作日内向采购人书面提交延期原因说明和整改方案。采购人将视实际情况限期整改，若期限内仍未能完成项目交付，采购人有权单方面解除合同并将投标人纳入失信名单。</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0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w:t>
            </w:r>
            <w:r>
              <w:rPr>
                <w:rFonts w:ascii="宋体" w:hAnsi="宋体" w:cs="宋体"/>
                <w:color w:val="auto"/>
                <w:kern w:val="0"/>
                <w:sz w:val="24"/>
                <w:szCs w:val="21"/>
                <w:highlight w:val="none"/>
              </w:rPr>
              <w:t>1.2</w:t>
            </w:r>
          </w:p>
        </w:tc>
        <w:tc>
          <w:tcPr>
            <w:tcW w:w="3489" w:type="pct"/>
            <w:tcBorders>
              <w:top w:val="nil"/>
              <w:left w:val="nil"/>
              <w:bottom w:val="single" w:color="auto" w:sz="4" w:space="0"/>
              <w:right w:val="single" w:color="auto" w:sz="4" w:space="0"/>
            </w:tcBorders>
            <w:vAlign w:val="center"/>
          </w:tcPr>
          <w:p>
            <w:pPr>
              <w:snapToGrid w:val="0"/>
              <w:spacing w:line="360" w:lineRule="auto"/>
              <w:rPr>
                <w:color w:val="auto"/>
                <w:highlight w:val="none"/>
              </w:rPr>
            </w:pPr>
            <w:r>
              <w:rPr>
                <w:rFonts w:hint="eastAsia" w:ascii="宋体" w:hAnsi="宋体" w:cs="宋体"/>
                <w:b/>
                <w:bCs/>
                <w:color w:val="auto"/>
                <w:kern w:val="0"/>
                <w:sz w:val="24"/>
                <w:szCs w:val="21"/>
                <w:highlight w:val="none"/>
              </w:rPr>
              <w:t>验收及评审要求：</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vMerge w:val="restart"/>
            <w:tcBorders>
              <w:top w:val="nil"/>
              <w:left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w:t>
            </w:r>
            <w:r>
              <w:rPr>
                <w:rFonts w:ascii="宋体" w:hAnsi="宋体" w:cs="宋体"/>
                <w:color w:val="auto"/>
                <w:kern w:val="0"/>
                <w:sz w:val="24"/>
                <w:szCs w:val="21"/>
                <w:highlight w:val="none"/>
              </w:rPr>
              <w:t>1.2.1</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验收：</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系统在单家医院稳定运行后，投标人可向采购人书面提出验收申请，采购人通知医院组织</w:t>
            </w:r>
            <w:r>
              <w:rPr>
                <w:rFonts w:hint="eastAsia" w:ascii="宋体" w:hAnsi="宋体" w:cs="宋体"/>
                <w:color w:val="auto"/>
                <w:kern w:val="0"/>
                <w:sz w:val="24"/>
                <w:szCs w:val="21"/>
                <w:highlight w:val="none"/>
                <w:lang w:eastAsia="zh-Hans"/>
              </w:rPr>
              <w:t>系统运行效果评估</w:t>
            </w:r>
            <w:r>
              <w:rPr>
                <w:rFonts w:ascii="宋体" w:hAnsi="宋体" w:cs="宋体"/>
                <w:color w:val="auto"/>
                <w:kern w:val="0"/>
                <w:sz w:val="24"/>
                <w:szCs w:val="21"/>
                <w:highlight w:val="none"/>
                <w:lang w:eastAsia="zh-Hans"/>
              </w:rPr>
              <w:t>，</w:t>
            </w:r>
            <w:r>
              <w:rPr>
                <w:rFonts w:hint="eastAsia" w:ascii="宋体" w:hAnsi="宋体" w:cs="宋体"/>
                <w:color w:val="auto"/>
                <w:kern w:val="0"/>
                <w:sz w:val="24"/>
                <w:szCs w:val="21"/>
                <w:highlight w:val="none"/>
                <w:lang w:eastAsia="zh-Hans"/>
              </w:rPr>
              <w:t>医院签署</w:t>
            </w:r>
            <w:r>
              <w:rPr>
                <w:rFonts w:ascii="宋体" w:hAnsi="宋体" w:cs="宋体"/>
                <w:color w:val="auto"/>
                <w:kern w:val="0"/>
                <w:sz w:val="24"/>
                <w:szCs w:val="21"/>
                <w:highlight w:val="none"/>
                <w:lang w:eastAsia="zh-Hans"/>
              </w:rPr>
              <w:t>《</w:t>
            </w:r>
            <w:r>
              <w:rPr>
                <w:rFonts w:hint="eastAsia" w:ascii="宋体" w:hAnsi="宋体" w:cs="宋体"/>
                <w:color w:val="auto"/>
                <w:kern w:val="0"/>
                <w:sz w:val="24"/>
                <w:szCs w:val="21"/>
                <w:highlight w:val="none"/>
                <w:lang w:eastAsia="zh-Hans"/>
              </w:rPr>
              <w:t>系统稳定运行报告</w:t>
            </w:r>
            <w:r>
              <w:rPr>
                <w:rFonts w:ascii="宋体" w:hAnsi="宋体" w:cs="宋体"/>
                <w:color w:val="auto"/>
                <w:kern w:val="0"/>
                <w:sz w:val="24"/>
                <w:szCs w:val="21"/>
                <w:highlight w:val="none"/>
                <w:lang w:eastAsia="zh-Hans"/>
              </w:rPr>
              <w:t>》</w:t>
            </w:r>
            <w:r>
              <w:rPr>
                <w:rFonts w:hint="eastAsia" w:ascii="宋体" w:hAnsi="宋体" w:cs="宋体"/>
                <w:color w:val="auto"/>
                <w:kern w:val="0"/>
                <w:sz w:val="24"/>
                <w:szCs w:val="21"/>
                <w:highlight w:val="none"/>
                <w:lang w:eastAsia="zh-Hans"/>
              </w:rPr>
              <w:t>后</w:t>
            </w:r>
            <w:r>
              <w:rPr>
                <w:rFonts w:ascii="宋体" w:hAnsi="宋体" w:cs="宋体"/>
                <w:color w:val="auto"/>
                <w:kern w:val="0"/>
                <w:sz w:val="24"/>
                <w:szCs w:val="21"/>
                <w:highlight w:val="none"/>
                <w:lang w:eastAsia="zh-Hans"/>
              </w:rPr>
              <w:t>，</w:t>
            </w:r>
            <w:r>
              <w:rPr>
                <w:rFonts w:hint="eastAsia" w:ascii="宋体" w:hAnsi="宋体" w:cs="宋体"/>
                <w:color w:val="auto"/>
                <w:kern w:val="0"/>
                <w:sz w:val="24"/>
                <w:szCs w:val="21"/>
                <w:highlight w:val="none"/>
              </w:rPr>
              <w:t>采购人组织专家组对</w:t>
            </w:r>
            <w:r>
              <w:rPr>
                <w:rFonts w:hint="eastAsia" w:ascii="宋体" w:hAnsi="宋体" w:cs="宋体"/>
                <w:color w:val="auto"/>
                <w:kern w:val="0"/>
                <w:sz w:val="24"/>
                <w:szCs w:val="21"/>
                <w:highlight w:val="none"/>
                <w:lang w:eastAsia="zh-Hans"/>
              </w:rPr>
              <w:t>该医院进行验收</w:t>
            </w:r>
            <w:r>
              <w:rPr>
                <w:rFonts w:ascii="宋体" w:hAnsi="宋体" w:cs="宋体"/>
                <w:color w:val="auto"/>
                <w:kern w:val="0"/>
                <w:sz w:val="24"/>
                <w:szCs w:val="21"/>
                <w:highlight w:val="none"/>
                <w:lang w:eastAsia="zh-Hans"/>
              </w:rPr>
              <w:t>。</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★1.2.</w:t>
            </w:r>
            <w:r>
              <w:rPr>
                <w:rFonts w:ascii="宋体" w:hAnsi="宋体" w:cs="宋体"/>
                <w:color w:val="auto"/>
                <w:kern w:val="0"/>
                <w:sz w:val="24"/>
                <w:szCs w:val="21"/>
                <w:highlight w:val="none"/>
              </w:rPr>
              <w:t>2</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质保期服务验收:</w:t>
            </w:r>
            <w:r>
              <w:rPr>
                <w:rFonts w:hint="eastAsia" w:ascii="宋体" w:hAnsi="宋体" w:cs="宋体"/>
                <w:color w:val="auto"/>
                <w:kern w:val="0"/>
                <w:sz w:val="24"/>
                <w:szCs w:val="21"/>
                <w:highlight w:val="none"/>
              </w:rPr>
              <w:t>质保期结束</w:t>
            </w:r>
            <w:r>
              <w:rPr>
                <w:rFonts w:hint="eastAsia" w:ascii="宋体" w:hAnsi="宋体" w:cs="宋体"/>
                <w:color w:val="auto"/>
                <w:kern w:val="0"/>
                <w:sz w:val="24"/>
                <w:szCs w:val="21"/>
                <w:highlight w:val="none"/>
                <w:lang w:eastAsia="zh-Hans"/>
              </w:rPr>
              <w:t>后</w:t>
            </w:r>
            <w:r>
              <w:rPr>
                <w:rFonts w:hint="eastAsia" w:ascii="宋体" w:hAnsi="宋体" w:cs="宋体"/>
                <w:color w:val="auto"/>
                <w:kern w:val="0"/>
                <w:sz w:val="24"/>
                <w:szCs w:val="21"/>
                <w:highlight w:val="none"/>
              </w:rPr>
              <w:t>，投标人向采购人书面申请质保期服务验收，根据质保服务考核细则(见合同模板)，当兵团二、三级医院人提交的需求未能得到及时响应并妥善解决，则质保服务期顺延到需求解决之日止再次申请质保期服务验收，</w:t>
            </w:r>
            <w:r>
              <w:rPr>
                <w:rFonts w:hint="eastAsia" w:ascii="宋体" w:hAnsi="宋体" w:cs="宋体"/>
                <w:color w:val="auto"/>
                <w:kern w:val="0"/>
                <w:sz w:val="24"/>
                <w:szCs w:val="21"/>
                <w:highlight w:val="none"/>
                <w:lang w:eastAsia="zh-Hans"/>
              </w:rPr>
              <w:t>直至验收通过</w:t>
            </w:r>
            <w:r>
              <w:rPr>
                <w:rFonts w:ascii="宋体" w:hAnsi="宋体" w:cs="宋体"/>
                <w:color w:val="auto"/>
                <w:kern w:val="0"/>
                <w:sz w:val="24"/>
                <w:szCs w:val="21"/>
                <w:highlight w:val="none"/>
                <w:lang w:eastAsia="zh-Hans"/>
              </w:rPr>
              <w:t>。</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项目建设要求：</w:t>
            </w:r>
          </w:p>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在合同执行期内，本项目涉及的标准或规范遇政策性调整时，投标人须按照最新标准或规范完成项目建设。</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316"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★1.3.1</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持续完善医院信息化标准：</w:t>
            </w:r>
            <w:r>
              <w:rPr>
                <w:rFonts w:hint="eastAsia" w:ascii="宋体" w:hAnsi="宋体" w:cs="宋体"/>
                <w:color w:val="auto"/>
                <w:kern w:val="0"/>
                <w:sz w:val="24"/>
                <w:szCs w:val="21"/>
                <w:highlight w:val="none"/>
              </w:rPr>
              <w:t>本次信息化建设中结合医院现状和相关标准要去建立一套适合业务应用需求的卫生医疗信息标准体系及标准化方法，以满足未来医联体内信息共享和业务协同的迫切要求，满足未来医联体数据资源规划和跨系统互联互通建设，同时，须对医院原有数据进行清洗、整合、校对，集成入新建设平台。符合《电子病历共享文档规范》（WS/T500-2016）、《电子病历基本数据集》（WS445-2014）、《电子病历与医院信息平台标准符合性测试规范》（WS/T501-2016）、《基于电子病历的医院信息平台技术规范》（WS/T447-2014）等。按照《全国医院数据上报管理方案》实现医院数据的标准化和规范化，按照统一标准上传省级信息平台，依据《全国医院上报数据统计分析指标集》实现医院数据统计分析。</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153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★1.3.2</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协助兵团三级医院通过国家电子病历系统应用水平六级评测、兵团二级医院通过国家电子病历系统应用水平五级评测：</w:t>
            </w:r>
            <w:r>
              <w:rPr>
                <w:rFonts w:hint="eastAsia" w:ascii="宋体" w:hAnsi="宋体" w:cs="宋体"/>
                <w:color w:val="auto"/>
                <w:kern w:val="0"/>
                <w:sz w:val="24"/>
                <w:szCs w:val="21"/>
                <w:highlight w:val="none"/>
              </w:rPr>
              <w:t>要求依托省级全民健康信息平台及相关应用，实现全域范围内医疗、健康数据的汇聚、共享，实现医疗质量安全的统一管理，医疗资源的统一调度和优化配置。同时，院内形成统一的临床数据管理系统，实现各部门系统数据的集成；提供智能化病历书写工具。提供智能化病历书写模版，结构化方式存储病历记录，医师能够通过系统获取患者检查检验、既往治疗相关数据；门诊、住院诊疗信息实现共享。医师在判读检查检验结果时，能够调取临床信息等数据信息；实现临床路径管理与医嘱下达、执行的紧密结合；电子病历数据库能够为临床科研工作提供数据挖掘功能。符合《全国医院信息化建设标准与规范》、《电子病历共享文档规范》（WS/T500-2016）、《电子病历基本数据集》（WS445-2014）、《电子病历与医院信息平台标准符合性测试规范》（WS/T501-2016）、《基于电子病历的医院信息平台技术规范》（WS/T447-2014）、《电子病历系统功能应用水平分级评价方法及标准（2018版）》、《医院信息互联互通标准化成熟度测评》。</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1530"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★1.3.3</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协助兵团三级医院通过医院信息互联互通标准化成熟度测评五级乙等、兵团二级医院通过医院信息互联互通标准化成熟度测评四级甲等：</w:t>
            </w:r>
            <w:r>
              <w:rPr>
                <w:rFonts w:hint="eastAsia" w:ascii="宋体" w:hAnsi="宋体" w:cs="宋体"/>
                <w:color w:val="auto"/>
                <w:kern w:val="0"/>
                <w:sz w:val="24"/>
                <w:szCs w:val="21"/>
                <w:highlight w:val="none"/>
              </w:rPr>
              <w:t>互联互通测评五级乙等须建成较完善的基于电子病历的医院信息平台；建成基于平台的独立临床信息数据库；平台实现符合标准要求的电子病历整合服务、就诊信息查询及接收服务，基本支持医疗机构内部标准化的要求；连通的业务系统（临床服务系统、医疗管理系统、运营管理系统）数量≥33个；联通的外部机构数量≥5个。符合《深化医药卫生体制改革的意见》。</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70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r>
              <w:rPr>
                <w:rFonts w:ascii="宋体" w:hAnsi="宋体" w:cs="宋体"/>
                <w:color w:val="auto"/>
                <w:kern w:val="0"/>
                <w:sz w:val="24"/>
                <w:szCs w:val="21"/>
                <w:highlight w:val="none"/>
              </w:rPr>
              <w:t>4</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Cs/>
                <w:color w:val="auto"/>
                <w:kern w:val="0"/>
                <w:sz w:val="24"/>
                <w:szCs w:val="21"/>
                <w:highlight w:val="none"/>
              </w:rPr>
            </w:pPr>
            <w:r>
              <w:rPr>
                <w:rFonts w:hint="eastAsia" w:ascii="宋体" w:hAnsi="宋体" w:cs="宋体"/>
                <w:bCs/>
                <w:color w:val="auto"/>
                <w:kern w:val="0"/>
                <w:sz w:val="24"/>
                <w:szCs w:val="21"/>
                <w:highlight w:val="none"/>
              </w:rPr>
              <w:t>本项目招标建设内容包括但不限于本招标文件中说明的项目建设要求，投标人承诺本次投标的所有系统软件功能全覆盖国家电子病历系统应用水平六级和国家医院信息互联互通标准化成熟度测评五级乙等测评要求。</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70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r>
              <w:rPr>
                <w:rFonts w:ascii="宋体" w:hAnsi="宋体" w:cs="宋体"/>
                <w:color w:val="auto"/>
                <w:kern w:val="0"/>
                <w:sz w:val="24"/>
                <w:szCs w:val="21"/>
                <w:highlight w:val="none"/>
              </w:rPr>
              <w:t>5</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满足兵团三级医院达到等级医院三级甲等的评审要求。满足兵团二级医院达到等级医院二级甲等的评审要求。</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★1.3.</w:t>
            </w:r>
            <w:r>
              <w:rPr>
                <w:rFonts w:ascii="宋体" w:hAnsi="宋体" w:cs="宋体"/>
                <w:color w:val="auto"/>
                <w:kern w:val="0"/>
                <w:sz w:val="24"/>
                <w:szCs w:val="21"/>
                <w:highlight w:val="none"/>
              </w:rPr>
              <w:t>6</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bCs/>
                <w:color w:val="auto"/>
                <w:kern w:val="0"/>
                <w:sz w:val="24"/>
                <w:szCs w:val="21"/>
                <w:highlight w:val="none"/>
              </w:rPr>
              <w:t>交付的平台/系统满足信息安全等级保护2.0三级要求：</w:t>
            </w:r>
            <w:r>
              <w:rPr>
                <w:rFonts w:hint="eastAsia" w:ascii="宋体" w:hAnsi="宋体" w:cs="宋体"/>
                <w:color w:val="auto"/>
                <w:kern w:val="0"/>
                <w:sz w:val="24"/>
                <w:szCs w:val="21"/>
                <w:highlight w:val="none"/>
              </w:rPr>
              <w:t>符合《信息安全技术网络安全等级保护基本要求（GB/T22239-2019）》、《信息安全技术网络安全等级保护测评要求（GB/T28448-2019）》、《卫生行业信息安全等级保护工作的指导意见》等标准。本项目中涉及信息安全、数据加密技术的，须使用国家密码局认定的国产密码算法（即国密/商用密码）。投标人须在系统上线前完成国家信息安全等级保护</w:t>
            </w:r>
            <w:r>
              <w:rPr>
                <w:rFonts w:ascii="宋体" w:hAnsi="宋体" w:cs="宋体"/>
                <w:color w:val="auto"/>
                <w:kern w:val="0"/>
                <w:sz w:val="24"/>
                <w:szCs w:val="21"/>
                <w:highlight w:val="none"/>
              </w:rPr>
              <w:t>2.0三级标准测评，免费按国家相关标准对系统进行必要改造，并提供采购人认可的测评报告、密评报告，相关测评费用由</w:t>
            </w:r>
            <w:r>
              <w:rPr>
                <w:rFonts w:hint="eastAsia" w:ascii="宋体" w:hAnsi="宋体" w:cs="宋体"/>
                <w:color w:val="auto"/>
                <w:kern w:val="0"/>
                <w:sz w:val="24"/>
                <w:szCs w:val="21"/>
                <w:highlight w:val="none"/>
              </w:rPr>
              <w:t>投</w:t>
            </w:r>
            <w:r>
              <w:rPr>
                <w:rFonts w:ascii="宋体" w:hAnsi="宋体" w:cs="宋体"/>
                <w:color w:val="auto"/>
                <w:kern w:val="0"/>
                <w:sz w:val="24"/>
                <w:szCs w:val="21"/>
                <w:highlight w:val="none"/>
              </w:rPr>
              <w:t>标人承担</w:t>
            </w:r>
            <w:r>
              <w:rPr>
                <w:rFonts w:hint="eastAsia" w:ascii="宋体" w:hAnsi="宋体" w:cs="宋体"/>
                <w:color w:val="auto"/>
                <w:kern w:val="0"/>
                <w:sz w:val="24"/>
                <w:szCs w:val="21"/>
                <w:highlight w:val="none"/>
              </w:rPr>
              <w:t>。本次建设系统统一云化部署，但须符合系统分级管理要求，核心业务系统支持容灾模式，保障业务连续性。</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Cs/>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业务系统性能需求：</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1.4.1</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系统性能影响着业务人员开展各类业务的效率，是评价系统可用性的重要指标，因此，系统规划设计时须充分考虑性能要求，并且须在系统建设和运维过程中通过各种手段对系统进行不断的优化和调整，以达到各类业务使用要求。</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34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响应时间特指使用单位当次交易提交给系统到系统反馈出结果的时间。</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34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1.4.2.1</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查询：百万级以上数据量下单记录本地查询的响应时间≤3秒；</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34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1.4.2.2</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百万级以上数据量下分布式查询的响应时间≤15秒/次；</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34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1.4.2.3</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简单统计报表查询的响应时间≤3秒；</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34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1.4.2.4</w:t>
            </w:r>
          </w:p>
        </w:tc>
        <w:tc>
          <w:tcPr>
            <w:tcW w:w="3489"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统计：百万级数据量下单项统计的响应时间≤5秒；</w:t>
            </w:r>
          </w:p>
        </w:tc>
        <w:tc>
          <w:tcPr>
            <w:tcW w:w="800" w:type="pct"/>
            <w:tcBorders>
              <w:top w:val="nil"/>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34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1.4.2.5</w:t>
            </w:r>
          </w:p>
        </w:tc>
        <w:tc>
          <w:tcPr>
            <w:tcW w:w="3489"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复合汇总统计响应时间≤15秒；</w:t>
            </w:r>
          </w:p>
        </w:tc>
        <w:tc>
          <w:tcPr>
            <w:tcW w:w="800" w:type="pct"/>
            <w:tcBorders>
              <w:top w:val="nil"/>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34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1.4.2.6</w:t>
            </w:r>
          </w:p>
        </w:tc>
        <w:tc>
          <w:tcPr>
            <w:tcW w:w="3489"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生成复杂统计报表的响应时间≤30秒；</w:t>
            </w:r>
          </w:p>
        </w:tc>
        <w:tc>
          <w:tcPr>
            <w:tcW w:w="800" w:type="pct"/>
            <w:tcBorders>
              <w:top w:val="nil"/>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34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1.4.2.7</w:t>
            </w:r>
          </w:p>
        </w:tc>
        <w:tc>
          <w:tcPr>
            <w:tcW w:w="3489"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最小并发用户数≥600；</w:t>
            </w:r>
          </w:p>
        </w:tc>
        <w:tc>
          <w:tcPr>
            <w:tcW w:w="800" w:type="pct"/>
            <w:tcBorders>
              <w:top w:val="nil"/>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34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1.4.2.8</w:t>
            </w:r>
          </w:p>
        </w:tc>
        <w:tc>
          <w:tcPr>
            <w:tcW w:w="3489" w:type="pct"/>
            <w:tcBorders>
              <w:top w:val="nil"/>
              <w:left w:val="nil"/>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按患者唯一标识查询单个患者查询平均响应时间小于3秒；</w:t>
            </w:r>
          </w:p>
        </w:tc>
        <w:tc>
          <w:tcPr>
            <w:tcW w:w="800" w:type="pct"/>
            <w:tcBorders>
              <w:top w:val="nil"/>
              <w:left w:val="nil"/>
              <w:bottom w:val="single" w:color="auto" w:sz="4" w:space="0"/>
              <w:right w:val="single" w:color="auto" w:sz="4" w:space="0"/>
            </w:tcBorders>
          </w:tcPr>
          <w:p>
            <w:pPr>
              <w:snapToGrid w:val="0"/>
              <w:spacing w:line="360" w:lineRule="auto"/>
              <w:jc w:val="left"/>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0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1.4.2.9</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患者信息匹配（基于索引），总记录百万级以上，返回记录数小于10条时，平均响应时间小于15秒；</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0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1.4.2.10</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电子病历就诊信息查询单个患者查询平均响应时间小于3秒，就诊信息接收，单次患者就诊信息保存平均响应时间小于1秒，医嘱信息查询，平均响应时间小于4秒；医嘱信息接收，每次提交小于10条时平均响应时间小于3s，</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1.4.2.11</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电子病历文档存储服务，提交单个模板电子病历文档实例时，平均响应时间小于1秒；</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1.4.2.12</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电子病历文档索引查询，按患者唯一标识查询，返回患者电子病历文档目录树时，平均响应时间小于2秒；</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1.4.2.13</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电子病历文档查询，按电子病历文档标识查询，平均响应时间小于2秒。</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438"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Times New Roman"/>
                <w:color w:val="auto"/>
                <w:kern w:val="0"/>
                <w:sz w:val="24"/>
                <w:szCs w:val="21"/>
                <w:highlight w:val="none"/>
              </w:rPr>
              <w:t>1.5</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b/>
                <w:bCs/>
                <w:color w:val="auto"/>
                <w:kern w:val="0"/>
                <w:sz w:val="24"/>
                <w:szCs w:val="21"/>
                <w:highlight w:val="none"/>
              </w:rPr>
              <w:t>项目实施管理要求：</w:t>
            </w:r>
            <w:r>
              <w:rPr>
                <w:rFonts w:hint="eastAsia" w:ascii="宋体" w:hAnsi="宋体" w:cs="宋体"/>
                <w:color w:val="auto"/>
                <w:kern w:val="0"/>
                <w:sz w:val="24"/>
                <w:szCs w:val="21"/>
                <w:highlight w:val="none"/>
              </w:rPr>
              <w:t>投标人必须提供实施本项目的完整的项目管理方案，并在项目建设过程中严格执行，投标人在项目管理方案中，应充分体现投标人在项目管理方面的经验和能力以及对该项目管理的设想。</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Segoe UI Symbol"/>
                <w:color w:val="auto"/>
                <w:kern w:val="0"/>
                <w:sz w:val="24"/>
                <w:szCs w:val="21"/>
                <w:highlight w:val="none"/>
              </w:rPr>
              <w:t>★</w:t>
            </w:r>
            <w:r>
              <w:rPr>
                <w:rFonts w:ascii="宋体" w:hAnsi="宋体" w:cs="Times New Roman"/>
                <w:color w:val="auto"/>
                <w:kern w:val="0"/>
                <w:sz w:val="24"/>
                <w:szCs w:val="21"/>
                <w:highlight w:val="none"/>
              </w:rPr>
              <w:t>1.5.1</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采购人在合同执行期内书面（或指定邮箱邮件）形式提交给投标人的项目需求，投标人应在</w:t>
            </w:r>
            <w:r>
              <w:rPr>
                <w:rFonts w:ascii="宋体" w:hAnsi="宋体" w:cs="宋体"/>
                <w:color w:val="auto"/>
                <w:kern w:val="0"/>
                <w:sz w:val="24"/>
                <w:szCs w:val="21"/>
                <w:highlight w:val="none"/>
              </w:rPr>
              <w:t>24小时内受理</w:t>
            </w:r>
            <w:r>
              <w:rPr>
                <w:rFonts w:hint="eastAsia" w:ascii="宋体" w:hAnsi="宋体" w:cs="宋体"/>
                <w:color w:val="auto"/>
                <w:kern w:val="0"/>
                <w:sz w:val="24"/>
                <w:szCs w:val="21"/>
                <w:highlight w:val="none"/>
              </w:rPr>
              <w:t>并提交解决方案、承诺解决时限。</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040"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Times New Roman"/>
                <w:color w:val="auto"/>
                <w:kern w:val="0"/>
                <w:sz w:val="24"/>
                <w:szCs w:val="21"/>
                <w:highlight w:val="none"/>
              </w:rPr>
              <w:t>1.5.2</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项目实施人员要求：为本项目提供稳定的实施团队，成员涵盖项目管理、开发、测试、实施等人员；投标文件必须提供本项目拟定的项目组成员，承诺项目实施期间成员不少于10人全日制在采购人单位工作（每天8小时，每周5天），具备从事医疗行业软件实施或开发工作经验不少于3年（提供社保缴费证明）不少于6人，如团队人员更换应书面通知采购人并说明原因和接替者资历证明（要求替换的是相同资历人员）；项目组人员结构稳定,所有项目组成员更换应书面形式（加盖公章）通知采购人，未得到采购人确认同意的情况下不得调换；采购人有权利要求投标人调换不称职的项目经理。项目组成员说明专业背景、项目中的角色及项目经验等。</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hint="eastAsia" w:ascii="宋体" w:hAnsi="宋体" w:cs="Times New Roman"/>
                <w:color w:val="auto"/>
                <w:kern w:val="0"/>
                <w:sz w:val="24"/>
                <w:szCs w:val="21"/>
                <w:highlight w:val="none"/>
              </w:rPr>
              <w:t>★</w:t>
            </w:r>
            <w:r>
              <w:rPr>
                <w:rFonts w:ascii="宋体" w:hAnsi="宋体" w:cs="Times New Roman"/>
                <w:color w:val="auto"/>
                <w:kern w:val="0"/>
                <w:sz w:val="24"/>
                <w:szCs w:val="21"/>
                <w:highlight w:val="none"/>
              </w:rPr>
              <w:t>1.5.3</w:t>
            </w: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承诺投标文件提供的本项目拟定的实施项目成员是实际到采购人单位现场从事实施工作的人员。</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hint="eastAsia" w:ascii="宋体" w:hAnsi="宋体" w:cs="Times New Roman"/>
                <w:color w:val="auto"/>
                <w:kern w:val="0"/>
                <w:sz w:val="24"/>
                <w:szCs w:val="21"/>
                <w:highlight w:val="none"/>
              </w:rPr>
              <w:t>★</w:t>
            </w:r>
            <w:r>
              <w:rPr>
                <w:rFonts w:ascii="宋体" w:hAnsi="宋体" w:cs="Times New Roman"/>
                <w:color w:val="auto"/>
                <w:kern w:val="0"/>
                <w:sz w:val="24"/>
                <w:szCs w:val="21"/>
                <w:highlight w:val="none"/>
              </w:rPr>
              <w:t>1.5.4</w:t>
            </w: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若投标人派遣到现场的工作人员不满足上述人员数量和资质要求，限期一周内整改。逾期未整改的，视为违约。</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Times New Roman"/>
                <w:color w:val="auto"/>
                <w:kern w:val="0"/>
                <w:sz w:val="24"/>
                <w:szCs w:val="21"/>
                <w:highlight w:val="none"/>
              </w:rPr>
              <w:t>1.5.5</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投标人须就为本项目提供的服务体系和与运维管理提出详细的解决方案，应包括组织管理、项目实施计划、进度控制办法、质量控制办法、风险控制办法、应急处置方案、服务流程、服务体系构成、服务质量管理及运维管理流程等相关内容。</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hint="eastAsia" w:ascii="宋体" w:hAnsi="宋体" w:cs="Times New Roman"/>
                <w:color w:val="auto"/>
                <w:kern w:val="0"/>
                <w:sz w:val="24"/>
                <w:szCs w:val="21"/>
                <w:highlight w:val="none"/>
              </w:rPr>
              <w:t>★</w:t>
            </w:r>
            <w:r>
              <w:rPr>
                <w:rFonts w:ascii="宋体" w:hAnsi="宋体" w:cs="Times New Roman"/>
                <w:color w:val="auto"/>
                <w:kern w:val="0"/>
                <w:sz w:val="24"/>
                <w:szCs w:val="21"/>
                <w:highlight w:val="none"/>
              </w:rPr>
              <w:t>1.6</w:t>
            </w:r>
          </w:p>
        </w:tc>
        <w:tc>
          <w:tcPr>
            <w:tcW w:w="3489" w:type="pct"/>
            <w:tcBorders>
              <w:top w:val="nil"/>
              <w:left w:val="nil"/>
              <w:bottom w:val="single" w:color="auto" w:sz="4" w:space="0"/>
              <w:right w:val="single" w:color="auto" w:sz="4" w:space="0"/>
            </w:tcBorders>
            <w:vAlign w:val="center"/>
          </w:tcPr>
          <w:p>
            <w:pPr>
              <w:snapToGrid w:val="0"/>
              <w:spacing w:line="360" w:lineRule="auto"/>
              <w:rPr>
                <w:color w:val="auto"/>
                <w:highlight w:val="none"/>
              </w:rPr>
            </w:pPr>
            <w:r>
              <w:rPr>
                <w:rFonts w:hint="eastAsia" w:ascii="宋体" w:hAnsi="宋体" w:cs="宋体"/>
                <w:b/>
                <w:bCs/>
                <w:color w:val="auto"/>
                <w:kern w:val="0"/>
                <w:sz w:val="24"/>
                <w:szCs w:val="21"/>
                <w:highlight w:val="none"/>
              </w:rPr>
              <w:t>项目免费质量保证期</w:t>
            </w:r>
            <w:r>
              <w:rPr>
                <w:rFonts w:hint="eastAsia" w:ascii="宋体" w:hAnsi="宋体" w:cs="宋体"/>
                <w:color w:val="auto"/>
                <w:kern w:val="0"/>
                <w:sz w:val="24"/>
                <w:szCs w:val="21"/>
                <w:highlight w:val="none"/>
              </w:rPr>
              <w:t>（简称：质保期，下同）至少3年，</w:t>
            </w:r>
            <w:r>
              <w:rPr>
                <w:rFonts w:hint="eastAsia" w:ascii="宋体" w:hAnsi="宋体" w:cs="宋体"/>
                <w:color w:val="auto"/>
                <w:kern w:val="0"/>
                <w:sz w:val="24"/>
                <w:szCs w:val="21"/>
                <w:highlight w:val="none"/>
                <w:lang w:eastAsia="zh-Hans"/>
              </w:rPr>
              <w:t>单家医院实施项目的</w:t>
            </w:r>
            <w:r>
              <w:rPr>
                <w:rFonts w:hint="eastAsia" w:ascii="宋体" w:hAnsi="宋体" w:cs="宋体"/>
                <w:color w:val="auto"/>
                <w:kern w:val="0"/>
                <w:sz w:val="24"/>
                <w:szCs w:val="21"/>
                <w:highlight w:val="none"/>
              </w:rPr>
              <w:t>免费质保期自</w:t>
            </w:r>
            <w:r>
              <w:rPr>
                <w:rFonts w:hint="eastAsia" w:ascii="宋体" w:hAnsi="宋体" w:cs="宋体"/>
                <w:color w:val="auto"/>
                <w:kern w:val="0"/>
                <w:sz w:val="24"/>
                <w:szCs w:val="21"/>
                <w:highlight w:val="none"/>
                <w:lang w:eastAsia="zh-Hans"/>
              </w:rPr>
              <w:t>该家医院最终</w:t>
            </w:r>
            <w:r>
              <w:rPr>
                <w:rFonts w:hint="eastAsia" w:ascii="宋体" w:hAnsi="宋体" w:cs="宋体"/>
                <w:color w:val="auto"/>
                <w:kern w:val="0"/>
                <w:sz w:val="24"/>
                <w:szCs w:val="21"/>
                <w:highlight w:val="none"/>
              </w:rPr>
              <w:t>验收通过之日为起点开始计算。</w:t>
            </w:r>
          </w:p>
          <w:p>
            <w:pPr>
              <w:snapToGrid w:val="0"/>
              <w:spacing w:line="360" w:lineRule="auto"/>
              <w:rPr>
                <w:rFonts w:ascii="宋体" w:hAnsi="宋体" w:cs="宋体"/>
                <w:b/>
                <w:bCs/>
                <w:color w:val="auto"/>
                <w:kern w:val="0"/>
                <w:sz w:val="24"/>
                <w:szCs w:val="21"/>
                <w:highlight w:val="none"/>
              </w:rPr>
            </w:pPr>
            <w:r>
              <w:rPr>
                <w:rFonts w:hint="eastAsia" w:ascii="宋体" w:hAnsi="宋体" w:cs="宋体"/>
                <w:color w:val="auto"/>
                <w:kern w:val="0"/>
                <w:sz w:val="24"/>
                <w:szCs w:val="21"/>
                <w:highlight w:val="none"/>
              </w:rPr>
              <w:t>提供整体售后服务方案，方案包含但不限于以下系统日常运营保障机制等：</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1019" w:hRule="atLeast"/>
          <w:jc w:val="center"/>
        </w:trPr>
        <w:tc>
          <w:tcPr>
            <w:tcW w:w="711" w:type="pct"/>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hint="eastAsia" w:ascii="宋体" w:hAnsi="宋体" w:cs="Times New Roman"/>
                <w:color w:val="auto"/>
                <w:kern w:val="0"/>
                <w:sz w:val="24"/>
                <w:szCs w:val="21"/>
                <w:highlight w:val="none"/>
              </w:rPr>
              <w:t>★</w:t>
            </w:r>
            <w:r>
              <w:rPr>
                <w:rFonts w:ascii="宋体" w:hAnsi="宋体" w:cs="Times New Roman"/>
                <w:color w:val="auto"/>
                <w:kern w:val="0"/>
                <w:sz w:val="24"/>
                <w:szCs w:val="21"/>
                <w:highlight w:val="none"/>
              </w:rPr>
              <w:t>1.6.1</w:t>
            </w: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本项目合同执行期间(合同签定之日起至质保期结束之日止，下同)，投标人必须</w:t>
            </w:r>
            <w:bookmarkStart w:id="102" w:name="_Hlk111023020"/>
            <w:r>
              <w:rPr>
                <w:rFonts w:hint="eastAsia" w:ascii="宋体" w:hAnsi="宋体" w:cs="宋体"/>
                <w:color w:val="auto"/>
                <w:kern w:val="0"/>
                <w:sz w:val="24"/>
                <w:szCs w:val="21"/>
                <w:highlight w:val="none"/>
              </w:rPr>
              <w:t>免费提供行业主管部门要求的各类数据信息上报上传功能，以及可能需要的各软件子系统之间（无论是投标人自有、OEM第三方，上级部门、政府相关部门、医疗保险部门或医疗行业必须的所有外联系统）的数据接口和安装调试服务、以及与医院已有或新购入的医疗设备联机数据采集通讯数据接口。</w:t>
            </w:r>
            <w:bookmarkEnd w:id="102"/>
            <w:r>
              <w:rPr>
                <w:rFonts w:hint="eastAsia" w:ascii="宋体" w:hAnsi="宋体" w:cs="宋体"/>
                <w:color w:val="auto"/>
                <w:kern w:val="0"/>
                <w:sz w:val="24"/>
                <w:szCs w:val="21"/>
                <w:highlight w:val="none"/>
              </w:rPr>
              <w:t>即：医院自行引进的第三方软件、以及政府相关部门、医疗保险部门或疾控中心、血站、全民健康信息平台、医联体平台、第三方网上预约或支付平台等信息系统之间的数据接口；提供医院所有需要数据联机的设备如手术麻醉类设备（麻醉机、呼吸机等）、影像类设备（CT、MR、DR、超声、内镜等）、电生理类设备（心电图机、监护仪、肌电图等）、检验类设备与医院各软件系统之间的联机数据接口和安装调试服务。以上各类接口必须向采购人开放接口源代码，以上可能产生的相关费用（包括第三方费用）全部包含在投标总报价中，不得向采购人或第三方收取任何接口费用。</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711"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kern w:val="0"/>
                <w:sz w:val="24"/>
                <w:szCs w:val="21"/>
                <w:highlight w:val="none"/>
              </w:rPr>
            </w:pP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投标人提供的所有软件为当前最新版本，合同执行期间内有新版本时，投标人负责免费升级。如政</w:t>
            </w:r>
            <w:r>
              <w:rPr>
                <w:rFonts w:hint="eastAsia" w:ascii="宋体" w:hAnsi="宋体" w:cs="Times New Roman"/>
                <w:color w:val="auto"/>
                <w:sz w:val="24"/>
                <w:highlight w:val="none"/>
              </w:rPr>
              <w:t>府或行业主管相关部门</w:t>
            </w:r>
            <w:r>
              <w:rPr>
                <w:rFonts w:hint="eastAsia" w:ascii="宋体" w:hAnsi="宋体" w:cs="宋体"/>
                <w:color w:val="auto"/>
                <w:kern w:val="0"/>
                <w:sz w:val="24"/>
                <w:szCs w:val="21"/>
                <w:highlight w:val="none"/>
              </w:rPr>
              <w:t>有要求接入其他相关软件系统，投标人免费且及时负责提供相关软件接口，并协助采购人完成接入和联网工作。</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1785" w:hRule="atLeast"/>
          <w:jc w:val="center"/>
        </w:trPr>
        <w:tc>
          <w:tcPr>
            <w:tcW w:w="711" w:type="pct"/>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hint="eastAsia" w:ascii="宋体" w:hAnsi="宋体" w:cs="Times New Roman"/>
                <w:color w:val="auto"/>
                <w:kern w:val="0"/>
                <w:sz w:val="24"/>
                <w:szCs w:val="21"/>
                <w:highlight w:val="none"/>
              </w:rPr>
              <w:t>★</w:t>
            </w:r>
            <w:r>
              <w:rPr>
                <w:rFonts w:ascii="宋体" w:hAnsi="宋体" w:cs="Times New Roman"/>
                <w:color w:val="auto"/>
                <w:kern w:val="0"/>
                <w:sz w:val="24"/>
                <w:szCs w:val="21"/>
                <w:highlight w:val="none"/>
              </w:rPr>
              <w:t>1.6.2</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投标人必须提供整个项目所有软件的安装包和相关的最新版技术文档，向采购人提交的技术文档至少包含各软件子系统《功能说明书》、《业务流程图》、《数据流程图》、《数据库详细设计说明书（至少包含存储过程或</w:t>
            </w:r>
            <w:r>
              <w:rPr>
                <w:rFonts w:ascii="宋体" w:hAnsi="宋体" w:cs="宋体"/>
                <w:color w:val="auto"/>
                <w:kern w:val="0"/>
                <w:sz w:val="24"/>
                <w:szCs w:val="21"/>
                <w:highlight w:val="none"/>
              </w:rPr>
              <w:t>Package&lt;含源代码&gt;、函数&lt;含源代码&gt;、序列、表&lt;字段、数据类型、长度、中文注释说明&gt;、索引、触发器、任务计划等数据库对象的说明、用途、与其它对象数据关系等）</w:t>
            </w:r>
            <w:r>
              <w:rPr>
                <w:rFonts w:hint="eastAsia" w:ascii="宋体" w:hAnsi="宋体" w:cs="宋体"/>
                <w:color w:val="auto"/>
                <w:kern w:val="0"/>
                <w:sz w:val="24"/>
                <w:szCs w:val="21"/>
                <w:highlight w:val="none"/>
              </w:rPr>
              <w:t>》、《系统操作手册》、《应用系统参数配置说明》、所提供的第三方产品的技术说明、《系统安装及运行维护管理说明书》、《系统故障及恢复步骤说明》等。</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711"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kern w:val="0"/>
                <w:sz w:val="24"/>
                <w:szCs w:val="21"/>
                <w:highlight w:val="none"/>
              </w:rPr>
            </w:pP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提供的文档以电子版和纸质版本各一份（所有软件安装包以电子文件方式提供）。以上要求提供的所有软件安装包和相关技术文档不得有缺漏内容，即使采购人在最终验收之后发现有缺漏内容，采购人有权向投标人追索。</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02" w:hRule="atLeast"/>
          <w:jc w:val="center"/>
        </w:trPr>
        <w:tc>
          <w:tcPr>
            <w:tcW w:w="711"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kern w:val="0"/>
                <w:sz w:val="24"/>
                <w:szCs w:val="21"/>
                <w:highlight w:val="none"/>
              </w:rPr>
            </w:pP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合同执行期间投标人提供的任何软件系统的任何更新（包括升级和调整）都须提供最新的数据字典、业务流程图、数据流程图，并在原有基础上及时更新并交付采购人确认。</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Times New Roman"/>
                <w:color w:val="auto"/>
                <w:kern w:val="0"/>
                <w:sz w:val="24"/>
                <w:szCs w:val="21"/>
                <w:highlight w:val="none"/>
              </w:rPr>
              <w:t>1.6.3</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向采购人提供本项目涉及的软件系统所需的开发工具、测试工具。</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67"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hint="eastAsia" w:ascii="宋体" w:hAnsi="宋体" w:cs="Times New Roman"/>
                <w:color w:val="auto"/>
                <w:kern w:val="0"/>
                <w:sz w:val="24"/>
                <w:szCs w:val="21"/>
                <w:highlight w:val="none"/>
              </w:rPr>
              <w:t>★</w:t>
            </w:r>
            <w:r>
              <w:rPr>
                <w:rFonts w:ascii="宋体" w:hAnsi="宋体" w:cs="Times New Roman"/>
                <w:color w:val="auto"/>
                <w:kern w:val="0"/>
                <w:sz w:val="24"/>
                <w:szCs w:val="21"/>
                <w:highlight w:val="none"/>
              </w:rPr>
              <w:t>1.6.4</w:t>
            </w: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本项目投标人提供的所有软件系统在合同签定后，采购人即取得该软件的合法永久使用权，投标人不得限制采购人在本单位服务器和客户端安装数量、不得限制采购人由于操作系统或硬件故障、设备更新等原因重新安装服务器端软件、不得设置使用期限。</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438"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hint="eastAsia" w:ascii="宋体" w:hAnsi="宋体" w:cs="Times New Roman"/>
                <w:color w:val="auto"/>
                <w:kern w:val="0"/>
                <w:sz w:val="24"/>
                <w:szCs w:val="21"/>
                <w:highlight w:val="none"/>
              </w:rPr>
              <w:t>★</w:t>
            </w:r>
            <w:r>
              <w:rPr>
                <w:rFonts w:ascii="宋体" w:hAnsi="宋体" w:cs="Times New Roman"/>
                <w:color w:val="auto"/>
                <w:kern w:val="0"/>
                <w:sz w:val="24"/>
                <w:szCs w:val="21"/>
                <w:highlight w:val="none"/>
              </w:rPr>
              <w:t>1.6.5</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在免费质保期内，提供应用系统版本免费升级及对软件进行维护和完善；免费质保期外，投标人须对系统整体提供不少于10年的有偿维护和技术支持售后服务，每年维护费用单价不高于本项目中标金额的</w:t>
            </w:r>
            <w:r>
              <w:rPr>
                <w:rFonts w:hint="eastAsia" w:ascii="宋体" w:hAnsi="宋体" w:cs="宋体"/>
                <w:color w:val="auto"/>
                <w:kern w:val="0"/>
                <w:sz w:val="24"/>
                <w:szCs w:val="21"/>
                <w:highlight w:val="none"/>
                <w:lang w:val="en-US" w:eastAsia="zh-CN"/>
              </w:rPr>
              <w:t>3</w:t>
            </w:r>
            <w:r>
              <w:rPr>
                <w:rFonts w:hint="eastAsia" w:ascii="宋体" w:hAnsi="宋体" w:cs="宋体"/>
                <w:color w:val="auto"/>
                <w:kern w:val="0"/>
                <w:sz w:val="24"/>
                <w:szCs w:val="21"/>
                <w:highlight w:val="none"/>
              </w:rPr>
              <w:t>%，续保服务期内的服务内容与本项目合同执行期内的质保服务内容要求完全相同。如果是系统安全漏洞或程序BUG投标人须提供软件终生的免费升级和维护。如采购人未购买续保服务，投标人承诺以不高于市场价向采购人提供新购的系统/设备所需的联机数据接口软件及相关安装调试服务。</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711" w:type="pct"/>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Times New Roman"/>
                <w:color w:val="auto"/>
                <w:kern w:val="0"/>
                <w:sz w:val="24"/>
                <w:szCs w:val="21"/>
                <w:highlight w:val="none"/>
              </w:rPr>
            </w:pPr>
            <w:r>
              <w:rPr>
                <w:rFonts w:hint="eastAsia" w:ascii="宋体" w:hAnsi="宋体" w:cs="Times New Roman"/>
                <w:color w:val="auto"/>
                <w:kern w:val="0"/>
                <w:sz w:val="24"/>
                <w:szCs w:val="21"/>
                <w:highlight w:val="none"/>
              </w:rPr>
              <w:t>★</w:t>
            </w:r>
            <w:r>
              <w:rPr>
                <w:rFonts w:ascii="宋体" w:hAnsi="宋体" w:cs="Times New Roman"/>
                <w:color w:val="auto"/>
                <w:kern w:val="0"/>
                <w:sz w:val="24"/>
                <w:szCs w:val="21"/>
                <w:highlight w:val="none"/>
              </w:rPr>
              <w:t>1.6.6</w:t>
            </w: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本项目投标人提供的软件产品应有良好的兼容性，确保采购人可以长期正常使用，由于采购人服务器或终端设备的操作系统升级导致本项目投标人的软件不能兼容运行，无论是否在项目执行期内还是之外，都必须免费向采购人提供可兼容运行的升级软件版本。</w:t>
            </w:r>
          </w:p>
        </w:tc>
        <w:tc>
          <w:tcPr>
            <w:tcW w:w="800" w:type="pct"/>
            <w:tcBorders>
              <w:top w:val="nil"/>
              <w:left w:val="nil"/>
              <w:bottom w:val="single" w:color="auto" w:sz="4" w:space="0"/>
              <w:right w:val="single" w:color="auto" w:sz="4" w:space="0"/>
            </w:tcBorders>
            <w:shd w:val="clear" w:color="auto" w:fill="auto"/>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721" w:hRule="atLeast"/>
          <w:jc w:val="center"/>
        </w:trPr>
        <w:tc>
          <w:tcPr>
            <w:tcW w:w="711" w:type="pct"/>
            <w:vMerge w:val="restart"/>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Times New Roman"/>
                <w:color w:val="auto"/>
                <w:kern w:val="0"/>
                <w:sz w:val="24"/>
                <w:szCs w:val="21"/>
                <w:highlight w:val="none"/>
              </w:rPr>
            </w:pPr>
            <w:r>
              <w:rPr>
                <w:rFonts w:hint="eastAsia" w:ascii="宋体" w:hAnsi="宋体" w:cs="Times New Roman"/>
                <w:color w:val="auto"/>
                <w:kern w:val="0"/>
                <w:sz w:val="24"/>
                <w:szCs w:val="21"/>
                <w:highlight w:val="none"/>
              </w:rPr>
              <w:t>★</w:t>
            </w:r>
            <w:r>
              <w:rPr>
                <w:rFonts w:ascii="宋体" w:hAnsi="宋体" w:cs="Times New Roman"/>
                <w:color w:val="auto"/>
                <w:kern w:val="0"/>
                <w:sz w:val="24"/>
                <w:szCs w:val="21"/>
                <w:highlight w:val="none"/>
              </w:rPr>
              <w:t>1.6.7</w:t>
            </w: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免费质保期内投标人必须派驻现场技术服务人员在采购人要求的地点全日制（每天8小时，每周5天）工作，派驻服务人员不得少于5人（提供最近三个月社保缴费证明），其中至少两人具备行业软件开发经验且从事医卫软件开发经验不少于3年（提供最近十个月社保缴费证明），其中一人为负责人。如服务人员更换应书面通知采购人并说明原因和接替者资历证明（要求相同资历）。服务内容包括但不仅限于软件适应性开发改造、客户化需求受理及解决、用户操作培训、系统运行状况巡检、发现和排除故障等日常运维服务。</w:t>
            </w:r>
          </w:p>
        </w:tc>
        <w:tc>
          <w:tcPr>
            <w:tcW w:w="800" w:type="pct"/>
            <w:tcBorders>
              <w:top w:val="nil"/>
              <w:left w:val="nil"/>
              <w:bottom w:val="single" w:color="auto" w:sz="4" w:space="0"/>
              <w:right w:val="single" w:color="auto" w:sz="4" w:space="0"/>
            </w:tcBorders>
            <w:shd w:val="clear" w:color="auto" w:fill="auto"/>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67" w:hRule="atLeast"/>
          <w:jc w:val="center"/>
        </w:trPr>
        <w:tc>
          <w:tcPr>
            <w:tcW w:w="711" w:type="pct"/>
            <w:vMerge w:val="continue"/>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宋体" w:hAnsi="宋体" w:cs="Times New Roman"/>
                <w:color w:val="auto"/>
                <w:kern w:val="0"/>
                <w:sz w:val="24"/>
                <w:szCs w:val="21"/>
                <w:highlight w:val="none"/>
              </w:rPr>
            </w:pP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若投标人派遣到现场的技术服务人员不满足上述运维人员数量和资质要求，限期一周内整改。逾期未整改的，视为违约。</w:t>
            </w:r>
          </w:p>
        </w:tc>
        <w:tc>
          <w:tcPr>
            <w:tcW w:w="800" w:type="pct"/>
            <w:tcBorders>
              <w:top w:val="nil"/>
              <w:left w:val="nil"/>
              <w:bottom w:val="single" w:color="auto" w:sz="4" w:space="0"/>
              <w:right w:val="single" w:color="auto" w:sz="4" w:space="0"/>
            </w:tcBorders>
            <w:shd w:val="clear" w:color="auto" w:fill="auto"/>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1275" w:hRule="atLeast"/>
          <w:jc w:val="center"/>
        </w:trPr>
        <w:tc>
          <w:tcPr>
            <w:tcW w:w="711" w:type="pct"/>
            <w:vMerge w:val="continue"/>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宋体" w:hAnsi="宋体" w:cs="Times New Roman"/>
                <w:color w:val="auto"/>
                <w:kern w:val="0"/>
                <w:sz w:val="24"/>
                <w:szCs w:val="21"/>
                <w:highlight w:val="none"/>
              </w:rPr>
            </w:pP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每季度向采购人出具巡检报告及合理化建议，保障投标人提供的本项目所有软件系统7×24小时的正常使用。要求投标人提供</w:t>
            </w:r>
            <w:r>
              <w:rPr>
                <w:rFonts w:ascii="宋体" w:hAnsi="宋体" w:cs="宋体"/>
                <w:color w:val="auto"/>
                <w:kern w:val="0"/>
                <w:sz w:val="24"/>
                <w:szCs w:val="21"/>
                <w:highlight w:val="none"/>
              </w:rPr>
              <w:t>3</w:t>
            </w:r>
            <w:r>
              <w:rPr>
                <w:rFonts w:hint="eastAsia" w:ascii="宋体" w:hAnsi="宋体" w:cs="宋体"/>
                <w:color w:val="auto"/>
                <w:kern w:val="0"/>
                <w:sz w:val="24"/>
                <w:szCs w:val="21"/>
                <w:highlight w:val="none"/>
              </w:rPr>
              <w:t>年7×24小时电话响应，提供技术咨询、故障报修等服务。投标人须在接到采购人维修要求电话后，半小时内回复，2小时到达现场，一般故障6小时内解决，如遇重大疑难故障，须向采购人做出详细情况说明，提供应急方案，并承诺具体修复时限。</w:t>
            </w:r>
          </w:p>
        </w:tc>
        <w:tc>
          <w:tcPr>
            <w:tcW w:w="800" w:type="pct"/>
            <w:tcBorders>
              <w:top w:val="nil"/>
              <w:left w:val="nil"/>
              <w:bottom w:val="single" w:color="auto" w:sz="4" w:space="0"/>
              <w:right w:val="single" w:color="auto" w:sz="4" w:space="0"/>
            </w:tcBorders>
            <w:shd w:val="clear" w:color="auto" w:fill="auto"/>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85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Times New Roman"/>
                <w:color w:val="auto"/>
                <w:kern w:val="0"/>
                <w:sz w:val="24"/>
                <w:szCs w:val="21"/>
                <w:highlight w:val="none"/>
              </w:rPr>
              <w:t>1.7</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培训要求：</w:t>
            </w:r>
            <w:r>
              <w:rPr>
                <w:rFonts w:hint="eastAsia" w:ascii="宋体" w:hAnsi="宋体" w:cs="宋体"/>
                <w:color w:val="auto"/>
                <w:kern w:val="0"/>
                <w:sz w:val="24"/>
                <w:szCs w:val="21"/>
                <w:highlight w:val="none"/>
              </w:rPr>
              <w:t>投标人应免费为采购方提供培训，培训工作应与系统上线、升级保持同步，确保采购方操作人员能够熟练操作。培训包括系统正常操作程序和异常情况下紧急处理方法。</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330"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Times New Roman"/>
                <w:color w:val="auto"/>
                <w:kern w:val="0"/>
                <w:sz w:val="24"/>
                <w:szCs w:val="21"/>
                <w:highlight w:val="none"/>
              </w:rPr>
              <w:t>1.7.1</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为保证项目的顺利实施，投标方应提供完善的培训方案，培训对象应覆盖所有相关人员，包括针对业务科室管理人员、普通操作用户、信息中心系统管理维护人员、行政领导等不同用户提供有针对性的培训课程安排。制定详细的培训计划，包括授课人员、培训对象、培训内容、参与人数、培训地点、培训课时等。培训方式包括但不限于集中授课、现场演示和辅助操作等。</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510"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Times New Roman"/>
                <w:color w:val="auto"/>
                <w:kern w:val="0"/>
                <w:sz w:val="24"/>
                <w:szCs w:val="21"/>
                <w:highlight w:val="none"/>
              </w:rPr>
              <w:t>1.7.2</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针对医护人员业务用户的操作培训必须用授课结合上机操作演示的方式进行培训，培训须安排不少于2次，以便各科室分批次安排用户参与。</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188"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Times New Roman"/>
                <w:color w:val="auto"/>
                <w:kern w:val="0"/>
                <w:sz w:val="24"/>
                <w:szCs w:val="21"/>
                <w:highlight w:val="none"/>
              </w:rPr>
              <w:t>1.7.3</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对信息中心工程师进行系统维护培训、数据库软件培训和数据结构培训等。在项目实施阶段医院信息科工程师直接参与实施全过程，系统实施相关内容向信息科工程师开放。要求受训人员能够了解软件系统的基本结构、数据流程、及操作方法，能进行实际操作和日常维护和常规故障排查。</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1020"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Times New Roman"/>
                <w:color w:val="auto"/>
                <w:kern w:val="0"/>
                <w:sz w:val="24"/>
                <w:szCs w:val="21"/>
                <w:highlight w:val="none"/>
              </w:rPr>
              <w:t>1.7.4</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投标人应在接到采购人通知的1周内，派出合格的技术人员担任教员到采购人指定地点对用户人员进行培训。培训讲师应具备三年以上相关系统开发、实施或培训经验。投标方须提供中文培训教材、培训课件、录像，受训人员使用的培训教材等费用，包含在本项目投标报价内均由投标人承担。</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Times New Roman"/>
                <w:color w:val="auto"/>
                <w:kern w:val="0"/>
                <w:sz w:val="24"/>
                <w:szCs w:val="21"/>
                <w:highlight w:val="none"/>
              </w:rPr>
              <w:t>1.8</w:t>
            </w: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知识产权要求：</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1200"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Segoe UI Symbol"/>
                <w:color w:val="auto"/>
                <w:kern w:val="0"/>
                <w:sz w:val="24"/>
                <w:szCs w:val="21"/>
                <w:highlight w:val="none"/>
              </w:rPr>
              <w:t>★</w:t>
            </w:r>
            <w:r>
              <w:rPr>
                <w:rFonts w:ascii="宋体" w:hAnsi="宋体" w:cs="Times New Roman"/>
                <w:color w:val="auto"/>
                <w:kern w:val="0"/>
                <w:sz w:val="24"/>
                <w:szCs w:val="21"/>
                <w:highlight w:val="none"/>
              </w:rPr>
              <w:t>1.8.1</w:t>
            </w:r>
          </w:p>
        </w:tc>
        <w:tc>
          <w:tcPr>
            <w:tcW w:w="3489" w:type="pct"/>
            <w:tcBorders>
              <w:top w:val="nil"/>
              <w:left w:val="nil"/>
              <w:bottom w:val="single" w:color="auto" w:sz="4" w:space="0"/>
              <w:right w:val="single" w:color="auto" w:sz="4" w:space="0"/>
            </w:tcBorders>
            <w:shd w:val="clear" w:color="auto" w:fill="auto"/>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所有投标软件产品必须在明细报价单中注明软件名称、开发商名称、最新版本号并提供软件著作权证明。OEM第三方的软件产品必须提供原开发商针对本项目授权和售后服务承诺书。投标人OEM的第三方软件产品必须是国内市场占有率前三的产品，OEM的第三方软件产品必须经采购人确认认同。</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472"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Segoe UI Symbol"/>
                <w:color w:val="auto"/>
                <w:kern w:val="0"/>
                <w:sz w:val="24"/>
                <w:szCs w:val="21"/>
                <w:highlight w:val="none"/>
              </w:rPr>
              <w:t>★</w:t>
            </w:r>
            <w:r>
              <w:rPr>
                <w:rFonts w:ascii="宋体" w:hAnsi="宋体" w:cs="Times New Roman"/>
                <w:color w:val="auto"/>
                <w:kern w:val="0"/>
                <w:sz w:val="24"/>
                <w:szCs w:val="21"/>
                <w:highlight w:val="none"/>
              </w:rPr>
              <w:t>1.8.2</w:t>
            </w:r>
          </w:p>
        </w:tc>
        <w:tc>
          <w:tcPr>
            <w:tcW w:w="3489" w:type="pct"/>
            <w:tcBorders>
              <w:top w:val="nil"/>
              <w:left w:val="nil"/>
              <w:bottom w:val="single" w:color="auto" w:sz="4" w:space="0"/>
              <w:right w:val="single" w:color="auto" w:sz="4" w:space="0"/>
            </w:tcBorders>
            <w:shd w:val="clear" w:color="auto" w:fill="auto"/>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投标人在本项目所投的已取得知识产权的应用软件产品，必须向采购人提供知识产权授权书或共享知识产权，其他针对本项目定制开发的应用软件与采购人共享知识产权。要求在本项目整体验收同时交付本项目投标人提供的所有软件产品（不含操作系统、数据库、中间件等通用系统级软件）源代码，并向采购人开放全部系统接口标准和接口源代码。</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438" w:hRule="atLeast"/>
          <w:jc w:val="center"/>
        </w:trPr>
        <w:tc>
          <w:tcPr>
            <w:tcW w:w="711" w:type="pct"/>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Times New Roman"/>
                <w:color w:val="auto"/>
                <w:kern w:val="0"/>
                <w:sz w:val="24"/>
                <w:szCs w:val="21"/>
                <w:highlight w:val="none"/>
              </w:rPr>
            </w:pPr>
            <w:r>
              <w:rPr>
                <w:rFonts w:ascii="宋体" w:hAnsi="宋体" w:cs="Segoe UI Symbol"/>
                <w:color w:val="auto"/>
                <w:kern w:val="0"/>
                <w:sz w:val="24"/>
                <w:szCs w:val="21"/>
                <w:highlight w:val="none"/>
              </w:rPr>
              <w:t>★</w:t>
            </w:r>
            <w:r>
              <w:rPr>
                <w:rFonts w:ascii="宋体" w:hAnsi="宋体" w:cs="Times New Roman"/>
                <w:color w:val="auto"/>
                <w:kern w:val="0"/>
                <w:sz w:val="24"/>
                <w:szCs w:val="21"/>
                <w:highlight w:val="none"/>
              </w:rPr>
              <w:t>1.8.3</w:t>
            </w:r>
          </w:p>
        </w:tc>
        <w:tc>
          <w:tcPr>
            <w:tcW w:w="3489" w:type="pct"/>
            <w:tcBorders>
              <w:top w:val="nil"/>
              <w:left w:val="nil"/>
              <w:bottom w:val="single" w:color="auto" w:sz="4" w:space="0"/>
              <w:right w:val="single" w:color="auto" w:sz="4" w:space="0"/>
            </w:tcBorders>
            <w:shd w:val="clear" w:color="auto" w:fill="auto"/>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投标人应保证，采购人拥有或有权使用为履行本项目提供的货物或货物的任何一部分以及提供的任何一项或一部分服务所涉及的专利权、商标权或其他有关知识产权。投标人应保证，采购人在中华人民共和国为履行本合同使用其提供的货物或货物的任何一部分以及在接受其提供的任何一项或一部分服务时，免受第三方提出的对其专利权、商标权或其他有关知识产权的侵权指控及停止使用合同货物或接受服务的损害。如发生对第三方专利权、商标权和其它知识产权的侵权行为，投标人应使采购人不受任何索赔和诉讼之影响。如因侵犯专利权、商标权和其它知识产权而使甲方受到索赔或起诉，投标人应负担由此产生的所有实际损失，同时，应立即参加所有谈判和/或诉讼，以解决争端，费用由投标人负担；在谈判、诉讼期间及最终决定以前，做出必要的安排，以保证采购人不会因此而中断使用有争议的合同货物或部件。</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1530" w:hRule="atLeast"/>
          <w:jc w:val="center"/>
        </w:trPr>
        <w:tc>
          <w:tcPr>
            <w:tcW w:w="711"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Times New Roman"/>
                <w:color w:val="auto"/>
                <w:kern w:val="0"/>
                <w:sz w:val="24"/>
                <w:szCs w:val="21"/>
                <w:highlight w:val="none"/>
              </w:rPr>
            </w:pPr>
          </w:p>
        </w:tc>
        <w:tc>
          <w:tcPr>
            <w:tcW w:w="3489" w:type="pct"/>
            <w:tcBorders>
              <w:top w:val="nil"/>
              <w:left w:val="nil"/>
              <w:bottom w:val="single" w:color="auto" w:sz="4" w:space="0"/>
              <w:right w:val="single" w:color="auto" w:sz="4" w:space="0"/>
            </w:tcBorders>
            <w:shd w:val="clear" w:color="auto" w:fill="auto"/>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如对第三方的侵权指控成立，最终裁决采购人禁止使用本合同项下所提供的合同货物和服务，无论是全部还是部分，投标人应在与采购人协商后作如下选择：费用由投标人自理，采购人获得本合同项下所提供的项目中所采购货物或部件以及服务或一部分服务的使用权，或对甲方不造成任何损失的前提下，修改本项目下所提供的项目所采购的货物和服务，使之不再存在侵权问题，或毫不迟延地采用其它符合相关项目规定的技术要求，性能等同、但无侵权行为的设备或部件和服务，以取代所提供的项目所采购货物或部件。</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90"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★2</w:t>
            </w: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color w:val="auto"/>
                <w:highlight w:val="none"/>
              </w:rPr>
            </w:pPr>
            <w:r>
              <w:rPr>
                <w:rFonts w:hint="eastAsia" w:ascii="宋体" w:hAnsi="宋体" w:cs="宋体"/>
                <w:b/>
                <w:bCs/>
                <w:color w:val="auto"/>
                <w:kern w:val="0"/>
                <w:sz w:val="24"/>
                <w:szCs w:val="21"/>
                <w:highlight w:val="none"/>
              </w:rPr>
              <w:t>历史数据迁移：</w:t>
            </w:r>
          </w:p>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上线前须完成各医院过去三个月现有业务系统历史数据迁移，上线后三个月内完成过去三年历史数据迁移。其他历史数据迁移需求视医院业务开展需要而定。</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★3</w:t>
            </w: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报价要求：</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765" w:hRule="atLeast"/>
          <w:jc w:val="center"/>
        </w:trPr>
        <w:tc>
          <w:tcPr>
            <w:tcW w:w="711"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489" w:type="pct"/>
            <w:tcBorders>
              <w:top w:val="nil"/>
              <w:left w:val="nil"/>
              <w:bottom w:val="single" w:color="auto" w:sz="4" w:space="0"/>
              <w:right w:val="single" w:color="auto" w:sz="4" w:space="0"/>
            </w:tcBorders>
            <w:shd w:val="clear" w:color="auto" w:fill="auto"/>
            <w:vAlign w:val="center"/>
          </w:tcPr>
          <w:p>
            <w:pPr>
              <w:snapToGrid w:val="0"/>
              <w:spacing w:line="360" w:lineRule="auto"/>
              <w:rPr>
                <w:color w:val="auto"/>
                <w:highlight w:val="none"/>
              </w:rPr>
            </w:pPr>
            <w:r>
              <w:rPr>
                <w:color w:val="auto"/>
                <w:highlight w:val="none"/>
              </w:rPr>
              <w:t>投标人须在投标文件中对质保期满后的续保费用报价（金额）。本项目质保期满后以本次项目投标文件中报价的续保费用为依据签订续保合同。</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Cs/>
                <w:color w:val="auto"/>
                <w:kern w:val="0"/>
                <w:sz w:val="24"/>
                <w:szCs w:val="21"/>
                <w:highlight w:val="none"/>
              </w:rPr>
            </w:pPr>
          </w:p>
        </w:tc>
      </w:tr>
      <w:tr>
        <w:tblPrEx>
          <w:tblCellMar>
            <w:top w:w="0" w:type="dxa"/>
            <w:left w:w="108" w:type="dxa"/>
            <w:bottom w:w="0" w:type="dxa"/>
            <w:right w:w="108" w:type="dxa"/>
          </w:tblCellMar>
        </w:tblPrEx>
        <w:trPr>
          <w:trHeight w:val="1275" w:hRule="atLeast"/>
          <w:jc w:val="center"/>
        </w:trPr>
        <w:tc>
          <w:tcPr>
            <w:tcW w:w="711" w:type="pc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★4</w:t>
            </w:r>
          </w:p>
        </w:tc>
        <w:tc>
          <w:tcPr>
            <w:tcW w:w="3489" w:type="pct"/>
            <w:tcBorders>
              <w:top w:val="nil"/>
              <w:left w:val="nil"/>
              <w:bottom w:val="single" w:color="auto" w:sz="4" w:space="0"/>
              <w:right w:val="single" w:color="auto" w:sz="4" w:space="0"/>
            </w:tcBorders>
            <w:vAlign w:val="center"/>
          </w:tcPr>
          <w:p>
            <w:pPr>
              <w:snapToGrid w:val="0"/>
              <w:spacing w:line="360" w:lineRule="auto"/>
              <w:rPr>
                <w:color w:val="auto"/>
                <w:highlight w:val="none"/>
              </w:rPr>
            </w:pPr>
            <w:r>
              <w:rPr>
                <w:rFonts w:hint="eastAsia" w:ascii="宋体" w:hAnsi="宋体" w:cs="宋体"/>
                <w:b/>
                <w:bCs/>
                <w:color w:val="auto"/>
                <w:kern w:val="0"/>
                <w:sz w:val="24"/>
                <w:szCs w:val="21"/>
                <w:highlight w:val="none"/>
              </w:rPr>
              <w:t>投标和合同签署主体要求</w:t>
            </w:r>
          </w:p>
          <w:p>
            <w:pPr>
              <w:snapToGrid w:val="0"/>
              <w:spacing w:line="360" w:lineRule="auto"/>
              <w:rPr>
                <w:color w:val="auto"/>
                <w:highlight w:val="none"/>
              </w:rPr>
            </w:pPr>
            <w:r>
              <w:rPr>
                <w:rFonts w:hint="eastAsia" w:ascii="宋体" w:hAnsi="宋体" w:cs="宋体"/>
                <w:color w:val="auto"/>
                <w:kern w:val="0"/>
                <w:sz w:val="24"/>
                <w:szCs w:val="21"/>
                <w:highlight w:val="none"/>
              </w:rPr>
              <w:t>须由集团/公司总部直接投标，不接受联合体、集团分公司、公司分支机构、公司办事处、代理商等主体投标。</w:t>
            </w:r>
          </w:p>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为保障项目交付成果和服务质量，须由集团/公司总部直接与采购人签署合同，并派遣总部人员提供现场开发、实施、维护等服务。</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★5</w:t>
            </w: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b/>
                <w:bCs/>
                <w:color w:val="auto"/>
                <w:kern w:val="0"/>
                <w:sz w:val="24"/>
                <w:szCs w:val="21"/>
                <w:highlight w:val="none"/>
              </w:rPr>
            </w:pPr>
            <w:r>
              <w:rPr>
                <w:rFonts w:hint="eastAsia" w:ascii="宋体" w:hAnsi="宋体" w:cs="宋体"/>
                <w:b/>
                <w:bCs/>
                <w:color w:val="auto"/>
                <w:kern w:val="0"/>
                <w:sz w:val="24"/>
                <w:szCs w:val="21"/>
                <w:highlight w:val="none"/>
              </w:rPr>
              <w:t>付款方式：</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b/>
                <w:bCs/>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489" w:type="pct"/>
            <w:tcBorders>
              <w:top w:val="nil"/>
              <w:left w:val="nil"/>
              <w:bottom w:val="single" w:color="auto" w:sz="4" w:space="0"/>
              <w:right w:val="single" w:color="auto" w:sz="4" w:space="0"/>
            </w:tcBorders>
            <w:vAlign w:val="center"/>
          </w:tcPr>
          <w:p>
            <w:pPr>
              <w:snapToGrid w:val="0"/>
              <w:spacing w:line="360" w:lineRule="auto"/>
              <w:rPr>
                <w:rFonts w:ascii="宋体" w:hAnsi="宋体" w:cs="宋体"/>
                <w:color w:val="auto"/>
                <w:kern w:val="0"/>
                <w:sz w:val="24"/>
                <w:szCs w:val="21"/>
                <w:highlight w:val="none"/>
              </w:rPr>
            </w:pPr>
            <w:r>
              <w:rPr>
                <w:rFonts w:hint="eastAsia" w:ascii="宋体" w:hAnsi="宋体" w:cs="宋体"/>
                <w:color w:val="auto"/>
                <w:kern w:val="0"/>
                <w:sz w:val="24"/>
                <w:szCs w:val="21"/>
                <w:highlight w:val="none"/>
              </w:rPr>
              <w:t>合同签订前</w:t>
            </w:r>
            <w:r>
              <w:rPr>
                <w:rFonts w:ascii="宋体" w:hAnsi="宋体" w:cs="宋体"/>
                <w:color w:val="auto"/>
                <w:kern w:val="0"/>
                <w:sz w:val="24"/>
                <w:szCs w:val="21"/>
                <w:highlight w:val="none"/>
              </w:rPr>
              <w:t>7</w:t>
            </w:r>
            <w:r>
              <w:rPr>
                <w:rFonts w:hint="eastAsia" w:ascii="宋体" w:hAnsi="宋体" w:cs="宋体"/>
                <w:color w:val="auto"/>
                <w:kern w:val="0"/>
                <w:sz w:val="24"/>
                <w:szCs w:val="21"/>
                <w:highlight w:val="none"/>
              </w:rPr>
              <w:t>天内，投标人须向采购人支付中标总价的</w:t>
            </w:r>
            <w:r>
              <w:rPr>
                <w:rFonts w:ascii="宋体" w:hAnsi="宋体" w:cs="宋体"/>
                <w:color w:val="auto"/>
                <w:kern w:val="0"/>
                <w:sz w:val="24"/>
                <w:szCs w:val="21"/>
                <w:highlight w:val="none"/>
              </w:rPr>
              <w:t>2</w:t>
            </w:r>
            <w:r>
              <w:rPr>
                <w:rFonts w:hint="eastAsia" w:ascii="宋体" w:hAnsi="宋体" w:cs="宋体"/>
                <w:color w:val="auto"/>
                <w:kern w:val="0"/>
                <w:sz w:val="24"/>
                <w:szCs w:val="21"/>
                <w:highlight w:val="none"/>
              </w:rPr>
              <w:t>%作为履约保证金，支付方式支持银行转账或保函。</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r>
        <w:tblPrEx>
          <w:tblCellMar>
            <w:top w:w="0" w:type="dxa"/>
            <w:left w:w="108" w:type="dxa"/>
            <w:bottom w:w="0" w:type="dxa"/>
            <w:right w:w="108" w:type="dxa"/>
          </w:tblCellMar>
        </w:tblPrEx>
        <w:trPr>
          <w:trHeight w:val="285" w:hRule="atLeast"/>
          <w:jc w:val="center"/>
        </w:trPr>
        <w:tc>
          <w:tcPr>
            <w:tcW w:w="711" w:type="pct"/>
            <w:vMerge w:val="continue"/>
            <w:tcBorders>
              <w:top w:val="nil"/>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 w:val="24"/>
                <w:szCs w:val="21"/>
                <w:highlight w:val="none"/>
              </w:rPr>
            </w:pPr>
          </w:p>
        </w:tc>
        <w:tc>
          <w:tcPr>
            <w:tcW w:w="3489" w:type="pct"/>
            <w:tcBorders>
              <w:top w:val="nil"/>
              <w:left w:val="nil"/>
              <w:bottom w:val="single" w:color="auto" w:sz="4" w:space="0"/>
              <w:right w:val="single" w:color="auto" w:sz="4" w:space="0"/>
            </w:tcBorders>
            <w:vAlign w:val="center"/>
          </w:tcPr>
          <w:p>
            <w:pPr>
              <w:snapToGrid w:val="0"/>
              <w:spacing w:line="360" w:lineRule="auto"/>
              <w:ind w:firstLine="48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本项目以单家医院通过验收进行付款，款项支付方式如下：</w:t>
            </w:r>
          </w:p>
          <w:p>
            <w:pPr>
              <w:snapToGrid w:val="0"/>
              <w:spacing w:line="360" w:lineRule="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系统上线平稳运行</w:t>
            </w:r>
            <w:r>
              <w:rPr>
                <w:rFonts w:hint="eastAsia" w:ascii="宋体" w:hAnsi="宋体" w:cs="宋体"/>
                <w:color w:val="auto"/>
                <w:kern w:val="0"/>
                <w:sz w:val="24"/>
                <w:szCs w:val="21"/>
                <w:highlight w:val="none"/>
                <w:lang w:val="en-US" w:eastAsia="zh-CN"/>
              </w:rPr>
              <w:t>后</w:t>
            </w:r>
            <w:r>
              <w:rPr>
                <w:rFonts w:hint="eastAsia" w:ascii="宋体" w:hAnsi="宋体" w:cs="宋体"/>
                <w:color w:val="auto"/>
                <w:kern w:val="0"/>
                <w:sz w:val="24"/>
                <w:szCs w:val="21"/>
                <w:highlight w:val="none"/>
              </w:rPr>
              <w:t>通过验收，支付单家医院总费用的95%。</w:t>
            </w:r>
          </w:p>
          <w:p>
            <w:pPr>
              <w:snapToGrid w:val="0"/>
              <w:spacing w:line="360" w:lineRule="auto"/>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lang w:val="en-US" w:eastAsia="zh-CN"/>
              </w:rPr>
              <w:t>至少三年</w:t>
            </w:r>
            <w:r>
              <w:rPr>
                <w:rFonts w:hint="eastAsia" w:ascii="宋体" w:hAnsi="宋体" w:cs="宋体"/>
                <w:color w:val="auto"/>
                <w:kern w:val="0"/>
                <w:sz w:val="24"/>
                <w:szCs w:val="21"/>
                <w:highlight w:val="none"/>
              </w:rPr>
              <w:t xml:space="preserve">后支付单家医院总费用的5%。 </w:t>
            </w:r>
          </w:p>
          <w:p>
            <w:pPr>
              <w:snapToGrid w:val="0"/>
              <w:spacing w:line="360" w:lineRule="auto"/>
              <w:rPr>
                <w:rFonts w:hint="eastAsia" w:ascii="Calibri" w:hAnsi="Calibri" w:cstheme="minorBidi"/>
                <w:color w:val="auto"/>
                <w:kern w:val="2"/>
                <w:sz w:val="21"/>
                <w:szCs w:val="22"/>
                <w:highlight w:val="none"/>
              </w:rPr>
            </w:pPr>
            <w:r>
              <w:rPr>
                <w:rFonts w:hint="eastAsia" w:ascii="宋体" w:hAnsi="宋体" w:cs="宋体"/>
                <w:color w:val="auto"/>
                <w:kern w:val="0"/>
                <w:sz w:val="24"/>
                <w:szCs w:val="21"/>
                <w:highlight w:val="none"/>
              </w:rPr>
              <w:t>（注：单家医院总费用=投标总价/15）</w:t>
            </w:r>
          </w:p>
        </w:tc>
        <w:tc>
          <w:tcPr>
            <w:tcW w:w="800" w:type="pct"/>
            <w:tcBorders>
              <w:top w:val="nil"/>
              <w:left w:val="nil"/>
              <w:bottom w:val="single" w:color="auto" w:sz="4" w:space="0"/>
              <w:right w:val="single" w:color="auto" w:sz="4" w:space="0"/>
            </w:tcBorders>
          </w:tcPr>
          <w:p>
            <w:pPr>
              <w:snapToGrid w:val="0"/>
              <w:spacing w:line="360" w:lineRule="auto"/>
              <w:rPr>
                <w:rFonts w:ascii="宋体" w:hAnsi="宋体" w:cs="宋体"/>
                <w:color w:val="auto"/>
                <w:kern w:val="0"/>
                <w:sz w:val="24"/>
                <w:szCs w:val="21"/>
                <w:highlight w:val="none"/>
              </w:rPr>
            </w:pPr>
          </w:p>
        </w:tc>
      </w:tr>
    </w:tbl>
    <w:p>
      <w:pPr>
        <w:pStyle w:val="2"/>
        <w:ind w:firstLine="400"/>
        <w:rPr>
          <w:rStyle w:val="21"/>
          <w:rFonts w:ascii="宋体" w:hAnsi="宋体" w:cs="宋体"/>
          <w:color w:val="auto"/>
          <w:sz w:val="20"/>
          <w:highlight w:val="none"/>
        </w:rPr>
      </w:pPr>
    </w:p>
    <w:p>
      <w:pPr>
        <w:pStyle w:val="26"/>
        <w:rPr>
          <w:rStyle w:val="21"/>
          <w:rFonts w:ascii="宋体" w:hAnsi="宋体" w:cs="宋体"/>
          <w:color w:val="auto"/>
          <w:sz w:val="20"/>
          <w:highlight w:val="none"/>
        </w:rPr>
      </w:pPr>
      <w:r>
        <w:rPr>
          <w:rStyle w:val="21"/>
          <w:rFonts w:ascii="宋体" w:hAnsi="宋体" w:cs="宋体"/>
          <w:color w:val="auto"/>
          <w:sz w:val="20"/>
          <w:highlight w:val="none"/>
        </w:rPr>
        <w:br w:type="page"/>
      </w:r>
    </w:p>
    <w:p>
      <w:pPr>
        <w:pStyle w:val="44"/>
        <w:tabs>
          <w:tab w:val="left" w:pos="0"/>
        </w:tabs>
        <w:spacing w:line="240" w:lineRule="auto"/>
        <w:ind w:left="0" w:leftChars="0" w:firstLineChars="0"/>
        <w:jc w:val="center"/>
        <w:outlineLvl w:val="0"/>
        <w:rPr>
          <w:rStyle w:val="21"/>
          <w:rFonts w:ascii="宋体" w:hAnsi="宋体" w:cs="宋体"/>
          <w:b/>
          <w:color w:val="auto"/>
          <w:sz w:val="36"/>
          <w:highlight w:val="none"/>
        </w:rPr>
      </w:pPr>
      <w:bookmarkStart w:id="103" w:name="_Toc111025237"/>
      <w:r>
        <w:rPr>
          <w:rStyle w:val="21"/>
          <w:rFonts w:hint="eastAsia" w:ascii="宋体" w:hAnsi="宋体" w:cs="宋体"/>
          <w:b/>
          <w:color w:val="auto"/>
          <w:sz w:val="36"/>
          <w:highlight w:val="none"/>
        </w:rPr>
        <w:t>第四部分评审方法（综合评分法）</w:t>
      </w:r>
      <w:bookmarkEnd w:id="103"/>
    </w:p>
    <w:p>
      <w:pPr>
        <w:spacing w:line="360" w:lineRule="auto"/>
        <w:ind w:firstLine="480" w:firstLineChars="200"/>
        <w:rPr>
          <w:rStyle w:val="21"/>
          <w:rFonts w:ascii="宋体" w:hAnsi="宋体" w:cs="宋体"/>
          <w:color w:val="auto"/>
          <w:kern w:val="0"/>
          <w:sz w:val="24"/>
          <w:highlight w:val="none"/>
        </w:rPr>
      </w:pPr>
      <w:r>
        <w:rPr>
          <w:rStyle w:val="21"/>
          <w:rFonts w:hint="eastAsia" w:ascii="宋体" w:hAnsi="宋体" w:cs="宋体"/>
          <w:color w:val="auto"/>
          <w:sz w:val="24"/>
          <w:highlight w:val="none"/>
        </w:rPr>
        <w:t>本项目评审方法见招标文件第二部分“投标人须知前附表”中第21项的规定。</w:t>
      </w:r>
      <w:r>
        <w:rPr>
          <w:rStyle w:val="21"/>
          <w:rFonts w:hint="eastAsia" w:ascii="宋体" w:hAnsi="宋体" w:cs="宋体"/>
          <w:color w:val="auto"/>
          <w:kern w:val="0"/>
          <w:sz w:val="24"/>
          <w:highlight w:val="none"/>
        </w:rPr>
        <w:t>如果采用综合评分法，评分细则如下：</w:t>
      </w:r>
    </w:p>
    <w:p>
      <w:pPr>
        <w:pStyle w:val="17"/>
        <w:ind w:firstLine="241"/>
        <w:rPr>
          <w:color w:val="auto"/>
          <w:highlight w:val="none"/>
        </w:rPr>
      </w:pPr>
      <w:r>
        <w:rPr>
          <w:rFonts w:hint="eastAsia"/>
          <w:b/>
          <w:bCs/>
          <w:color w:val="auto"/>
          <w:sz w:val="24"/>
          <w:szCs w:val="28"/>
          <w:highlight w:val="none"/>
        </w:rPr>
        <w:t>初步评审</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75" w:type="dxa"/>
          <w:bottom w:w="75" w:type="dxa"/>
          <w:right w:w="75" w:type="dxa"/>
        </w:tblCellMar>
      </w:tblPr>
      <w:tblGrid>
        <w:gridCol w:w="656"/>
        <w:gridCol w:w="740"/>
        <w:gridCol w:w="1633"/>
        <w:gridCol w:w="4312"/>
        <w:gridCol w:w="569"/>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2" w:hRule="atLeast"/>
          <w:jc w:val="center"/>
        </w:trPr>
        <w:tc>
          <w:tcPr>
            <w:tcW w:w="824" w:type="pct"/>
            <w:gridSpan w:val="2"/>
            <w:vMerge w:val="restar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评分因素</w:t>
            </w:r>
          </w:p>
        </w:tc>
        <w:tc>
          <w:tcPr>
            <w:tcW w:w="965" w:type="pct"/>
            <w:vMerge w:val="restar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评分点</w:t>
            </w:r>
          </w:p>
        </w:tc>
        <w:tc>
          <w:tcPr>
            <w:tcW w:w="2548" w:type="pct"/>
            <w:vMerge w:val="restar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评分标准</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2" w:hRule="atLeast"/>
          <w:jc w:val="center"/>
        </w:trPr>
        <w:tc>
          <w:tcPr>
            <w:tcW w:w="824" w:type="pct"/>
            <w:gridSpan w:val="2"/>
            <w:vMerge w:val="continue"/>
            <w:vAlign w:val="center"/>
          </w:tcPr>
          <w:p>
            <w:pPr>
              <w:pStyle w:val="201"/>
              <w:adjustRightInd w:val="0"/>
              <w:snapToGrid w:val="0"/>
              <w:spacing w:line="0" w:lineRule="atLeast"/>
              <w:jc w:val="center"/>
              <w:rPr>
                <w:rFonts w:ascii="宋体" w:hAnsi="宋体" w:eastAsia="宋体" w:cs="宋体"/>
                <w:color w:val="auto"/>
                <w:sz w:val="22"/>
                <w:szCs w:val="22"/>
                <w:highlight w:val="none"/>
              </w:rPr>
            </w:pPr>
          </w:p>
        </w:tc>
        <w:tc>
          <w:tcPr>
            <w:tcW w:w="965" w:type="pct"/>
            <w:vMerge w:val="continue"/>
            <w:vAlign w:val="center"/>
          </w:tcPr>
          <w:p>
            <w:pPr>
              <w:pStyle w:val="201"/>
              <w:adjustRightInd w:val="0"/>
              <w:snapToGrid w:val="0"/>
              <w:spacing w:line="0" w:lineRule="atLeast"/>
              <w:jc w:val="center"/>
              <w:rPr>
                <w:rFonts w:ascii="宋体" w:hAnsi="宋体" w:eastAsia="宋体" w:cs="宋体"/>
                <w:color w:val="auto"/>
                <w:sz w:val="22"/>
                <w:szCs w:val="22"/>
                <w:highlight w:val="none"/>
              </w:rPr>
            </w:pPr>
          </w:p>
        </w:tc>
        <w:tc>
          <w:tcPr>
            <w:tcW w:w="2548" w:type="pct"/>
            <w:vMerge w:val="continue"/>
            <w:vAlign w:val="center"/>
          </w:tcPr>
          <w:p>
            <w:pPr>
              <w:pStyle w:val="201"/>
              <w:adjustRightInd w:val="0"/>
              <w:snapToGrid w:val="0"/>
              <w:spacing w:line="0" w:lineRule="atLeast"/>
              <w:jc w:val="center"/>
              <w:rPr>
                <w:rFonts w:ascii="宋体" w:hAnsi="宋体" w:eastAsia="宋体" w:cs="宋体"/>
                <w:color w:val="auto"/>
                <w:sz w:val="22"/>
                <w:szCs w:val="22"/>
                <w:highlight w:val="none"/>
              </w:rPr>
            </w:pP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是</w:t>
            </w: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276" w:hRule="atLeast"/>
          <w:jc w:val="center"/>
        </w:trPr>
        <w:tc>
          <w:tcPr>
            <w:tcW w:w="388" w:type="pct"/>
            <w:vMerge w:val="restart"/>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初步评审</w:t>
            </w:r>
          </w:p>
        </w:tc>
        <w:tc>
          <w:tcPr>
            <w:tcW w:w="437" w:type="pct"/>
            <w:vMerge w:val="restart"/>
            <w:vAlign w:val="center"/>
          </w:tcPr>
          <w:p>
            <w:pPr>
              <w:pStyle w:val="201"/>
              <w:adjustRightInd w:val="0"/>
              <w:snapToGrid w:val="0"/>
              <w:spacing w:line="0"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符合性检查</w:t>
            </w: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法定代表人授权委托书及被授权人身份证</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授权委托人作为投标人代表的是否具备有效的法定代表人授权委托书原件（授权委托书应由法定代表签名并加盖企业公章）及受托人身份证原件扫描件；法定代表人作为投标人代表的是否具备有效的法定代表人资格证明文件原件及法定代表人身份证原件扫描件</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2" w:hRule="atLeast"/>
          <w:jc w:val="center"/>
        </w:trPr>
        <w:tc>
          <w:tcPr>
            <w:tcW w:w="388"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437" w:type="pct"/>
            <w:vMerge w:val="continue"/>
            <w:vAlign w:val="center"/>
          </w:tcPr>
          <w:p>
            <w:pPr>
              <w:pStyle w:val="201"/>
              <w:adjustRightInd w:val="0"/>
              <w:snapToGrid w:val="0"/>
              <w:spacing w:line="0" w:lineRule="atLeast"/>
              <w:jc w:val="center"/>
              <w:rPr>
                <w:rFonts w:ascii="宋体" w:hAnsi="宋体" w:eastAsia="宋体" w:cs="宋体"/>
                <w:color w:val="auto"/>
                <w:sz w:val="22"/>
                <w:szCs w:val="22"/>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是否与营业执照、税务登记证、资质证书一致</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33" w:hRule="atLeast"/>
          <w:jc w:val="center"/>
        </w:trPr>
        <w:tc>
          <w:tcPr>
            <w:tcW w:w="388"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437"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投标文件签章</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投标文件是否按照规定在应由企业法人或法人授权代表在所有规定签字处逐一签章及加盖单位公章</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33" w:hRule="atLeast"/>
          <w:jc w:val="center"/>
        </w:trPr>
        <w:tc>
          <w:tcPr>
            <w:tcW w:w="388"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437"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投标文件针对同一种货物出现了两个或两个以上的报价；报价超过项目/包预算或最高限价或经评标委员会认定低于成本的</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2" w:hRule="atLeast"/>
          <w:jc w:val="center"/>
        </w:trPr>
        <w:tc>
          <w:tcPr>
            <w:tcW w:w="388"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437"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技术响应性评审</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第三部分采购人需求第6条；技术条款及其他相关要求中标“★”为核心条款，投标人是否满足参数要求</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733" w:hRule="atLeast"/>
          <w:jc w:val="center"/>
        </w:trPr>
        <w:tc>
          <w:tcPr>
            <w:tcW w:w="388"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437"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未按招标文件规定递交投标保证金的、投标保证金金额不足的、投标保证金形式不符合招标文件规定的</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2" w:hRule="atLeast"/>
          <w:jc w:val="center"/>
        </w:trPr>
        <w:tc>
          <w:tcPr>
            <w:tcW w:w="388"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437"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投标有效期满足招标文件要求</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2" w:hRule="atLeast"/>
          <w:jc w:val="center"/>
        </w:trPr>
        <w:tc>
          <w:tcPr>
            <w:tcW w:w="388"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437"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质保期</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质保期是否满足招标文件要求</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2" w:hRule="atLeast"/>
          <w:jc w:val="center"/>
        </w:trPr>
        <w:tc>
          <w:tcPr>
            <w:tcW w:w="388"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437"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交付日期</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交付日期是否满足招标文件要求</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2" w:hRule="atLeast"/>
          <w:jc w:val="center"/>
        </w:trPr>
        <w:tc>
          <w:tcPr>
            <w:tcW w:w="388"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437"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附加条件</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投标文件含有采购人不能接受的附加条件的</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64" w:hRule="atLeast"/>
          <w:jc w:val="center"/>
        </w:trPr>
        <w:tc>
          <w:tcPr>
            <w:tcW w:w="388"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437" w:type="pct"/>
            <w:vMerge w:val="continue"/>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9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其他</w:t>
            </w:r>
          </w:p>
        </w:tc>
        <w:tc>
          <w:tcPr>
            <w:tcW w:w="254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违反国家法律、法规和招标文件规定的其他无效情形</w:t>
            </w:r>
          </w:p>
        </w:tc>
        <w:tc>
          <w:tcPr>
            <w:tcW w:w="336"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c>
          <w:tcPr>
            <w:tcW w:w="327"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p>
        </w:tc>
      </w:tr>
    </w:tbl>
    <w:p>
      <w:pPr>
        <w:pStyle w:val="17"/>
        <w:ind w:firstLine="281"/>
        <w:jc w:val="center"/>
        <w:rPr>
          <w:b/>
          <w:bCs/>
          <w:color w:val="auto"/>
          <w:sz w:val="24"/>
          <w:szCs w:val="28"/>
          <w:highlight w:val="none"/>
        </w:rPr>
      </w:pPr>
      <w:r>
        <w:rPr>
          <w:rFonts w:hint="eastAsia"/>
          <w:b/>
          <w:bCs/>
          <w:color w:val="auto"/>
          <w:highlight w:val="none"/>
        </w:rPr>
        <w:t>详细评审</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75" w:type="dxa"/>
          <w:bottom w:w="75" w:type="dxa"/>
          <w:right w:w="75" w:type="dxa"/>
        </w:tblCellMar>
      </w:tblPr>
      <w:tblGrid>
        <w:gridCol w:w="668"/>
        <w:gridCol w:w="729"/>
        <w:gridCol w:w="1271"/>
        <w:gridCol w:w="4668"/>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826" w:type="pct"/>
            <w:gridSpan w:val="2"/>
            <w:tcBorders>
              <w:top w:val="single" w:color="auto" w:sz="4" w:space="0"/>
              <w:left w:val="single" w:color="auto" w:sz="4" w:space="0"/>
              <w:bottom w:val="single" w:color="auto" w:sz="4" w:space="0"/>
              <w:right w:val="single" w:color="auto" w:sz="4" w:space="0"/>
            </w:tcBorders>
            <w:vAlign w:val="center"/>
          </w:tcPr>
          <w:p>
            <w:pPr>
              <w:pStyle w:val="201"/>
              <w:adjustRightInd w:val="0"/>
              <w:snapToGrid w:val="0"/>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评分因素</w:t>
            </w:r>
          </w:p>
        </w:tc>
        <w:tc>
          <w:tcPr>
            <w:tcW w:w="751"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评分点</w:t>
            </w:r>
          </w:p>
        </w:tc>
        <w:tc>
          <w:tcPr>
            <w:tcW w:w="275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评分标准</w:t>
            </w:r>
          </w:p>
        </w:tc>
        <w:tc>
          <w:tcPr>
            <w:tcW w:w="6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jc w:val="center"/>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rPr>
              <w:t>权重分配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restart"/>
            <w:tcBorders>
              <w:top w:val="single" w:color="auto" w:sz="4" w:space="0"/>
              <w:left w:val="single" w:color="auto" w:sz="4" w:space="0"/>
              <w:right w:val="single" w:color="auto" w:sz="4" w:space="0"/>
            </w:tcBorders>
            <w:vAlign w:val="center"/>
          </w:tcPr>
          <w:p>
            <w:pPr>
              <w:pStyle w:val="201"/>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详细评审</w:t>
            </w:r>
          </w:p>
        </w:tc>
        <w:tc>
          <w:tcPr>
            <w:tcW w:w="431"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价格评审</w:t>
            </w:r>
          </w:p>
          <w:p>
            <w:pPr>
              <w:pStyle w:val="201"/>
              <w:adjustRightInd w:val="0"/>
              <w:snapToGrid w:val="0"/>
              <w:jc w:val="center"/>
              <w:rPr>
                <w:rFonts w:ascii="宋体" w:hAnsi="宋体" w:eastAsia="宋体" w:cs="宋体"/>
                <w:color w:val="auto"/>
                <w:highlight w:val="none"/>
              </w:rPr>
            </w:pPr>
            <w:r>
              <w:rPr>
                <w:rFonts w:hint="eastAsia" w:ascii="宋体" w:hAnsi="宋体" w:eastAsia="宋体" w:cs="宋体"/>
                <w:color w:val="auto"/>
                <w:highlight w:val="none"/>
              </w:rPr>
              <w:t>(10分)</w:t>
            </w:r>
          </w:p>
        </w:tc>
        <w:tc>
          <w:tcPr>
            <w:tcW w:w="751"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rPr>
                <w:rFonts w:ascii="宋体" w:hAnsi="宋体" w:eastAsia="宋体" w:cs="宋体"/>
                <w:color w:val="auto"/>
                <w:highlight w:val="none"/>
              </w:rPr>
            </w:pPr>
            <w:r>
              <w:rPr>
                <w:rFonts w:hint="eastAsia" w:ascii="宋体" w:hAnsi="宋体" w:eastAsia="宋体" w:cs="宋体"/>
                <w:color w:val="auto"/>
                <w:highlight w:val="none"/>
              </w:rPr>
              <w:t>投标报价</w:t>
            </w:r>
          </w:p>
        </w:tc>
        <w:tc>
          <w:tcPr>
            <w:tcW w:w="2758"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rPr>
                <w:rFonts w:ascii="宋体" w:hAnsi="宋体" w:eastAsia="宋体" w:cs="宋体"/>
                <w:color w:val="auto"/>
                <w:highlight w:val="none"/>
              </w:rPr>
            </w:pPr>
            <w:r>
              <w:rPr>
                <w:rFonts w:hint="eastAsia" w:ascii="宋体" w:hAnsi="宋体" w:eastAsia="宋体" w:cs="宋体"/>
                <w:color w:val="auto"/>
                <w:highlight w:val="none"/>
              </w:rPr>
              <w:t>评标基准价=有效投标报价的最低值，有效投标报价等于评标基准价的得满分，投标报价得分=（评标基准价/投标报价）×100。有效投标报价为通过初步审查的供应商报价。</w:t>
            </w:r>
          </w:p>
          <w:p>
            <w:pPr>
              <w:pStyle w:val="201"/>
              <w:adjustRightInd w:val="0"/>
              <w:snapToGrid w:val="0"/>
              <w:rPr>
                <w:rFonts w:ascii="宋体" w:hAnsi="宋体" w:eastAsia="宋体" w:cs="宋体"/>
                <w:color w:val="auto"/>
                <w:highlight w:val="none"/>
              </w:rPr>
            </w:pPr>
            <w:r>
              <w:rPr>
                <w:rFonts w:hint="eastAsia" w:ascii="宋体" w:hAnsi="宋体" w:eastAsia="宋体" w:cs="宋体"/>
                <w:color w:val="auto"/>
                <w:highlight w:val="none"/>
              </w:rPr>
              <w:t>为防止虚假应标或恶意竞标情形的发生：投标人的投标价格若低于预算价格80%的，投标人需提供其针对本项目的详细的成本说明。(成本分析说明需包含但不局限如下几点:项目原形产品软件研发的分摊成本、第三方软件产品外购成本、本项目需求分析成本、本项目二次开发成分、项目实施人员成本、项目管理成本、公司管理费用、实施人员餐旅费用、通讯费用、税金、项目的合理利润、免费维护期内各项维护及人员、食宿成本等)。若评标专家组半数以上专家认为存在虚假应标或恶意竞标的情形，做无效标处理。</w:t>
            </w:r>
          </w:p>
        </w:tc>
        <w:tc>
          <w:tcPr>
            <w:tcW w:w="665"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rPr>
                <w:rFonts w:ascii="宋体" w:hAnsi="宋体" w:eastAsia="宋体" w:cs="宋体"/>
                <w:color w:val="auto"/>
                <w:highlight w:val="none"/>
              </w:rPr>
            </w:pPr>
            <w:r>
              <w:rPr>
                <w:rFonts w:hint="eastAsia" w:ascii="宋体" w:hAnsi="宋体" w:eastAsia="宋体" w:cs="宋体"/>
                <w:color w:val="auto"/>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restart"/>
            <w:tcBorders>
              <w:top w:val="single" w:color="auto" w:sz="4" w:space="0"/>
              <w:left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highlight w:val="none"/>
              </w:rPr>
            </w:pPr>
            <w:r>
              <w:rPr>
                <w:rFonts w:hint="eastAsia" w:ascii="宋体" w:hAnsi="宋体" w:eastAsia="宋体" w:cs="宋体"/>
                <w:color w:val="auto"/>
                <w:highlight w:val="none"/>
              </w:rPr>
              <w:t>商务评审</w:t>
            </w:r>
          </w:p>
          <w:p>
            <w:pPr>
              <w:pStyle w:val="201"/>
              <w:adjustRightInd w:val="0"/>
              <w:snapToGrid w:val="0"/>
              <w:spacing w:line="0" w:lineRule="atLeast"/>
              <w:jc w:val="center"/>
              <w:rPr>
                <w:rFonts w:ascii="宋体" w:hAnsi="宋体" w:eastAsia="宋体" w:cs="宋体"/>
                <w:color w:val="auto"/>
                <w:highlight w:val="none"/>
              </w:rPr>
            </w:pPr>
            <w:r>
              <w:rPr>
                <w:rFonts w:hint="eastAsia" w:ascii="宋体" w:hAnsi="宋体" w:eastAsia="宋体" w:cs="宋体"/>
                <w:color w:val="auto"/>
                <w:highlight w:val="none"/>
              </w:rPr>
              <w:t>(20分)</w:t>
            </w:r>
          </w:p>
        </w:tc>
        <w:tc>
          <w:tcPr>
            <w:tcW w:w="751" w:type="pct"/>
            <w:vMerge w:val="restart"/>
            <w:tcBorders>
              <w:top w:val="single" w:color="auto" w:sz="4" w:space="0"/>
              <w:left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企业实力（10分）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color w:val="auto"/>
                <w:highlight w:val="none"/>
              </w:rPr>
            </w:pPr>
            <w:r>
              <w:rPr>
                <w:rFonts w:hint="eastAsia" w:ascii="宋体" w:hAnsi="宋体" w:cs="宋体"/>
                <w:color w:val="auto"/>
                <w:kern w:val="0"/>
                <w:sz w:val="24"/>
                <w:szCs w:val="24"/>
                <w:highlight w:val="none"/>
              </w:rPr>
              <w:t>1、投标人具有ISO9001质量管理体系认证证书、CMMI5、ISO20000IT服务管理体系认证证书、ISO27001信息安全管理体系认证书、ISO14001环境管理系统认证证书、</w:t>
            </w:r>
            <w:r>
              <w:rPr>
                <w:rFonts w:hint="eastAsia" w:ascii="宋体" w:hAnsi="宋体" w:cs="宋体"/>
                <w:color w:val="auto"/>
                <w:kern w:val="0"/>
                <w:sz w:val="24"/>
                <w:szCs w:val="24"/>
                <w:highlight w:val="none"/>
                <w:lang w:eastAsia="zh-Hans"/>
              </w:rPr>
              <w:t>ISO</w:t>
            </w:r>
            <w:r>
              <w:rPr>
                <w:rFonts w:ascii="宋体" w:hAnsi="宋体" w:cs="宋体"/>
                <w:color w:val="auto"/>
                <w:kern w:val="0"/>
                <w:sz w:val="24"/>
                <w:szCs w:val="24"/>
                <w:highlight w:val="none"/>
                <w:lang w:eastAsia="zh-Hans"/>
              </w:rPr>
              <w:t>45001</w:t>
            </w:r>
            <w:r>
              <w:rPr>
                <w:rFonts w:hint="eastAsia" w:ascii="宋体" w:hAnsi="宋体" w:cs="宋体"/>
                <w:color w:val="auto"/>
                <w:kern w:val="0"/>
                <w:sz w:val="24"/>
                <w:szCs w:val="24"/>
                <w:highlight w:val="none"/>
              </w:rPr>
              <w:t>职业健康安全管理体系和ITSS信息技术服务运行维护标准符合性证书（一级），以上全部提供得4分，每少1个扣1分，扣完为止。</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投标文件中提供证书复印件并加盖公章。</w:t>
            </w:r>
          </w:p>
        </w:tc>
        <w:tc>
          <w:tcPr>
            <w:tcW w:w="665" w:type="pct"/>
            <w:tcBorders>
              <w:top w:val="single" w:color="auto" w:sz="4" w:space="0"/>
              <w:left w:val="single" w:color="auto" w:sz="4" w:space="0"/>
            </w:tcBorders>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vAlign w:val="center"/>
          </w:tcPr>
          <w:p>
            <w:pPr>
              <w:pStyle w:val="201"/>
              <w:adjustRightInd w:val="0"/>
              <w:snapToGrid w:val="0"/>
              <w:spacing w:line="0" w:lineRule="atLeast"/>
              <w:jc w:val="center"/>
              <w:rPr>
                <w:rFonts w:ascii="宋体" w:hAnsi="宋体" w:eastAsia="宋体" w:cs="宋体"/>
                <w:color w:val="auto"/>
                <w:highlight w:val="none"/>
              </w:rPr>
            </w:pPr>
          </w:p>
        </w:tc>
        <w:tc>
          <w:tcPr>
            <w:tcW w:w="751" w:type="pct"/>
            <w:vMerge w:val="continue"/>
            <w:tcBorders>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1、投标人具有中国信息安全测评中心颁发的：</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1)有效的信息安全服务资质（安全工程类）一级及以上证书。</w:t>
            </w:r>
          </w:p>
          <w:p>
            <w:pPr>
              <w:pStyle w:val="11"/>
              <w:adjustRightInd w:val="0"/>
              <w:jc w:val="both"/>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2)有效的信息安全服务资质（安全开发类）一级及以上证书。</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全部满足得2分，否则不得分。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(提供证明文件并加盖公章)</w:t>
            </w:r>
          </w:p>
          <w:p>
            <w:pPr>
              <w:pStyle w:val="26"/>
              <w:rPr>
                <w:color w:val="auto"/>
                <w:highlight w:val="none"/>
              </w:rPr>
            </w:pP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2、投标人具有中国电子信息行业联合会颁发的信息系统建设和服务能力评估优秀级(CS4级)及以上资质证书，提供得1分，满分1分。(提供证明文件并加盖公章)</w:t>
            </w:r>
          </w:p>
          <w:p>
            <w:pPr>
              <w:pStyle w:val="26"/>
              <w:rPr>
                <w:color w:val="auto"/>
                <w:highlight w:val="none"/>
              </w:rPr>
            </w:pP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3、投标人具有中国网络安全审查技术与认证中心颁发的信息系统安全集成服务资质认证（CCRC）：一级得3分，二级得1分，其他不得分。(提供证明文件并加盖公章)</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vAlign w:val="center"/>
          </w:tcPr>
          <w:p>
            <w:pPr>
              <w:pStyle w:val="201"/>
              <w:adjustRightInd w:val="0"/>
              <w:snapToGrid w:val="0"/>
              <w:spacing w:line="0" w:lineRule="atLeast"/>
              <w:jc w:val="center"/>
              <w:rPr>
                <w:rFonts w:ascii="宋体" w:hAnsi="宋体" w:eastAsia="宋体" w:cs="宋体"/>
                <w:color w:val="auto"/>
                <w:highlight w:val="none"/>
              </w:rPr>
            </w:pPr>
          </w:p>
        </w:tc>
        <w:tc>
          <w:tcPr>
            <w:tcW w:w="751" w:type="pct"/>
            <w:vMerge w:val="restart"/>
            <w:tcBorders>
              <w:top w:val="single" w:color="auto" w:sz="4" w:space="0"/>
              <w:left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产品创新能力（4分）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1、投标人的卫生信息化产品获得中国软件行业协会颁发的创新软件产品称号的每个得1分，满分2分。投标文件中提供证明材料复印件加盖公章</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vAlign w:val="center"/>
          </w:tcPr>
          <w:p>
            <w:pPr>
              <w:pStyle w:val="201"/>
              <w:adjustRightInd w:val="0"/>
              <w:snapToGrid w:val="0"/>
              <w:spacing w:line="0" w:lineRule="atLeast"/>
              <w:rPr>
                <w:rFonts w:ascii="宋体" w:hAnsi="宋体" w:eastAsia="宋体" w:cs="宋体"/>
                <w:color w:val="auto"/>
                <w:highlight w:val="none"/>
              </w:rPr>
            </w:pPr>
          </w:p>
        </w:tc>
        <w:tc>
          <w:tcPr>
            <w:tcW w:w="751" w:type="pct"/>
            <w:vMerge w:val="continue"/>
            <w:tcBorders>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2、投标人拥有的卫生信息化产品获得国家级科学技术进步奖的，得2分，其他不得分。投标文件中提供证明材料复印件加盖公章</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391" w:hRule="atLeast"/>
        </w:trPr>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vAlign w:val="center"/>
          </w:tcPr>
          <w:p>
            <w:pPr>
              <w:pStyle w:val="201"/>
              <w:adjustRightInd w:val="0"/>
              <w:snapToGrid w:val="0"/>
              <w:spacing w:line="0" w:lineRule="atLeast"/>
              <w:rPr>
                <w:rFonts w:ascii="宋体" w:hAnsi="宋体" w:eastAsia="宋体" w:cs="宋体"/>
                <w:color w:val="auto"/>
                <w:highlight w:val="none"/>
              </w:rPr>
            </w:pPr>
          </w:p>
        </w:tc>
        <w:tc>
          <w:tcPr>
            <w:tcW w:w="751" w:type="pct"/>
            <w:vMerge w:val="restart"/>
            <w:tcBorders>
              <w:top w:val="single" w:color="auto" w:sz="4" w:space="0"/>
              <w:left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案例情况（6分）</w:t>
            </w:r>
          </w:p>
        </w:tc>
        <w:tc>
          <w:tcPr>
            <w:tcW w:w="2758" w:type="pct"/>
            <w:tcBorders>
              <w:top w:val="single" w:color="auto" w:sz="4" w:space="0"/>
              <w:left w:val="single" w:color="auto" w:sz="4" w:space="0"/>
              <w:bottom w:val="single" w:color="auto" w:sz="4" w:space="0"/>
              <w:right w:val="single" w:color="auto" w:sz="4" w:space="0"/>
            </w:tcBorders>
            <w:vAlign w:val="center"/>
          </w:tcPr>
          <w:p>
            <w:pPr>
              <w:pStyle w:val="2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投标人需要具有通过</w:t>
            </w:r>
            <w:r>
              <w:rPr>
                <w:rFonts w:asciiTheme="minorEastAsia" w:hAnsiTheme="minorEastAsia" w:eastAsiaTheme="minorEastAsia"/>
                <w:color w:val="auto"/>
                <w:sz w:val="24"/>
                <w:szCs w:val="24"/>
                <w:highlight w:val="none"/>
              </w:rPr>
              <w:t>2020</w:t>
            </w:r>
            <w:r>
              <w:rPr>
                <w:rFonts w:hint="eastAsia" w:asciiTheme="minorEastAsia" w:hAnsiTheme="minorEastAsia" w:eastAsiaTheme="minorEastAsia"/>
                <w:color w:val="auto"/>
                <w:sz w:val="24"/>
                <w:szCs w:val="24"/>
                <w:highlight w:val="none"/>
              </w:rPr>
              <w:t>年新版国家医疗健康信息互联互通标准化成熟度测评结果五级乙等及以上的案例，提供</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个得</w:t>
            </w:r>
            <w:r>
              <w:rPr>
                <w:rFonts w:asciiTheme="minorEastAsia" w:hAnsiTheme="minorEastAsia" w:eastAsiaTheme="minorEastAsia"/>
                <w:color w:val="auto"/>
                <w:sz w:val="24"/>
                <w:szCs w:val="24"/>
                <w:highlight w:val="none"/>
              </w:rPr>
              <w:t>0.5</w:t>
            </w:r>
            <w:r>
              <w:rPr>
                <w:rFonts w:hint="eastAsia" w:asciiTheme="minorEastAsia" w:hAnsiTheme="minorEastAsia" w:eastAsiaTheme="minorEastAsia"/>
                <w:color w:val="auto"/>
                <w:sz w:val="24"/>
                <w:szCs w:val="24"/>
                <w:highlight w:val="none"/>
              </w:rPr>
              <w:t>分，满分</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分。</w:t>
            </w:r>
          </w:p>
          <w:p>
            <w:pPr>
              <w:pStyle w:val="2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投标人需要具有通过电子病历系统功能应用分级评价五级及以上的案例，提供</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个得</w:t>
            </w:r>
            <w:r>
              <w:rPr>
                <w:rFonts w:asciiTheme="minorEastAsia" w:hAnsiTheme="minorEastAsia" w:eastAsiaTheme="minorEastAsia"/>
                <w:color w:val="auto"/>
                <w:sz w:val="24"/>
                <w:szCs w:val="24"/>
                <w:highlight w:val="none"/>
              </w:rPr>
              <w:t>0.5</w:t>
            </w:r>
            <w:r>
              <w:rPr>
                <w:rFonts w:hint="eastAsia" w:asciiTheme="minorEastAsia" w:hAnsiTheme="minorEastAsia" w:eastAsiaTheme="minorEastAsia"/>
                <w:color w:val="auto"/>
                <w:sz w:val="24"/>
                <w:szCs w:val="24"/>
                <w:highlight w:val="none"/>
              </w:rPr>
              <w:t>分，满分</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分。</w:t>
            </w:r>
          </w:p>
          <w:p>
            <w:pPr>
              <w:pStyle w:val="6"/>
              <w:rPr>
                <w:rFonts w:ascii="宋体" w:hAnsi="宋体" w:cs="宋体"/>
                <w:color w:val="auto"/>
                <w:sz w:val="24"/>
                <w:szCs w:val="24"/>
                <w:highlight w:val="none"/>
              </w:rPr>
            </w:pPr>
            <w:r>
              <w:rPr>
                <w:rFonts w:hint="eastAsia" w:asciiTheme="minorEastAsia" w:hAnsiTheme="minorEastAsia" w:eastAsiaTheme="minorEastAsia"/>
                <w:color w:val="auto"/>
                <w:sz w:val="24"/>
                <w:szCs w:val="24"/>
                <w:highlight w:val="none"/>
              </w:rPr>
              <w:t>投标文件中提供投标人承建核心平台的合同以及测评通过证明材料</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ascii="宋体" w:hAnsi="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vAlign w:val="center"/>
          </w:tcPr>
          <w:p>
            <w:pPr>
              <w:pStyle w:val="201"/>
              <w:adjustRightInd w:val="0"/>
              <w:snapToGrid w:val="0"/>
              <w:spacing w:line="0" w:lineRule="atLeast"/>
              <w:rPr>
                <w:rFonts w:ascii="宋体" w:hAnsi="宋体" w:eastAsia="宋体" w:cs="宋体"/>
                <w:color w:val="auto"/>
                <w:highlight w:val="none"/>
              </w:rPr>
            </w:pPr>
          </w:p>
        </w:tc>
        <w:tc>
          <w:tcPr>
            <w:tcW w:w="751" w:type="pct"/>
            <w:vMerge w:val="continue"/>
            <w:tcBorders>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p>
        </w:tc>
        <w:tc>
          <w:tcPr>
            <w:tcW w:w="2758" w:type="pct"/>
            <w:tcBorders>
              <w:top w:val="single" w:color="auto" w:sz="4" w:space="0"/>
              <w:left w:val="single" w:color="auto" w:sz="4" w:space="0"/>
              <w:bottom w:val="single" w:color="auto" w:sz="4" w:space="0"/>
              <w:right w:val="single" w:color="auto" w:sz="4" w:space="0"/>
            </w:tcBorders>
            <w:vAlign w:val="center"/>
          </w:tcPr>
          <w:p>
            <w:pPr>
              <w:pStyle w:val="6"/>
              <w:rPr>
                <w:color w:val="auto"/>
                <w:highlight w:val="none"/>
              </w:rPr>
            </w:pPr>
            <w:r>
              <w:rPr>
                <w:rFonts w:hint="eastAsia" w:ascii="宋体" w:hAnsi="宋体" w:cs="宋体"/>
                <w:color w:val="auto"/>
                <w:kern w:val="0"/>
                <w:sz w:val="24"/>
                <w:szCs w:val="24"/>
                <w:highlight w:val="none"/>
              </w:rPr>
              <w:t>本项目建设涉及多家医院均属于二级及以上医疗机构，投标人自2020年1月1日（以合同签订日期为准）以来需要具有针对二级及以上公立医院信息化统一云端部署的项目案例（纯硬件案例除外），案例中包含二级及以上公立医院数量为</w:t>
            </w:r>
            <w:r>
              <w:rPr>
                <w:rFonts w:ascii="宋体" w:hAnsi="宋体" w:cs="宋体"/>
                <w:color w:val="auto"/>
                <w:kern w:val="0"/>
                <w:sz w:val="24"/>
                <w:szCs w:val="24"/>
                <w:highlight w:val="none"/>
              </w:rPr>
              <w:t>25</w:t>
            </w:r>
            <w:r>
              <w:rPr>
                <w:rFonts w:hint="eastAsia" w:ascii="宋体" w:hAnsi="宋体" w:cs="宋体"/>
                <w:color w:val="auto"/>
                <w:kern w:val="0"/>
                <w:sz w:val="24"/>
                <w:szCs w:val="24"/>
                <w:highlight w:val="none"/>
              </w:rPr>
              <w:t>家及以上得</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分，20家及以上得</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分，1</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家及以上得1分，其他不得分。</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（提供案例合同并加盖公章，同一合同中需同时体现二级及以上公立医院的数量和云端部署，纯硬件项目不得分。）</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ascii="宋体" w:hAnsi="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restart"/>
            <w:tcBorders>
              <w:top w:val="single" w:color="auto" w:sz="4" w:space="0"/>
              <w:left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highlight w:val="none"/>
              </w:rPr>
            </w:pPr>
            <w:r>
              <w:rPr>
                <w:rFonts w:hint="eastAsia" w:ascii="宋体" w:hAnsi="宋体" w:eastAsia="宋体" w:cs="宋体"/>
                <w:color w:val="auto"/>
                <w:highlight w:val="none"/>
              </w:rPr>
              <w:t>技术评审</w:t>
            </w:r>
          </w:p>
          <w:p>
            <w:pPr>
              <w:pStyle w:val="201"/>
              <w:adjustRightInd w:val="0"/>
              <w:snapToGrid w:val="0"/>
              <w:spacing w:line="0" w:lineRule="atLeast"/>
              <w:jc w:val="center"/>
              <w:rPr>
                <w:rFonts w:ascii="宋体" w:hAnsi="宋体" w:eastAsia="宋体" w:cs="宋体"/>
                <w:color w:val="auto"/>
                <w:highlight w:val="none"/>
              </w:rPr>
            </w:pPr>
            <w:r>
              <w:rPr>
                <w:rFonts w:hint="eastAsia" w:ascii="宋体" w:hAnsi="宋体" w:eastAsia="宋体" w:cs="宋体"/>
                <w:color w:val="auto"/>
                <w:highlight w:val="none"/>
              </w:rPr>
              <w:t>(70分)</w:t>
            </w: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总体设计方案（3分）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投标人提出的总体设计方案进行评议，包含项目背景、趋势分析、设计原则、设计思路、总体架构、总体目标、技术路线、规范性引用文件、上下级联动一体化建设和保质高效推广等重等内容，进行综合评议：</w:t>
            </w:r>
          </w:p>
          <w:p>
            <w:pPr>
              <w:pStyle w:val="26"/>
              <w:rPr>
                <w:color w:val="auto"/>
                <w:highlight w:val="none"/>
              </w:rPr>
            </w:pP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方案内容全面、思路清晰、总体架构具有科学性的得3分；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方案内容基本符合本项目技术要求，条理清晰，目标明确的得2分；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方案内容一般的得1分</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未提供不得分。</w:t>
            </w:r>
          </w:p>
        </w:tc>
        <w:tc>
          <w:tcPr>
            <w:tcW w:w="66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技术参数响应</w:t>
            </w:r>
          </w:p>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（15分）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是否符合用户提供最低要求技术参数指标，根据投标的技术指标和招标要求的满足程度打分。标“▲”的指标每有一项不满足扣2分，其他技术要求指标每有一项不满足扣1分，扣完为止。</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软件著作权或专利（5分）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提供以下招标产品由中华人民共和国国家出版局出具的软件著作权登记证书复印件（著作权须归属于投标人方可得分，著作权发表日期距招标公告发出之日起不少于30个日历日）：电子病历应用软件、HIS信息系统、病案数据质控系统、不良事件上报、静脉配置中心管理、临床事中审方管理、临床路径应用、护理管理、患者主索引系统、患者360°视图、手术麻醉、重症监护、医技预约平台、移动护理管理。</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全部提供得5分，每少一个扣0.5分，扣完为止。</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标准规范解读、建设能力（3分）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color w:val="auto"/>
                <w:highlight w:val="none"/>
              </w:rPr>
            </w:pPr>
            <w:r>
              <w:rPr>
                <w:rFonts w:hint="eastAsia" w:ascii="宋体" w:hAnsi="宋体" w:cs="宋体"/>
                <w:color w:val="auto"/>
                <w:kern w:val="0"/>
                <w:sz w:val="24"/>
                <w:szCs w:val="24"/>
                <w:highlight w:val="none"/>
              </w:rPr>
              <w:t>投标人需提供标准规范体系建设方案，根据投标人参与国家卫健委组织的国家医疗卫生行业信息化标准、规范、指南编制的经验，以及与新疆生产建设兵团的医疗卫生行业信息化标准、规范的符合程度，经专家审定综合给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建设方案体系健全，信息化标准明确，具有丰富的编制经验的得3分；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建设方案体系基本，规范体系符合招标需求的得2分；</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方案一般的得1分，未提供不得分。</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与外部平台的对接集成能力（10分）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次建设系统需与采购人目前正在使用的全民健康信息平台进行紧密的对接，提供详细、有序、合理、安全稳妥的系统对接方案，以确保互联互通共享，根据与现有系统对接契合度、与平台对接经验能力、对接方案情况的科学合理性由评委会进行综合评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1、与采购人目前正在使用的平台全部对接契合，且对接经验丰富、且对接方案详细完善、科学可行的，得5分；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2、与采购人目前正在使用的平台部分对接契合，且对接经验良好，且对接方案良好，具有良好可行性的，得3分；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3、与采购人目前正在使用的平台少量对接契合，且对接经验一般，且对接方案一般，具有一般可行性的，得1分；</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4、与采购人目前正在使用的平台对接契合度低，且对接经验较差，且对接方案内容较差，得0分。</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次项目投标产品应实现与现有的其他平台系统（统一支付平台、居民电子健康卡管理平台、统一预约挂号资源池、健康兵团微信小程序等）的对接集成，提供详细、有序、合理、安全稳妥的系统对接方案，以确保互联互通共享，根据与现有系统对接契合度、与平台系统对接经验能力、对接方案情况的科学合理性由评委会进行综合评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1、与采购人目前正在使用的其他平台全部对接契合，且对接经验丰富、且对接方案详细完善、科学可行的，得5分；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2、与采购人目前正在使用的其他平台部分对接契合，且对接经验良好，且对接方案良好，具有良好可行性的，得3分；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3、与采购人目前正在使用的其他平台少量对接契合，且对接经验一般，且对接方案一般，具有一般可行性的，得1分；</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4、与采购人目前正在使用的其他平台对接契合度低，且对接经验较差，且对接方案内容较差，得0分。</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与兵团基层医疗卫生机构的对接集成能力（5分）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次项目投标产品应实现与现有的基层医疗卫生机构业务系统（云HIS+EMR等）的对接集成，提供详细、有序、合理、安全稳妥的系统对接方案，以确保互联互通共享，根据与现有系统对接契合度、与基层医疗卫生机构业务系统对接经验能力、对接方案情况的科学合理性由评委会进行综合评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1、与采购人目前正在使用的基层医疗卫生机构业务系统全部对接契合，且对接经验丰富、且对接方案详细完善、科学可行的，得5分；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2、与采购人目前正在使用的基层医疗卫生机构业务系统部分对接契合，且对接经验良好，且对接方案良好，具有良好可行性的，得3分；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3、与采购人目前正在使用的基层医疗卫生机构业务系统少量对接契合，且对接经验一般，且对接方案一般，具有一般可行性的，得1分；</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4、与采购人目前正在使用的基层医疗卫生机构业务系统对接契合度低，且对接经验较差，且对接方案内容较差，得0分。</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现场演示讲解（15分）</w:t>
            </w:r>
          </w:p>
        </w:tc>
        <w:tc>
          <w:tcPr>
            <w:tcW w:w="2758"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投标人须进行演示与答辩。要求投标人对软件功能技术指标进行模拟环境功能演示（主要演示内容见演示要求，演示时间为</w:t>
            </w:r>
            <w:r>
              <w:rPr>
                <w:rFonts w:ascii="宋体" w:hAnsi="宋体" w:cs="宋体"/>
                <w:color w:val="auto"/>
                <w:kern w:val="0"/>
                <w:sz w:val="24"/>
                <w:szCs w:val="24"/>
                <w:highlight w:val="none"/>
              </w:rPr>
              <w:t>15</w:t>
            </w:r>
            <w:r>
              <w:rPr>
                <w:rFonts w:hint="eastAsia" w:ascii="宋体" w:hAnsi="宋体" w:cs="宋体"/>
                <w:color w:val="auto"/>
                <w:kern w:val="0"/>
                <w:sz w:val="24"/>
                <w:szCs w:val="24"/>
                <w:highlight w:val="none"/>
              </w:rPr>
              <w:t>分钟），并答疑业主及专家的相关提问。</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第一部分：以PPT形式述标（</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分）：由评委对投标人针对本项目的上下级联动一体化建设、保质高效推广等重难点分析及相关技术优势阐述进行综合评议，内容全面，重点难点突出的得</w:t>
            </w: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分；内容基本齐全，分析内容基本符合项目要求的得</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分，方案内容一般的得2分，未提供不得分。</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述标不超过10分钟。</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第二部分：系统功能演示（</w:t>
            </w: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分）：要求投标人以真实系统进行功能演示，不接受原型及录屏演示。</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具体演示条目如下：</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1）医嘱与电子病历协同（</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分）：</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院医生在医嘱平台开特殊级抗菌药物时，系统应自动提示需进行用药前会诊，然后自动进入到会诊申请单处理界面，会诊完成后会在医嘱平台自动开立一条会诊医嘱。（完全符合得2分，基本符合得1分，一般得0.5分，未提供不得分）</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2）患者360°视图（</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分）：</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患者360°视图能够全方位查看患者在医院与基层医疗机构的就诊记录，摘要信息中能够查看患者基础信息、体征信息、历史就诊统计、过敏史、诊疗、检查、检验等信息，同时能够按照时间轴与业务轴展现患者历史诊疗记录，能够查询患者历次就诊时的诊断、医嘱、检验、检查与电子病历等信息，同时能够在医嘱、检查、检验等业务模块中查看业务闭环信息，如：查看检查医嘱各个节点的操作时间与业务节点的执行情况。（完全符合得4分，基本符合得2分，一般得1分，未提供不得分）：</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3）系统运维管理（</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分）：</w:t>
            </w:r>
          </w:p>
          <w:p>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演示统一的系统运维监控管理平台，功能包括服务器监测、数据库监测、服务运行监测、服务发布与回滚，能够查看当前资源运行明细，包括CPU、内存、网络等信息的实时动态，帮助管理员进行可视化运维与监管。（完全符合得4分，基本符合得2分，一般得1分，未提供不得分）：</w:t>
            </w:r>
          </w:p>
        </w:tc>
        <w:tc>
          <w:tcPr>
            <w:tcW w:w="665" w:type="pct"/>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vMerge w:val="restart"/>
            <w:tcBorders>
              <w:top w:val="single" w:color="auto" w:sz="4" w:space="0"/>
              <w:left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项目组织实施（8分）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color w:val="auto"/>
                <w:highlight w:val="none"/>
              </w:rPr>
            </w:pPr>
            <w:r>
              <w:rPr>
                <w:rFonts w:hint="eastAsia" w:ascii="宋体" w:hAnsi="宋体" w:cs="宋体"/>
                <w:color w:val="auto"/>
                <w:kern w:val="0"/>
                <w:sz w:val="24"/>
                <w:szCs w:val="24"/>
                <w:highlight w:val="none"/>
              </w:rPr>
              <w:t>由评委根据投标人提供项目实施方案（包括项目管理、项目组织结构、性能控制、测试联调、验收、文档管理、质量管理等）、培训方案（包含培训概述、培训大纲、培训计划、培训内容、培训课程、培训人员安排等内容）进行综合评议：</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项目方案内容充分齐全、充分符合招标采购要求的得3分；方案内容基本符合招标要求的得2分，方案内容一般的得1分，未提供不得分。</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vMerge w:val="continue"/>
            <w:tcBorders>
              <w:left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color w:val="auto"/>
                <w:highlight w:val="none"/>
              </w:rPr>
            </w:pPr>
            <w:r>
              <w:rPr>
                <w:rFonts w:hint="eastAsia" w:ascii="宋体" w:hAnsi="宋体" w:cs="宋体"/>
                <w:color w:val="auto"/>
                <w:kern w:val="0"/>
                <w:sz w:val="24"/>
                <w:szCs w:val="24"/>
                <w:highlight w:val="none"/>
              </w:rPr>
              <w:t>项目团队的项目经理需具备丰富的项目管理和信息化标准规范建设能力，同时满足以下条件：</w:t>
            </w:r>
          </w:p>
          <w:p>
            <w:pPr>
              <w:adjustRightInd w:val="0"/>
              <w:snapToGrid w:val="0"/>
              <w:textAlignment w:val="auto"/>
              <w:rPr>
                <w:color w:val="auto"/>
                <w:highlight w:val="none"/>
              </w:rPr>
            </w:pPr>
            <w:r>
              <w:rPr>
                <w:rFonts w:hint="eastAsia" w:ascii="宋体" w:hAnsi="宋体" w:cs="宋体"/>
                <w:color w:val="auto"/>
                <w:kern w:val="0"/>
                <w:sz w:val="24"/>
                <w:szCs w:val="24"/>
                <w:highlight w:val="none"/>
              </w:rPr>
              <w:t>1）具备高级工程师职称</w:t>
            </w:r>
          </w:p>
          <w:p>
            <w:pPr>
              <w:adjustRightInd w:val="0"/>
              <w:snapToGrid w:val="0"/>
              <w:textAlignment w:val="auto"/>
              <w:rPr>
                <w:color w:val="auto"/>
                <w:highlight w:val="none"/>
              </w:rPr>
            </w:pPr>
            <w:r>
              <w:rPr>
                <w:rFonts w:hint="eastAsia" w:ascii="宋体" w:hAnsi="宋体" w:cs="宋体"/>
                <w:color w:val="auto"/>
                <w:kern w:val="0"/>
                <w:sz w:val="24"/>
                <w:szCs w:val="24"/>
                <w:highlight w:val="none"/>
              </w:rPr>
              <w:t>2）具备信息系统项目管理师高级证书</w:t>
            </w:r>
          </w:p>
          <w:p>
            <w:pPr>
              <w:adjustRightInd w:val="0"/>
              <w:snapToGrid w:val="0"/>
              <w:textAlignment w:val="auto"/>
              <w:rPr>
                <w:color w:val="auto"/>
                <w:highlight w:val="none"/>
              </w:rPr>
            </w:pPr>
            <w:r>
              <w:rPr>
                <w:rFonts w:hint="eastAsia" w:ascii="宋体" w:hAnsi="宋体" w:cs="宋体"/>
                <w:color w:val="auto"/>
                <w:kern w:val="0"/>
                <w:sz w:val="24"/>
                <w:szCs w:val="24"/>
                <w:highlight w:val="none"/>
              </w:rPr>
              <w:t>3）担任过相关卫生信息化建设项目项目经理职位并参与了标准规范制定</w:t>
            </w:r>
          </w:p>
          <w:p>
            <w:pPr>
              <w:adjustRightInd w:val="0"/>
              <w:snapToGrid w:val="0"/>
              <w:textAlignment w:val="auto"/>
              <w:rPr>
                <w:color w:val="auto"/>
                <w:highlight w:val="none"/>
              </w:rPr>
            </w:pPr>
            <w:r>
              <w:rPr>
                <w:rFonts w:hint="eastAsia" w:ascii="宋体" w:hAnsi="宋体" w:cs="宋体"/>
                <w:color w:val="auto"/>
                <w:kern w:val="0"/>
                <w:sz w:val="24"/>
                <w:szCs w:val="24"/>
                <w:highlight w:val="none"/>
              </w:rPr>
              <w:t>全部满足得2分，满足2项条件得1分，其他不得分。</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在投标文件中须提供业绩合同、近6个月在投标人单位的社保缴纳记录复印件及相关工作证明。</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vMerge w:val="continue"/>
            <w:tcBorders>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color w:val="auto"/>
                <w:highlight w:val="none"/>
              </w:rPr>
            </w:pPr>
            <w:r>
              <w:rPr>
                <w:rFonts w:hint="eastAsia" w:ascii="宋体" w:hAnsi="宋体" w:cs="宋体"/>
                <w:color w:val="auto"/>
                <w:kern w:val="0"/>
                <w:sz w:val="24"/>
                <w:szCs w:val="24"/>
                <w:highlight w:val="none"/>
              </w:rPr>
              <w:t>项目团队成员（除项目经理外）具备高级系统分析师、高级系统架构设计师、高级软件测试工程师、注册信息安全专业人员、高级信息系统项目管理师、PMP证书，每提供1个得0.5分，最高得3分。</w:t>
            </w:r>
          </w:p>
          <w:p>
            <w:pPr>
              <w:adjustRightInd w:val="0"/>
              <w:snapToGrid w:val="0"/>
              <w:textAlignment w:val="auto"/>
              <w:rPr>
                <w:color w:val="auto"/>
                <w:highlight w:val="none"/>
              </w:rPr>
            </w:pPr>
            <w:r>
              <w:rPr>
                <w:rFonts w:hint="eastAsia" w:ascii="宋体" w:hAnsi="宋体" w:cs="宋体"/>
                <w:color w:val="auto"/>
                <w:kern w:val="0"/>
                <w:sz w:val="24"/>
                <w:szCs w:val="24"/>
                <w:highlight w:val="none"/>
              </w:rPr>
              <w:t>投标文件中提供证书复印件、近6个月在投标人单位的缴纳社保缴纳记录复印件，以上均须加盖投标人公章。</w:t>
            </w:r>
          </w:p>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（以上要求中提供多个同类证件只计1分；同一个人具备以上要求的多个资质证书的只计1分）。</w:t>
            </w:r>
          </w:p>
        </w:tc>
        <w:tc>
          <w:tcPr>
            <w:tcW w:w="665" w:type="pct"/>
            <w:vAlign w:val="center"/>
          </w:tcPr>
          <w:p>
            <w:pPr>
              <w:adjustRightInd w:val="0"/>
              <w:snapToGrid w:val="0"/>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tcBorders>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项目质量保障措施及方法（3分）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对投标人项目质量保障措施及方法，包括设计方法、业务规划、完成时间、质量保障措施等方面的响应程度进行综合评议：</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方法全面且科学的得3分；基本符合招标要求的得2分；内容一般且不全的得1分，未提供不得分。</w:t>
            </w:r>
          </w:p>
        </w:tc>
        <w:tc>
          <w:tcPr>
            <w:tcW w:w="665" w:type="pct"/>
            <w:vAlign w:val="center"/>
          </w:tcPr>
          <w:p>
            <w:pPr>
              <w:adjustRightInd w:val="0"/>
              <w:snapToGrid w:val="0"/>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431" w:type="pct"/>
            <w:vMerge w:val="continue"/>
            <w:tcBorders>
              <w:left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highlight w:val="none"/>
              </w:rPr>
            </w:pPr>
          </w:p>
        </w:tc>
        <w:tc>
          <w:tcPr>
            <w:tcW w:w="751" w:type="pct"/>
            <w:tcBorders>
              <w:left w:val="single" w:color="auto" w:sz="4" w:space="0"/>
              <w:bottom w:val="single" w:color="auto" w:sz="4" w:space="0"/>
              <w:right w:val="single" w:color="auto" w:sz="4" w:space="0"/>
            </w:tcBorders>
            <w:vAlign w:val="center"/>
          </w:tcPr>
          <w:p>
            <w:pPr>
              <w:adjustRightInd w:val="0"/>
              <w:snapToGrid w:val="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售后服务（3分）</w:t>
            </w:r>
          </w:p>
        </w:tc>
        <w:tc>
          <w:tcPr>
            <w:tcW w:w="2758"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auto"/>
              <w:rPr>
                <w:color w:val="auto"/>
                <w:highlight w:val="none"/>
              </w:rPr>
            </w:pPr>
            <w:r>
              <w:rPr>
                <w:rFonts w:hint="eastAsia" w:ascii="宋体" w:hAnsi="宋体" w:cs="宋体"/>
                <w:color w:val="auto"/>
                <w:kern w:val="0"/>
                <w:sz w:val="24"/>
                <w:szCs w:val="24"/>
                <w:highlight w:val="none"/>
              </w:rPr>
              <w:t>根据售后服务机构设立情况、售后服务响应时间、售后维护方案及承诺，售后维护方案、服务保障及服务方案是否有完整、可行、合理，进行综合评议：</w:t>
            </w:r>
          </w:p>
          <w:p>
            <w:pPr>
              <w:adjustRightInd w:val="0"/>
              <w:snapToGrid w:val="0"/>
              <w:textAlignment w:val="auto"/>
              <w:rPr>
                <w:color w:val="auto"/>
                <w:highlight w:val="none"/>
              </w:rPr>
            </w:pPr>
            <w:r>
              <w:rPr>
                <w:rFonts w:hint="eastAsia" w:ascii="宋体" w:hAnsi="宋体" w:cs="宋体"/>
                <w:color w:val="auto"/>
                <w:kern w:val="0"/>
                <w:sz w:val="24"/>
                <w:szCs w:val="24"/>
                <w:highlight w:val="none"/>
              </w:rPr>
              <w:t>服务方案内容全、可行性强的得3分；售后服务承诺基本符合招标要求的得2分；售后服务内容一般且不完整的得1分，未提供不得分。</w:t>
            </w:r>
          </w:p>
          <w:p>
            <w:pPr>
              <w:adjustRightInd w:val="0"/>
              <w:snapToGrid w:val="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投标文件中提供服务机构的营业执照并加盖投标人公章。</w:t>
            </w:r>
          </w:p>
        </w:tc>
        <w:tc>
          <w:tcPr>
            <w:tcW w:w="665" w:type="pct"/>
            <w:vAlign w:val="center"/>
          </w:tcPr>
          <w:p>
            <w:pPr>
              <w:adjustRightInd w:val="0"/>
              <w:snapToGrid w:val="0"/>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restar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sz w:val="22"/>
                <w:szCs w:val="22"/>
                <w:highlight w:val="none"/>
              </w:rPr>
            </w:pPr>
          </w:p>
        </w:tc>
        <w:tc>
          <w:tcPr>
            <w:tcW w:w="431" w:type="pct"/>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合计</w:t>
            </w:r>
          </w:p>
        </w:tc>
        <w:tc>
          <w:tcPr>
            <w:tcW w:w="4174" w:type="pct"/>
            <w:gridSpan w:val="3"/>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95" w:type="pct"/>
            <w:vMerge w:val="continue"/>
            <w:vAlign w:val="center"/>
          </w:tcPr>
          <w:p>
            <w:pPr>
              <w:pStyle w:val="201"/>
              <w:adjustRightInd w:val="0"/>
              <w:snapToGrid w:val="0"/>
              <w:spacing w:line="0" w:lineRule="atLeast"/>
              <w:jc w:val="center"/>
              <w:rPr>
                <w:rFonts w:ascii="宋体" w:hAnsi="宋体" w:eastAsia="宋体" w:cs="宋体"/>
                <w:color w:val="auto"/>
                <w:sz w:val="22"/>
                <w:szCs w:val="22"/>
                <w:highlight w:val="none"/>
              </w:rPr>
            </w:pPr>
          </w:p>
        </w:tc>
        <w:tc>
          <w:tcPr>
            <w:tcW w:w="4605" w:type="pct"/>
            <w:gridSpan w:val="4"/>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注：评分分值计算保留小数点后两位，小数点后第三位“四舍五入”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826" w:type="pct"/>
            <w:gridSpan w:val="2"/>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废标条款</w:t>
            </w:r>
          </w:p>
        </w:tc>
        <w:tc>
          <w:tcPr>
            <w:tcW w:w="4174" w:type="pct"/>
            <w:gridSpan w:val="3"/>
            <w:tcBorders>
              <w:top w:val="single" w:color="auto" w:sz="4" w:space="0"/>
              <w:left w:val="single" w:color="auto" w:sz="4" w:space="0"/>
              <w:bottom w:val="single" w:color="auto" w:sz="4" w:space="0"/>
              <w:right w:val="single" w:color="auto" w:sz="4" w:space="0"/>
            </w:tcBorders>
            <w:vAlign w:val="center"/>
          </w:tcPr>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(1)未按照招标文件的规定提交投标保证金的</w:t>
            </w:r>
          </w:p>
          <w:p>
            <w:pPr>
              <w:pStyle w:val="201"/>
              <w:adjustRightInd w:val="0"/>
              <w:snapToGrid w:val="0"/>
              <w:spacing w:line="0" w:lineRule="atLeast"/>
              <w:rPr>
                <w:rFonts w:ascii="宋体" w:hAnsi="宋体" w:eastAsia="宋体" w:cs="宋体"/>
                <w:color w:val="auto"/>
                <w:sz w:val="22"/>
                <w:szCs w:val="22"/>
                <w:highlight w:val="none"/>
              </w:rPr>
            </w:pPr>
          </w:p>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(2)投标文件未按招标文件要求签署、盖章的</w:t>
            </w:r>
          </w:p>
          <w:p>
            <w:pPr>
              <w:pStyle w:val="201"/>
              <w:adjustRightInd w:val="0"/>
              <w:snapToGrid w:val="0"/>
              <w:spacing w:line="0" w:lineRule="atLeast"/>
              <w:rPr>
                <w:rFonts w:ascii="宋体" w:hAnsi="宋体" w:eastAsia="宋体" w:cs="宋体"/>
                <w:color w:val="auto"/>
                <w:sz w:val="22"/>
                <w:szCs w:val="22"/>
                <w:highlight w:val="none"/>
              </w:rPr>
            </w:pPr>
          </w:p>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(3)不具备招标文件中规定的资格要求</w:t>
            </w:r>
          </w:p>
          <w:p>
            <w:pPr>
              <w:pStyle w:val="201"/>
              <w:adjustRightInd w:val="0"/>
              <w:snapToGrid w:val="0"/>
              <w:spacing w:line="0" w:lineRule="atLeast"/>
              <w:rPr>
                <w:rFonts w:ascii="宋体" w:hAnsi="宋体" w:eastAsia="宋体" w:cs="宋体"/>
                <w:color w:val="auto"/>
                <w:sz w:val="22"/>
                <w:szCs w:val="22"/>
                <w:highlight w:val="none"/>
              </w:rPr>
            </w:pPr>
          </w:p>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(4)报价超过招标文件中规定的预算金额或者最高限价的</w:t>
            </w:r>
          </w:p>
          <w:p>
            <w:pPr>
              <w:pStyle w:val="201"/>
              <w:adjustRightInd w:val="0"/>
              <w:snapToGrid w:val="0"/>
              <w:spacing w:line="0" w:lineRule="atLeast"/>
              <w:rPr>
                <w:rFonts w:ascii="宋体" w:hAnsi="宋体" w:eastAsia="宋体" w:cs="宋体"/>
                <w:color w:val="auto"/>
                <w:sz w:val="22"/>
                <w:szCs w:val="22"/>
                <w:highlight w:val="none"/>
              </w:rPr>
            </w:pPr>
          </w:p>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(5)投标文件含有采购人不能接受的附加条件的</w:t>
            </w:r>
          </w:p>
          <w:p>
            <w:pPr>
              <w:pStyle w:val="201"/>
              <w:adjustRightInd w:val="0"/>
              <w:snapToGrid w:val="0"/>
              <w:spacing w:line="0" w:lineRule="atLeast"/>
              <w:rPr>
                <w:rFonts w:ascii="宋体" w:hAnsi="宋体" w:eastAsia="宋体" w:cs="宋体"/>
                <w:color w:val="auto"/>
                <w:sz w:val="22"/>
                <w:szCs w:val="22"/>
                <w:highlight w:val="none"/>
              </w:rPr>
            </w:pPr>
          </w:p>
          <w:p>
            <w:pPr>
              <w:pStyle w:val="201"/>
              <w:adjustRightInd w:val="0"/>
              <w:snapToGrid w:val="0"/>
              <w:spacing w:line="0" w:lineRule="atLeas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(6)法律、法规和招标文件规定的其他无效情形</w:t>
            </w:r>
          </w:p>
        </w:tc>
      </w:tr>
    </w:tbl>
    <w:p>
      <w:pPr>
        <w:spacing w:line="360" w:lineRule="auto"/>
        <w:ind w:firstLine="480" w:firstLineChars="200"/>
        <w:rPr>
          <w:rStyle w:val="21"/>
          <w:rFonts w:ascii="宋体" w:hAnsi="宋体" w:cs="宋体"/>
          <w:color w:val="auto"/>
          <w:sz w:val="24"/>
          <w:highlight w:val="none"/>
        </w:rPr>
      </w:pPr>
    </w:p>
    <w:p>
      <w:pPr>
        <w:spacing w:line="360" w:lineRule="auto"/>
        <w:ind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1、经评标委员会认可小、微企业产品和产品报价后，投标人相应产品政策计算公式如下：</w:t>
      </w:r>
    </w:p>
    <w:p>
      <w:pPr>
        <w:spacing w:line="360" w:lineRule="auto"/>
        <w:ind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中小微企业产品价格扣除后的投标人报价=投标人总报价-中小微企业产品报价*扣除幅度。（以价格扣除后的投标人报价作为评审依据）</w:t>
      </w:r>
    </w:p>
    <w:p>
      <w:pPr>
        <w:spacing w:line="360" w:lineRule="auto"/>
        <w:ind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4、在任何评标环节中，需评标委员会就某项评审结论做出表决的，由评标委员会全体成员按照少数服从多数的原则，以记名投票方式表决。</w:t>
      </w:r>
    </w:p>
    <w:p>
      <w:pPr>
        <w:pStyle w:val="26"/>
        <w:jc w:val="center"/>
        <w:rPr>
          <w:rStyle w:val="21"/>
          <w:rFonts w:ascii="宋体" w:hAnsi="宋体" w:cs="宋体"/>
          <w:b/>
          <w:color w:val="auto"/>
          <w:sz w:val="36"/>
          <w:highlight w:val="none"/>
        </w:rPr>
      </w:pPr>
      <w:r>
        <w:rPr>
          <w:rStyle w:val="21"/>
          <w:rFonts w:ascii="宋体" w:hAnsi="宋体" w:cs="宋体"/>
          <w:color w:val="auto"/>
          <w:sz w:val="24"/>
          <w:highlight w:val="none"/>
        </w:rPr>
        <w:br w:type="page"/>
      </w:r>
      <w:r>
        <w:rPr>
          <w:rStyle w:val="21"/>
          <w:rFonts w:hint="eastAsia" w:ascii="宋体" w:hAnsi="宋体" w:cs="宋体"/>
          <w:b/>
          <w:color w:val="auto"/>
          <w:sz w:val="36"/>
          <w:highlight w:val="none"/>
        </w:rPr>
        <w:t>第五部分政府采购合同</w:t>
      </w:r>
    </w:p>
    <w:p>
      <w:pPr>
        <w:rPr>
          <w:rStyle w:val="21"/>
          <w:rFonts w:ascii="宋体" w:hAnsi="宋体" w:cs="宋体"/>
          <w:color w:val="auto"/>
          <w:highlight w:val="none"/>
        </w:rPr>
      </w:pPr>
    </w:p>
    <w:p>
      <w:pPr>
        <w:pStyle w:val="202"/>
        <w:widowControl/>
        <w:jc w:val="center"/>
        <w:rPr>
          <w:rFonts w:ascii="微软雅黑" w:hAnsi="微软雅黑" w:eastAsia="微软雅黑"/>
          <w:b/>
          <w:color w:val="auto"/>
          <w:sz w:val="52"/>
          <w:szCs w:val="52"/>
          <w:highlight w:val="none"/>
        </w:rPr>
      </w:pPr>
      <w:r>
        <w:rPr>
          <w:rFonts w:hint="eastAsia" w:ascii="微软雅黑" w:hAnsi="微软雅黑" w:eastAsia="微软雅黑" w:cs="黑体"/>
          <w:b/>
          <w:color w:val="auto"/>
          <w:sz w:val="52"/>
          <w:szCs w:val="52"/>
          <w:highlight w:val="none"/>
        </w:rPr>
        <w:t>政府采购合同</w:t>
      </w:r>
    </w:p>
    <w:p>
      <w:pPr>
        <w:pStyle w:val="202"/>
        <w:widowControl/>
        <w:jc w:val="center"/>
        <w:rPr>
          <w:rFonts w:ascii="微软雅黑" w:hAnsi="微软雅黑" w:eastAsia="微软雅黑"/>
          <w:b/>
          <w:color w:val="auto"/>
          <w:sz w:val="52"/>
          <w:szCs w:val="52"/>
          <w:highlight w:val="none"/>
        </w:rPr>
      </w:pPr>
    </w:p>
    <w:p>
      <w:pPr>
        <w:pStyle w:val="202"/>
        <w:widowControl/>
        <w:jc w:val="center"/>
        <w:rPr>
          <w:rFonts w:ascii="微软雅黑" w:hAnsi="微软雅黑" w:eastAsia="微软雅黑"/>
          <w:b/>
          <w:color w:val="auto"/>
          <w:sz w:val="52"/>
          <w:szCs w:val="52"/>
          <w:highlight w:val="none"/>
        </w:rPr>
      </w:pPr>
    </w:p>
    <w:p>
      <w:pPr>
        <w:pStyle w:val="202"/>
        <w:widowControl/>
        <w:jc w:val="center"/>
        <w:rPr>
          <w:rFonts w:ascii="微软雅黑" w:hAnsi="微软雅黑" w:eastAsia="微软雅黑"/>
          <w:b/>
          <w:color w:val="auto"/>
          <w:sz w:val="52"/>
          <w:szCs w:val="52"/>
          <w:highlight w:val="none"/>
        </w:rPr>
      </w:pPr>
    </w:p>
    <w:p>
      <w:pPr>
        <w:pStyle w:val="202"/>
        <w:widowControl/>
        <w:ind w:firstLine="1591" w:firstLineChars="497"/>
        <w:rPr>
          <w:rFonts w:ascii="微软雅黑" w:hAnsi="微软雅黑" w:eastAsia="微软雅黑"/>
          <w:b/>
          <w:color w:val="auto"/>
          <w:sz w:val="32"/>
          <w:szCs w:val="32"/>
          <w:highlight w:val="none"/>
        </w:rPr>
      </w:pPr>
      <w:r>
        <w:rPr>
          <w:rFonts w:hint="eastAsia" w:ascii="微软雅黑" w:hAnsi="微软雅黑" w:eastAsia="微软雅黑" w:cs="黑体"/>
          <w:b/>
          <w:color w:val="auto"/>
          <w:sz w:val="32"/>
          <w:szCs w:val="32"/>
          <w:highlight w:val="none"/>
        </w:rPr>
        <w:t>项目名称</w:t>
      </w:r>
      <w:r>
        <w:rPr>
          <w:rFonts w:ascii="微软雅黑" w:hAnsi="微软雅黑" w:eastAsia="微软雅黑"/>
          <w:b/>
          <w:color w:val="auto"/>
          <w:sz w:val="32"/>
          <w:szCs w:val="32"/>
          <w:highlight w:val="none"/>
        </w:rPr>
        <w:t>:</w:t>
      </w:r>
    </w:p>
    <w:p>
      <w:pPr>
        <w:pStyle w:val="202"/>
        <w:widowControl/>
        <w:spacing w:before="312" w:beforeLines="100"/>
        <w:ind w:firstLine="1591" w:firstLineChars="497"/>
        <w:rPr>
          <w:rFonts w:ascii="微软雅黑" w:hAnsi="微软雅黑" w:eastAsia="微软雅黑" w:cs="宋体"/>
          <w:b/>
          <w:color w:val="auto"/>
          <w:sz w:val="32"/>
          <w:szCs w:val="32"/>
          <w:highlight w:val="none"/>
          <w:u w:val="single"/>
        </w:rPr>
      </w:pPr>
      <w:r>
        <w:rPr>
          <w:rFonts w:hint="eastAsia" w:ascii="微软雅黑" w:hAnsi="微软雅黑" w:eastAsia="微软雅黑" w:cs="黑体"/>
          <w:b/>
          <w:color w:val="auto"/>
          <w:sz w:val="32"/>
          <w:szCs w:val="32"/>
          <w:highlight w:val="none"/>
        </w:rPr>
        <w:t>项目编号</w:t>
      </w:r>
      <w:r>
        <w:rPr>
          <w:rFonts w:ascii="微软雅黑" w:hAnsi="微软雅黑" w:eastAsia="微软雅黑"/>
          <w:b/>
          <w:color w:val="auto"/>
          <w:sz w:val="32"/>
          <w:szCs w:val="32"/>
          <w:highlight w:val="none"/>
        </w:rPr>
        <w:t>:</w:t>
      </w:r>
    </w:p>
    <w:p>
      <w:pPr>
        <w:pStyle w:val="202"/>
        <w:widowControl/>
        <w:spacing w:before="312" w:beforeLines="100"/>
        <w:ind w:firstLine="1591" w:firstLineChars="497"/>
        <w:rPr>
          <w:rFonts w:ascii="微软雅黑" w:hAnsi="微软雅黑" w:eastAsia="微软雅黑" w:cs="宋体"/>
          <w:b/>
          <w:color w:val="auto"/>
          <w:sz w:val="32"/>
          <w:szCs w:val="32"/>
          <w:highlight w:val="none"/>
          <w:u w:val="single"/>
        </w:rPr>
      </w:pPr>
      <w:r>
        <w:rPr>
          <w:rFonts w:hint="eastAsia" w:ascii="微软雅黑" w:hAnsi="微软雅黑" w:eastAsia="微软雅黑" w:cs="黑体"/>
          <w:b/>
          <w:color w:val="auto"/>
          <w:kern w:val="0"/>
          <w:sz w:val="32"/>
          <w:szCs w:val="32"/>
          <w:highlight w:val="none"/>
        </w:rPr>
        <w:t>合同编号</w:t>
      </w:r>
      <w:r>
        <w:rPr>
          <w:rFonts w:ascii="微软雅黑" w:hAnsi="微软雅黑" w:eastAsia="微软雅黑"/>
          <w:b/>
          <w:color w:val="auto"/>
          <w:kern w:val="0"/>
          <w:sz w:val="32"/>
          <w:szCs w:val="32"/>
          <w:highlight w:val="none"/>
        </w:rPr>
        <w:t>:</w:t>
      </w:r>
    </w:p>
    <w:p>
      <w:pPr>
        <w:pStyle w:val="202"/>
        <w:widowControl/>
        <w:spacing w:before="312" w:beforeLines="100"/>
        <w:jc w:val="center"/>
        <w:rPr>
          <w:rFonts w:ascii="微软雅黑" w:hAnsi="微软雅黑" w:eastAsia="微软雅黑" w:cs="宋体"/>
          <w:b/>
          <w:color w:val="auto"/>
          <w:sz w:val="32"/>
          <w:szCs w:val="32"/>
          <w:highlight w:val="none"/>
          <w:u w:val="single"/>
        </w:rPr>
      </w:pPr>
    </w:p>
    <w:p>
      <w:pPr>
        <w:pStyle w:val="202"/>
        <w:widowControl/>
        <w:spacing w:before="312" w:beforeLines="100"/>
        <w:jc w:val="center"/>
        <w:rPr>
          <w:rFonts w:ascii="微软雅黑" w:hAnsi="微软雅黑" w:eastAsia="微软雅黑" w:cs="宋体"/>
          <w:b/>
          <w:color w:val="auto"/>
          <w:sz w:val="32"/>
          <w:szCs w:val="32"/>
          <w:highlight w:val="none"/>
          <w:u w:val="single"/>
        </w:rPr>
      </w:pPr>
    </w:p>
    <w:p>
      <w:pPr>
        <w:pStyle w:val="202"/>
        <w:widowControl/>
        <w:spacing w:before="312" w:beforeLines="100"/>
        <w:jc w:val="center"/>
        <w:rPr>
          <w:rFonts w:ascii="微软雅黑" w:hAnsi="微软雅黑" w:eastAsia="微软雅黑" w:cs="宋体"/>
          <w:b/>
          <w:color w:val="auto"/>
          <w:sz w:val="32"/>
          <w:szCs w:val="32"/>
          <w:highlight w:val="none"/>
          <w:u w:val="single"/>
        </w:rPr>
      </w:pPr>
    </w:p>
    <w:p>
      <w:pPr>
        <w:pStyle w:val="202"/>
        <w:widowControl/>
        <w:spacing w:before="312" w:beforeLines="100"/>
        <w:jc w:val="center"/>
        <w:rPr>
          <w:rFonts w:ascii="微软雅黑" w:hAnsi="微软雅黑" w:eastAsia="微软雅黑" w:cs="宋体"/>
          <w:b/>
          <w:color w:val="auto"/>
          <w:sz w:val="32"/>
          <w:szCs w:val="32"/>
          <w:highlight w:val="none"/>
          <w:u w:val="single"/>
        </w:rPr>
      </w:pPr>
    </w:p>
    <w:p>
      <w:pPr>
        <w:pStyle w:val="202"/>
        <w:widowControl/>
        <w:ind w:firstLine="1601" w:firstLineChars="500"/>
        <w:rPr>
          <w:rFonts w:ascii="微软雅黑" w:hAnsi="微软雅黑" w:eastAsia="微软雅黑"/>
          <w:b/>
          <w:color w:val="auto"/>
          <w:sz w:val="32"/>
          <w:szCs w:val="32"/>
          <w:highlight w:val="none"/>
        </w:rPr>
      </w:pPr>
      <w:r>
        <w:rPr>
          <w:rFonts w:hint="eastAsia" w:ascii="微软雅黑" w:hAnsi="微软雅黑" w:eastAsia="微软雅黑" w:cs="黑体"/>
          <w:b/>
          <w:color w:val="auto"/>
          <w:sz w:val="32"/>
          <w:szCs w:val="32"/>
          <w:highlight w:val="none"/>
        </w:rPr>
        <w:t>甲方</w:t>
      </w:r>
      <w:r>
        <w:rPr>
          <w:rFonts w:ascii="微软雅黑" w:hAnsi="微软雅黑" w:eastAsia="微软雅黑"/>
          <w:b/>
          <w:color w:val="auto"/>
          <w:sz w:val="32"/>
          <w:szCs w:val="32"/>
          <w:highlight w:val="none"/>
        </w:rPr>
        <w:t>:</w:t>
      </w:r>
      <w:r>
        <w:rPr>
          <w:rFonts w:hint="eastAsia" w:ascii="微软雅黑" w:hAnsi="微软雅黑" w:eastAsia="微软雅黑" w:cs="宋体"/>
          <w:b/>
          <w:color w:val="auto"/>
          <w:sz w:val="32"/>
          <w:szCs w:val="32"/>
          <w:highlight w:val="none"/>
          <w:u w:val="single"/>
        </w:rPr>
        <w:t>新疆生产建设兵团医院</w:t>
      </w:r>
    </w:p>
    <w:p>
      <w:pPr>
        <w:pStyle w:val="202"/>
        <w:widowControl/>
        <w:spacing w:before="312" w:beforeLines="100"/>
        <w:ind w:firstLine="1601" w:firstLineChars="500"/>
        <w:rPr>
          <w:rFonts w:ascii="微软雅黑" w:hAnsi="微软雅黑" w:eastAsia="微软雅黑" w:cs="宋体"/>
          <w:b/>
          <w:color w:val="auto"/>
          <w:sz w:val="32"/>
          <w:szCs w:val="32"/>
          <w:highlight w:val="none"/>
          <w:u w:val="single"/>
        </w:rPr>
      </w:pPr>
      <w:r>
        <w:rPr>
          <w:rFonts w:hint="eastAsia" w:ascii="微软雅黑" w:hAnsi="微软雅黑" w:eastAsia="微软雅黑" w:cs="黑体"/>
          <w:b/>
          <w:color w:val="auto"/>
          <w:sz w:val="32"/>
          <w:szCs w:val="32"/>
          <w:highlight w:val="none"/>
        </w:rPr>
        <w:t>乙方</w:t>
      </w:r>
      <w:r>
        <w:rPr>
          <w:rFonts w:ascii="微软雅黑" w:hAnsi="微软雅黑" w:eastAsia="微软雅黑"/>
          <w:b/>
          <w:color w:val="auto"/>
          <w:sz w:val="32"/>
          <w:szCs w:val="32"/>
          <w:highlight w:val="none"/>
        </w:rPr>
        <w:t>:</w:t>
      </w:r>
    </w:p>
    <w:p>
      <w:pPr>
        <w:pStyle w:val="9"/>
        <w:spacing w:line="500" w:lineRule="exact"/>
        <w:rPr>
          <w:rFonts w:hAnsi="宋体"/>
          <w:color w:val="auto"/>
          <w:spacing w:val="-20"/>
          <w:kern w:val="0"/>
          <w:sz w:val="24"/>
          <w:szCs w:val="24"/>
          <w:highlight w:val="none"/>
        </w:rPr>
      </w:pPr>
      <w:r>
        <w:rPr>
          <w:rFonts w:hint="eastAsia" w:ascii="微软雅黑" w:hAnsi="微软雅黑" w:eastAsia="微软雅黑"/>
          <w:b/>
          <w:color w:val="auto"/>
          <w:sz w:val="32"/>
          <w:szCs w:val="32"/>
          <w:highlight w:val="none"/>
          <w:u w:val="single"/>
          <w:lang w:bidi="ar"/>
        </w:rPr>
        <w:br w:type="page"/>
      </w:r>
      <w:r>
        <w:rPr>
          <w:rFonts w:hint="eastAsia" w:hAnsi="宋体"/>
          <w:color w:val="auto"/>
          <w:spacing w:val="-20"/>
          <w:kern w:val="0"/>
          <w:sz w:val="24"/>
          <w:szCs w:val="24"/>
          <w:highlight w:val="none"/>
        </w:rPr>
        <w:t>甲方（甲方）：</w:t>
      </w:r>
      <w:r>
        <w:rPr>
          <w:rFonts w:hint="eastAsia" w:hAnsi="宋体"/>
          <w:color w:val="auto"/>
          <w:spacing w:val="-20"/>
          <w:kern w:val="0"/>
          <w:sz w:val="24"/>
          <w:szCs w:val="24"/>
          <w:highlight w:val="none"/>
          <w:u w:val="single"/>
        </w:rPr>
        <w:t>新疆生产建设兵团医院</w:t>
      </w:r>
      <w:r>
        <w:rPr>
          <w:rFonts w:hint="eastAsia" w:hAnsi="宋体"/>
          <w:color w:val="auto"/>
          <w:spacing w:val="-20"/>
          <w:kern w:val="0"/>
          <w:sz w:val="24"/>
          <w:szCs w:val="24"/>
          <w:highlight w:val="none"/>
        </w:rPr>
        <w:t>（建设单位）</w:t>
      </w:r>
    </w:p>
    <w:p>
      <w:pPr>
        <w:pStyle w:val="206"/>
        <w:tabs>
          <w:tab w:val="right" w:pos="8958"/>
        </w:tabs>
        <w:spacing w:line="500" w:lineRule="exact"/>
        <w:ind w:left="0" w:leftChars="0"/>
        <w:rPr>
          <w:rFonts w:ascii="宋体" w:hAnsi="宋体"/>
          <w:color w:val="auto"/>
          <w:spacing w:val="-20"/>
          <w:kern w:val="0"/>
          <w:szCs w:val="24"/>
          <w:highlight w:val="none"/>
        </w:rPr>
      </w:pPr>
      <w:r>
        <w:rPr>
          <w:rFonts w:hint="eastAsia" w:ascii="宋体" w:hAnsi="宋体"/>
          <w:color w:val="auto"/>
          <w:spacing w:val="-20"/>
          <w:kern w:val="0"/>
          <w:szCs w:val="24"/>
          <w:highlight w:val="none"/>
        </w:rPr>
        <w:t>乙方（乙方）：（承包单位）</w:t>
      </w:r>
    </w:p>
    <w:p>
      <w:pPr>
        <w:pStyle w:val="204"/>
        <w:widowControl/>
        <w:snapToGrid w:val="0"/>
        <w:spacing w:line="500" w:lineRule="exact"/>
        <w:ind w:firstLine="592" w:firstLineChars="296"/>
        <w:jc w:val="left"/>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（甲方）所需(项目名称)经（招标公司）以（项目编号）招标文件在国内以公开招标方式进行采购。经评标委员会确定（乙方）为乙方。甲、乙双方根据《中华人民共和国政府采购法》、《</w:t>
      </w:r>
      <w:r>
        <w:rPr>
          <w:rFonts w:hint="eastAsia" w:ascii="宋体" w:hAnsi="宋体"/>
          <w:color w:val="auto"/>
          <w:spacing w:val="-20"/>
          <w:kern w:val="0"/>
          <w:sz w:val="24"/>
          <w:szCs w:val="24"/>
          <w:highlight w:val="none"/>
          <w:lang w:val="en-US" w:eastAsia="zh-CN"/>
        </w:rPr>
        <w:t>民法典</w:t>
      </w:r>
      <w:r>
        <w:rPr>
          <w:rFonts w:hint="eastAsia" w:ascii="宋体" w:hAnsi="宋体"/>
          <w:color w:val="auto"/>
          <w:spacing w:val="-20"/>
          <w:kern w:val="0"/>
          <w:sz w:val="24"/>
          <w:szCs w:val="24"/>
          <w:highlight w:val="none"/>
        </w:rPr>
        <w:t>》等相关法律以及本项目招标文件的规定，经平等协商达成合同如下：</w:t>
      </w:r>
    </w:p>
    <w:p>
      <w:pPr>
        <w:pStyle w:val="204"/>
        <w:widowControl/>
        <w:numPr>
          <w:ilvl w:val="0"/>
          <w:numId w:val="58"/>
        </w:numPr>
        <w:snapToGrid w:val="0"/>
        <w:spacing w:line="500" w:lineRule="exact"/>
        <w:jc w:val="left"/>
        <w:rPr>
          <w:rFonts w:ascii="宋体" w:hAnsi="宋体"/>
          <w:b/>
          <w:color w:val="auto"/>
          <w:spacing w:val="-20"/>
          <w:kern w:val="0"/>
          <w:sz w:val="24"/>
          <w:szCs w:val="24"/>
          <w:highlight w:val="none"/>
        </w:rPr>
      </w:pPr>
      <w:r>
        <w:rPr>
          <w:rFonts w:hint="eastAsia" w:ascii="宋体" w:hAnsi="宋体"/>
          <w:b/>
          <w:color w:val="auto"/>
          <w:spacing w:val="-20"/>
          <w:kern w:val="0"/>
          <w:sz w:val="24"/>
          <w:szCs w:val="24"/>
          <w:highlight w:val="none"/>
        </w:rPr>
        <w:t>合同文件</w:t>
      </w:r>
    </w:p>
    <w:p>
      <w:pPr>
        <w:pStyle w:val="204"/>
        <w:widowControl/>
        <w:snapToGrid w:val="0"/>
        <w:spacing w:line="500" w:lineRule="exact"/>
        <w:ind w:firstLine="400" w:firstLineChars="200"/>
        <w:jc w:val="left"/>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本合同所附下列文件是构成本合同不可分割的部分，具有同等法律效力，如招标文件与本合同在具体细节描述存在冲突，以本合同为准：</w:t>
      </w:r>
    </w:p>
    <w:p>
      <w:pPr>
        <w:pStyle w:val="204"/>
        <w:widowControl/>
        <w:snapToGrid w:val="0"/>
        <w:spacing w:line="500" w:lineRule="exact"/>
        <w:ind w:firstLine="400" w:firstLineChars="200"/>
        <w:jc w:val="left"/>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（一）本项目招标文件</w:t>
      </w:r>
    </w:p>
    <w:p>
      <w:pPr>
        <w:pStyle w:val="204"/>
        <w:widowControl/>
        <w:snapToGrid w:val="0"/>
        <w:spacing w:line="500" w:lineRule="exact"/>
        <w:ind w:firstLine="400" w:firstLineChars="200"/>
        <w:jc w:val="left"/>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（二）乙方投标文件</w:t>
      </w:r>
    </w:p>
    <w:p>
      <w:pPr>
        <w:pStyle w:val="204"/>
        <w:widowControl/>
        <w:snapToGrid w:val="0"/>
        <w:spacing w:line="500" w:lineRule="exact"/>
        <w:ind w:firstLine="400" w:firstLineChars="200"/>
        <w:jc w:val="left"/>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（三）合同格式、合同条款</w:t>
      </w:r>
    </w:p>
    <w:p>
      <w:pPr>
        <w:pStyle w:val="204"/>
        <w:widowControl/>
        <w:snapToGrid w:val="0"/>
        <w:spacing w:line="500" w:lineRule="exact"/>
        <w:ind w:firstLine="400" w:firstLineChars="200"/>
        <w:jc w:val="left"/>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（四）乙方在评标过程中做出的有关澄清、说明或者补正文件</w:t>
      </w:r>
    </w:p>
    <w:p>
      <w:pPr>
        <w:pStyle w:val="204"/>
        <w:widowControl/>
        <w:snapToGrid w:val="0"/>
        <w:spacing w:line="500" w:lineRule="exact"/>
        <w:ind w:firstLine="400" w:firstLineChars="200"/>
        <w:jc w:val="left"/>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（五）中标通知书</w:t>
      </w:r>
    </w:p>
    <w:p>
      <w:pPr>
        <w:pStyle w:val="204"/>
        <w:widowControl/>
        <w:snapToGrid w:val="0"/>
        <w:spacing w:line="500" w:lineRule="exact"/>
        <w:ind w:firstLine="400" w:firstLineChars="200"/>
        <w:jc w:val="left"/>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（六）本合同附件</w:t>
      </w:r>
    </w:p>
    <w:p>
      <w:pPr>
        <w:pStyle w:val="204"/>
        <w:widowControl/>
        <w:snapToGrid w:val="0"/>
        <w:spacing w:line="500" w:lineRule="exact"/>
        <w:ind w:firstLine="402" w:firstLineChars="200"/>
        <w:jc w:val="left"/>
        <w:rPr>
          <w:rFonts w:ascii="宋体" w:hAnsi="宋体"/>
          <w:b/>
          <w:bCs/>
          <w:color w:val="auto"/>
          <w:spacing w:val="-20"/>
          <w:kern w:val="0"/>
          <w:sz w:val="24"/>
          <w:szCs w:val="24"/>
          <w:highlight w:val="none"/>
        </w:rPr>
      </w:pPr>
      <w:r>
        <w:rPr>
          <w:rFonts w:hint="eastAsia" w:ascii="宋体" w:hAnsi="宋体"/>
          <w:b/>
          <w:bCs/>
          <w:color w:val="auto"/>
          <w:spacing w:val="-20"/>
          <w:kern w:val="0"/>
          <w:sz w:val="24"/>
          <w:szCs w:val="24"/>
          <w:highlight w:val="none"/>
        </w:rPr>
        <w:t>第二条、合同的范围和条件</w:t>
      </w:r>
    </w:p>
    <w:p>
      <w:pPr>
        <w:pStyle w:val="204"/>
        <w:widowControl/>
        <w:snapToGrid w:val="0"/>
        <w:spacing w:line="500" w:lineRule="exact"/>
        <w:ind w:firstLine="400" w:firstLineChars="200"/>
        <w:jc w:val="left"/>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本合同的范围和条件应与上述合同文件的规定相一致。</w:t>
      </w:r>
    </w:p>
    <w:p>
      <w:pPr>
        <w:pStyle w:val="204"/>
        <w:widowControl/>
        <w:snapToGrid w:val="0"/>
        <w:spacing w:line="500" w:lineRule="exact"/>
        <w:ind w:firstLine="400" w:firstLineChars="200"/>
        <w:jc w:val="left"/>
        <w:rPr>
          <w:rFonts w:ascii="宋体" w:hAnsi="宋体"/>
          <w:color w:val="auto"/>
          <w:spacing w:val="-20"/>
          <w:kern w:val="0"/>
          <w:sz w:val="24"/>
          <w:szCs w:val="24"/>
          <w:highlight w:val="none"/>
        </w:rPr>
      </w:pPr>
    </w:p>
    <w:p>
      <w:pPr>
        <w:spacing w:line="500" w:lineRule="exact"/>
        <w:ind w:firstLine="402" w:firstLineChars="200"/>
        <w:rPr>
          <w:rFonts w:ascii="宋体" w:hAnsi="宋体"/>
          <w:b/>
          <w:color w:val="auto"/>
          <w:spacing w:val="-20"/>
          <w:kern w:val="0"/>
          <w:sz w:val="24"/>
          <w:szCs w:val="24"/>
          <w:highlight w:val="none"/>
        </w:rPr>
      </w:pPr>
      <w:r>
        <w:rPr>
          <w:rFonts w:hint="eastAsia" w:ascii="宋体" w:hAnsi="宋体"/>
          <w:b/>
          <w:color w:val="auto"/>
          <w:spacing w:val="-20"/>
          <w:kern w:val="0"/>
          <w:sz w:val="24"/>
          <w:szCs w:val="24"/>
          <w:highlight w:val="none"/>
        </w:rPr>
        <w:t>第三条、合同内容</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项目以投标文件的承诺为准，但不得低于招标文件的要求，甲方提出书面变更方案、乙方进行修订落实。</w:t>
      </w:r>
    </w:p>
    <w:p>
      <w:pPr>
        <w:spacing w:line="500" w:lineRule="exact"/>
        <w:ind w:firstLine="402" w:firstLineChars="200"/>
        <w:rPr>
          <w:rFonts w:ascii="宋体" w:hAnsi="宋体"/>
          <w:b/>
          <w:color w:val="auto"/>
          <w:spacing w:val="-20"/>
          <w:kern w:val="0"/>
          <w:sz w:val="24"/>
          <w:szCs w:val="24"/>
          <w:highlight w:val="none"/>
        </w:rPr>
      </w:pPr>
      <w:r>
        <w:rPr>
          <w:rFonts w:hint="eastAsia" w:ascii="宋体" w:hAnsi="宋体"/>
          <w:b/>
          <w:color w:val="auto"/>
          <w:spacing w:val="-20"/>
          <w:kern w:val="0"/>
          <w:sz w:val="24"/>
          <w:szCs w:val="24"/>
          <w:highlight w:val="none"/>
        </w:rPr>
        <w:t>第四条、合同价款</w:t>
      </w:r>
    </w:p>
    <w:p>
      <w:pPr>
        <w:spacing w:line="500" w:lineRule="exact"/>
        <w:ind w:firstLine="200" w:firstLineChars="100"/>
        <w:rPr>
          <w:rFonts w:ascii="宋体" w:hAnsi="宋体"/>
          <w:color w:val="auto"/>
          <w:sz w:val="24"/>
          <w:szCs w:val="24"/>
          <w:highlight w:val="none"/>
        </w:rPr>
      </w:pPr>
      <w:r>
        <w:rPr>
          <w:rFonts w:hint="eastAsia" w:ascii="宋体" w:hAnsi="宋体"/>
          <w:color w:val="auto"/>
          <w:spacing w:val="-20"/>
          <w:kern w:val="0"/>
          <w:sz w:val="24"/>
          <w:szCs w:val="24"/>
          <w:highlight w:val="none"/>
        </w:rPr>
        <w:t>（一）合同总价款为</w:t>
      </w:r>
      <w:r>
        <w:rPr>
          <w:rFonts w:hint="eastAsia" w:ascii="宋体" w:hAnsi="宋体"/>
          <w:b/>
          <w:color w:val="auto"/>
          <w:sz w:val="24"/>
          <w:szCs w:val="24"/>
          <w:highlight w:val="none"/>
          <w:u w:val="single"/>
        </w:rPr>
        <w:t>￥</w:t>
      </w:r>
      <w:r>
        <w:rPr>
          <w:rFonts w:ascii="宋体" w:hAnsi="宋体"/>
          <w:b/>
          <w:color w:val="auto"/>
          <w:sz w:val="24"/>
          <w:szCs w:val="24"/>
          <w:highlight w:val="none"/>
          <w:u w:val="single"/>
        </w:rPr>
        <w:t xml:space="preserve">   </w:t>
      </w:r>
      <w:r>
        <w:rPr>
          <w:rFonts w:hint="eastAsia" w:ascii="宋体" w:hAnsi="宋体"/>
          <w:bCs/>
          <w:color w:val="auto"/>
          <w:sz w:val="24"/>
          <w:szCs w:val="24"/>
          <w:highlight w:val="none"/>
          <w:u w:val="single"/>
        </w:rPr>
        <w:t>万元</w:t>
      </w:r>
      <w:r>
        <w:rPr>
          <w:rFonts w:hint="eastAsia" w:ascii="宋体" w:hAnsi="宋体"/>
          <w:b/>
          <w:color w:val="auto"/>
          <w:sz w:val="24"/>
          <w:szCs w:val="24"/>
          <w:highlight w:val="none"/>
          <w:u w:val="single"/>
        </w:rPr>
        <w:t>，</w:t>
      </w:r>
      <w:r>
        <w:rPr>
          <w:rFonts w:hint="eastAsia" w:ascii="宋体" w:hAnsi="宋体"/>
          <w:color w:val="auto"/>
          <w:spacing w:val="-20"/>
          <w:kern w:val="0"/>
          <w:sz w:val="24"/>
          <w:szCs w:val="24"/>
          <w:highlight w:val="none"/>
        </w:rPr>
        <w:t>单家医院实施费用（单家医院总费用=投标总价/15）</w:t>
      </w:r>
    </w:p>
    <w:p>
      <w:pPr>
        <w:spacing w:line="500" w:lineRule="exact"/>
        <w:ind w:firstLine="300" w:firstLineChars="15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金额为</w:t>
      </w:r>
      <w:r>
        <w:rPr>
          <w:rFonts w:ascii="宋体" w:hAnsi="宋体"/>
          <w:color w:val="auto"/>
          <w:spacing w:val="-20"/>
          <w:kern w:val="0"/>
          <w:sz w:val="24"/>
          <w:szCs w:val="24"/>
          <w:highlight w:val="none"/>
        </w:rPr>
        <w:t xml:space="preserve"> </w:t>
      </w:r>
      <w:r>
        <w:rPr>
          <w:rFonts w:hint="eastAsia" w:ascii="宋体" w:hAnsi="宋体"/>
          <w:b/>
          <w:color w:val="auto"/>
          <w:sz w:val="24"/>
          <w:szCs w:val="24"/>
          <w:highlight w:val="none"/>
          <w:u w:val="single"/>
        </w:rPr>
        <w:t>￥</w:t>
      </w:r>
      <w:r>
        <w:rPr>
          <w:rFonts w:ascii="宋体" w:hAnsi="宋体"/>
          <w:b/>
          <w:color w:val="auto"/>
          <w:sz w:val="24"/>
          <w:szCs w:val="24"/>
          <w:highlight w:val="none"/>
          <w:u w:val="single"/>
        </w:rPr>
        <w:t xml:space="preserve">   </w:t>
      </w:r>
      <w:r>
        <w:rPr>
          <w:rFonts w:hint="eastAsia" w:ascii="宋体" w:hAnsi="宋体"/>
          <w:bCs/>
          <w:color w:val="auto"/>
          <w:sz w:val="24"/>
          <w:szCs w:val="24"/>
          <w:highlight w:val="none"/>
          <w:u w:val="single"/>
        </w:rPr>
        <w:t>万元</w:t>
      </w:r>
      <w:r>
        <w:rPr>
          <w:rFonts w:hint="eastAsia" w:ascii="宋体" w:hAnsi="宋体"/>
          <w:b/>
          <w:color w:val="auto"/>
          <w:sz w:val="24"/>
          <w:szCs w:val="24"/>
          <w:highlight w:val="none"/>
          <w:u w:val="single"/>
        </w:rPr>
        <w:t>，</w:t>
      </w:r>
      <w:r>
        <w:rPr>
          <w:rFonts w:hint="eastAsia" w:ascii="宋体" w:hAnsi="宋体"/>
          <w:color w:val="auto"/>
          <w:spacing w:val="-20"/>
          <w:kern w:val="0"/>
          <w:sz w:val="24"/>
          <w:szCs w:val="24"/>
          <w:highlight w:val="none"/>
        </w:rPr>
        <w:t>本次项目实施范围为</w:t>
      </w:r>
      <w:r>
        <w:rPr>
          <w:rFonts w:ascii="宋体" w:hAnsi="宋体"/>
          <w:color w:val="auto"/>
          <w:spacing w:val="-20"/>
          <w:kern w:val="0"/>
          <w:sz w:val="24"/>
          <w:szCs w:val="24"/>
          <w:highlight w:val="none"/>
          <w:u w:val="single"/>
        </w:rPr>
        <w:t xml:space="preserve"> </w:t>
      </w:r>
      <w:r>
        <w:rPr>
          <w:rFonts w:hint="eastAsia" w:ascii="宋体" w:hAnsi="宋体"/>
          <w:color w:val="auto"/>
          <w:spacing w:val="-20"/>
          <w:kern w:val="0"/>
          <w:sz w:val="24"/>
          <w:szCs w:val="24"/>
          <w:highlight w:val="none"/>
          <w:u w:val="single"/>
        </w:rPr>
        <w:t>不少于</w:t>
      </w:r>
      <w:r>
        <w:rPr>
          <w:rFonts w:ascii="宋体" w:hAnsi="宋体"/>
          <w:color w:val="auto"/>
          <w:spacing w:val="-20"/>
          <w:kern w:val="0"/>
          <w:sz w:val="24"/>
          <w:szCs w:val="24"/>
          <w:highlight w:val="none"/>
          <w:u w:val="single"/>
        </w:rPr>
        <w:t>15</w:t>
      </w:r>
      <w:r>
        <w:rPr>
          <w:rFonts w:hint="eastAsia" w:ascii="宋体" w:hAnsi="宋体"/>
          <w:color w:val="auto"/>
          <w:spacing w:val="-20"/>
          <w:kern w:val="0"/>
          <w:sz w:val="24"/>
          <w:szCs w:val="24"/>
          <w:highlight w:val="none"/>
        </w:rPr>
        <w:t>家兵团二、三级医院。超过15家以上部分报价全部含在投标总报价中。</w:t>
      </w:r>
    </w:p>
    <w:p>
      <w:pPr>
        <w:spacing w:line="560" w:lineRule="exact"/>
        <w:ind w:firstLine="300" w:firstLineChars="15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二）合同总价包括但不限于项目招标采购需求中列出的服务及应用系统的需求分析、设计、开发、测试、安装、部署、接口联调、培训、历史数据迁移、验收、等保测评、密评等服务，合同总价中包含以上环节所产生的全部费用以及本项目运行所需要的基础组件费用（如各类大数据组件、数据治理组件等）。</w:t>
      </w:r>
    </w:p>
    <w:p>
      <w:pPr>
        <w:spacing w:line="50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（三）单家医院实施费用一次性包死，不受市场价格变化因素的影响。</w:t>
      </w:r>
    </w:p>
    <w:p>
      <w:pPr>
        <w:spacing w:line="50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（四）履约保证金：合同签订前7天内，乙方须向甲方支付中标总价的</w:t>
      </w:r>
      <w:r>
        <w:rPr>
          <w:rFonts w:ascii="宋体" w:hAnsi="宋体"/>
          <w:color w:val="auto"/>
          <w:sz w:val="24"/>
          <w:szCs w:val="24"/>
          <w:highlight w:val="none"/>
        </w:rPr>
        <w:t>2</w:t>
      </w:r>
      <w:r>
        <w:rPr>
          <w:rFonts w:hint="eastAsia" w:ascii="宋体" w:hAnsi="宋体"/>
          <w:color w:val="auto"/>
          <w:sz w:val="24"/>
          <w:szCs w:val="24"/>
          <w:highlight w:val="none"/>
        </w:rPr>
        <w:t>%作为履约保证金</w:t>
      </w:r>
      <w:r>
        <w:rPr>
          <w:rFonts w:ascii="宋体" w:hAnsi="宋体"/>
          <w:color w:val="auto"/>
          <w:sz w:val="24"/>
          <w:szCs w:val="24"/>
          <w:highlight w:val="none"/>
        </w:rPr>
        <w:t>，</w:t>
      </w:r>
      <w:r>
        <w:rPr>
          <w:rFonts w:hint="eastAsia" w:ascii="宋体" w:hAnsi="宋体"/>
          <w:color w:val="auto"/>
          <w:sz w:val="24"/>
          <w:szCs w:val="24"/>
          <w:highlight w:val="none"/>
          <w:lang w:eastAsia="zh-Hans"/>
        </w:rPr>
        <w:t>支付方式支持银行转账或保函</w:t>
      </w:r>
      <w:r>
        <w:rPr>
          <w:rFonts w:hint="eastAsia" w:ascii="宋体" w:hAnsi="宋体"/>
          <w:color w:val="auto"/>
          <w:sz w:val="24"/>
          <w:szCs w:val="24"/>
          <w:highlight w:val="none"/>
        </w:rPr>
        <w:t>。履约保证金待合同履约完成无任何问题，甲方30日内一次性无息退还。</w:t>
      </w:r>
    </w:p>
    <w:p>
      <w:pPr>
        <w:spacing w:line="500" w:lineRule="exact"/>
        <w:ind w:firstLine="241" w:firstLineChars="100"/>
        <w:rPr>
          <w:rFonts w:ascii="宋体" w:hAnsi="宋体"/>
          <w:b/>
          <w:bCs/>
          <w:color w:val="auto"/>
          <w:sz w:val="24"/>
          <w:szCs w:val="24"/>
          <w:highlight w:val="none"/>
        </w:rPr>
      </w:pPr>
      <w:r>
        <w:rPr>
          <w:rFonts w:hint="eastAsia" w:ascii="宋体" w:hAnsi="宋体"/>
          <w:b/>
          <w:bCs/>
          <w:color w:val="auto"/>
          <w:sz w:val="24"/>
          <w:szCs w:val="24"/>
          <w:highlight w:val="none"/>
        </w:rPr>
        <w:t>第五条、款项结算</w:t>
      </w:r>
    </w:p>
    <w:p>
      <w:pPr>
        <w:spacing w:line="50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本项目以单家医院通过验收进行付款，款项支付方式如下：</w:t>
      </w:r>
    </w:p>
    <w:p>
      <w:pPr>
        <w:spacing w:line="500" w:lineRule="exact"/>
        <w:ind w:firstLine="240" w:firstLineChars="1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系统上线平稳运行</w:t>
      </w:r>
      <w:r>
        <w:rPr>
          <w:rFonts w:hint="eastAsia" w:ascii="宋体" w:hAnsi="宋体"/>
          <w:color w:val="auto"/>
          <w:sz w:val="24"/>
          <w:szCs w:val="24"/>
          <w:highlight w:val="none"/>
          <w:lang w:val="en-US" w:eastAsia="zh-CN"/>
        </w:rPr>
        <w:t>后</w:t>
      </w:r>
      <w:r>
        <w:rPr>
          <w:rFonts w:hint="eastAsia" w:ascii="宋体" w:hAnsi="宋体"/>
          <w:color w:val="auto"/>
          <w:sz w:val="24"/>
          <w:szCs w:val="24"/>
          <w:highlight w:val="none"/>
        </w:rPr>
        <w:t>通过验收，支付单家医院总费用的</w:t>
      </w:r>
      <w:r>
        <w:rPr>
          <w:rFonts w:ascii="宋体" w:hAnsi="宋体"/>
          <w:color w:val="auto"/>
          <w:sz w:val="24"/>
          <w:szCs w:val="24"/>
          <w:highlight w:val="none"/>
          <w:u w:val="single"/>
        </w:rPr>
        <w:t>95</w:t>
      </w:r>
      <w:r>
        <w:rPr>
          <w:rFonts w:ascii="宋体" w:hAnsi="宋体"/>
          <w:color w:val="auto"/>
          <w:sz w:val="24"/>
          <w:szCs w:val="24"/>
          <w:highlight w:val="none"/>
        </w:rPr>
        <w:t>%。</w:t>
      </w:r>
    </w:p>
    <w:p>
      <w:pPr>
        <w:spacing w:line="500" w:lineRule="exact"/>
        <w:ind w:firstLine="240" w:firstLineChars="1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至少三年</w:t>
      </w:r>
      <w:r>
        <w:rPr>
          <w:rFonts w:hint="eastAsia" w:ascii="宋体" w:hAnsi="宋体"/>
          <w:color w:val="auto"/>
          <w:sz w:val="24"/>
          <w:szCs w:val="24"/>
          <w:highlight w:val="none"/>
        </w:rPr>
        <w:t>后支付单家医院总费用的</w:t>
      </w:r>
      <w:r>
        <w:rPr>
          <w:rFonts w:hint="eastAsia" w:ascii="宋体" w:hAnsi="宋体"/>
          <w:color w:val="auto"/>
          <w:sz w:val="24"/>
          <w:szCs w:val="24"/>
          <w:highlight w:val="none"/>
          <w:u w:val="single"/>
        </w:rPr>
        <w:t>5</w:t>
      </w:r>
      <w:r>
        <w:rPr>
          <w:rFonts w:hint="eastAsia" w:ascii="宋体" w:hAnsi="宋体"/>
          <w:color w:val="auto"/>
          <w:sz w:val="24"/>
          <w:szCs w:val="24"/>
          <w:highlight w:val="none"/>
        </w:rPr>
        <w:t>%。</w:t>
      </w:r>
    </w:p>
    <w:p>
      <w:pPr>
        <w:tabs>
          <w:tab w:val="left" w:pos="480"/>
        </w:tabs>
        <w:spacing w:line="500" w:lineRule="exact"/>
        <w:ind w:firstLine="200" w:firstLineChars="100"/>
        <w:rPr>
          <w:rFonts w:ascii="宋体" w:hAnsi="宋体"/>
          <w:color w:val="auto"/>
          <w:spacing w:val="-20"/>
          <w:kern w:val="0"/>
          <w:sz w:val="24"/>
          <w:szCs w:val="24"/>
          <w:highlight w:val="none"/>
        </w:rPr>
      </w:pPr>
      <w:r>
        <w:rPr>
          <w:rFonts w:ascii="宋体" w:hAnsi="宋体"/>
          <w:color w:val="auto"/>
          <w:spacing w:val="-20"/>
          <w:kern w:val="0"/>
          <w:sz w:val="24"/>
          <w:szCs w:val="24"/>
          <w:highlight w:val="none"/>
        </w:rPr>
        <w:t>3</w:t>
      </w:r>
      <w:r>
        <w:rPr>
          <w:rFonts w:hint="eastAsia" w:ascii="宋体" w:hAnsi="宋体"/>
          <w:color w:val="auto"/>
          <w:spacing w:val="-20"/>
          <w:kern w:val="0"/>
          <w:sz w:val="24"/>
          <w:szCs w:val="24"/>
          <w:highlight w:val="none"/>
        </w:rPr>
        <w:t>、支付方式：银行转帐</w:t>
      </w:r>
    </w:p>
    <w:p>
      <w:pPr>
        <w:spacing w:line="500" w:lineRule="exact"/>
        <w:ind w:firstLine="200" w:firstLineChars="100"/>
        <w:rPr>
          <w:rFonts w:ascii="宋体" w:hAnsi="宋体"/>
          <w:color w:val="auto"/>
          <w:spacing w:val="-20"/>
          <w:kern w:val="0"/>
          <w:sz w:val="24"/>
          <w:szCs w:val="24"/>
          <w:highlight w:val="none"/>
        </w:rPr>
      </w:pPr>
      <w:r>
        <w:rPr>
          <w:rFonts w:ascii="宋体" w:hAnsi="宋体"/>
          <w:color w:val="auto"/>
          <w:spacing w:val="-20"/>
          <w:kern w:val="0"/>
          <w:sz w:val="24"/>
          <w:szCs w:val="24"/>
          <w:highlight w:val="none"/>
        </w:rPr>
        <w:t>4</w:t>
      </w:r>
      <w:r>
        <w:rPr>
          <w:rFonts w:hint="eastAsia" w:ascii="宋体" w:hAnsi="宋体"/>
          <w:color w:val="auto"/>
          <w:spacing w:val="-20"/>
          <w:kern w:val="0"/>
          <w:sz w:val="24"/>
          <w:szCs w:val="24"/>
          <w:highlight w:val="none"/>
        </w:rPr>
        <w:t>、结算方式：验收合格后填写政府采购项目验收单（一式伍份）</w:t>
      </w:r>
      <w:r>
        <w:rPr>
          <w:rFonts w:ascii="宋体" w:hAnsi="宋体"/>
          <w:color w:val="auto"/>
          <w:spacing w:val="-20"/>
          <w:kern w:val="0"/>
          <w:sz w:val="24"/>
          <w:szCs w:val="24"/>
          <w:highlight w:val="none"/>
        </w:rPr>
        <w:t>,</w:t>
      </w:r>
      <w:r>
        <w:rPr>
          <w:rFonts w:hint="eastAsia" w:ascii="宋体" w:hAnsi="宋体"/>
          <w:color w:val="auto"/>
          <w:spacing w:val="-20"/>
          <w:kern w:val="0"/>
          <w:sz w:val="24"/>
          <w:szCs w:val="24"/>
          <w:highlight w:val="none"/>
        </w:rPr>
        <w:t>发票（每次付款时需开具相应金额的发票），供应商持中标通知书、供货合同、发票、项目验收单，与甲方结算一名代表，协调项目有关参建单位。</w:t>
      </w:r>
    </w:p>
    <w:p>
      <w:pPr>
        <w:tabs>
          <w:tab w:val="left" w:pos="480"/>
        </w:tabs>
        <w:spacing w:line="500" w:lineRule="exact"/>
        <w:ind w:firstLine="402" w:firstLineChars="200"/>
        <w:rPr>
          <w:rFonts w:ascii="宋体" w:hAnsi="宋体"/>
          <w:b/>
          <w:color w:val="auto"/>
          <w:spacing w:val="-20"/>
          <w:kern w:val="0"/>
          <w:sz w:val="24"/>
          <w:szCs w:val="24"/>
          <w:highlight w:val="none"/>
        </w:rPr>
      </w:pPr>
      <w:r>
        <w:rPr>
          <w:rFonts w:hint="eastAsia" w:ascii="宋体" w:hAnsi="宋体"/>
          <w:b/>
          <w:color w:val="auto"/>
          <w:spacing w:val="-20"/>
          <w:kern w:val="0"/>
          <w:sz w:val="24"/>
          <w:szCs w:val="24"/>
          <w:highlight w:val="none"/>
        </w:rPr>
        <w:t>第六条、双方的权利和义务</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（一）甲方的权利和义务</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1</w:t>
      </w:r>
      <w:r>
        <w:rPr>
          <w:rFonts w:hint="eastAsia" w:ascii="宋体" w:hAnsi="宋体"/>
          <w:color w:val="auto"/>
          <w:spacing w:val="-20"/>
          <w:kern w:val="0"/>
          <w:sz w:val="24"/>
          <w:szCs w:val="24"/>
          <w:highlight w:val="none"/>
        </w:rPr>
        <w:t>）甲方应履行本合同及其附件中各条款规定的义务。</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2</w:t>
      </w:r>
      <w:r>
        <w:rPr>
          <w:rFonts w:hint="eastAsia" w:ascii="宋体" w:hAnsi="宋体"/>
          <w:color w:val="auto"/>
          <w:spacing w:val="-20"/>
          <w:kern w:val="0"/>
          <w:sz w:val="24"/>
          <w:szCs w:val="24"/>
          <w:highlight w:val="none"/>
        </w:rPr>
        <w:t>）负责帮助乙方协调与项目有关的参建单位，配合乙方做好项目实施工作。</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3</w:t>
      </w:r>
      <w:r>
        <w:rPr>
          <w:rFonts w:hint="eastAsia" w:ascii="宋体" w:hAnsi="宋体"/>
          <w:color w:val="auto"/>
          <w:spacing w:val="-20"/>
          <w:kern w:val="0"/>
          <w:sz w:val="24"/>
          <w:szCs w:val="24"/>
          <w:highlight w:val="none"/>
        </w:rPr>
        <w:t>）按照合同款项支付约定及时支付各项货款。</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4</w:t>
      </w:r>
      <w:r>
        <w:rPr>
          <w:rFonts w:hint="eastAsia" w:ascii="宋体" w:hAnsi="宋体"/>
          <w:color w:val="auto"/>
          <w:spacing w:val="-20"/>
          <w:kern w:val="0"/>
          <w:sz w:val="24"/>
          <w:szCs w:val="24"/>
          <w:highlight w:val="none"/>
        </w:rPr>
        <w:t>）配合乙方协调本合同建设所需对接系统的正确接口规范及数据。</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5</w:t>
      </w:r>
      <w:r>
        <w:rPr>
          <w:rFonts w:hint="eastAsia" w:ascii="宋体" w:hAnsi="宋体"/>
          <w:color w:val="auto"/>
          <w:spacing w:val="-20"/>
          <w:kern w:val="0"/>
          <w:sz w:val="24"/>
          <w:szCs w:val="24"/>
          <w:highlight w:val="none"/>
        </w:rPr>
        <w:t>）负责组织本合同范围内相关软件的验收。</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（二）乙方的权利和义务</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1</w:t>
      </w:r>
      <w:r>
        <w:rPr>
          <w:rFonts w:hint="eastAsia" w:ascii="宋体" w:hAnsi="宋体"/>
          <w:color w:val="auto"/>
          <w:spacing w:val="-20"/>
          <w:kern w:val="0"/>
          <w:sz w:val="24"/>
          <w:szCs w:val="24"/>
          <w:highlight w:val="none"/>
        </w:rPr>
        <w:t>）乙方应履行本合同及附件中各条款规定的义务。</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2</w:t>
      </w:r>
      <w:r>
        <w:rPr>
          <w:rFonts w:hint="eastAsia" w:ascii="宋体" w:hAnsi="宋体"/>
          <w:color w:val="auto"/>
          <w:spacing w:val="-20"/>
          <w:kern w:val="0"/>
          <w:sz w:val="24"/>
          <w:szCs w:val="24"/>
          <w:highlight w:val="none"/>
        </w:rPr>
        <w:t>）根据本合同规定及项目需要，乙方对相关的技术方案及相关工作负责。</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3</w:t>
      </w:r>
      <w:r>
        <w:rPr>
          <w:rFonts w:hint="eastAsia" w:ascii="宋体" w:hAnsi="宋体"/>
          <w:color w:val="auto"/>
          <w:spacing w:val="-20"/>
          <w:kern w:val="0"/>
          <w:sz w:val="24"/>
          <w:szCs w:val="24"/>
          <w:highlight w:val="none"/>
        </w:rPr>
        <w:t>）乙方有义务解答甲方提出的与项目有关的询问，按甲方有关项目管理要求按期如实编报项目进展情况，提供相关资料；同时按照甲方要求按期保质的进行项目建设，接受甲方对项目进度、质量的监督和检查。</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4</w:t>
      </w:r>
      <w:r>
        <w:rPr>
          <w:rFonts w:hint="eastAsia" w:ascii="宋体" w:hAnsi="宋体"/>
          <w:color w:val="auto"/>
          <w:spacing w:val="-20"/>
          <w:kern w:val="0"/>
          <w:sz w:val="24"/>
          <w:szCs w:val="24"/>
          <w:highlight w:val="none"/>
        </w:rPr>
        <w:t>）乙方须根据经甲方确认的实施方案组织项目实施，项目实施必须严格遵守国家的法律、法规以及现行技术与质量标准。乙方建成后的系统和软件必须完全满足甲方的要求。</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5</w:t>
      </w:r>
      <w:r>
        <w:rPr>
          <w:rFonts w:hint="eastAsia" w:ascii="宋体" w:hAnsi="宋体"/>
          <w:color w:val="auto"/>
          <w:spacing w:val="-20"/>
          <w:kern w:val="0"/>
          <w:sz w:val="24"/>
          <w:szCs w:val="24"/>
          <w:highlight w:val="none"/>
        </w:rPr>
        <w:t>）乙方制定具体项目实施计划，须满足项目总体实施方案规定的工程进度和质量要求，并提交甲方确认后，并按照甲方确认的项目实施计划进度组织实施工作。</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6</w:t>
      </w:r>
      <w:r>
        <w:rPr>
          <w:rFonts w:hint="eastAsia" w:ascii="宋体" w:hAnsi="宋体"/>
          <w:color w:val="auto"/>
          <w:spacing w:val="-20"/>
          <w:kern w:val="0"/>
          <w:sz w:val="24"/>
          <w:szCs w:val="24"/>
          <w:highlight w:val="none"/>
        </w:rPr>
        <w:t>）乙方须负责组织软件开发、调试、测试及运行维护工作。</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7</w:t>
      </w:r>
      <w:r>
        <w:rPr>
          <w:rFonts w:hint="eastAsia" w:ascii="宋体" w:hAnsi="宋体"/>
          <w:color w:val="auto"/>
          <w:spacing w:val="-20"/>
          <w:kern w:val="0"/>
          <w:sz w:val="24"/>
          <w:szCs w:val="24"/>
          <w:highlight w:val="none"/>
        </w:rPr>
        <w:t>）乙方须按合同规定和项目实施进展需要，按时提交所购第三方软件产品、并按照项目集成工作要求，负责集成第三方产品，提供相关技术资料及各项服务，并完成软件开发、材料准备、软件安装、调试、试运行工作。</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8</w:t>
      </w:r>
      <w:r>
        <w:rPr>
          <w:rFonts w:hint="eastAsia" w:ascii="宋体" w:hAnsi="宋体"/>
          <w:color w:val="auto"/>
          <w:spacing w:val="-20"/>
          <w:kern w:val="0"/>
          <w:sz w:val="24"/>
          <w:szCs w:val="24"/>
          <w:highlight w:val="none"/>
        </w:rPr>
        <w:t>）乙方保证以合法的方式实施本合同，并保证项目成果（包括任何相对独立的部分）不侵犯他人知识产权或遭到类似指控诉讼，否则，乙方应承担因此而造成的一切责任及损失。</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9</w:t>
      </w:r>
      <w:r>
        <w:rPr>
          <w:rFonts w:hint="eastAsia" w:ascii="宋体" w:hAnsi="宋体"/>
          <w:color w:val="auto"/>
          <w:spacing w:val="-20"/>
          <w:kern w:val="0"/>
          <w:sz w:val="24"/>
          <w:szCs w:val="24"/>
          <w:highlight w:val="none"/>
        </w:rPr>
        <w:t>）乙方免费提供本项目的用户培训，培训工作应与系统上线、升级保持同步，保证操作人员能够正确、熟练、有效地利用本系统的操作、处理、管理和维护以及异常情况下紧急处理方法。甲方负责相关培训人员的召集和组织工作。</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10</w:t>
      </w:r>
      <w:r>
        <w:rPr>
          <w:rFonts w:hint="eastAsia" w:ascii="宋体" w:hAnsi="宋体"/>
          <w:color w:val="auto"/>
          <w:spacing w:val="-20"/>
          <w:kern w:val="0"/>
          <w:sz w:val="24"/>
          <w:szCs w:val="24"/>
          <w:highlight w:val="none"/>
        </w:rPr>
        <w:t>）乙方须保证遵守甲方的相关保密规定，未经许可不得复制、带走和传播本项目的实施方案、工程文档、技术资料和涉及的信息，更不得将本项目所涉及的数据资料用于其它商业用途。</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11）乙方保证按招标文件的要求配备稳定、专业的、足够数量、年资和项目经验的实施团队，投标文件提供的本项目拟定的实施项目成员与实际到甲方单位现场工作的人员相一致，成员涵盖项目管理、开发、测试、实施等人；如需更换应书面通知（加盖公章）甲方并说明原因和接替者资历证明（要求替换的是相同资历人员），未得到甲方确认同意的情况下不得调换；甲方有权利要求乙方调换不称职的项目经理。</w:t>
      </w:r>
    </w:p>
    <w:p>
      <w:pPr>
        <w:pStyle w:val="11"/>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12）合同执行期间(合同签定之日起至质保期结束之日止)，乙方必须免费提供所有可能需要的各软件系统之间（无论是乙方自有、OEM第三方、兵团各级医联体/医共体医院升级或更换的系统、上级部门、政府相关部门或医疗行业必须的所有外联平台、系统和设备）的数据接口和安装调试服务，不得向甲方或第三方收取任何接口费用。</w:t>
      </w:r>
    </w:p>
    <w:p>
      <w:pPr>
        <w:pStyle w:val="11"/>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13）本项目乙方提供的软件产品应有良好的兼容性，确保甲方可以长期正常使用，由于甲方服务器或终端设备的操作系统升级导致本项目乙方的软件不能兼容运行，无论是否在合同执行期内还是之外，都必须免费向甲方提供可兼容运行的升级软件版本。</w:t>
      </w:r>
    </w:p>
    <w:p>
      <w:pPr>
        <w:spacing w:line="500" w:lineRule="exact"/>
        <w:ind w:firstLine="402" w:firstLineChars="200"/>
        <w:rPr>
          <w:rFonts w:ascii="宋体" w:hAnsi="宋体"/>
          <w:b/>
          <w:color w:val="auto"/>
          <w:spacing w:val="-20"/>
          <w:kern w:val="0"/>
          <w:sz w:val="24"/>
          <w:szCs w:val="24"/>
          <w:highlight w:val="none"/>
        </w:rPr>
      </w:pPr>
      <w:r>
        <w:rPr>
          <w:rFonts w:hint="eastAsia" w:ascii="宋体" w:hAnsi="宋体"/>
          <w:b/>
          <w:color w:val="auto"/>
          <w:spacing w:val="-20"/>
          <w:kern w:val="0"/>
          <w:sz w:val="24"/>
          <w:szCs w:val="24"/>
          <w:highlight w:val="none"/>
        </w:rPr>
        <w:t>第七条、项目实施及交货条件</w:t>
      </w:r>
    </w:p>
    <w:p>
      <w:pPr>
        <w:spacing w:line="500" w:lineRule="exact"/>
        <w:ind w:left="279" w:leftChars="133" w:firstLine="200" w:firstLineChars="1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（一）项目实施期：合同签定之日至项目整体最终验收通过之日止为项目实施期。</w:t>
      </w:r>
    </w:p>
    <w:p>
      <w:pPr>
        <w:spacing w:line="500" w:lineRule="exact"/>
        <w:ind w:left="279" w:leftChars="133" w:firstLine="200" w:firstLineChars="1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（二）交货期：合同签定之日至整体最终验收通过之日止为项目实施期，实施工期6个月内。乙方须在合同签订后1周内提交项目整体实施方案。乙方承诺严格按甲方要求的进度完成医院信息化实施工作。</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（三）交货地点：新疆生产建设兵团医院。（具体以甲方指定地点为准）</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因非甲方原因导致项目延期不能按时交付的，乙方须在3个工作日内向甲方书面提交延期原因说明和整改方案。甲方将视实际情况限期整改，若期限内仍未能完成项目交付，乙方有权解除合同并将中标方纳入失信名单。</w:t>
      </w:r>
    </w:p>
    <w:p>
      <w:pPr>
        <w:spacing w:line="500" w:lineRule="exact"/>
        <w:ind w:firstLine="402" w:firstLineChars="200"/>
        <w:rPr>
          <w:rFonts w:ascii="宋体" w:hAnsi="宋体"/>
          <w:b/>
          <w:color w:val="auto"/>
          <w:spacing w:val="-20"/>
          <w:kern w:val="0"/>
          <w:sz w:val="24"/>
          <w:szCs w:val="24"/>
          <w:highlight w:val="none"/>
        </w:rPr>
      </w:pPr>
      <w:r>
        <w:rPr>
          <w:rFonts w:hint="eastAsia" w:ascii="宋体" w:hAnsi="宋体"/>
          <w:b/>
          <w:color w:val="auto"/>
          <w:spacing w:val="-20"/>
          <w:kern w:val="0"/>
          <w:sz w:val="24"/>
          <w:szCs w:val="24"/>
          <w:highlight w:val="none"/>
        </w:rPr>
        <w:t xml:space="preserve">第八条、质量保证 </w:t>
      </w:r>
    </w:p>
    <w:p>
      <w:pPr>
        <w:tabs>
          <w:tab w:val="left" w:pos="480"/>
        </w:tabs>
        <w:spacing w:line="500" w:lineRule="exact"/>
        <w:ind w:left="439" w:leftChars="209" w:firstLine="40" w:firstLineChars="20"/>
        <w:rPr>
          <w:rFonts w:ascii="宋体" w:hAnsi="宋体"/>
          <w:bCs/>
          <w:color w:val="auto"/>
          <w:spacing w:val="-20"/>
          <w:kern w:val="0"/>
          <w:sz w:val="24"/>
          <w:szCs w:val="24"/>
          <w:highlight w:val="none"/>
        </w:rPr>
      </w:pPr>
      <w:r>
        <w:rPr>
          <w:rFonts w:hint="eastAsia" w:ascii="宋体" w:hAnsi="宋体"/>
          <w:bCs/>
          <w:color w:val="auto"/>
          <w:spacing w:val="-20"/>
          <w:kern w:val="0"/>
          <w:sz w:val="24"/>
          <w:szCs w:val="24"/>
          <w:highlight w:val="none"/>
        </w:rPr>
        <w:t>项目免费质量保证期简称质保期（下同）：乙方须对本次招标内容所列软件系统提供</w:t>
      </w:r>
      <w:r>
        <w:rPr>
          <w:rFonts w:hint="eastAsia" w:ascii="宋体" w:hAnsi="宋体"/>
          <w:bCs/>
          <w:color w:val="auto"/>
          <w:spacing w:val="-20"/>
          <w:kern w:val="0"/>
          <w:sz w:val="24"/>
          <w:szCs w:val="24"/>
          <w:highlight w:val="none"/>
          <w:u w:val="single"/>
          <w:lang w:val="en-US" w:eastAsia="zh-CN"/>
        </w:rPr>
        <w:t xml:space="preserve">  </w:t>
      </w:r>
      <w:r>
        <w:rPr>
          <w:rFonts w:hint="eastAsia" w:ascii="宋体" w:hAnsi="宋体"/>
          <w:bCs/>
          <w:color w:val="auto"/>
          <w:spacing w:val="-20"/>
          <w:kern w:val="0"/>
          <w:sz w:val="24"/>
          <w:szCs w:val="24"/>
          <w:highlight w:val="none"/>
        </w:rPr>
        <w:t>年的免费质保期，免费质保期自项目整体最终验收（终验）通过之日为起点开始计算。在质保期内，乙方应做到如下事宜：</w:t>
      </w:r>
    </w:p>
    <w:p>
      <w:pPr>
        <w:tabs>
          <w:tab w:val="left" w:pos="480"/>
        </w:tabs>
        <w:spacing w:line="500" w:lineRule="exact"/>
        <w:ind w:firstLine="400" w:firstLineChars="200"/>
        <w:rPr>
          <w:rFonts w:ascii="宋体" w:hAnsi="宋体"/>
          <w:bCs/>
          <w:color w:val="auto"/>
          <w:spacing w:val="-20"/>
          <w:kern w:val="0"/>
          <w:sz w:val="24"/>
          <w:szCs w:val="24"/>
          <w:highlight w:val="none"/>
        </w:rPr>
      </w:pPr>
      <w:r>
        <w:rPr>
          <w:rFonts w:hint="eastAsia" w:ascii="宋体" w:hAnsi="宋体"/>
          <w:bCs/>
          <w:color w:val="auto"/>
          <w:spacing w:val="-20"/>
          <w:kern w:val="0"/>
          <w:sz w:val="24"/>
          <w:szCs w:val="24"/>
          <w:highlight w:val="none"/>
        </w:rPr>
        <w:t>（一）保证技术指标先进、质量性能可靠、功能模块齐全，配置合理，全面满足招标要求。</w:t>
      </w:r>
    </w:p>
    <w:p>
      <w:pPr>
        <w:spacing w:line="500" w:lineRule="exact"/>
        <w:ind w:firstLine="400" w:firstLineChars="200"/>
        <w:rPr>
          <w:rFonts w:ascii="宋体" w:hAnsi="宋体"/>
          <w:bCs/>
          <w:color w:val="auto"/>
          <w:spacing w:val="-20"/>
          <w:kern w:val="0"/>
          <w:sz w:val="24"/>
          <w:szCs w:val="24"/>
          <w:highlight w:val="none"/>
        </w:rPr>
      </w:pPr>
      <w:r>
        <w:rPr>
          <w:rFonts w:hint="eastAsia" w:ascii="宋体" w:hAnsi="宋体"/>
          <w:bCs/>
          <w:color w:val="auto"/>
          <w:spacing w:val="-20"/>
          <w:kern w:val="0"/>
          <w:sz w:val="24"/>
          <w:szCs w:val="24"/>
          <w:highlight w:val="none"/>
        </w:rPr>
        <w:t>（二）符合国家有关标准或规范要求，所有标准或规范遇政策性调整时，执行最新标准或规范，并确保达到最佳运行状态。</w:t>
      </w:r>
    </w:p>
    <w:p>
      <w:pPr>
        <w:tabs>
          <w:tab w:val="left" w:pos="480"/>
        </w:tabs>
        <w:spacing w:line="500" w:lineRule="exact"/>
        <w:ind w:left="141" w:leftChars="67" w:firstLine="300" w:firstLineChars="150"/>
        <w:rPr>
          <w:rFonts w:ascii="宋体" w:hAnsi="宋体"/>
          <w:bCs/>
          <w:color w:val="auto"/>
          <w:spacing w:val="-20"/>
          <w:kern w:val="0"/>
          <w:sz w:val="24"/>
          <w:szCs w:val="24"/>
          <w:highlight w:val="none"/>
        </w:rPr>
      </w:pPr>
      <w:r>
        <w:rPr>
          <w:rFonts w:hint="eastAsia" w:ascii="宋体" w:hAnsi="宋体"/>
          <w:bCs/>
          <w:color w:val="auto"/>
          <w:spacing w:val="-20"/>
          <w:kern w:val="0"/>
          <w:sz w:val="24"/>
          <w:szCs w:val="24"/>
          <w:highlight w:val="none"/>
        </w:rPr>
        <w:t>（三）乙方提供的所有软件，若发生侵权而产生的一切后果，由乙方负责。甲方保留索赔权力。</w:t>
      </w:r>
    </w:p>
    <w:p>
      <w:pPr>
        <w:spacing w:line="500" w:lineRule="exact"/>
        <w:ind w:firstLine="400" w:firstLineChars="200"/>
        <w:rPr>
          <w:rFonts w:ascii="宋体" w:hAnsi="宋体"/>
          <w:bCs/>
          <w:color w:val="auto"/>
          <w:spacing w:val="-20"/>
          <w:kern w:val="0"/>
          <w:sz w:val="24"/>
          <w:szCs w:val="24"/>
          <w:highlight w:val="none"/>
        </w:rPr>
      </w:pPr>
      <w:r>
        <w:rPr>
          <w:rFonts w:hint="eastAsia" w:ascii="宋体" w:hAnsi="宋体"/>
          <w:bCs/>
          <w:color w:val="auto"/>
          <w:spacing w:val="-20"/>
          <w:kern w:val="0"/>
          <w:sz w:val="24"/>
          <w:szCs w:val="24"/>
          <w:highlight w:val="none"/>
        </w:rPr>
        <w:t>（四）售后服务</w:t>
      </w:r>
    </w:p>
    <w:p>
      <w:pPr>
        <w:pStyle w:val="11"/>
        <w:spacing w:line="500" w:lineRule="exact"/>
        <w:ind w:firstLine="400" w:firstLineChars="200"/>
        <w:rPr>
          <w:rFonts w:ascii="宋体" w:hAnsi="宋体"/>
          <w:bCs/>
          <w:color w:val="auto"/>
          <w:spacing w:val="-20"/>
          <w:kern w:val="0"/>
          <w:sz w:val="24"/>
          <w:szCs w:val="24"/>
          <w:highlight w:val="none"/>
        </w:rPr>
      </w:pPr>
      <w:r>
        <w:rPr>
          <w:rFonts w:hint="eastAsia" w:ascii="宋体" w:hAnsi="宋体"/>
          <w:bCs/>
          <w:color w:val="auto"/>
          <w:spacing w:val="-20"/>
          <w:kern w:val="0"/>
          <w:sz w:val="24"/>
          <w:szCs w:val="24"/>
          <w:highlight w:val="none"/>
        </w:rPr>
        <w:t>1.乙方须就为本项目提供的服务体系和与运维管理提出详细的解决方案，应包括组织管理、项目实施计划、进度控制办法、质量控制办法、风险控制办法、应急处置方案、服务流程、服务体系构成、服务质量管理及运维管理流程等相关内容。</w:t>
      </w:r>
    </w:p>
    <w:p>
      <w:pPr>
        <w:pStyle w:val="11"/>
        <w:spacing w:line="500" w:lineRule="exact"/>
        <w:ind w:firstLine="400" w:firstLineChars="200"/>
        <w:rPr>
          <w:rFonts w:ascii="宋体" w:hAnsi="宋体"/>
          <w:bCs/>
          <w:color w:val="auto"/>
          <w:spacing w:val="-20"/>
          <w:kern w:val="0"/>
          <w:sz w:val="24"/>
          <w:szCs w:val="24"/>
          <w:highlight w:val="none"/>
        </w:rPr>
      </w:pPr>
      <w:r>
        <w:rPr>
          <w:rFonts w:hint="eastAsia" w:ascii="宋体" w:hAnsi="宋体"/>
          <w:bCs/>
          <w:color w:val="auto"/>
          <w:spacing w:val="-20"/>
          <w:kern w:val="0"/>
          <w:sz w:val="24"/>
          <w:szCs w:val="24"/>
          <w:highlight w:val="none"/>
        </w:rPr>
        <w:t>2.乙方须提供整体售后服务方案，方案包含但不限于系统日常运营保障机制等。</w:t>
      </w:r>
    </w:p>
    <w:p>
      <w:pPr>
        <w:pStyle w:val="11"/>
        <w:spacing w:line="500" w:lineRule="exact"/>
        <w:ind w:firstLine="400" w:firstLineChars="200"/>
        <w:rPr>
          <w:rFonts w:ascii="宋体" w:hAnsi="宋体" w:cs="Times New Roman"/>
          <w:bCs/>
          <w:color w:val="auto"/>
          <w:spacing w:val="-20"/>
          <w:kern w:val="0"/>
          <w:sz w:val="24"/>
          <w:szCs w:val="24"/>
          <w:highlight w:val="none"/>
        </w:rPr>
      </w:pPr>
      <w:r>
        <w:rPr>
          <w:rFonts w:hint="eastAsia" w:ascii="宋体" w:hAnsi="宋体" w:cs="Times New Roman"/>
          <w:bCs/>
          <w:color w:val="auto"/>
          <w:spacing w:val="-20"/>
          <w:kern w:val="0"/>
          <w:sz w:val="24"/>
          <w:szCs w:val="24"/>
          <w:highlight w:val="none"/>
        </w:rPr>
        <w:t>3.在免费质保期内，提供应用系统版本免费升级及对软件进行维护和完善；免费质保期外，乙方须对系统整体提供不少于10年的有偿维护和技术支持售后服务，每年维护费用单价不高于本项目中标金额的</w:t>
      </w:r>
      <w:r>
        <w:rPr>
          <w:rFonts w:ascii="宋体" w:hAnsi="宋体" w:cs="Times New Roman"/>
          <w:bCs/>
          <w:color w:val="auto"/>
          <w:spacing w:val="-20"/>
          <w:kern w:val="0"/>
          <w:sz w:val="24"/>
          <w:szCs w:val="24"/>
          <w:highlight w:val="none"/>
        </w:rPr>
        <w:t>3%，</w:t>
      </w:r>
      <w:r>
        <w:rPr>
          <w:rFonts w:hint="eastAsia" w:ascii="宋体" w:hAnsi="宋体" w:cs="Times New Roman"/>
          <w:bCs/>
          <w:color w:val="auto"/>
          <w:spacing w:val="-20"/>
          <w:kern w:val="0"/>
          <w:sz w:val="24"/>
          <w:szCs w:val="24"/>
          <w:highlight w:val="none"/>
        </w:rPr>
        <w:t>续保服务期内的服务内容与本项目合同执行期内的质保服务内容要求完全相同。如果是系统安全漏洞或程序BUG乙方须提供软件终生的免费升级和维护。如甲方未购买续保服务，乙方承诺以不高于市场价向甲方提供新购的系统/设备所需的联机数据接口软件及相关安装调试服务。本项目乙方提供的软件产品应有良好的兼容性，确保甲方可以长期正常使用，由于甲方服务器或终端设备的操作系统升级导致本项目乙方的软件不能兼容运行，无论是否在项目执行期内还是之外，都必须免费向甲方提供可兼容运行的升级软件版本。</w:t>
      </w:r>
    </w:p>
    <w:p>
      <w:pPr>
        <w:tabs>
          <w:tab w:val="left" w:pos="480"/>
        </w:tabs>
        <w:spacing w:line="500" w:lineRule="exact"/>
        <w:ind w:firstLine="400" w:firstLineChars="200"/>
        <w:rPr>
          <w:rFonts w:ascii="宋体" w:hAnsi="宋体"/>
          <w:bCs/>
          <w:color w:val="auto"/>
          <w:spacing w:val="-20"/>
          <w:kern w:val="0"/>
          <w:sz w:val="24"/>
          <w:szCs w:val="24"/>
          <w:highlight w:val="none"/>
        </w:rPr>
      </w:pPr>
      <w:r>
        <w:rPr>
          <w:rFonts w:hint="eastAsia" w:ascii="宋体" w:hAnsi="宋体"/>
          <w:bCs/>
          <w:color w:val="auto"/>
          <w:spacing w:val="-20"/>
          <w:kern w:val="0"/>
          <w:sz w:val="24"/>
          <w:szCs w:val="24"/>
          <w:highlight w:val="none"/>
        </w:rPr>
        <w:t>4.乙方必须保证项目运行的日常监控，及时发现和排除故障，保证一线技术支持人员</w:t>
      </w:r>
      <w:r>
        <w:rPr>
          <w:rFonts w:hint="eastAsia" w:ascii="宋体" w:hAnsi="宋体"/>
          <w:bCs/>
          <w:color w:val="auto"/>
          <w:spacing w:val="-20"/>
          <w:kern w:val="0"/>
          <w:sz w:val="24"/>
          <w:szCs w:val="24"/>
          <w:highlight w:val="none"/>
          <w:u w:val="single"/>
          <w:lang w:val="en-US" w:eastAsia="zh-CN"/>
        </w:rPr>
        <w:t xml:space="preserve">   </w:t>
      </w:r>
      <w:r>
        <w:rPr>
          <w:rFonts w:hint="eastAsia" w:ascii="宋体" w:hAnsi="宋体"/>
          <w:bCs/>
          <w:color w:val="auto"/>
          <w:spacing w:val="-20"/>
          <w:kern w:val="0"/>
          <w:sz w:val="24"/>
          <w:szCs w:val="24"/>
          <w:highlight w:val="none"/>
        </w:rPr>
        <w:t>年（与免费质保期一致）7×24小时的电话响应，提供技术咨询、故障报修等服务。</w:t>
      </w:r>
    </w:p>
    <w:p>
      <w:pPr>
        <w:tabs>
          <w:tab w:val="left" w:pos="480"/>
        </w:tabs>
        <w:spacing w:line="500" w:lineRule="exact"/>
        <w:ind w:firstLine="400" w:firstLineChars="200"/>
        <w:rPr>
          <w:rFonts w:ascii="宋体" w:hAnsi="宋体"/>
          <w:bCs/>
          <w:color w:val="auto"/>
          <w:spacing w:val="-20"/>
          <w:kern w:val="0"/>
          <w:sz w:val="24"/>
          <w:szCs w:val="24"/>
          <w:highlight w:val="none"/>
        </w:rPr>
      </w:pPr>
      <w:r>
        <w:rPr>
          <w:rFonts w:hint="eastAsia" w:ascii="宋体" w:hAnsi="宋体"/>
          <w:bCs/>
          <w:color w:val="auto"/>
          <w:spacing w:val="-20"/>
          <w:kern w:val="0"/>
          <w:sz w:val="24"/>
          <w:szCs w:val="24"/>
          <w:highlight w:val="none"/>
        </w:rPr>
        <w:t>乙方须每季度向甲方出具巡检报告及合理化建议，保障乙方提供的本项目所有软件系统7×24小时的正常使用。乙方须在接到甲方维修要求电话后，半小时内回复，2小时到达现场，一般故障6小时内解决，如遇重大疑难故障，须向甲方做出详细情况说明，提供应急方案，并承诺具体修复时限。修复结果必须</w:t>
      </w:r>
      <w:r>
        <w:rPr>
          <w:rFonts w:hint="eastAsia" w:ascii="宋体" w:hAnsi="宋体"/>
          <w:color w:val="auto"/>
          <w:spacing w:val="-20"/>
          <w:kern w:val="0"/>
          <w:sz w:val="24"/>
          <w:szCs w:val="24"/>
          <w:highlight w:val="none"/>
        </w:rPr>
        <w:t>满足最终验收指标和性能的要求。发生的全部费用由乙方承担。</w:t>
      </w:r>
    </w:p>
    <w:p>
      <w:pPr>
        <w:tabs>
          <w:tab w:val="left" w:pos="480"/>
        </w:tabs>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5.</w:t>
      </w:r>
      <w:r>
        <w:rPr>
          <w:rFonts w:hint="eastAsia"/>
          <w:color w:val="auto"/>
          <w:sz w:val="24"/>
          <w:szCs w:val="24"/>
          <w:highlight w:val="none"/>
        </w:rPr>
        <w:t>免费质保期内乙方必须派驻现场技术服务人员在甲方要求的地点全日制（每天8小时，每周5天）工作，派驻服务人员不得少于5人（提供最近三个月社保缴费证明），其中至少两人具备行业软件开发经验且从事医卫软件开发经验不少于3年（提供最近十个月社保缴费证明），其中一人为负责人。如服务人员更换应书面通知甲方并说明原因和接替者资历证明（要求相同资历）。服务内容包括但不仅限于软件适应性开发改造、客户化需求受理及解决、用户操作培训、系统运行状况巡检、发现和排除故障等日常运维服务。若乙方派遣到现场的技术服务人员不满足上述运维人员数量和资质要求，限期一周内整改。逾期未整改的，视为违约。每季度向甲方出具巡检报告及合理化建议，保障乙方提供的本项目所有软件系统7×24小时的正常使用。要求乙方提供</w:t>
      </w:r>
      <w:r>
        <w:rPr>
          <w:color w:val="auto"/>
          <w:sz w:val="24"/>
          <w:szCs w:val="24"/>
          <w:highlight w:val="none"/>
        </w:rPr>
        <w:t>3</w:t>
      </w:r>
      <w:r>
        <w:rPr>
          <w:rFonts w:hint="eastAsia"/>
          <w:color w:val="auto"/>
          <w:sz w:val="24"/>
          <w:szCs w:val="24"/>
          <w:highlight w:val="none"/>
        </w:rPr>
        <w:t>年7×24小时电话响应，提供技术咨询、故障报修等服务。乙方须在接到甲方维修要求电话后，半小时内回复，2小时到达现场，一般故障6小时内解决，如遇重大疑难故障，须向甲方做出详细情况说明，提供应急方案，并承诺具体修复时限。</w:t>
      </w:r>
    </w:p>
    <w:p>
      <w:pPr>
        <w:tabs>
          <w:tab w:val="left" w:pos="480"/>
        </w:tabs>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6.在质保期结束前，须进行一次全面检查，（对所供系统软件进行系统检测，全面保养维护）任何缺陷必须由乙方负责调试完善，在完善之后，项目实施方应将缺陷原因、完善内容、完成及恢复正常的时间和日期等报告给甲方。</w:t>
      </w:r>
    </w:p>
    <w:p>
      <w:pPr>
        <w:tabs>
          <w:tab w:val="left" w:pos="480"/>
        </w:tabs>
        <w:spacing w:line="500" w:lineRule="exact"/>
        <w:ind w:firstLine="400" w:firstLineChars="200"/>
        <w:rPr>
          <w:rFonts w:ascii="宋体" w:hAnsi="宋体"/>
          <w:color w:val="auto"/>
          <w:sz w:val="24"/>
          <w:szCs w:val="24"/>
          <w:highlight w:val="none"/>
        </w:rPr>
      </w:pPr>
      <w:r>
        <w:rPr>
          <w:rFonts w:hint="eastAsia" w:ascii="宋体" w:hAnsi="宋体"/>
          <w:color w:val="auto"/>
          <w:spacing w:val="-20"/>
          <w:kern w:val="0"/>
          <w:sz w:val="24"/>
          <w:szCs w:val="24"/>
          <w:highlight w:val="none"/>
        </w:rPr>
        <w:t>7.合同执行期间</w:t>
      </w:r>
      <w:r>
        <w:rPr>
          <w:rFonts w:hint="eastAsia" w:ascii="宋体" w:hAnsi="宋体"/>
          <w:bCs/>
          <w:color w:val="auto"/>
          <w:spacing w:val="-20"/>
          <w:kern w:val="0"/>
          <w:sz w:val="24"/>
          <w:szCs w:val="24"/>
          <w:highlight w:val="none"/>
        </w:rPr>
        <w:t>乙方</w:t>
      </w:r>
      <w:r>
        <w:rPr>
          <w:rFonts w:hint="eastAsia" w:ascii="宋体" w:hAnsi="宋体"/>
          <w:color w:val="auto"/>
          <w:spacing w:val="-20"/>
          <w:kern w:val="0"/>
          <w:sz w:val="24"/>
          <w:szCs w:val="24"/>
          <w:highlight w:val="none"/>
        </w:rPr>
        <w:t>提供的任何软件系统的任何更新（包括升级和调整）都须提供最新的数据字典、源代码、业务流程图、数据流程图，并在原有基础上及时更新并交付甲方确认。</w:t>
      </w:r>
    </w:p>
    <w:p>
      <w:pPr>
        <w:tabs>
          <w:tab w:val="left" w:pos="480"/>
        </w:tabs>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8.乙方提供系统所需的开发工具、测试工具；</w:t>
      </w:r>
    </w:p>
    <w:p>
      <w:pPr>
        <w:spacing w:line="500" w:lineRule="exact"/>
        <w:ind w:firstLine="400" w:firstLineChars="200"/>
        <w:rPr>
          <w:rFonts w:ascii="宋体" w:hAnsi="宋体"/>
          <w:color w:val="auto"/>
          <w:sz w:val="24"/>
          <w:szCs w:val="24"/>
          <w:highlight w:val="none"/>
        </w:rPr>
      </w:pPr>
      <w:r>
        <w:rPr>
          <w:rFonts w:hint="eastAsia" w:ascii="宋体" w:hAnsi="宋体"/>
          <w:color w:val="auto"/>
          <w:spacing w:val="-20"/>
          <w:kern w:val="0"/>
          <w:sz w:val="24"/>
          <w:szCs w:val="24"/>
          <w:highlight w:val="none"/>
        </w:rPr>
        <w:t>9.升级服务：提供在正常条件下保证系统正常稳定运行的系统版本更新升级服务。</w:t>
      </w:r>
      <w:r>
        <w:rPr>
          <w:rFonts w:hint="eastAsia" w:ascii="宋体" w:hAnsi="宋体"/>
          <w:bCs/>
          <w:color w:val="auto"/>
          <w:spacing w:val="-20"/>
          <w:kern w:val="0"/>
          <w:sz w:val="24"/>
          <w:szCs w:val="24"/>
          <w:highlight w:val="none"/>
        </w:rPr>
        <w:t>乙方</w:t>
      </w:r>
      <w:r>
        <w:rPr>
          <w:rFonts w:hint="eastAsia" w:ascii="宋体" w:hAnsi="宋体"/>
          <w:color w:val="auto"/>
          <w:spacing w:val="-20"/>
          <w:kern w:val="0"/>
          <w:sz w:val="24"/>
          <w:szCs w:val="24"/>
          <w:highlight w:val="none"/>
        </w:rPr>
        <w:t>提供的所有软件为当前最新版本，合同执行期间内有新版本时，</w:t>
      </w:r>
      <w:r>
        <w:rPr>
          <w:rFonts w:hint="eastAsia" w:ascii="宋体" w:hAnsi="宋体"/>
          <w:bCs/>
          <w:color w:val="auto"/>
          <w:spacing w:val="-20"/>
          <w:kern w:val="0"/>
          <w:sz w:val="24"/>
          <w:szCs w:val="24"/>
          <w:highlight w:val="none"/>
        </w:rPr>
        <w:t>乙方</w:t>
      </w:r>
      <w:r>
        <w:rPr>
          <w:rFonts w:hint="eastAsia" w:ascii="宋体" w:hAnsi="宋体"/>
          <w:color w:val="auto"/>
          <w:spacing w:val="-20"/>
          <w:kern w:val="0"/>
          <w:sz w:val="24"/>
          <w:szCs w:val="24"/>
          <w:highlight w:val="none"/>
        </w:rPr>
        <w:t>负责免费升级。如上级部门、政府相关部门或医疗行业必须要求接入其他的相关软件系统，</w:t>
      </w:r>
      <w:r>
        <w:rPr>
          <w:rFonts w:hint="eastAsia" w:ascii="宋体" w:hAnsi="宋体"/>
          <w:bCs/>
          <w:color w:val="auto"/>
          <w:spacing w:val="-20"/>
          <w:kern w:val="0"/>
          <w:sz w:val="24"/>
          <w:szCs w:val="24"/>
          <w:highlight w:val="none"/>
        </w:rPr>
        <w:t>乙方</w:t>
      </w:r>
      <w:r>
        <w:rPr>
          <w:rFonts w:hint="eastAsia" w:ascii="宋体" w:hAnsi="宋体"/>
          <w:color w:val="auto"/>
          <w:spacing w:val="-20"/>
          <w:kern w:val="0"/>
          <w:sz w:val="24"/>
          <w:szCs w:val="24"/>
          <w:highlight w:val="none"/>
        </w:rPr>
        <w:t>免费且及时负责提供相关软件接口，并协助甲方完成接入和联网工作。</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10.优化服务：提出在正常条件下改进系统性能的各项建议，包括系统资源分配与效率改进建议、软件配置规划和性能优化建议、系统容量预测建议等。</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11.免费质保期内的技术服务不再另行收费。质保期内的维护内容和范围（包括但不限于产品、技术、模块）参见年度质保服务考核细则。</w:t>
      </w:r>
    </w:p>
    <w:p>
      <w:pPr>
        <w:pStyle w:val="11"/>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12.本项目合同执行期间(合同签定之日起至质保期结束之日止，下同)，乙方必须免费提供行业主管部门要求的各类数据信息上报上传功能，以及可能需要的各软件子系统之间（无论是乙方自有、OEM第三方，上级部门、政府相关部门、医疗保险部门或医疗行业必须的所有外联系统）的数据接口和安装调试服务、以及与医院已有或新购入的医疗设备联机数据采集通讯数据接口。即：医院自行引进的第三方软件、以及政府相关部门、医疗保险部门或疾控中心、血站、全民健康信息平台、医联体平台、第三方网上预约或支付平台等信息系统之间的数据接口；提供医院所有需要数据联机的设备如手术麻醉类设备（麻醉机、呼吸机等）、影像类设备（CT、MR、DR、超声、内镜等）、电生理类设备（心电图机、监护仪、肌电图等）、检验类设备与医院各软件系统之间的联机数据接口和安装调试服务。以上各类接口必须向甲方开放接口源代码，以上可能产生的相关费用（包括第三方费用）全部包含在投标总报价中，不得向甲方或第三方收取任何接口费用。</w:t>
      </w:r>
    </w:p>
    <w:p>
      <w:pPr>
        <w:pStyle w:val="11"/>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乙方提供的所有软件为当前最新版本，合同执行期间内有新版本时，乙方负责免费升级。如政府或行业主管相关部门有要求接入其他相关软件系统，乙方免费且及时负责提供相关软件接口，并协助甲方完成接入和联网工作。</w:t>
      </w:r>
    </w:p>
    <w:p>
      <w:pPr>
        <w:pStyle w:val="11"/>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13.其它服务要求见招标文件及乙方投标文件和与本项目有关的一切承诺。</w:t>
      </w:r>
    </w:p>
    <w:p>
      <w:pPr>
        <w:spacing w:line="500" w:lineRule="exact"/>
        <w:ind w:firstLine="402" w:firstLineChars="200"/>
        <w:rPr>
          <w:rFonts w:ascii="宋体" w:hAnsi="宋体"/>
          <w:b/>
          <w:color w:val="auto"/>
          <w:spacing w:val="-20"/>
          <w:kern w:val="0"/>
          <w:sz w:val="24"/>
          <w:szCs w:val="24"/>
          <w:highlight w:val="none"/>
        </w:rPr>
      </w:pPr>
      <w:r>
        <w:rPr>
          <w:rFonts w:hint="eastAsia" w:ascii="宋体" w:hAnsi="宋体"/>
          <w:b/>
          <w:color w:val="auto"/>
          <w:spacing w:val="-20"/>
          <w:kern w:val="0"/>
          <w:sz w:val="24"/>
          <w:szCs w:val="24"/>
          <w:highlight w:val="none"/>
        </w:rPr>
        <w:t>第九条、培训方案和培训计划</w:t>
      </w:r>
    </w:p>
    <w:p>
      <w:pPr>
        <w:tabs>
          <w:tab w:val="left" w:pos="480"/>
        </w:tabs>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按照招标文件中人员培训要求拟定，并附后。</w:t>
      </w:r>
    </w:p>
    <w:p>
      <w:pPr>
        <w:tabs>
          <w:tab w:val="left" w:pos="480"/>
        </w:tabs>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乙方应在接到甲方通知的1周内，派出合格的技术人员担任教员到甲方所在地对用户人员进行培训。培训讲师应具备三年以上相关系统开发、实施或培训经验。乙方须提供中文培训教材、培训课件、录像，受训人员使用的培训教材等费用，包含在合同总价总。</w:t>
      </w:r>
    </w:p>
    <w:p>
      <w:pPr>
        <w:spacing w:line="500" w:lineRule="exact"/>
        <w:ind w:firstLine="402" w:firstLineChars="200"/>
        <w:rPr>
          <w:rFonts w:ascii="宋体" w:hAnsi="宋体"/>
          <w:b/>
          <w:color w:val="auto"/>
          <w:spacing w:val="-20"/>
          <w:kern w:val="0"/>
          <w:sz w:val="24"/>
          <w:szCs w:val="24"/>
          <w:highlight w:val="none"/>
        </w:rPr>
      </w:pPr>
      <w:r>
        <w:rPr>
          <w:rFonts w:hint="eastAsia" w:ascii="宋体" w:hAnsi="宋体"/>
          <w:b/>
          <w:color w:val="auto"/>
          <w:spacing w:val="-20"/>
          <w:kern w:val="0"/>
          <w:sz w:val="24"/>
          <w:szCs w:val="24"/>
          <w:highlight w:val="none"/>
        </w:rPr>
        <w:t>第十条、成果交付要求</w:t>
      </w:r>
    </w:p>
    <w:p>
      <w:pPr>
        <w:tabs>
          <w:tab w:val="left" w:pos="480"/>
        </w:tabs>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乙方必须提供整个项目所有软件的安装包和相关的最新版技术文档，向甲方提交的技术文档至少包含各软件子系统《功能说明书》、《业务流程图》、《数据流程图》、《数据库详细设计说明书（至少包含存储过程或Package&lt;含源代码&gt;、函数&lt;含源代码&gt;、序列、表&lt;字段、数据类型、长度、中文注释说明&gt;、索引、触发器、任务计划等数据库对象的说明、用途、与其它对象数据关系等）》、《系统操作手册》、《应用系统参数配置说明》、所提供的第三方产品的技术说明、《系统安装及运行维护管理说明书》、《系统故障及恢复步骤说明》等。</w:t>
      </w:r>
    </w:p>
    <w:p>
      <w:pPr>
        <w:tabs>
          <w:tab w:val="left" w:pos="480"/>
        </w:tabs>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提供的文档以电子版和纸质版本各一份（所有软件安装包以电子文件方式提供）。以上要求提供的所有软件安装包和相关技术文档不得有缺漏内容，即使甲方在最终验收之后发现有缺漏内容，甲方有权向乙方追索。</w:t>
      </w:r>
    </w:p>
    <w:p>
      <w:pPr>
        <w:tabs>
          <w:tab w:val="left" w:pos="480"/>
        </w:tabs>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合同执行期间乙方提供的任何软件系统的任何更新（包括升级和调整）都须提供最新的数据字典、业务流程图、数据流程图，并在原有基础上及时更新并交付甲方确认。</w:t>
      </w:r>
    </w:p>
    <w:p>
      <w:pPr>
        <w:tabs>
          <w:tab w:val="left" w:pos="480"/>
        </w:tabs>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向甲方提供本项涉及的软件系统所需的开发工具、测试工具。。</w:t>
      </w:r>
    </w:p>
    <w:p>
      <w:pPr>
        <w:tabs>
          <w:tab w:val="left" w:pos="480"/>
        </w:tabs>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其它服务承诺：以招标文件、投标文件、澄清表或答疑（函）、合同及补充合同和随系统软件的相关文件为准。</w:t>
      </w:r>
    </w:p>
    <w:p>
      <w:pPr>
        <w:tabs>
          <w:tab w:val="left" w:pos="480"/>
        </w:tabs>
        <w:spacing w:line="500" w:lineRule="exact"/>
        <w:ind w:firstLine="402" w:firstLineChars="200"/>
        <w:rPr>
          <w:rFonts w:ascii="宋体" w:hAnsi="宋体"/>
          <w:b/>
          <w:bCs/>
          <w:color w:val="auto"/>
          <w:spacing w:val="-20"/>
          <w:kern w:val="0"/>
          <w:sz w:val="24"/>
          <w:szCs w:val="24"/>
          <w:highlight w:val="none"/>
        </w:rPr>
      </w:pPr>
      <w:r>
        <w:rPr>
          <w:rFonts w:hint="eastAsia" w:ascii="宋体" w:hAnsi="宋体"/>
          <w:b/>
          <w:bCs/>
          <w:color w:val="auto"/>
          <w:spacing w:val="-20"/>
          <w:kern w:val="0"/>
          <w:sz w:val="24"/>
          <w:szCs w:val="24"/>
          <w:highlight w:val="none"/>
        </w:rPr>
        <w:t>第十一条、验收及评审要求</w:t>
      </w:r>
    </w:p>
    <w:p>
      <w:pPr>
        <w:tabs>
          <w:tab w:val="left" w:pos="480"/>
        </w:tabs>
        <w:spacing w:line="500" w:lineRule="exact"/>
        <w:ind w:firstLine="400" w:firstLineChars="200"/>
        <w:rPr>
          <w:rFonts w:hint="eastAsia" w:ascii="宋体" w:hAnsi="宋体"/>
          <w:color w:val="auto"/>
          <w:spacing w:val="-20"/>
          <w:kern w:val="0"/>
          <w:sz w:val="24"/>
          <w:szCs w:val="24"/>
          <w:highlight w:val="none"/>
        </w:rPr>
      </w:pPr>
      <w:r>
        <w:rPr>
          <w:rFonts w:hint="eastAsia" w:ascii="宋体" w:hAnsi="宋体"/>
          <w:color w:val="auto"/>
          <w:spacing w:val="-20"/>
          <w:kern w:val="0"/>
          <w:sz w:val="24"/>
          <w:szCs w:val="24"/>
          <w:highlight w:val="none"/>
        </w:rPr>
        <w:t>项目验收：系统在医院稳定运行后，投标人可向采购人书面提出验收申请，采购人通知医院组织系统运行效果评估，医院签署《系统稳定运行报告》后，采购人组织专家组对该医院进行验收。</w:t>
      </w:r>
    </w:p>
    <w:p>
      <w:pPr>
        <w:tabs>
          <w:tab w:val="left" w:pos="480"/>
        </w:tabs>
        <w:spacing w:line="500" w:lineRule="exact"/>
        <w:ind w:firstLine="400" w:firstLineChars="200"/>
        <w:rPr>
          <w:rFonts w:hint="eastAsia" w:ascii="宋体" w:hAnsi="宋体"/>
          <w:color w:val="auto"/>
          <w:spacing w:val="-20"/>
          <w:kern w:val="0"/>
          <w:sz w:val="24"/>
          <w:szCs w:val="24"/>
          <w:highlight w:val="none"/>
        </w:rPr>
      </w:pPr>
      <w:r>
        <w:rPr>
          <w:rFonts w:hint="eastAsia" w:ascii="宋体" w:hAnsi="宋体"/>
          <w:color w:val="auto"/>
          <w:spacing w:val="-20"/>
          <w:kern w:val="0"/>
          <w:sz w:val="24"/>
          <w:szCs w:val="24"/>
          <w:highlight w:val="none"/>
        </w:rPr>
        <w:t>质保期服务验收:质保期结束后，投标人向采购人书面申请质保期服务验收，根据质保服务考核细则(见合同模板)，当兵团二、三级医院人提交的需求未能得到及时响应并妥善解决，则质保服务期顺延到需求解决之日止再次申请质保期服务验收，直至验收通过。</w:t>
      </w:r>
    </w:p>
    <w:p>
      <w:pPr>
        <w:spacing w:line="500" w:lineRule="exact"/>
        <w:ind w:firstLine="402" w:firstLineChars="200"/>
        <w:rPr>
          <w:rFonts w:ascii="宋体" w:hAnsi="宋体"/>
          <w:b/>
          <w:color w:val="auto"/>
          <w:spacing w:val="-20"/>
          <w:kern w:val="0"/>
          <w:sz w:val="24"/>
          <w:szCs w:val="24"/>
          <w:highlight w:val="none"/>
        </w:rPr>
      </w:pPr>
      <w:r>
        <w:rPr>
          <w:rFonts w:hint="eastAsia" w:ascii="宋体" w:hAnsi="宋体"/>
          <w:b/>
          <w:color w:val="auto"/>
          <w:spacing w:val="-20"/>
          <w:kern w:val="0"/>
          <w:sz w:val="24"/>
          <w:szCs w:val="24"/>
          <w:highlight w:val="none"/>
        </w:rPr>
        <w:t>第十二条、知识产权</w:t>
      </w:r>
    </w:p>
    <w:p>
      <w:pPr>
        <w:tabs>
          <w:tab w:val="left" w:pos="480"/>
        </w:tabs>
        <w:spacing w:line="56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乙方在本项目所投的已取得知识产权的应用软件产品，必须向甲方提供知识产权授权书或共享知识产权，其他针对本项目定制开发的应用软件与甲方共享知识产权。要求在本项目整体验收同时交付本项目乙方提供的所有软件产品（不含操作系统、数据库、中间件等通用系统级软件）源代码，并向甲方开放全部系统接口标准和接口源代码。</w:t>
      </w:r>
    </w:p>
    <w:p>
      <w:pPr>
        <w:tabs>
          <w:tab w:val="left" w:pos="480"/>
        </w:tabs>
        <w:spacing w:line="56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乙方应保证，甲方拥有或有权使用为履行本项目提供的货物或货物的任何一部分以及提供的任何一项或一部分服务所涉及的专利权、商标权或其他有关知识产权。乙方应保证，甲方在中华人民共和国为履行本合同使用其提供的货物或货物的任何一部分以及在接受其提供的任何一项或一部分服务时，免受第三方提出的对其专利权、商标权或其他有关知识产权的侵权指控及停止使用合同货物或接受服务的损害。如发生对第三方专利权、商标权和其它知识产权的侵权行为，乙方应使甲方不受任何索赔和诉讼之影响。如因侵犯专利权、商标权和其它知识产权而使甲方受到索赔或起诉，乙方应负担由此产生的所有实际损失，同时，应立即参加所有谈判和/或诉讼，以解决争端，费用由乙方负担；在谈判、诉讼期间及最终决定以前，做出必要的安排，以保证甲方不会因此而中断使用有争议的合同货物或部件。</w:t>
      </w:r>
    </w:p>
    <w:p>
      <w:pPr>
        <w:pStyle w:val="11"/>
        <w:spacing w:line="56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如对第三方的侵权指控成立，最终裁决甲方禁止使用本合同项下所提供的合同货物和服务，无论是全部还是部分，乙方应在与甲方协商后作如下选择：费用由乙方自理，甲方获得本合同项下所提供的项目中所采购货物或部件以及服务或一部分服务的使用权，或对甲方不造成任何损失的前提下，修改本项目下所提供的项目所采购的货物和服务，使之不再存在侵权问题，或毫不迟延地采用其它符合相关项目规定的技术要求，性能等同、但无侵权行为的设备或部件和服务，以取代所提供的项目所采购货物或部件。</w:t>
      </w:r>
    </w:p>
    <w:p>
      <w:pPr>
        <w:spacing w:line="500" w:lineRule="exact"/>
        <w:ind w:firstLine="402" w:firstLineChars="200"/>
        <w:rPr>
          <w:rFonts w:ascii="宋体" w:hAnsi="宋体"/>
          <w:b/>
          <w:bCs/>
          <w:color w:val="auto"/>
          <w:spacing w:val="-20"/>
          <w:kern w:val="0"/>
          <w:sz w:val="24"/>
          <w:szCs w:val="24"/>
          <w:highlight w:val="none"/>
        </w:rPr>
      </w:pPr>
      <w:r>
        <w:rPr>
          <w:rFonts w:hint="eastAsia" w:ascii="宋体" w:hAnsi="宋体"/>
          <w:b/>
          <w:bCs/>
          <w:color w:val="auto"/>
          <w:spacing w:val="-20"/>
          <w:kern w:val="0"/>
          <w:sz w:val="24"/>
          <w:szCs w:val="24"/>
          <w:highlight w:val="none"/>
        </w:rPr>
        <w:t>第十三、违约责任</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（一）按《合同法》中的相关条款执行。</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1</w:t>
      </w:r>
      <w:r>
        <w:rPr>
          <w:rFonts w:hint="eastAsia" w:ascii="宋体" w:hAnsi="宋体"/>
          <w:color w:val="auto"/>
          <w:spacing w:val="-20"/>
          <w:kern w:val="0"/>
          <w:sz w:val="24"/>
          <w:szCs w:val="24"/>
          <w:highlight w:val="none"/>
        </w:rPr>
        <w:t>）若乙方派到现场的工作人员及技术服务人员不满足招标文件要求和承诺，限期一周内整改。逾期未整改的，视为违约，乙方须按交付项目总额的每日0.1%向甲方支付违约金。</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2</w:t>
      </w:r>
      <w:r>
        <w:rPr>
          <w:rFonts w:hint="eastAsia" w:ascii="宋体" w:hAnsi="宋体"/>
          <w:color w:val="auto"/>
          <w:spacing w:val="-20"/>
          <w:kern w:val="0"/>
          <w:sz w:val="24"/>
          <w:szCs w:val="24"/>
          <w:highlight w:val="none"/>
        </w:rPr>
        <w:t>）因乙方原因未按项目实施总体方案确定的时间要求提供服务完工的，甲方按每推迟完工</w:t>
      </w:r>
      <w:r>
        <w:rPr>
          <w:rFonts w:ascii="宋体" w:hAnsi="宋体"/>
          <w:color w:val="auto"/>
          <w:spacing w:val="-20"/>
          <w:kern w:val="0"/>
          <w:sz w:val="24"/>
          <w:szCs w:val="24"/>
          <w:highlight w:val="none"/>
        </w:rPr>
        <w:t>7</w:t>
      </w:r>
      <w:r>
        <w:rPr>
          <w:rFonts w:hint="eastAsia" w:ascii="宋体" w:hAnsi="宋体"/>
          <w:color w:val="auto"/>
          <w:spacing w:val="-20"/>
          <w:kern w:val="0"/>
          <w:sz w:val="24"/>
          <w:szCs w:val="24"/>
          <w:highlight w:val="none"/>
        </w:rPr>
        <w:t>个工作日扣除合同总价</w:t>
      </w:r>
      <w:r>
        <w:rPr>
          <w:rFonts w:ascii="宋体" w:hAnsi="宋体"/>
          <w:color w:val="auto"/>
          <w:spacing w:val="-20"/>
          <w:kern w:val="0"/>
          <w:sz w:val="24"/>
          <w:szCs w:val="24"/>
          <w:highlight w:val="none"/>
        </w:rPr>
        <w:t>1%</w:t>
      </w:r>
      <w:r>
        <w:rPr>
          <w:rFonts w:hint="eastAsia" w:ascii="宋体" w:hAnsi="宋体"/>
          <w:color w:val="auto"/>
          <w:spacing w:val="-20"/>
          <w:kern w:val="0"/>
          <w:sz w:val="24"/>
          <w:szCs w:val="24"/>
          <w:highlight w:val="none"/>
        </w:rPr>
        <w:t>的违约赔偿款。</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3</w:t>
      </w:r>
      <w:r>
        <w:rPr>
          <w:rFonts w:hint="eastAsia" w:ascii="宋体" w:hAnsi="宋体"/>
          <w:color w:val="auto"/>
          <w:spacing w:val="-20"/>
          <w:kern w:val="0"/>
          <w:sz w:val="24"/>
          <w:szCs w:val="24"/>
          <w:highlight w:val="none"/>
        </w:rPr>
        <w:t>）系统总体验收未通过的，甲方不支付剩余合同款。乙方应负责尽快整改达到验收要求，由此给甲方造成的损失由乙方承担。</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w:t>
      </w:r>
      <w:r>
        <w:rPr>
          <w:rFonts w:ascii="宋体" w:hAnsi="宋体"/>
          <w:color w:val="auto"/>
          <w:spacing w:val="-20"/>
          <w:kern w:val="0"/>
          <w:sz w:val="24"/>
          <w:szCs w:val="24"/>
          <w:highlight w:val="none"/>
        </w:rPr>
        <w:t>4</w:t>
      </w:r>
      <w:r>
        <w:rPr>
          <w:rFonts w:hint="eastAsia" w:ascii="宋体" w:hAnsi="宋体"/>
          <w:color w:val="auto"/>
          <w:spacing w:val="-20"/>
          <w:kern w:val="0"/>
          <w:sz w:val="24"/>
          <w:szCs w:val="24"/>
          <w:highlight w:val="none"/>
        </w:rPr>
        <w:t>）因乙方原因不能满足项目实施总体方案确定的系统建设目标，乙方支付违约金。违约金金额为合同总价的5</w:t>
      </w:r>
      <w:r>
        <w:rPr>
          <w:rFonts w:ascii="宋体" w:hAnsi="宋体"/>
          <w:color w:val="auto"/>
          <w:spacing w:val="-20"/>
          <w:kern w:val="0"/>
          <w:sz w:val="24"/>
          <w:szCs w:val="24"/>
          <w:highlight w:val="none"/>
        </w:rPr>
        <w:t>%</w:t>
      </w:r>
      <w:r>
        <w:rPr>
          <w:rFonts w:hint="eastAsia" w:ascii="宋体" w:hAnsi="宋体"/>
          <w:color w:val="auto"/>
          <w:spacing w:val="-20"/>
          <w:kern w:val="0"/>
          <w:sz w:val="24"/>
          <w:szCs w:val="24"/>
          <w:highlight w:val="none"/>
        </w:rPr>
        <w:t>，若甲方受到的损失大于违约金数额的，甲方可就不足部分要求乙方予以赔偿。乙方承担赔偿责任的最高限额为本合同总金额。</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b w:val="0"/>
          <w:color w:val="auto"/>
          <w:spacing w:val="-20"/>
          <w:kern w:val="0"/>
          <w:sz w:val="24"/>
          <w:szCs w:val="24"/>
          <w:highlight w:val="none"/>
        </w:rPr>
        <w:t>（</w:t>
      </w:r>
      <w:r>
        <w:rPr>
          <w:rFonts w:ascii="宋体" w:hAnsi="宋体"/>
          <w:b w:val="0"/>
          <w:color w:val="auto"/>
          <w:spacing w:val="-20"/>
          <w:kern w:val="0"/>
          <w:sz w:val="24"/>
          <w:szCs w:val="24"/>
          <w:highlight w:val="none"/>
        </w:rPr>
        <w:t>5</w:t>
      </w:r>
      <w:r>
        <w:rPr>
          <w:rFonts w:hint="eastAsia" w:ascii="宋体" w:hAnsi="宋体"/>
          <w:b w:val="0"/>
          <w:color w:val="auto"/>
          <w:spacing w:val="-20"/>
          <w:kern w:val="0"/>
          <w:sz w:val="24"/>
          <w:szCs w:val="24"/>
          <w:highlight w:val="none"/>
        </w:rPr>
        <w:t>）</w:t>
      </w:r>
      <w:r>
        <w:rPr>
          <w:rFonts w:hint="eastAsia" w:ascii="宋体" w:hAnsi="宋体"/>
          <w:color w:val="auto"/>
          <w:spacing w:val="-20"/>
          <w:kern w:val="0"/>
          <w:sz w:val="24"/>
          <w:szCs w:val="24"/>
          <w:highlight w:val="none"/>
        </w:rPr>
        <w:t>乙方未按甲方要求实施完成合同总价中所覆盖的全部兵团二</w:t>
      </w:r>
      <w:r>
        <w:rPr>
          <w:rFonts w:hint="eastAsia" w:ascii="宋体" w:hAnsi="宋体"/>
          <w:color w:val="auto"/>
          <w:spacing w:val="-20"/>
          <w:kern w:val="0"/>
          <w:sz w:val="24"/>
          <w:szCs w:val="24"/>
          <w:highlight w:val="none"/>
          <w:lang w:eastAsia="zh-CN"/>
        </w:rPr>
        <w:t>、</w:t>
      </w:r>
      <w:r>
        <w:rPr>
          <w:rFonts w:hint="eastAsia" w:ascii="宋体" w:hAnsi="宋体"/>
          <w:color w:val="auto"/>
          <w:spacing w:val="-20"/>
          <w:kern w:val="0"/>
          <w:sz w:val="24"/>
          <w:szCs w:val="24"/>
          <w:highlight w:val="none"/>
        </w:rPr>
        <w:t>三级医院系统部署，一次性扣除合同总价</w:t>
      </w:r>
      <w:r>
        <w:rPr>
          <w:rFonts w:ascii="宋体" w:hAnsi="宋体"/>
          <w:color w:val="auto"/>
          <w:spacing w:val="-20"/>
          <w:kern w:val="0"/>
          <w:sz w:val="24"/>
          <w:szCs w:val="24"/>
          <w:highlight w:val="none"/>
        </w:rPr>
        <w:t>1%</w:t>
      </w:r>
      <w:r>
        <w:rPr>
          <w:rFonts w:hint="eastAsia" w:ascii="宋体" w:hAnsi="宋体"/>
          <w:color w:val="auto"/>
          <w:spacing w:val="-20"/>
          <w:kern w:val="0"/>
          <w:sz w:val="24"/>
          <w:szCs w:val="24"/>
          <w:highlight w:val="none"/>
        </w:rPr>
        <w:t>的违约金。</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b w:val="0"/>
          <w:color w:val="auto"/>
          <w:spacing w:val="-20"/>
          <w:kern w:val="0"/>
          <w:sz w:val="24"/>
          <w:szCs w:val="24"/>
          <w:highlight w:val="none"/>
        </w:rPr>
        <w:t>（</w:t>
      </w:r>
      <w:r>
        <w:rPr>
          <w:rFonts w:ascii="宋体" w:hAnsi="宋体"/>
          <w:b w:val="0"/>
          <w:color w:val="auto"/>
          <w:spacing w:val="-20"/>
          <w:kern w:val="0"/>
          <w:sz w:val="24"/>
          <w:szCs w:val="24"/>
          <w:highlight w:val="none"/>
        </w:rPr>
        <w:t>6</w:t>
      </w:r>
      <w:r>
        <w:rPr>
          <w:rFonts w:hint="eastAsia" w:ascii="宋体" w:hAnsi="宋体"/>
          <w:b w:val="0"/>
          <w:color w:val="auto"/>
          <w:spacing w:val="-20"/>
          <w:kern w:val="0"/>
          <w:sz w:val="24"/>
          <w:szCs w:val="24"/>
          <w:highlight w:val="none"/>
        </w:rPr>
        <w:t>）</w:t>
      </w:r>
      <w:r>
        <w:rPr>
          <w:rFonts w:hint="eastAsia" w:ascii="宋体" w:hAnsi="宋体"/>
          <w:color w:val="auto"/>
          <w:spacing w:val="-20"/>
          <w:kern w:val="0"/>
          <w:sz w:val="24"/>
          <w:szCs w:val="24"/>
          <w:highlight w:val="none"/>
        </w:rPr>
        <w:t>违约金将从合同总价中扣除，不足以扣除的，甲方有追偿的权利。</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（7）</w:t>
      </w:r>
      <w:r>
        <w:rPr>
          <w:rFonts w:hint="eastAsia" w:ascii="宋体" w:hAnsi="宋体"/>
          <w:b/>
          <w:bCs/>
          <w:color w:val="auto"/>
          <w:spacing w:val="-20"/>
          <w:kern w:val="0"/>
          <w:sz w:val="24"/>
          <w:szCs w:val="24"/>
          <w:highlight w:val="none"/>
        </w:rPr>
        <w:t>乙方承诺满足甲方招标文件中所有条款要求。</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（8）本合同的解释权归甲方所有。关于本合同未明确的内容，以招标文件为准。</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二）未按合同要求提供系统软件或系统软件质量不能满足本项目招标文件第三部分采购需求的，甲方可单方面终止合同并对乙方的违约行为进行追究，同时按《政府采购法》有关处罚条款报监管机构进行相应的处罚。</w:t>
      </w:r>
    </w:p>
    <w:p>
      <w:pPr>
        <w:spacing w:line="500" w:lineRule="exact"/>
        <w:ind w:firstLine="402" w:firstLineChars="200"/>
        <w:rPr>
          <w:rFonts w:ascii="宋体" w:hAnsi="宋体"/>
          <w:b/>
          <w:color w:val="auto"/>
          <w:spacing w:val="-20"/>
          <w:kern w:val="0"/>
          <w:sz w:val="24"/>
          <w:szCs w:val="24"/>
          <w:highlight w:val="none"/>
        </w:rPr>
      </w:pPr>
      <w:bookmarkStart w:id="104" w:name="_Toc175644050"/>
      <w:r>
        <w:rPr>
          <w:rFonts w:hint="eastAsia" w:ascii="宋体" w:hAnsi="宋体"/>
          <w:b/>
          <w:color w:val="auto"/>
          <w:spacing w:val="-20"/>
          <w:kern w:val="0"/>
          <w:sz w:val="24"/>
          <w:szCs w:val="24"/>
          <w:highlight w:val="none"/>
        </w:rPr>
        <w:t>第十四条、不可抗力</w:t>
      </w:r>
      <w:bookmarkEnd w:id="104"/>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任何一方因不可抗力不能履行本合同规定的全部或部分义务，该方应尽快通知另一方，并须在不可抗力发生后三日内以书面形式向另一方提供详细情况报告及不可抗力对履行本合同的影响程度的说明。遭受不可抗力影响的一方有责任尽可能及时采取适当或必要措施减少或消除不可抗力的影响。遭受不可抗力影响的一方对因未尽本项责任而造成的相关损失承担责任。合同各方应根据不可抗力对本合同履行的影响程度，协商确定是否终止本合同，或是继续履行本合同。</w:t>
      </w:r>
      <w:bookmarkStart w:id="105" w:name="_Toc86202604"/>
      <w:bookmarkEnd w:id="105"/>
      <w:bookmarkStart w:id="106" w:name="_Toc175644051"/>
      <w:bookmarkEnd w:id="106"/>
    </w:p>
    <w:p>
      <w:pPr>
        <w:spacing w:line="500" w:lineRule="exact"/>
        <w:ind w:firstLine="402" w:firstLineChars="200"/>
        <w:rPr>
          <w:rFonts w:ascii="宋体" w:hAnsi="宋体"/>
          <w:b/>
          <w:color w:val="auto"/>
          <w:spacing w:val="-20"/>
          <w:kern w:val="0"/>
          <w:sz w:val="24"/>
          <w:szCs w:val="24"/>
          <w:highlight w:val="none"/>
        </w:rPr>
      </w:pPr>
      <w:bookmarkStart w:id="107" w:name="_Toc175644054"/>
      <w:bookmarkStart w:id="108" w:name="_Toc86202607"/>
      <w:r>
        <w:rPr>
          <w:rFonts w:hint="eastAsia" w:ascii="宋体" w:hAnsi="宋体"/>
          <w:b/>
          <w:color w:val="auto"/>
          <w:spacing w:val="-20"/>
          <w:kern w:val="0"/>
          <w:sz w:val="24"/>
          <w:szCs w:val="24"/>
          <w:highlight w:val="none"/>
        </w:rPr>
        <w:t>第十五条、合同的终止</w:t>
      </w:r>
      <w:bookmarkEnd w:id="107"/>
      <w:bookmarkEnd w:id="108"/>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1、本合同因下列原因而终止：</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1）本合同正常履行完毕；</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2）合同双方协议终止本合同的履行；</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3）不可抗力事件导致本合同无法履行或履行不必要；</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4）如遇国家、自治区、新疆生产建设兵团、乌鲁木齐相关行业部门政策发生变化，甲方可单方面解除或终止合同。</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2、对本合同终止有过错的一方应赔偿另一方因合同终止而受到的损失。对合同终止双方均无过错的，则各自承担所受到的损失。</w:t>
      </w:r>
    </w:p>
    <w:p>
      <w:pPr>
        <w:spacing w:line="500" w:lineRule="exact"/>
        <w:ind w:firstLine="402" w:firstLineChars="200"/>
        <w:rPr>
          <w:rFonts w:ascii="宋体" w:hAnsi="宋体"/>
          <w:b/>
          <w:color w:val="auto"/>
          <w:spacing w:val="-20"/>
          <w:kern w:val="0"/>
          <w:sz w:val="24"/>
          <w:szCs w:val="24"/>
          <w:highlight w:val="none"/>
        </w:rPr>
      </w:pPr>
      <w:bookmarkStart w:id="109" w:name="_Toc86202608"/>
      <w:bookmarkStart w:id="110" w:name="_Toc175644055"/>
      <w:r>
        <w:rPr>
          <w:rFonts w:hint="eastAsia" w:ascii="宋体" w:hAnsi="宋体"/>
          <w:b/>
          <w:color w:val="auto"/>
          <w:spacing w:val="-20"/>
          <w:kern w:val="0"/>
          <w:sz w:val="24"/>
          <w:szCs w:val="24"/>
          <w:highlight w:val="none"/>
        </w:rPr>
        <w:t>第十六条、</w:t>
      </w:r>
      <w:bookmarkEnd w:id="109"/>
      <w:bookmarkEnd w:id="110"/>
      <w:bookmarkStart w:id="111" w:name="_Toc86202609"/>
      <w:bookmarkStart w:id="112" w:name="_Toc175644057"/>
      <w:r>
        <w:rPr>
          <w:rFonts w:hint="eastAsia" w:ascii="宋体" w:hAnsi="宋体"/>
          <w:b/>
          <w:color w:val="auto"/>
          <w:spacing w:val="-20"/>
          <w:kern w:val="0"/>
          <w:sz w:val="24"/>
          <w:szCs w:val="24"/>
          <w:highlight w:val="none"/>
        </w:rPr>
        <w:t>争议的解决</w:t>
      </w:r>
      <w:bookmarkEnd w:id="111"/>
      <w:bookmarkEnd w:id="112"/>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1、合同双方应通过友好协商解决因解释﹑执行本合同所发生的和本合同有关的一切争议。如果经协商不能达成协议，可以采用以下方式解决：</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（1）提交当地仲裁委员会仲裁；</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（2）可向乌鲁木齐垦区人民法院提起诉讼。</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2、在争议解决期间，除了诉讼或仲裁进行过程中正在解决的那部分问题外，合同其余部分应继续履行。</w:t>
      </w:r>
    </w:p>
    <w:p>
      <w:pPr>
        <w:spacing w:line="500" w:lineRule="exact"/>
        <w:ind w:firstLine="402" w:firstLineChars="200"/>
        <w:rPr>
          <w:rFonts w:ascii="宋体" w:hAnsi="宋体"/>
          <w:b/>
          <w:color w:val="auto"/>
          <w:spacing w:val="-20"/>
          <w:kern w:val="0"/>
          <w:sz w:val="24"/>
          <w:szCs w:val="24"/>
          <w:highlight w:val="none"/>
        </w:rPr>
      </w:pPr>
      <w:bookmarkStart w:id="113" w:name="_Toc86202611"/>
      <w:bookmarkStart w:id="114" w:name="_Toc175644059"/>
      <w:r>
        <w:rPr>
          <w:rFonts w:hint="eastAsia" w:ascii="宋体" w:hAnsi="宋体"/>
          <w:b/>
          <w:color w:val="auto"/>
          <w:spacing w:val="-20"/>
          <w:kern w:val="0"/>
          <w:sz w:val="24"/>
          <w:szCs w:val="24"/>
          <w:highlight w:val="none"/>
        </w:rPr>
        <w:t>第十七条、合同的生效</w:t>
      </w:r>
      <w:bookmarkEnd w:id="113"/>
      <w:bookmarkEnd w:id="114"/>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本合同经甲乙双方法定代表人或授权代理人签字加盖单位公章时生效。</w:t>
      </w:r>
    </w:p>
    <w:p>
      <w:pPr>
        <w:spacing w:line="500" w:lineRule="exact"/>
        <w:ind w:firstLine="402" w:firstLineChars="200"/>
        <w:rPr>
          <w:rFonts w:ascii="宋体" w:hAnsi="宋体"/>
          <w:b/>
          <w:color w:val="auto"/>
          <w:spacing w:val="-20"/>
          <w:kern w:val="0"/>
          <w:sz w:val="24"/>
          <w:szCs w:val="24"/>
          <w:highlight w:val="none"/>
        </w:rPr>
      </w:pPr>
      <w:bookmarkStart w:id="115" w:name="_Toc86202612"/>
      <w:bookmarkStart w:id="116" w:name="_Toc175644060"/>
      <w:r>
        <w:rPr>
          <w:rFonts w:hint="eastAsia" w:ascii="宋体" w:hAnsi="宋体"/>
          <w:b/>
          <w:color w:val="auto"/>
          <w:spacing w:val="-20"/>
          <w:kern w:val="0"/>
          <w:sz w:val="24"/>
          <w:szCs w:val="24"/>
          <w:highlight w:val="none"/>
        </w:rPr>
        <w:t>第十八条、其他约定事项</w:t>
      </w:r>
      <w:bookmarkEnd w:id="115"/>
      <w:bookmarkEnd w:id="116"/>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1、乙方不得将合同转让给第三人。</w:t>
      </w:r>
    </w:p>
    <w:p>
      <w:pPr>
        <w:spacing w:line="500" w:lineRule="exact"/>
        <w:ind w:firstLine="400" w:firstLineChars="200"/>
        <w:rPr>
          <w:rFonts w:ascii="宋体" w:hAnsi="宋体"/>
          <w:color w:val="auto"/>
          <w:spacing w:val="-20"/>
          <w:kern w:val="0"/>
          <w:sz w:val="24"/>
          <w:szCs w:val="24"/>
          <w:highlight w:val="none"/>
          <w:u w:val="single"/>
        </w:rPr>
      </w:pPr>
      <w:r>
        <w:rPr>
          <w:rFonts w:hint="eastAsia" w:ascii="宋体" w:hAnsi="宋体"/>
          <w:color w:val="auto"/>
          <w:spacing w:val="-20"/>
          <w:kern w:val="0"/>
          <w:sz w:val="24"/>
          <w:szCs w:val="24"/>
          <w:highlight w:val="none"/>
        </w:rPr>
        <w:t>2、其他事项：</w:t>
      </w:r>
      <w:r>
        <w:rPr>
          <w:rFonts w:hint="eastAsia" w:ascii="宋体" w:hAnsi="宋体"/>
          <w:color w:val="auto"/>
          <w:spacing w:val="-20"/>
          <w:kern w:val="0"/>
          <w:sz w:val="24"/>
          <w:szCs w:val="24"/>
          <w:highlight w:val="none"/>
          <w:u w:val="single"/>
        </w:rPr>
        <w:t xml:space="preserve">                             。</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3、未尽事宜，经双方协商后可签定补充协议，与合同正本具有相同的法律效力。</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4、本合同一式</w:t>
      </w:r>
      <w:r>
        <w:rPr>
          <w:rFonts w:hint="eastAsia" w:ascii="宋体" w:hAnsi="宋体"/>
          <w:color w:val="auto"/>
          <w:spacing w:val="-20"/>
          <w:kern w:val="0"/>
          <w:sz w:val="24"/>
          <w:szCs w:val="24"/>
          <w:highlight w:val="none"/>
          <w:u w:val="single"/>
        </w:rPr>
        <w:t xml:space="preserve">     </w:t>
      </w:r>
      <w:r>
        <w:rPr>
          <w:rFonts w:hint="eastAsia" w:ascii="宋体" w:hAnsi="宋体"/>
          <w:color w:val="auto"/>
          <w:spacing w:val="-20"/>
          <w:kern w:val="0"/>
          <w:sz w:val="24"/>
          <w:szCs w:val="24"/>
          <w:highlight w:val="none"/>
        </w:rPr>
        <w:t>份，甲方执</w:t>
      </w:r>
      <w:r>
        <w:rPr>
          <w:rFonts w:hint="eastAsia" w:ascii="宋体" w:hAnsi="宋体"/>
          <w:color w:val="auto"/>
          <w:spacing w:val="-20"/>
          <w:kern w:val="0"/>
          <w:sz w:val="24"/>
          <w:szCs w:val="24"/>
          <w:highlight w:val="none"/>
          <w:u w:val="single"/>
        </w:rPr>
        <w:t xml:space="preserve">     </w:t>
      </w:r>
      <w:r>
        <w:rPr>
          <w:rFonts w:hint="eastAsia" w:ascii="宋体" w:hAnsi="宋体"/>
          <w:color w:val="auto"/>
          <w:spacing w:val="-20"/>
          <w:kern w:val="0"/>
          <w:sz w:val="24"/>
          <w:szCs w:val="24"/>
          <w:highlight w:val="none"/>
        </w:rPr>
        <w:t>份，乙方执</w:t>
      </w:r>
      <w:r>
        <w:rPr>
          <w:rFonts w:hint="eastAsia" w:ascii="宋体" w:hAnsi="宋体"/>
          <w:color w:val="auto"/>
          <w:spacing w:val="-20"/>
          <w:kern w:val="0"/>
          <w:sz w:val="24"/>
          <w:szCs w:val="24"/>
          <w:highlight w:val="none"/>
          <w:u w:val="single"/>
        </w:rPr>
        <w:t xml:space="preserve">     </w:t>
      </w:r>
      <w:r>
        <w:rPr>
          <w:rFonts w:hint="eastAsia" w:ascii="宋体" w:hAnsi="宋体"/>
          <w:color w:val="auto"/>
          <w:spacing w:val="-20"/>
          <w:kern w:val="0"/>
          <w:sz w:val="24"/>
          <w:szCs w:val="24"/>
          <w:highlight w:val="none"/>
        </w:rPr>
        <w:t>份。</w:t>
      </w:r>
    </w:p>
    <w:p>
      <w:pPr>
        <w:pStyle w:val="204"/>
        <w:spacing w:line="500" w:lineRule="exact"/>
        <w:ind w:firstLine="480" w:firstLineChars="200"/>
        <w:rPr>
          <w:rFonts w:ascii="宋体" w:hAnsi="宋体"/>
          <w:color w:val="auto"/>
          <w:sz w:val="24"/>
          <w:szCs w:val="24"/>
          <w:highlight w:val="none"/>
        </w:rPr>
      </w:pP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甲方：                                         乙方：</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单位名称(公章)：                            单位名称(公章)：</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地址：                                         地址：</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法定代表人或授权代理人：（签字）        法定代表人或授权代理人：（签字）</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传真：                                        传真：</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开户行：                                     开户行：</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账号：                                        账号：</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邮政编码：                                   邮政编码：</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电子邮箱：                                  电子邮箱：</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固定及移动联系方式：                      固定及移动联系方式：</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签订地点：                                  签订地点：</w:t>
      </w:r>
    </w:p>
    <w:p>
      <w:pPr>
        <w:spacing w:line="500" w:lineRule="exact"/>
        <w:ind w:firstLine="400" w:firstLineChars="200"/>
        <w:rPr>
          <w:rFonts w:ascii="宋体" w:hAnsi="宋体"/>
          <w:color w:val="auto"/>
          <w:spacing w:val="-20"/>
          <w:kern w:val="0"/>
          <w:sz w:val="24"/>
          <w:szCs w:val="24"/>
          <w:highlight w:val="none"/>
        </w:rPr>
      </w:pPr>
      <w:r>
        <w:rPr>
          <w:rFonts w:hint="eastAsia" w:ascii="宋体" w:hAnsi="宋体"/>
          <w:color w:val="auto"/>
          <w:spacing w:val="-20"/>
          <w:kern w:val="0"/>
          <w:sz w:val="24"/>
          <w:szCs w:val="24"/>
          <w:highlight w:val="none"/>
        </w:rPr>
        <w:t>签订日期：                                  签订日期：</w:t>
      </w:r>
    </w:p>
    <w:p>
      <w:pPr>
        <w:pStyle w:val="26"/>
        <w:jc w:val="center"/>
        <w:rPr>
          <w:rFonts w:ascii="宋体" w:hAnsi="宋体" w:cs="新宋体"/>
          <w:color w:val="auto"/>
          <w:spacing w:val="-20"/>
          <w:kern w:val="0"/>
          <w:sz w:val="32"/>
          <w:highlight w:val="none"/>
        </w:rPr>
      </w:pPr>
      <w:r>
        <w:rPr>
          <w:color w:val="auto"/>
          <w:highlight w:val="none"/>
        </w:rPr>
        <w:br w:type="page"/>
      </w:r>
      <w:r>
        <w:rPr>
          <w:rFonts w:hint="eastAsia" w:ascii="宋体" w:hAnsi="宋体" w:cs="新宋体"/>
          <w:color w:val="auto"/>
          <w:spacing w:val="-20"/>
          <w:kern w:val="0"/>
          <w:sz w:val="32"/>
          <w:highlight w:val="none"/>
        </w:rPr>
        <w:t>质保服务考核细则</w:t>
      </w:r>
    </w:p>
    <w:p>
      <w:pPr>
        <w:pStyle w:val="11"/>
        <w:rPr>
          <w:rFonts w:ascii="宋体" w:hAnsi="宋体" w:cs="新宋体"/>
          <w:color w:val="auto"/>
          <w:spacing w:val="-20"/>
          <w:kern w:val="0"/>
          <w:sz w:val="44"/>
          <w:szCs w:val="44"/>
          <w:highlight w:val="none"/>
        </w:rPr>
      </w:pPr>
    </w:p>
    <w:tbl>
      <w:tblPr>
        <w:tblStyle w:val="18"/>
        <w:tblW w:w="9035" w:type="dxa"/>
        <w:tblInd w:w="0" w:type="dxa"/>
        <w:tblLayout w:type="fixed"/>
        <w:tblCellMar>
          <w:top w:w="0" w:type="dxa"/>
          <w:left w:w="0" w:type="dxa"/>
          <w:bottom w:w="0" w:type="dxa"/>
          <w:right w:w="0" w:type="dxa"/>
        </w:tblCellMar>
      </w:tblPr>
      <w:tblGrid>
        <w:gridCol w:w="594"/>
        <w:gridCol w:w="1119"/>
        <w:gridCol w:w="4962"/>
        <w:gridCol w:w="1417"/>
        <w:gridCol w:w="943"/>
      </w:tblGrid>
      <w:tr>
        <w:tblPrEx>
          <w:tblCellMar>
            <w:top w:w="0" w:type="dxa"/>
            <w:left w:w="0" w:type="dxa"/>
            <w:bottom w:w="0" w:type="dxa"/>
            <w:right w:w="0" w:type="dxa"/>
          </w:tblCellMar>
        </w:tblPrEx>
        <w:trPr>
          <w:trHeight w:val="509" w:hRule="atLeast"/>
        </w:trPr>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b/>
                <w:color w:val="auto"/>
                <w:sz w:val="24"/>
                <w:szCs w:val="24"/>
                <w:highlight w:val="none"/>
              </w:rPr>
            </w:pPr>
            <w:r>
              <w:rPr>
                <w:rFonts w:hint="eastAsia" w:ascii="宋体" w:hAnsi="宋体" w:cs="仿宋"/>
                <w:b/>
                <w:color w:val="auto"/>
                <w:kern w:val="0"/>
                <w:sz w:val="24"/>
                <w:szCs w:val="24"/>
                <w:highlight w:val="none"/>
                <w:lang w:bidi="ar"/>
              </w:rPr>
              <w:t>序号</w:t>
            </w:r>
          </w:p>
        </w:tc>
        <w:tc>
          <w:tcPr>
            <w:tcW w:w="111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b/>
                <w:color w:val="auto"/>
                <w:sz w:val="24"/>
                <w:szCs w:val="24"/>
                <w:highlight w:val="none"/>
              </w:rPr>
            </w:pPr>
            <w:r>
              <w:rPr>
                <w:rFonts w:hint="eastAsia" w:ascii="宋体" w:hAnsi="宋体" w:cs="仿宋"/>
                <w:b/>
                <w:color w:val="auto"/>
                <w:kern w:val="0"/>
                <w:sz w:val="24"/>
                <w:szCs w:val="24"/>
                <w:highlight w:val="none"/>
                <w:lang w:bidi="ar"/>
              </w:rPr>
              <w:t>考核内容</w:t>
            </w:r>
          </w:p>
        </w:tc>
        <w:tc>
          <w:tcPr>
            <w:tcW w:w="4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ascii="宋体" w:hAnsi="宋体" w:cs="仿宋"/>
                <w:b/>
                <w:color w:val="auto"/>
                <w:sz w:val="24"/>
                <w:szCs w:val="24"/>
                <w:highlight w:val="none"/>
              </w:rPr>
            </w:pPr>
            <w:r>
              <w:rPr>
                <w:rFonts w:hint="eastAsia" w:ascii="宋体" w:hAnsi="宋体" w:cs="仿宋"/>
                <w:b/>
                <w:color w:val="auto"/>
                <w:kern w:val="0"/>
                <w:sz w:val="24"/>
                <w:szCs w:val="24"/>
                <w:highlight w:val="none"/>
                <w:lang w:bidi="ar"/>
              </w:rPr>
              <w:t>考评细则</w:t>
            </w:r>
          </w:p>
        </w:tc>
        <w:tc>
          <w:tcPr>
            <w:tcW w:w="141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jc w:val="center"/>
              <w:textAlignment w:val="center"/>
              <w:rPr>
                <w:rFonts w:ascii="宋体" w:hAnsi="宋体" w:cs="仿宋"/>
                <w:b/>
                <w:color w:val="auto"/>
                <w:sz w:val="24"/>
                <w:szCs w:val="24"/>
                <w:highlight w:val="none"/>
              </w:rPr>
            </w:pPr>
            <w:r>
              <w:rPr>
                <w:rFonts w:hint="eastAsia" w:ascii="宋体" w:hAnsi="宋体" w:cs="仿宋"/>
                <w:b/>
                <w:color w:val="auto"/>
                <w:sz w:val="24"/>
                <w:szCs w:val="24"/>
                <w:highlight w:val="none"/>
              </w:rPr>
              <w:t>考核结果</w:t>
            </w:r>
          </w:p>
        </w:tc>
        <w:tc>
          <w:tcPr>
            <w:tcW w:w="943"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cs="仿宋"/>
                <w:b/>
                <w:color w:val="auto"/>
                <w:sz w:val="24"/>
                <w:szCs w:val="24"/>
                <w:highlight w:val="none"/>
              </w:rPr>
            </w:pPr>
            <w:r>
              <w:rPr>
                <w:rFonts w:hint="eastAsia" w:ascii="宋体" w:hAnsi="宋体" w:cs="仿宋"/>
                <w:b/>
                <w:color w:val="auto"/>
                <w:kern w:val="0"/>
                <w:sz w:val="24"/>
                <w:szCs w:val="24"/>
                <w:highlight w:val="none"/>
                <w:lang w:bidi="ar"/>
              </w:rPr>
              <w:t>备注</w:t>
            </w:r>
          </w:p>
        </w:tc>
      </w:tr>
      <w:tr>
        <w:tblPrEx>
          <w:tblCellMar>
            <w:top w:w="0" w:type="dxa"/>
            <w:left w:w="0" w:type="dxa"/>
            <w:bottom w:w="0" w:type="dxa"/>
            <w:right w:w="0" w:type="dxa"/>
          </w:tblCellMar>
        </w:tblPrEx>
        <w:trPr>
          <w:trHeight w:val="576" w:hRule="atLeast"/>
        </w:trPr>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1</w:t>
            </w:r>
          </w:p>
        </w:tc>
        <w:tc>
          <w:tcPr>
            <w:tcW w:w="11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考勤</w:t>
            </w:r>
          </w:p>
        </w:tc>
        <w:tc>
          <w:tcPr>
            <w:tcW w:w="4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现场维护人员应遵循甲方工作时间，每日通过签到表进签到签退，迟到一次扣款500元。</w:t>
            </w:r>
          </w:p>
        </w:tc>
        <w:tc>
          <w:tcPr>
            <w:tcW w:w="141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bottom"/>
          </w:tcPr>
          <w:p>
            <w:pPr>
              <w:rPr>
                <w:rFonts w:ascii="宋体" w:hAnsi="宋体" w:cs="仿宋"/>
                <w:color w:val="auto"/>
                <w:sz w:val="24"/>
                <w:szCs w:val="24"/>
                <w:highlight w:val="none"/>
              </w:rPr>
            </w:pPr>
          </w:p>
        </w:tc>
        <w:tc>
          <w:tcPr>
            <w:tcW w:w="943" w:type="dxa"/>
            <w:tcBorders>
              <w:top w:val="single" w:color="000000" w:sz="4" w:space="0"/>
              <w:left w:val="single" w:color="auto" w:sz="4" w:space="0"/>
              <w:bottom w:val="single" w:color="000000" w:sz="4" w:space="0"/>
              <w:right w:val="single" w:color="000000" w:sz="4" w:space="0"/>
            </w:tcBorders>
            <w:vAlign w:val="bottom"/>
          </w:tcPr>
          <w:p>
            <w:pPr>
              <w:rPr>
                <w:rFonts w:ascii="宋体" w:hAnsi="宋体" w:cs="仿宋"/>
                <w:color w:val="auto"/>
                <w:sz w:val="24"/>
                <w:szCs w:val="24"/>
                <w:highlight w:val="none"/>
              </w:rPr>
            </w:pPr>
          </w:p>
        </w:tc>
      </w:tr>
      <w:tr>
        <w:tblPrEx>
          <w:tblCellMar>
            <w:top w:w="0" w:type="dxa"/>
            <w:left w:w="0" w:type="dxa"/>
            <w:bottom w:w="0" w:type="dxa"/>
            <w:right w:w="0" w:type="dxa"/>
          </w:tblCellMar>
        </w:tblPrEx>
        <w:trPr>
          <w:trHeight w:val="864" w:hRule="atLeast"/>
        </w:trPr>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2</w:t>
            </w:r>
          </w:p>
        </w:tc>
        <w:tc>
          <w:tcPr>
            <w:tcW w:w="11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仿宋"/>
                <w:color w:val="auto"/>
                <w:sz w:val="24"/>
                <w:szCs w:val="24"/>
                <w:highlight w:val="none"/>
              </w:rPr>
            </w:pPr>
          </w:p>
        </w:tc>
        <w:tc>
          <w:tcPr>
            <w:tcW w:w="4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维护人员如需请假，需至少提前1日向甲方申请，甲方同意后才可离岗。项目经理无故缺勤的，一次扣款1000元，项目成员无故缺勤的，一次扣款500元。</w:t>
            </w:r>
          </w:p>
        </w:tc>
        <w:tc>
          <w:tcPr>
            <w:tcW w:w="141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bottom"/>
          </w:tcPr>
          <w:p>
            <w:pPr>
              <w:rPr>
                <w:rFonts w:ascii="宋体" w:hAnsi="宋体" w:cs="仿宋"/>
                <w:color w:val="auto"/>
                <w:sz w:val="24"/>
                <w:szCs w:val="24"/>
                <w:highlight w:val="none"/>
              </w:rPr>
            </w:pPr>
          </w:p>
        </w:tc>
        <w:tc>
          <w:tcPr>
            <w:tcW w:w="943" w:type="dxa"/>
            <w:tcBorders>
              <w:top w:val="single" w:color="000000" w:sz="4" w:space="0"/>
              <w:left w:val="single" w:color="auto" w:sz="4" w:space="0"/>
              <w:bottom w:val="single" w:color="000000" w:sz="4" w:space="0"/>
              <w:right w:val="single" w:color="000000" w:sz="4" w:space="0"/>
            </w:tcBorders>
            <w:vAlign w:val="bottom"/>
          </w:tcPr>
          <w:p>
            <w:pPr>
              <w:rPr>
                <w:rFonts w:ascii="宋体" w:hAnsi="宋体" w:cs="仿宋"/>
                <w:color w:val="auto"/>
                <w:sz w:val="24"/>
                <w:szCs w:val="24"/>
                <w:highlight w:val="none"/>
              </w:rPr>
            </w:pPr>
          </w:p>
        </w:tc>
      </w:tr>
      <w:tr>
        <w:tblPrEx>
          <w:tblCellMar>
            <w:top w:w="0" w:type="dxa"/>
            <w:left w:w="0" w:type="dxa"/>
            <w:bottom w:w="0" w:type="dxa"/>
            <w:right w:w="0" w:type="dxa"/>
          </w:tblCellMar>
        </w:tblPrEx>
        <w:trPr>
          <w:trHeight w:val="1275" w:hRule="atLeast"/>
        </w:trPr>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3</w:t>
            </w:r>
          </w:p>
        </w:tc>
        <w:tc>
          <w:tcPr>
            <w:tcW w:w="11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仿宋"/>
                <w:color w:val="auto"/>
                <w:sz w:val="24"/>
                <w:szCs w:val="24"/>
                <w:highlight w:val="none"/>
              </w:rPr>
            </w:pPr>
          </w:p>
        </w:tc>
        <w:tc>
          <w:tcPr>
            <w:tcW w:w="4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如需更换现场维护人员，需至少提前1日书面通知甲方说明原因并提供接替者资历证明（需同等或高于被替换人资历）。无故更换现场维护人员的，视为违约，按项目总额日0.1%扣款，直至问题整改到位。</w:t>
            </w:r>
          </w:p>
        </w:tc>
        <w:tc>
          <w:tcPr>
            <w:tcW w:w="141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bottom"/>
          </w:tcPr>
          <w:p>
            <w:pPr>
              <w:rPr>
                <w:rFonts w:ascii="宋体" w:hAnsi="宋体" w:cs="仿宋"/>
                <w:color w:val="auto"/>
                <w:sz w:val="24"/>
                <w:szCs w:val="24"/>
                <w:highlight w:val="none"/>
              </w:rPr>
            </w:pPr>
          </w:p>
        </w:tc>
        <w:tc>
          <w:tcPr>
            <w:tcW w:w="943" w:type="dxa"/>
            <w:tcBorders>
              <w:top w:val="single" w:color="000000" w:sz="4" w:space="0"/>
              <w:left w:val="single" w:color="auto" w:sz="4" w:space="0"/>
              <w:bottom w:val="single" w:color="000000" w:sz="4" w:space="0"/>
              <w:right w:val="single" w:color="000000" w:sz="4" w:space="0"/>
            </w:tcBorders>
            <w:vAlign w:val="bottom"/>
          </w:tcPr>
          <w:p>
            <w:pPr>
              <w:rPr>
                <w:rFonts w:ascii="宋体" w:hAnsi="宋体" w:cs="仿宋"/>
                <w:color w:val="auto"/>
                <w:sz w:val="24"/>
                <w:szCs w:val="24"/>
                <w:highlight w:val="none"/>
              </w:rPr>
            </w:pPr>
          </w:p>
        </w:tc>
      </w:tr>
      <w:tr>
        <w:tblPrEx>
          <w:tblCellMar>
            <w:top w:w="0" w:type="dxa"/>
            <w:left w:w="0" w:type="dxa"/>
            <w:bottom w:w="0" w:type="dxa"/>
            <w:right w:w="0" w:type="dxa"/>
          </w:tblCellMar>
        </w:tblPrEx>
        <w:trPr>
          <w:trHeight w:val="2304" w:hRule="atLeast"/>
        </w:trPr>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4</w:t>
            </w:r>
          </w:p>
        </w:tc>
        <w:tc>
          <w:tcPr>
            <w:tcW w:w="11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服务</w:t>
            </w:r>
          </w:p>
        </w:tc>
        <w:tc>
          <w:tcPr>
            <w:tcW w:w="4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left"/>
              <w:textAlignment w:val="bottom"/>
              <w:rPr>
                <w:rFonts w:ascii="宋体" w:hAnsi="宋体" w:cs="仿宋"/>
                <w:color w:val="auto"/>
                <w:sz w:val="24"/>
                <w:szCs w:val="24"/>
                <w:highlight w:val="none"/>
              </w:rPr>
            </w:pPr>
            <w:r>
              <w:rPr>
                <w:rFonts w:hint="eastAsia" w:ascii="宋体" w:hAnsi="宋体" w:cs="仿宋"/>
                <w:color w:val="auto"/>
                <w:kern w:val="0"/>
                <w:sz w:val="24"/>
                <w:szCs w:val="24"/>
                <w:highlight w:val="none"/>
                <w:lang w:bidi="ar"/>
              </w:rPr>
              <w:t>质保期内需提供7×24小时的售后服务，非工作时间接到故障告警，必须30分钟内远程处理；远程无法解决的，需在2小时内赶到用户现场，及时调查故障原因并修复。故障解决后2个工作日内向用户提交《故障排查报告》，内容包括：故障现象、原因分析、解决方案、处理人、处理时间、建议措施等。不能及时响应的，视问题造成的影响大小，一次扣款500~5000元。</w:t>
            </w:r>
          </w:p>
        </w:tc>
        <w:tc>
          <w:tcPr>
            <w:tcW w:w="141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bottom"/>
          </w:tcPr>
          <w:p>
            <w:pPr>
              <w:rPr>
                <w:rFonts w:ascii="宋体" w:hAnsi="宋体" w:cs="仿宋"/>
                <w:color w:val="auto"/>
                <w:sz w:val="24"/>
                <w:szCs w:val="24"/>
                <w:highlight w:val="none"/>
              </w:rPr>
            </w:pPr>
          </w:p>
        </w:tc>
        <w:tc>
          <w:tcPr>
            <w:tcW w:w="943" w:type="dxa"/>
            <w:tcBorders>
              <w:top w:val="single" w:color="000000" w:sz="4" w:space="0"/>
              <w:left w:val="single" w:color="auto" w:sz="4" w:space="0"/>
              <w:bottom w:val="single" w:color="000000" w:sz="4" w:space="0"/>
              <w:right w:val="single" w:color="000000" w:sz="4" w:space="0"/>
            </w:tcBorders>
            <w:vAlign w:val="bottom"/>
          </w:tcPr>
          <w:p>
            <w:pPr>
              <w:rPr>
                <w:rFonts w:ascii="宋体" w:hAnsi="宋体" w:cs="仿宋"/>
                <w:color w:val="auto"/>
                <w:sz w:val="24"/>
                <w:szCs w:val="24"/>
                <w:highlight w:val="none"/>
              </w:rPr>
            </w:pPr>
          </w:p>
        </w:tc>
      </w:tr>
      <w:tr>
        <w:tblPrEx>
          <w:tblCellMar>
            <w:top w:w="0" w:type="dxa"/>
            <w:left w:w="0" w:type="dxa"/>
            <w:bottom w:w="0" w:type="dxa"/>
            <w:right w:w="0" w:type="dxa"/>
          </w:tblCellMar>
        </w:tblPrEx>
        <w:trPr>
          <w:trHeight w:val="1152" w:hRule="atLeast"/>
        </w:trPr>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仿宋"/>
                <w:color w:val="auto"/>
                <w:sz w:val="24"/>
                <w:szCs w:val="24"/>
                <w:highlight w:val="none"/>
              </w:rPr>
            </w:pPr>
            <w:r>
              <w:rPr>
                <w:rFonts w:hint="eastAsia" w:ascii="宋体" w:hAnsi="宋体" w:cs="仿宋"/>
                <w:color w:val="auto"/>
                <w:sz w:val="24"/>
                <w:szCs w:val="24"/>
                <w:highlight w:val="none"/>
              </w:rPr>
              <w:t>5</w:t>
            </w:r>
          </w:p>
        </w:tc>
        <w:tc>
          <w:tcPr>
            <w:tcW w:w="11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仿宋"/>
                <w:color w:val="auto"/>
                <w:sz w:val="24"/>
                <w:szCs w:val="24"/>
                <w:highlight w:val="none"/>
              </w:rPr>
            </w:pPr>
          </w:p>
        </w:tc>
        <w:tc>
          <w:tcPr>
            <w:tcW w:w="4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left"/>
              <w:textAlignment w:val="bottom"/>
              <w:rPr>
                <w:rFonts w:ascii="宋体" w:hAnsi="宋体" w:cs="仿宋"/>
                <w:color w:val="auto"/>
                <w:sz w:val="24"/>
                <w:szCs w:val="24"/>
                <w:highlight w:val="none"/>
              </w:rPr>
            </w:pPr>
            <w:r>
              <w:rPr>
                <w:rFonts w:hint="eastAsia" w:ascii="宋体" w:hAnsi="宋体" w:cs="仿宋"/>
                <w:color w:val="auto"/>
                <w:kern w:val="0"/>
                <w:sz w:val="24"/>
                <w:szCs w:val="24"/>
                <w:highlight w:val="none"/>
                <w:lang w:bidi="ar"/>
              </w:rPr>
              <w:t>用户提交的新需求应在24小时内予以响应，并回复明确的需求完成时间。不能及时响应的，一次扣款500元。不予响应的，视为违约，按项目总额的日0.1%扣款，直至问题整改到位。</w:t>
            </w:r>
          </w:p>
        </w:tc>
        <w:tc>
          <w:tcPr>
            <w:tcW w:w="141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bottom"/>
          </w:tcPr>
          <w:p>
            <w:pPr>
              <w:rPr>
                <w:rFonts w:ascii="宋体" w:hAnsi="宋体" w:cs="仿宋"/>
                <w:color w:val="auto"/>
                <w:sz w:val="24"/>
                <w:szCs w:val="24"/>
                <w:highlight w:val="none"/>
              </w:rPr>
            </w:pPr>
          </w:p>
        </w:tc>
        <w:tc>
          <w:tcPr>
            <w:tcW w:w="943" w:type="dxa"/>
            <w:tcBorders>
              <w:top w:val="single" w:color="000000" w:sz="4" w:space="0"/>
              <w:left w:val="single" w:color="auto" w:sz="4" w:space="0"/>
              <w:bottom w:val="single" w:color="000000" w:sz="4" w:space="0"/>
              <w:right w:val="single" w:color="000000" w:sz="4" w:space="0"/>
            </w:tcBorders>
            <w:vAlign w:val="bottom"/>
          </w:tcPr>
          <w:p>
            <w:pPr>
              <w:rPr>
                <w:rFonts w:ascii="宋体" w:hAnsi="宋体" w:cs="仿宋"/>
                <w:color w:val="auto"/>
                <w:sz w:val="24"/>
                <w:szCs w:val="24"/>
                <w:highlight w:val="none"/>
              </w:rPr>
            </w:pPr>
          </w:p>
        </w:tc>
      </w:tr>
      <w:tr>
        <w:tblPrEx>
          <w:tblCellMar>
            <w:top w:w="0" w:type="dxa"/>
            <w:left w:w="0" w:type="dxa"/>
            <w:bottom w:w="0" w:type="dxa"/>
            <w:right w:w="0" w:type="dxa"/>
          </w:tblCellMar>
        </w:tblPrEx>
        <w:trPr>
          <w:trHeight w:val="2145" w:hRule="atLeast"/>
        </w:trPr>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6</w:t>
            </w:r>
          </w:p>
        </w:tc>
        <w:tc>
          <w:tcPr>
            <w:tcW w:w="11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仿宋"/>
                <w:color w:val="auto"/>
                <w:sz w:val="24"/>
                <w:szCs w:val="24"/>
                <w:highlight w:val="none"/>
              </w:rPr>
            </w:pPr>
          </w:p>
        </w:tc>
        <w:tc>
          <w:tcPr>
            <w:tcW w:w="4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系统升级前现场维护人员必须在测试环境做充分的测试，避免正式环境升级后出现异常。升级前需提供详细的升级测试报告、升级功能点说明和针对新功能的操作培训记录，避免系统升级后影响工作效率。系统升级后及时做好系统升级维护记录。未按规定执行系统升级的，一次扣款1000元。</w:t>
            </w:r>
          </w:p>
        </w:tc>
        <w:tc>
          <w:tcPr>
            <w:tcW w:w="141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bottom"/>
          </w:tcPr>
          <w:p>
            <w:pPr>
              <w:rPr>
                <w:rFonts w:ascii="宋体" w:hAnsi="宋体" w:cs="仿宋"/>
                <w:color w:val="auto"/>
                <w:sz w:val="24"/>
                <w:szCs w:val="24"/>
                <w:highlight w:val="none"/>
              </w:rPr>
            </w:pPr>
          </w:p>
        </w:tc>
        <w:tc>
          <w:tcPr>
            <w:tcW w:w="943" w:type="dxa"/>
            <w:tcBorders>
              <w:top w:val="single" w:color="000000" w:sz="4" w:space="0"/>
              <w:left w:val="single" w:color="auto" w:sz="4" w:space="0"/>
              <w:bottom w:val="single" w:color="000000" w:sz="4" w:space="0"/>
              <w:right w:val="single" w:color="000000" w:sz="4" w:space="0"/>
            </w:tcBorders>
            <w:vAlign w:val="bottom"/>
          </w:tcPr>
          <w:p>
            <w:pPr>
              <w:rPr>
                <w:rFonts w:ascii="宋体" w:hAnsi="宋体" w:cs="仿宋"/>
                <w:color w:val="auto"/>
                <w:sz w:val="24"/>
                <w:szCs w:val="24"/>
                <w:highlight w:val="none"/>
              </w:rPr>
            </w:pPr>
          </w:p>
        </w:tc>
      </w:tr>
      <w:tr>
        <w:tblPrEx>
          <w:tblCellMar>
            <w:top w:w="0" w:type="dxa"/>
            <w:left w:w="0" w:type="dxa"/>
            <w:bottom w:w="0" w:type="dxa"/>
            <w:right w:w="0" w:type="dxa"/>
          </w:tblCellMar>
        </w:tblPrEx>
        <w:trPr>
          <w:trHeight w:val="864" w:hRule="atLeast"/>
        </w:trPr>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7</w:t>
            </w:r>
          </w:p>
        </w:tc>
        <w:tc>
          <w:tcPr>
            <w:tcW w:w="11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仿宋"/>
                <w:color w:val="auto"/>
                <w:sz w:val="24"/>
                <w:szCs w:val="24"/>
                <w:highlight w:val="none"/>
              </w:rPr>
            </w:pPr>
          </w:p>
        </w:tc>
        <w:tc>
          <w:tcPr>
            <w:tcW w:w="4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left"/>
              <w:textAlignment w:val="bottom"/>
              <w:rPr>
                <w:rFonts w:ascii="宋体" w:hAnsi="宋体" w:cs="仿宋"/>
                <w:color w:val="auto"/>
                <w:sz w:val="24"/>
                <w:szCs w:val="24"/>
                <w:highlight w:val="none"/>
              </w:rPr>
            </w:pPr>
            <w:r>
              <w:rPr>
                <w:rFonts w:hint="eastAsia" w:ascii="宋体" w:hAnsi="宋体" w:cs="仿宋"/>
                <w:color w:val="auto"/>
                <w:kern w:val="0"/>
                <w:sz w:val="24"/>
                <w:szCs w:val="24"/>
                <w:highlight w:val="none"/>
                <w:lang w:bidi="ar"/>
              </w:rPr>
              <w:t>维护人员定期（月/季度/年）对系统进行巡检和维护，巡检后2个工作日内提交巡检报告。未及时提交巡检记录的，一次扣款500元。</w:t>
            </w:r>
          </w:p>
        </w:tc>
        <w:tc>
          <w:tcPr>
            <w:tcW w:w="141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bottom"/>
          </w:tcPr>
          <w:p>
            <w:pPr>
              <w:rPr>
                <w:rFonts w:ascii="宋体" w:hAnsi="宋体" w:cs="仿宋"/>
                <w:color w:val="auto"/>
                <w:sz w:val="24"/>
                <w:szCs w:val="24"/>
                <w:highlight w:val="none"/>
              </w:rPr>
            </w:pPr>
          </w:p>
        </w:tc>
        <w:tc>
          <w:tcPr>
            <w:tcW w:w="943" w:type="dxa"/>
            <w:tcBorders>
              <w:top w:val="single" w:color="000000" w:sz="4" w:space="0"/>
              <w:left w:val="single" w:color="auto" w:sz="4" w:space="0"/>
              <w:bottom w:val="single" w:color="000000" w:sz="4" w:space="0"/>
              <w:right w:val="single" w:color="000000" w:sz="4" w:space="0"/>
            </w:tcBorders>
            <w:vAlign w:val="bottom"/>
          </w:tcPr>
          <w:p>
            <w:pPr>
              <w:rPr>
                <w:rFonts w:ascii="宋体" w:hAnsi="宋体" w:cs="仿宋"/>
                <w:color w:val="auto"/>
                <w:sz w:val="24"/>
                <w:szCs w:val="24"/>
                <w:highlight w:val="none"/>
              </w:rPr>
            </w:pPr>
          </w:p>
        </w:tc>
      </w:tr>
      <w:tr>
        <w:tblPrEx>
          <w:tblCellMar>
            <w:top w:w="0" w:type="dxa"/>
            <w:left w:w="0" w:type="dxa"/>
            <w:bottom w:w="0" w:type="dxa"/>
            <w:right w:w="0" w:type="dxa"/>
          </w:tblCellMar>
        </w:tblPrEx>
        <w:trPr>
          <w:trHeight w:val="864" w:hRule="atLeast"/>
        </w:trPr>
        <w:tc>
          <w:tcPr>
            <w:tcW w:w="59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textAlignment w:val="center"/>
              <w:rPr>
                <w:rFonts w:ascii="宋体" w:hAnsi="宋体" w:cs="仿宋"/>
                <w:color w:val="auto"/>
                <w:sz w:val="24"/>
                <w:szCs w:val="24"/>
                <w:highlight w:val="none"/>
              </w:rPr>
            </w:pPr>
            <w:r>
              <w:rPr>
                <w:rFonts w:hint="eastAsia" w:ascii="宋体" w:hAnsi="宋体" w:cs="仿宋"/>
                <w:color w:val="auto"/>
                <w:kern w:val="0"/>
                <w:sz w:val="24"/>
                <w:szCs w:val="24"/>
                <w:highlight w:val="none"/>
                <w:lang w:bidi="ar"/>
              </w:rPr>
              <w:t>8</w:t>
            </w:r>
          </w:p>
        </w:tc>
        <w:tc>
          <w:tcPr>
            <w:tcW w:w="1119"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宋体" w:hAnsi="宋体" w:cs="仿宋"/>
                <w:color w:val="auto"/>
                <w:sz w:val="24"/>
                <w:szCs w:val="24"/>
                <w:highlight w:val="none"/>
              </w:rPr>
            </w:pPr>
          </w:p>
        </w:tc>
        <w:tc>
          <w:tcPr>
            <w:tcW w:w="49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bottom"/>
          </w:tcPr>
          <w:p>
            <w:pPr>
              <w:jc w:val="left"/>
              <w:textAlignment w:val="bottom"/>
              <w:rPr>
                <w:rFonts w:ascii="宋体" w:hAnsi="宋体" w:cs="仿宋"/>
                <w:color w:val="auto"/>
                <w:sz w:val="24"/>
                <w:szCs w:val="24"/>
                <w:highlight w:val="none"/>
              </w:rPr>
            </w:pPr>
            <w:r>
              <w:rPr>
                <w:rFonts w:hint="eastAsia" w:ascii="宋体" w:hAnsi="宋体" w:cs="仿宋"/>
                <w:color w:val="auto"/>
                <w:kern w:val="0"/>
                <w:sz w:val="24"/>
                <w:szCs w:val="24"/>
                <w:highlight w:val="none"/>
                <w:lang w:bidi="ar"/>
              </w:rPr>
              <w:t>维护人员应保持良好的服务意识和工作态度，不得与甲方工作人员发生冲突。被甲方工作人员投诉一次，扣款1000元。</w:t>
            </w:r>
          </w:p>
        </w:tc>
        <w:tc>
          <w:tcPr>
            <w:tcW w:w="1417"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bottom"/>
          </w:tcPr>
          <w:p>
            <w:pPr>
              <w:rPr>
                <w:rFonts w:ascii="宋体" w:hAnsi="宋体" w:cs="仿宋"/>
                <w:color w:val="auto"/>
                <w:sz w:val="24"/>
                <w:szCs w:val="24"/>
                <w:highlight w:val="none"/>
              </w:rPr>
            </w:pPr>
          </w:p>
        </w:tc>
        <w:tc>
          <w:tcPr>
            <w:tcW w:w="943" w:type="dxa"/>
            <w:tcBorders>
              <w:top w:val="single" w:color="000000" w:sz="4" w:space="0"/>
              <w:left w:val="single" w:color="auto" w:sz="4" w:space="0"/>
              <w:bottom w:val="single" w:color="000000" w:sz="4" w:space="0"/>
              <w:right w:val="single" w:color="000000" w:sz="4" w:space="0"/>
            </w:tcBorders>
            <w:vAlign w:val="bottom"/>
          </w:tcPr>
          <w:p>
            <w:pPr>
              <w:rPr>
                <w:rFonts w:ascii="宋体" w:hAnsi="宋体" w:cs="仿宋"/>
                <w:color w:val="auto"/>
                <w:sz w:val="24"/>
                <w:szCs w:val="24"/>
                <w:highlight w:val="none"/>
              </w:rPr>
            </w:pPr>
          </w:p>
        </w:tc>
      </w:tr>
    </w:tbl>
    <w:p>
      <w:pPr>
        <w:tabs>
          <w:tab w:val="left" w:pos="360"/>
          <w:tab w:val="left" w:pos="480"/>
          <w:tab w:val="left" w:pos="1413"/>
        </w:tabs>
        <w:spacing w:line="360" w:lineRule="auto"/>
        <w:ind w:firstLine="482" w:firstLineChars="200"/>
        <w:rPr>
          <w:rStyle w:val="21"/>
          <w:rFonts w:ascii="宋体" w:hAnsi="宋体" w:cs="宋体"/>
          <w:color w:val="auto"/>
          <w:sz w:val="24"/>
          <w:highlight w:val="none"/>
        </w:rPr>
      </w:pPr>
      <w:r>
        <w:rPr>
          <w:rStyle w:val="21"/>
          <w:rFonts w:hint="eastAsia" w:ascii="宋体" w:hAnsi="宋体" w:cs="宋体"/>
          <w:b/>
          <w:color w:val="auto"/>
          <w:sz w:val="24"/>
          <w:szCs w:val="24"/>
          <w:highlight w:val="none"/>
        </w:rPr>
        <w:br w:type="page"/>
      </w:r>
    </w:p>
    <w:p>
      <w:pPr>
        <w:pStyle w:val="44"/>
        <w:tabs>
          <w:tab w:val="left" w:pos="0"/>
        </w:tabs>
        <w:spacing w:line="360" w:lineRule="auto"/>
        <w:ind w:left="0" w:leftChars="0" w:firstLineChars="0"/>
        <w:jc w:val="center"/>
        <w:outlineLvl w:val="0"/>
        <w:rPr>
          <w:rStyle w:val="21"/>
          <w:rFonts w:ascii="宋体" w:hAnsi="宋体" w:cs="宋体"/>
          <w:b/>
          <w:color w:val="auto"/>
          <w:sz w:val="36"/>
          <w:highlight w:val="none"/>
        </w:rPr>
      </w:pPr>
      <w:bookmarkStart w:id="117" w:name="_Toc111025238"/>
      <w:r>
        <w:rPr>
          <w:rStyle w:val="21"/>
          <w:rFonts w:hint="eastAsia" w:ascii="宋体" w:hAnsi="宋体" w:cs="宋体"/>
          <w:b/>
          <w:color w:val="auto"/>
          <w:sz w:val="36"/>
          <w:highlight w:val="none"/>
        </w:rPr>
        <w:t>第六部分 投标文件格式</w:t>
      </w:r>
    </w:p>
    <w:p>
      <w:pPr>
        <w:rPr>
          <w:rStyle w:val="21"/>
          <w:rFonts w:ascii="宋体" w:hAnsi="宋体" w:cs="宋体"/>
          <w:color w:val="auto"/>
          <w:highlight w:val="none"/>
        </w:rPr>
      </w:pPr>
    </w:p>
    <w:p>
      <w:pPr>
        <w:pStyle w:val="88"/>
        <w:spacing w:after="312" w:afterAutospacing="1"/>
        <w:jc w:val="center"/>
        <w:outlineLvl w:val="0"/>
        <w:rPr>
          <w:rStyle w:val="21"/>
          <w:rFonts w:ascii="宋体" w:hAnsi="宋体" w:eastAsia="宋体" w:cs="宋体"/>
          <w:color w:val="auto"/>
          <w:highlight w:val="none"/>
        </w:rPr>
      </w:pPr>
      <w:r>
        <w:rPr>
          <w:rStyle w:val="21"/>
          <w:rFonts w:hint="eastAsia" w:ascii="宋体" w:hAnsi="宋体" w:eastAsia="宋体" w:cs="宋体"/>
          <w:color w:val="auto"/>
          <w:highlight w:val="none"/>
        </w:rPr>
        <w:t>目录</w:t>
      </w:r>
    </w:p>
    <w:p>
      <w:pPr>
        <w:pStyle w:val="88"/>
        <w:spacing w:after="312" w:afterAutospacing="1"/>
        <w:jc w:val="both"/>
        <w:outlineLvl w:val="0"/>
        <w:rPr>
          <w:rStyle w:val="21"/>
          <w:rFonts w:ascii="宋体" w:hAnsi="宋体" w:eastAsia="宋体" w:cs="宋体"/>
          <w:color w:val="auto"/>
          <w:highlight w:val="none"/>
        </w:rPr>
      </w:pPr>
      <w:r>
        <w:rPr>
          <w:rStyle w:val="21"/>
          <w:rFonts w:hint="eastAsia" w:ascii="宋体" w:hAnsi="宋体" w:eastAsia="宋体" w:cs="宋体"/>
          <w:color w:val="auto"/>
          <w:highlight w:val="none"/>
        </w:rPr>
        <w:t>一、投标文件封面</w:t>
      </w:r>
    </w:p>
    <w:p>
      <w:pPr>
        <w:pStyle w:val="88"/>
        <w:spacing w:after="312" w:afterAutospacing="1"/>
        <w:jc w:val="both"/>
        <w:outlineLvl w:val="0"/>
        <w:rPr>
          <w:rStyle w:val="21"/>
          <w:rFonts w:ascii="宋体" w:hAnsi="宋体" w:eastAsia="宋体" w:cs="宋体"/>
          <w:color w:val="auto"/>
          <w:highlight w:val="none"/>
        </w:rPr>
      </w:pPr>
      <w:r>
        <w:rPr>
          <w:rStyle w:val="21"/>
          <w:rFonts w:hint="eastAsia" w:ascii="宋体" w:hAnsi="宋体" w:eastAsia="宋体" w:cs="宋体"/>
          <w:color w:val="auto"/>
          <w:highlight w:val="none"/>
        </w:rPr>
        <w:t>二、资格审查材料</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2.1《中华人民共和国政府采购法》第二十二条应当具备的条件；</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2.2投标保证金</w:t>
      </w:r>
    </w:p>
    <w:p>
      <w:pPr>
        <w:pStyle w:val="88"/>
        <w:numPr>
          <w:ilvl w:val="0"/>
          <w:numId w:val="59"/>
        </w:numPr>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商务文件</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3.1营业执照、组织机构代码证、税务登记证</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3.2法定代表人身份证明及授权委托书</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3.3制造商授权书</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3.4中、小微企业声明函（中、小、微型企业产品价格需扣除的须提供）</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3.5供应商认为有必要提供的声明及文件资料</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3.6投标函</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3.7开标一览表</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3.8投标报价明细表</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3.9售后服务承诺书</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3.10商务条款偏离说明表</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3.11供应商认为有必要提供的声明及文件资料</w:t>
      </w:r>
    </w:p>
    <w:p>
      <w:pPr>
        <w:pStyle w:val="88"/>
        <w:spacing w:after="312" w:afterAutospacing="1"/>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3.12项目整体服务方案设计</w:t>
      </w:r>
    </w:p>
    <w:p>
      <w:pPr>
        <w:pStyle w:val="88"/>
        <w:spacing w:after="312" w:afterAutospacing="1"/>
        <w:jc w:val="both"/>
        <w:outlineLvl w:val="0"/>
        <w:rPr>
          <w:rStyle w:val="21"/>
          <w:rFonts w:ascii="宋体" w:hAnsi="宋体" w:eastAsia="宋体" w:cs="宋体"/>
          <w:color w:val="auto"/>
          <w:highlight w:val="none"/>
        </w:rPr>
      </w:pPr>
      <w:r>
        <w:rPr>
          <w:rStyle w:val="21"/>
          <w:rFonts w:hint="eastAsia" w:ascii="宋体" w:hAnsi="宋体" w:eastAsia="宋体" w:cs="宋体"/>
          <w:color w:val="auto"/>
          <w:highlight w:val="none"/>
        </w:rPr>
        <w:t>四、投标人自行编写的技术文件</w:t>
      </w:r>
    </w:p>
    <w:p>
      <w:pPr>
        <w:pStyle w:val="88"/>
        <w:spacing w:after="312" w:afterAutospacing="1"/>
        <w:jc w:val="both"/>
        <w:outlineLvl w:val="0"/>
        <w:rPr>
          <w:rStyle w:val="21"/>
          <w:rFonts w:ascii="宋体" w:hAnsi="宋体" w:eastAsia="宋体" w:cs="宋体"/>
          <w:color w:val="auto"/>
          <w:highlight w:val="none"/>
        </w:rPr>
      </w:pPr>
      <w:r>
        <w:rPr>
          <w:rStyle w:val="21"/>
          <w:rFonts w:hint="eastAsia" w:ascii="宋体" w:hAnsi="宋体" w:eastAsia="宋体" w:cs="宋体"/>
          <w:color w:val="auto"/>
          <w:highlight w:val="none"/>
        </w:rPr>
        <w:t>五、投标人自行编写的服务文件</w:t>
      </w:r>
    </w:p>
    <w:p>
      <w:pPr>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六、其他材料</w:t>
      </w:r>
    </w:p>
    <w:p>
      <w:pPr>
        <w:pStyle w:val="90"/>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一、投标文件封面</w:t>
      </w:r>
    </w:p>
    <w:p>
      <w:pPr>
        <w:pStyle w:val="91"/>
        <w:spacing w:line="360" w:lineRule="auto"/>
        <w:rPr>
          <w:rStyle w:val="21"/>
          <w:rFonts w:ascii="宋体" w:hAnsi="宋体" w:cs="宋体"/>
          <w:b/>
          <w:color w:val="auto"/>
          <w:sz w:val="24"/>
          <w:highlight w:val="none"/>
        </w:rPr>
      </w:pPr>
    </w:p>
    <w:p>
      <w:pPr>
        <w:pStyle w:val="91"/>
        <w:spacing w:line="360" w:lineRule="auto"/>
        <w:jc w:val="center"/>
        <w:rPr>
          <w:rStyle w:val="21"/>
          <w:rFonts w:ascii="宋体" w:hAnsi="宋体" w:cs="宋体"/>
          <w:color w:val="auto"/>
          <w:sz w:val="24"/>
          <w:highlight w:val="none"/>
        </w:rPr>
      </w:pPr>
    </w:p>
    <w:p>
      <w:pPr>
        <w:pStyle w:val="91"/>
        <w:spacing w:line="360" w:lineRule="auto"/>
        <w:rPr>
          <w:rStyle w:val="21"/>
          <w:rFonts w:ascii="宋体" w:hAnsi="宋体" w:cs="宋体"/>
          <w:color w:val="auto"/>
          <w:sz w:val="28"/>
          <w:szCs w:val="28"/>
          <w:highlight w:val="none"/>
        </w:rPr>
      </w:pPr>
      <w:r>
        <w:rPr>
          <w:rStyle w:val="21"/>
          <w:rFonts w:hint="eastAsia" w:ascii="宋体" w:hAnsi="宋体" w:cs="宋体"/>
          <w:color w:val="auto"/>
          <w:sz w:val="28"/>
          <w:szCs w:val="28"/>
          <w:highlight w:val="none"/>
        </w:rPr>
        <w:t>（项目名称）</w:t>
      </w:r>
    </w:p>
    <w:p>
      <w:pPr>
        <w:pStyle w:val="91"/>
        <w:spacing w:line="360" w:lineRule="auto"/>
        <w:jc w:val="center"/>
        <w:rPr>
          <w:rStyle w:val="21"/>
          <w:rFonts w:ascii="宋体" w:hAnsi="宋体" w:cs="宋体"/>
          <w:color w:val="auto"/>
          <w:sz w:val="28"/>
          <w:szCs w:val="28"/>
          <w:highlight w:val="none"/>
        </w:rPr>
      </w:pPr>
    </w:p>
    <w:p>
      <w:pPr>
        <w:pStyle w:val="91"/>
        <w:spacing w:line="360" w:lineRule="auto"/>
        <w:ind w:firstLine="1680" w:firstLineChars="600"/>
        <w:rPr>
          <w:rStyle w:val="21"/>
          <w:rFonts w:ascii="宋体" w:hAnsi="宋体" w:cs="宋体"/>
          <w:color w:val="auto"/>
          <w:sz w:val="28"/>
          <w:szCs w:val="28"/>
          <w:highlight w:val="none"/>
        </w:rPr>
      </w:pPr>
      <w:r>
        <w:rPr>
          <w:rStyle w:val="21"/>
          <w:rFonts w:hint="eastAsia" w:ascii="宋体" w:hAnsi="宋体" w:cs="宋体"/>
          <w:color w:val="auto"/>
          <w:sz w:val="28"/>
          <w:szCs w:val="28"/>
          <w:highlight w:val="none"/>
        </w:rPr>
        <w:t>项目编号：</w:t>
      </w:r>
    </w:p>
    <w:p>
      <w:pPr>
        <w:pStyle w:val="91"/>
        <w:spacing w:line="360" w:lineRule="auto"/>
        <w:jc w:val="center"/>
        <w:rPr>
          <w:rStyle w:val="21"/>
          <w:rFonts w:ascii="宋体" w:hAnsi="宋体" w:cs="宋体"/>
          <w:color w:val="auto"/>
          <w:sz w:val="24"/>
          <w:highlight w:val="none"/>
        </w:rPr>
      </w:pPr>
    </w:p>
    <w:p>
      <w:pPr>
        <w:pStyle w:val="91"/>
        <w:spacing w:line="360" w:lineRule="auto"/>
        <w:jc w:val="center"/>
        <w:rPr>
          <w:rStyle w:val="21"/>
          <w:rFonts w:ascii="宋体" w:hAnsi="宋体" w:cs="宋体"/>
          <w:color w:val="auto"/>
          <w:sz w:val="24"/>
          <w:highlight w:val="none"/>
        </w:rPr>
      </w:pPr>
    </w:p>
    <w:p>
      <w:pPr>
        <w:pStyle w:val="91"/>
        <w:spacing w:line="360" w:lineRule="auto"/>
        <w:jc w:val="center"/>
        <w:rPr>
          <w:rStyle w:val="21"/>
          <w:rFonts w:ascii="宋体" w:hAnsi="宋体" w:cs="宋体"/>
          <w:b/>
          <w:color w:val="auto"/>
          <w:sz w:val="72"/>
          <w:szCs w:val="72"/>
          <w:highlight w:val="none"/>
        </w:rPr>
      </w:pPr>
      <w:r>
        <w:rPr>
          <w:rStyle w:val="21"/>
          <w:rFonts w:hint="eastAsia" w:ascii="宋体" w:hAnsi="宋体" w:cs="宋体"/>
          <w:b/>
          <w:color w:val="auto"/>
          <w:sz w:val="72"/>
          <w:szCs w:val="72"/>
          <w:highlight w:val="none"/>
        </w:rPr>
        <w:t>投标文件</w:t>
      </w:r>
    </w:p>
    <w:p>
      <w:pPr>
        <w:pStyle w:val="91"/>
        <w:spacing w:line="360" w:lineRule="auto"/>
        <w:jc w:val="center"/>
        <w:rPr>
          <w:rStyle w:val="21"/>
          <w:rFonts w:ascii="宋体" w:hAnsi="宋体" w:cs="宋体"/>
          <w:color w:val="auto"/>
          <w:sz w:val="24"/>
          <w:highlight w:val="none"/>
        </w:rPr>
      </w:pPr>
    </w:p>
    <w:p>
      <w:pPr>
        <w:pStyle w:val="91"/>
        <w:spacing w:line="360" w:lineRule="auto"/>
        <w:jc w:val="center"/>
        <w:rPr>
          <w:rStyle w:val="21"/>
          <w:rFonts w:ascii="宋体" w:hAnsi="宋体" w:cs="宋体"/>
          <w:color w:val="auto"/>
          <w:sz w:val="24"/>
          <w:highlight w:val="none"/>
        </w:rPr>
      </w:pPr>
    </w:p>
    <w:p>
      <w:pPr>
        <w:pStyle w:val="91"/>
        <w:spacing w:line="360" w:lineRule="auto"/>
        <w:jc w:val="center"/>
        <w:rPr>
          <w:rStyle w:val="21"/>
          <w:rFonts w:ascii="宋体" w:hAnsi="宋体" w:cs="宋体"/>
          <w:b/>
          <w:color w:val="auto"/>
          <w:sz w:val="24"/>
          <w:highlight w:val="none"/>
        </w:rPr>
      </w:pPr>
    </w:p>
    <w:p>
      <w:pPr>
        <w:pStyle w:val="91"/>
        <w:spacing w:line="360" w:lineRule="auto"/>
        <w:jc w:val="center"/>
        <w:rPr>
          <w:rStyle w:val="21"/>
          <w:rFonts w:ascii="宋体" w:hAnsi="宋体" w:cs="宋体"/>
          <w:b/>
          <w:color w:val="auto"/>
          <w:sz w:val="24"/>
          <w:highlight w:val="none"/>
        </w:rPr>
      </w:pPr>
    </w:p>
    <w:p>
      <w:pPr>
        <w:pStyle w:val="91"/>
        <w:spacing w:line="360" w:lineRule="auto"/>
        <w:jc w:val="center"/>
        <w:rPr>
          <w:rStyle w:val="21"/>
          <w:rFonts w:ascii="宋体" w:hAnsi="宋体" w:cs="宋体"/>
          <w:b/>
          <w:color w:val="auto"/>
          <w:sz w:val="24"/>
          <w:highlight w:val="none"/>
        </w:rPr>
      </w:pPr>
    </w:p>
    <w:p>
      <w:pPr>
        <w:pStyle w:val="91"/>
        <w:spacing w:line="360" w:lineRule="auto"/>
        <w:jc w:val="center"/>
        <w:rPr>
          <w:rStyle w:val="21"/>
          <w:rFonts w:ascii="宋体" w:hAnsi="宋体" w:cs="宋体"/>
          <w:b/>
          <w:color w:val="auto"/>
          <w:sz w:val="24"/>
          <w:highlight w:val="none"/>
        </w:rPr>
      </w:pPr>
    </w:p>
    <w:p>
      <w:pPr>
        <w:pStyle w:val="91"/>
        <w:spacing w:line="360" w:lineRule="auto"/>
        <w:jc w:val="center"/>
        <w:rPr>
          <w:rStyle w:val="21"/>
          <w:rFonts w:ascii="宋体" w:hAnsi="宋体" w:cs="宋体"/>
          <w:b/>
          <w:color w:val="auto"/>
          <w:sz w:val="24"/>
          <w:highlight w:val="none"/>
        </w:rPr>
      </w:pPr>
    </w:p>
    <w:p>
      <w:pPr>
        <w:pStyle w:val="91"/>
        <w:spacing w:line="360" w:lineRule="auto"/>
        <w:jc w:val="center"/>
        <w:rPr>
          <w:rStyle w:val="21"/>
          <w:rFonts w:ascii="宋体" w:hAnsi="宋体" w:cs="宋体"/>
          <w:b/>
          <w:color w:val="auto"/>
          <w:sz w:val="24"/>
          <w:highlight w:val="none"/>
        </w:rPr>
      </w:pPr>
    </w:p>
    <w:p>
      <w:pPr>
        <w:pStyle w:val="91"/>
        <w:spacing w:line="360" w:lineRule="auto"/>
        <w:jc w:val="center"/>
        <w:rPr>
          <w:rStyle w:val="21"/>
          <w:rFonts w:ascii="宋体" w:hAnsi="宋体" w:cs="宋体"/>
          <w:color w:val="auto"/>
          <w:sz w:val="28"/>
          <w:szCs w:val="28"/>
          <w:highlight w:val="none"/>
          <w:u w:val="single" w:color="000000"/>
        </w:rPr>
      </w:pPr>
      <w:r>
        <w:rPr>
          <w:rStyle w:val="21"/>
          <w:rFonts w:hint="eastAsia" w:ascii="宋体" w:hAnsi="宋体" w:cs="宋体"/>
          <w:color w:val="auto"/>
          <w:sz w:val="28"/>
          <w:szCs w:val="28"/>
          <w:highlight w:val="none"/>
        </w:rPr>
        <w:t>投标人（电子签章）</w:t>
      </w:r>
    </w:p>
    <w:p>
      <w:pPr>
        <w:pStyle w:val="91"/>
        <w:spacing w:line="360" w:lineRule="auto"/>
        <w:ind w:firstLine="3080" w:firstLineChars="1100"/>
        <w:rPr>
          <w:rStyle w:val="21"/>
          <w:rFonts w:ascii="宋体" w:hAnsi="宋体" w:cs="宋体"/>
          <w:color w:val="auto"/>
          <w:sz w:val="28"/>
          <w:szCs w:val="28"/>
          <w:highlight w:val="none"/>
        </w:rPr>
      </w:pPr>
      <w:r>
        <w:rPr>
          <w:rStyle w:val="21"/>
          <w:rFonts w:hint="eastAsia" w:ascii="宋体" w:hAnsi="宋体" w:cs="宋体"/>
          <w:color w:val="auto"/>
          <w:sz w:val="28"/>
          <w:szCs w:val="28"/>
          <w:highlight w:val="none"/>
        </w:rPr>
        <w:t xml:space="preserve">法定代表人 </w:t>
      </w:r>
    </w:p>
    <w:p>
      <w:pPr>
        <w:pStyle w:val="91"/>
        <w:spacing w:line="360" w:lineRule="auto"/>
        <w:jc w:val="center"/>
        <w:rPr>
          <w:rStyle w:val="21"/>
          <w:rFonts w:ascii="宋体" w:hAnsi="宋体" w:cs="宋体"/>
          <w:color w:val="auto"/>
          <w:sz w:val="28"/>
          <w:szCs w:val="28"/>
          <w:highlight w:val="none"/>
          <w:u w:val="single" w:color="000000"/>
        </w:rPr>
      </w:pPr>
      <w:r>
        <w:rPr>
          <w:rStyle w:val="21"/>
          <w:rFonts w:hint="eastAsia" w:ascii="宋体" w:hAnsi="宋体" w:cs="宋体"/>
          <w:color w:val="auto"/>
          <w:sz w:val="28"/>
          <w:szCs w:val="28"/>
          <w:highlight w:val="none"/>
        </w:rPr>
        <w:t>日期（年/月/日）</w:t>
      </w:r>
    </w:p>
    <w:p>
      <w:pPr>
        <w:pStyle w:val="91"/>
        <w:spacing w:line="360" w:lineRule="auto"/>
        <w:jc w:val="center"/>
        <w:rPr>
          <w:rStyle w:val="21"/>
          <w:rFonts w:ascii="宋体" w:hAnsi="宋体" w:cs="宋体"/>
          <w:color w:val="auto"/>
          <w:sz w:val="28"/>
          <w:szCs w:val="28"/>
          <w:highlight w:val="none"/>
        </w:rPr>
      </w:pPr>
    </w:p>
    <w:p>
      <w:pPr>
        <w:pStyle w:val="92"/>
        <w:tabs>
          <w:tab w:val="left" w:pos="0"/>
        </w:tabs>
        <w:spacing w:line="360" w:lineRule="auto"/>
        <w:ind w:left="0" w:leftChars="0" w:firstLineChars="0"/>
        <w:rPr>
          <w:rStyle w:val="21"/>
          <w:rFonts w:ascii="宋体" w:hAnsi="宋体" w:cs="宋体"/>
          <w:b/>
          <w:color w:val="auto"/>
          <w:sz w:val="36"/>
          <w:highlight w:val="none"/>
        </w:rPr>
      </w:pPr>
    </w:p>
    <w:p>
      <w:pPr>
        <w:pStyle w:val="94"/>
        <w:jc w:val="both"/>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二、资格审查材料</w:t>
      </w:r>
    </w:p>
    <w:p>
      <w:pPr>
        <w:pStyle w:val="120"/>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2.1《中华人民共和国政府采购法》第二十二条应当具备的条件；</w:t>
      </w:r>
    </w:p>
    <w:p>
      <w:pPr>
        <w:pStyle w:val="123"/>
        <w:spacing w:line="360" w:lineRule="auto"/>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①具有独立承担民事责任的能力；</w:t>
      </w:r>
    </w:p>
    <w:p>
      <w:pPr>
        <w:pStyle w:val="123"/>
        <w:spacing w:line="360" w:lineRule="auto"/>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②具有良好的商业信誉和健全的财务会计制度；</w:t>
      </w:r>
    </w:p>
    <w:p>
      <w:pPr>
        <w:pStyle w:val="123"/>
        <w:spacing w:line="360" w:lineRule="auto"/>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③具有履行合同所必需的设备和专业技术能力；</w:t>
      </w:r>
    </w:p>
    <w:p>
      <w:pPr>
        <w:pStyle w:val="123"/>
        <w:spacing w:line="360" w:lineRule="auto"/>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④有依法缴纳税收和社会保障资金的良好记录；</w:t>
      </w:r>
    </w:p>
    <w:p>
      <w:pPr>
        <w:pStyle w:val="123"/>
        <w:spacing w:line="360" w:lineRule="auto"/>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⑤参加政府采购活动前三年内，在经营活动中没有重大违法记录；</w:t>
      </w:r>
    </w:p>
    <w:p>
      <w:pPr>
        <w:pStyle w:val="123"/>
        <w:spacing w:line="360" w:lineRule="auto"/>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⑥</w:t>
      </w:r>
      <w:r>
        <w:rPr>
          <w:rStyle w:val="21"/>
          <w:rFonts w:hint="eastAsia" w:ascii="宋体" w:hAnsi="宋体" w:cs="宋体"/>
          <w:color w:val="auto"/>
          <w:sz w:val="24"/>
          <w:szCs w:val="24"/>
          <w:highlight w:val="none"/>
        </w:rPr>
        <w:t>法律、行政法规规定的其他条件;</w:t>
      </w:r>
    </w:p>
    <w:p>
      <w:pPr>
        <w:pStyle w:val="179"/>
        <w:rPr>
          <w:rStyle w:val="21"/>
          <w:rFonts w:ascii="宋体" w:hAnsi="宋体" w:eastAsia="宋体"/>
          <w:color w:val="auto"/>
          <w:sz w:val="24"/>
          <w:szCs w:val="24"/>
          <w:highlight w:val="none"/>
        </w:rPr>
      </w:pPr>
      <w:r>
        <w:rPr>
          <w:rStyle w:val="21"/>
          <w:rFonts w:hint="eastAsia" w:ascii="宋体" w:hAnsi="宋体" w:eastAsia="宋体"/>
          <w:color w:val="auto"/>
          <w:sz w:val="24"/>
          <w:szCs w:val="24"/>
          <w:highlight w:val="none"/>
        </w:rPr>
        <w:t>须提供以下资料：</w:t>
      </w:r>
    </w:p>
    <w:p>
      <w:pPr>
        <w:pStyle w:val="180"/>
        <w:spacing w:line="440" w:lineRule="exact"/>
        <w:rPr>
          <w:rStyle w:val="21"/>
          <w:rFonts w:ascii="宋体" w:hAnsi="宋体" w:cs="宋体"/>
          <w:b/>
          <w:bCs/>
          <w:color w:val="auto"/>
          <w:sz w:val="24"/>
          <w:szCs w:val="24"/>
          <w:highlight w:val="none"/>
        </w:rPr>
      </w:pPr>
      <w:r>
        <w:rPr>
          <w:rStyle w:val="21"/>
          <w:rFonts w:hint="eastAsia" w:ascii="宋体" w:hAnsi="宋体" w:cs="宋体"/>
          <w:b/>
          <w:bCs/>
          <w:color w:val="auto"/>
          <w:sz w:val="24"/>
          <w:szCs w:val="24"/>
          <w:highlight w:val="none"/>
        </w:rPr>
        <w:t>1、具有独立承担民事责任的能力；须提供相关证明材料，其中：</w:t>
      </w:r>
    </w:p>
    <w:p>
      <w:pPr>
        <w:pStyle w:val="181"/>
        <w:spacing w:line="440" w:lineRule="exact"/>
        <w:rPr>
          <w:rStyle w:val="21"/>
          <w:rFonts w:ascii="宋体" w:hAnsi="宋体" w:cs="宋体"/>
          <w:color w:val="auto"/>
          <w:sz w:val="24"/>
          <w:szCs w:val="24"/>
          <w:highlight w:val="none"/>
        </w:rPr>
      </w:pPr>
      <w:r>
        <w:rPr>
          <w:rStyle w:val="21"/>
          <w:rFonts w:hint="eastAsia" w:ascii="宋体" w:hAnsi="宋体" w:cs="宋体"/>
          <w:b/>
          <w:bCs/>
          <w:color w:val="auto"/>
          <w:sz w:val="24"/>
          <w:szCs w:val="24"/>
          <w:highlight w:val="none"/>
        </w:rPr>
        <w:t>供应商是企业（包括合伙企业）的，</w:t>
      </w:r>
      <w:r>
        <w:rPr>
          <w:rStyle w:val="21"/>
          <w:rFonts w:hint="eastAsia" w:ascii="宋体" w:hAnsi="宋体" w:cs="宋体"/>
          <w:color w:val="auto"/>
          <w:sz w:val="24"/>
          <w:szCs w:val="24"/>
          <w:highlight w:val="none"/>
        </w:rPr>
        <w:t>须提供其在工商部门注册的有效“营业执照”的复印件（如“三证合一”须提供工商行政管理部门核发加载统一社会信用代码的营业执照；如未“三证合一”则须提供供应商的营业执照、税务登记证书及组织机构代码证）；</w:t>
      </w:r>
    </w:p>
    <w:p>
      <w:pPr>
        <w:pStyle w:val="181"/>
        <w:spacing w:line="440" w:lineRule="exact"/>
        <w:rPr>
          <w:rStyle w:val="21"/>
          <w:rFonts w:ascii="宋体" w:hAnsi="宋体" w:cs="宋体"/>
          <w:color w:val="auto"/>
          <w:sz w:val="24"/>
          <w:szCs w:val="24"/>
          <w:highlight w:val="none"/>
        </w:rPr>
      </w:pPr>
      <w:r>
        <w:rPr>
          <w:rStyle w:val="21"/>
          <w:rFonts w:hint="eastAsia" w:ascii="宋体" w:hAnsi="宋体" w:cs="宋体"/>
          <w:b/>
          <w:bCs/>
          <w:color w:val="auto"/>
          <w:sz w:val="24"/>
          <w:szCs w:val="24"/>
          <w:highlight w:val="none"/>
        </w:rPr>
        <w:t>供应商是事业单位的</w:t>
      </w:r>
      <w:r>
        <w:rPr>
          <w:rStyle w:val="21"/>
          <w:rFonts w:hint="eastAsia" w:ascii="宋体" w:hAnsi="宋体" w:cs="宋体"/>
          <w:color w:val="auto"/>
          <w:sz w:val="24"/>
          <w:szCs w:val="24"/>
          <w:highlight w:val="none"/>
        </w:rPr>
        <w:t>，须提供其有效的“事业单位法人证书”复印件；</w:t>
      </w:r>
    </w:p>
    <w:p>
      <w:pPr>
        <w:pStyle w:val="181"/>
        <w:spacing w:line="440" w:lineRule="exact"/>
        <w:rPr>
          <w:rStyle w:val="21"/>
          <w:rFonts w:ascii="宋体" w:hAnsi="宋体" w:cs="宋体"/>
          <w:color w:val="auto"/>
          <w:sz w:val="24"/>
          <w:szCs w:val="24"/>
          <w:highlight w:val="none"/>
        </w:rPr>
      </w:pPr>
      <w:r>
        <w:rPr>
          <w:rStyle w:val="21"/>
          <w:rFonts w:hint="eastAsia" w:ascii="宋体" w:hAnsi="宋体" w:cs="宋体"/>
          <w:b/>
          <w:bCs/>
          <w:color w:val="auto"/>
          <w:sz w:val="24"/>
          <w:szCs w:val="24"/>
          <w:highlight w:val="none"/>
        </w:rPr>
        <w:t>供应商是非企业专业服务机构的，</w:t>
      </w:r>
      <w:r>
        <w:rPr>
          <w:rStyle w:val="21"/>
          <w:rFonts w:hint="eastAsia" w:ascii="宋体" w:hAnsi="宋体" w:cs="宋体"/>
          <w:color w:val="auto"/>
          <w:sz w:val="24"/>
          <w:szCs w:val="24"/>
          <w:highlight w:val="none"/>
        </w:rPr>
        <w:t>须提供其有效的执业许可证复印件；</w:t>
      </w:r>
    </w:p>
    <w:p>
      <w:pPr>
        <w:pStyle w:val="181"/>
        <w:spacing w:line="440" w:lineRule="exact"/>
        <w:rPr>
          <w:rStyle w:val="21"/>
          <w:rFonts w:ascii="宋体" w:hAnsi="宋体" w:cs="宋体"/>
          <w:color w:val="auto"/>
          <w:sz w:val="24"/>
          <w:szCs w:val="24"/>
          <w:highlight w:val="none"/>
        </w:rPr>
      </w:pPr>
      <w:r>
        <w:rPr>
          <w:rStyle w:val="21"/>
          <w:rFonts w:hint="eastAsia" w:ascii="宋体" w:hAnsi="宋体" w:cs="宋体"/>
          <w:b/>
          <w:bCs/>
          <w:color w:val="auto"/>
          <w:sz w:val="24"/>
          <w:szCs w:val="24"/>
          <w:highlight w:val="none"/>
        </w:rPr>
        <w:t>供应商是个体工商户的，</w:t>
      </w:r>
      <w:r>
        <w:rPr>
          <w:rStyle w:val="21"/>
          <w:rFonts w:hint="eastAsia" w:ascii="宋体" w:hAnsi="宋体" w:cs="宋体"/>
          <w:color w:val="auto"/>
          <w:sz w:val="24"/>
          <w:szCs w:val="24"/>
          <w:highlight w:val="none"/>
        </w:rPr>
        <w:t>须提供其有效的“个体工商户营业执照”复印件；</w:t>
      </w:r>
    </w:p>
    <w:p>
      <w:pPr>
        <w:pStyle w:val="181"/>
        <w:spacing w:line="44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以上复印件须加盖供应商公章。</w:t>
      </w:r>
    </w:p>
    <w:p>
      <w:pPr>
        <w:pStyle w:val="181"/>
        <w:spacing w:line="440" w:lineRule="exact"/>
        <w:rPr>
          <w:rStyle w:val="21"/>
          <w:rFonts w:ascii="宋体" w:hAnsi="宋体" w:cs="宋体"/>
          <w:color w:val="auto"/>
          <w:sz w:val="24"/>
          <w:szCs w:val="24"/>
          <w:highlight w:val="none"/>
        </w:rPr>
      </w:pPr>
      <w:r>
        <w:rPr>
          <w:rStyle w:val="21"/>
          <w:rFonts w:hint="eastAsia" w:ascii="宋体" w:hAnsi="宋体" w:cs="宋体"/>
          <w:b/>
          <w:bCs/>
          <w:color w:val="auto"/>
          <w:sz w:val="24"/>
          <w:szCs w:val="24"/>
          <w:highlight w:val="none"/>
        </w:rPr>
        <w:t>供应商是自然人的，</w:t>
      </w:r>
      <w:r>
        <w:rPr>
          <w:rStyle w:val="21"/>
          <w:rFonts w:hint="eastAsia" w:ascii="宋体" w:hAnsi="宋体" w:cs="宋体"/>
          <w:color w:val="auto"/>
          <w:sz w:val="24"/>
          <w:szCs w:val="24"/>
          <w:highlight w:val="none"/>
        </w:rPr>
        <w:t>应提供其有效的自然人身份证明；</w:t>
      </w:r>
    </w:p>
    <w:p>
      <w:pPr>
        <w:pStyle w:val="179"/>
        <w:rPr>
          <w:rStyle w:val="21"/>
          <w:rFonts w:ascii="宋体" w:hAnsi="宋体" w:eastAsia="宋体"/>
          <w:color w:val="auto"/>
          <w:sz w:val="24"/>
          <w:szCs w:val="24"/>
          <w:highlight w:val="none"/>
        </w:rPr>
      </w:pPr>
    </w:p>
    <w:p>
      <w:pPr>
        <w:pStyle w:val="180"/>
        <w:spacing w:line="440" w:lineRule="exact"/>
        <w:rPr>
          <w:rStyle w:val="21"/>
          <w:rFonts w:ascii="宋体" w:hAnsi="宋体" w:cs="宋体"/>
          <w:b/>
          <w:bCs/>
          <w:color w:val="auto"/>
          <w:sz w:val="24"/>
          <w:szCs w:val="24"/>
          <w:highlight w:val="none"/>
        </w:rPr>
      </w:pPr>
      <w:r>
        <w:rPr>
          <w:rStyle w:val="21"/>
          <w:rFonts w:hint="eastAsia" w:ascii="宋体" w:hAnsi="宋体" w:cs="宋体"/>
          <w:b/>
          <w:bCs/>
          <w:color w:val="auto"/>
          <w:sz w:val="24"/>
          <w:szCs w:val="24"/>
          <w:highlight w:val="none"/>
        </w:rPr>
        <w:t>2、具有良好的商业信誉和健全的财务会计制度；须提供相关证明材料，其中：</w:t>
      </w:r>
    </w:p>
    <w:p>
      <w:pPr>
        <w:pStyle w:val="181"/>
        <w:spacing w:line="440" w:lineRule="exact"/>
        <w:rPr>
          <w:rStyle w:val="21"/>
          <w:rFonts w:ascii="宋体" w:hAnsi="宋体" w:cs="宋体"/>
          <w:color w:val="auto"/>
          <w:sz w:val="24"/>
          <w:szCs w:val="24"/>
          <w:highlight w:val="none"/>
        </w:rPr>
      </w:pPr>
      <w:r>
        <w:rPr>
          <w:rStyle w:val="21"/>
          <w:rFonts w:hint="eastAsia" w:ascii="宋体" w:hAnsi="宋体" w:cs="宋体"/>
          <w:b/>
          <w:bCs/>
          <w:color w:val="auto"/>
          <w:sz w:val="24"/>
          <w:szCs w:val="24"/>
          <w:highlight w:val="none"/>
        </w:rPr>
        <w:t>供应商是法人的，</w:t>
      </w:r>
      <w:r>
        <w:rPr>
          <w:rStyle w:val="21"/>
          <w:rFonts w:hint="eastAsia" w:ascii="宋体" w:hAnsi="宋体" w:cs="宋体"/>
          <w:color w:val="auto"/>
          <w:sz w:val="24"/>
          <w:szCs w:val="24"/>
          <w:highlight w:val="none"/>
        </w:rPr>
        <w:t>须提供近上一年度经审计的财务审计报告复印件（报告中须包括资产负债表、利润表、现金流量表等），或其基本银行在开标日期前三个月内开具的资信证明（原件或该原件的复印件；复印件须加盖供应商公章；银行存款证明无效）；</w:t>
      </w:r>
    </w:p>
    <w:p>
      <w:pPr>
        <w:pStyle w:val="181"/>
        <w:spacing w:line="440" w:lineRule="exact"/>
        <w:rPr>
          <w:rStyle w:val="21"/>
          <w:rFonts w:ascii="宋体" w:hAnsi="宋体" w:cs="宋体"/>
          <w:color w:val="auto"/>
          <w:sz w:val="24"/>
          <w:szCs w:val="24"/>
          <w:highlight w:val="none"/>
        </w:rPr>
      </w:pPr>
      <w:r>
        <w:rPr>
          <w:rStyle w:val="21"/>
          <w:rFonts w:hint="eastAsia" w:ascii="宋体" w:hAnsi="宋体" w:cs="宋体"/>
          <w:b/>
          <w:bCs/>
          <w:color w:val="auto"/>
          <w:sz w:val="24"/>
          <w:szCs w:val="24"/>
          <w:highlight w:val="none"/>
        </w:rPr>
        <w:t>供应商是其他组织或自然人的，</w:t>
      </w:r>
      <w:r>
        <w:rPr>
          <w:rStyle w:val="21"/>
          <w:rFonts w:hint="eastAsia" w:ascii="宋体" w:hAnsi="宋体" w:cs="宋体"/>
          <w:color w:val="auto"/>
          <w:sz w:val="24"/>
          <w:szCs w:val="24"/>
          <w:highlight w:val="none"/>
        </w:rPr>
        <w:t>须提供银行出具的资信证明原件；</w:t>
      </w:r>
    </w:p>
    <w:p>
      <w:pPr>
        <w:pStyle w:val="180"/>
        <w:spacing w:line="44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银行资信证明无收受人和项目的限制，银行资信证明可以是复印件，评标委员会保留审核原件的权利。资信证明的开具银行明确规定复印无效的，须提交原件；</w:t>
      </w:r>
    </w:p>
    <w:p>
      <w:pPr>
        <w:pStyle w:val="181"/>
        <w:rPr>
          <w:rStyle w:val="21"/>
          <w:rFonts w:ascii="宋体" w:hAnsi="宋体" w:cs="宋体"/>
          <w:color w:val="auto"/>
          <w:sz w:val="24"/>
          <w:szCs w:val="24"/>
          <w:highlight w:val="none"/>
        </w:rPr>
      </w:pPr>
    </w:p>
    <w:p>
      <w:pPr>
        <w:pStyle w:val="181"/>
        <w:rPr>
          <w:rStyle w:val="21"/>
          <w:rFonts w:ascii="宋体" w:hAnsi="宋体" w:cs="宋体"/>
          <w:color w:val="auto"/>
          <w:sz w:val="24"/>
          <w:szCs w:val="24"/>
          <w:highlight w:val="none"/>
        </w:rPr>
      </w:pPr>
      <w:r>
        <w:rPr>
          <w:rStyle w:val="21"/>
          <w:rFonts w:hint="eastAsia" w:ascii="宋体" w:hAnsi="宋体" w:cs="宋体"/>
          <w:b/>
          <w:bCs/>
          <w:color w:val="auto"/>
          <w:sz w:val="24"/>
          <w:szCs w:val="24"/>
          <w:highlight w:val="none"/>
        </w:rPr>
        <w:t>3、具有履行合同所必需的设备和专业技术能力；须附相关证明材料或书面声明</w:t>
      </w:r>
    </w:p>
    <w:p>
      <w:pPr>
        <w:pStyle w:val="179"/>
        <w:rPr>
          <w:rStyle w:val="21"/>
          <w:rFonts w:ascii="宋体" w:hAnsi="宋体" w:eastAsia="宋体"/>
          <w:b w:val="0"/>
          <w:bCs w:val="0"/>
          <w:color w:val="auto"/>
          <w:sz w:val="24"/>
          <w:szCs w:val="24"/>
          <w:highlight w:val="none"/>
        </w:rPr>
      </w:pPr>
    </w:p>
    <w:p>
      <w:pPr>
        <w:pStyle w:val="179"/>
        <w:rPr>
          <w:rStyle w:val="21"/>
          <w:rFonts w:ascii="宋体" w:hAnsi="宋体" w:eastAsia="宋体"/>
          <w:b w:val="0"/>
          <w:bCs w:val="0"/>
          <w:color w:val="auto"/>
          <w:sz w:val="24"/>
          <w:szCs w:val="24"/>
          <w:highlight w:val="none"/>
        </w:rPr>
      </w:pPr>
      <w:r>
        <w:rPr>
          <w:rStyle w:val="21"/>
          <w:rFonts w:hint="eastAsia" w:ascii="宋体" w:hAnsi="宋体" w:eastAsia="宋体"/>
          <w:b w:val="0"/>
          <w:bCs w:val="0"/>
          <w:color w:val="auto"/>
          <w:sz w:val="24"/>
          <w:szCs w:val="24"/>
          <w:highlight w:val="none"/>
        </w:rPr>
        <w:t>书面声明格式：</w:t>
      </w:r>
    </w:p>
    <w:p>
      <w:pPr>
        <w:pStyle w:val="157"/>
        <w:rPr>
          <w:rStyle w:val="21"/>
          <w:rFonts w:ascii="宋体" w:hAnsi="宋体" w:cs="宋体"/>
          <w:color w:val="auto"/>
          <w:highlight w:val="none"/>
        </w:rPr>
      </w:pPr>
    </w:p>
    <w:p>
      <w:pPr>
        <w:pStyle w:val="179"/>
        <w:rPr>
          <w:rStyle w:val="21"/>
          <w:rFonts w:ascii="宋体" w:hAnsi="宋体" w:eastAsia="宋体"/>
          <w:b w:val="0"/>
          <w:bCs w:val="0"/>
          <w:color w:val="auto"/>
          <w:sz w:val="24"/>
          <w:szCs w:val="24"/>
          <w:highlight w:val="none"/>
        </w:rPr>
      </w:pPr>
      <w:r>
        <w:rPr>
          <w:rStyle w:val="21"/>
          <w:rFonts w:hint="eastAsia" w:ascii="宋体" w:hAnsi="宋体" w:eastAsia="宋体"/>
          <w:b w:val="0"/>
          <w:bCs w:val="0"/>
          <w:color w:val="auto"/>
          <w:sz w:val="24"/>
          <w:szCs w:val="24"/>
          <w:highlight w:val="none"/>
        </w:rPr>
        <w:t>本供应商郑重声明：</w:t>
      </w:r>
    </w:p>
    <w:p>
      <w:pPr>
        <w:pStyle w:val="179"/>
        <w:ind w:firstLine="480" w:firstLineChars="200"/>
        <w:rPr>
          <w:rStyle w:val="21"/>
          <w:rFonts w:ascii="宋体" w:hAnsi="宋体" w:eastAsia="宋体"/>
          <w:b w:val="0"/>
          <w:bCs w:val="0"/>
          <w:color w:val="auto"/>
          <w:sz w:val="24"/>
          <w:szCs w:val="24"/>
          <w:highlight w:val="none"/>
        </w:rPr>
      </w:pPr>
      <w:r>
        <w:rPr>
          <w:rStyle w:val="21"/>
          <w:rFonts w:hint="eastAsia" w:ascii="宋体" w:hAnsi="宋体" w:eastAsia="宋体"/>
          <w:b w:val="0"/>
          <w:bCs w:val="0"/>
          <w:color w:val="auto"/>
          <w:sz w:val="24"/>
          <w:szCs w:val="24"/>
          <w:highlight w:val="none"/>
        </w:rPr>
        <w:t>本公司（或单位）具备本项目履行合同所必需的设备和专业技术能力，特此声明。</w:t>
      </w:r>
    </w:p>
    <w:p>
      <w:pPr>
        <w:pStyle w:val="180"/>
        <w:snapToGrid w:val="0"/>
        <w:spacing w:line="440" w:lineRule="exact"/>
        <w:rPr>
          <w:rStyle w:val="21"/>
          <w:rFonts w:ascii="宋体" w:hAnsi="宋体" w:cs="宋体"/>
          <w:color w:val="auto"/>
          <w:sz w:val="24"/>
          <w:szCs w:val="24"/>
          <w:highlight w:val="none"/>
          <w:u w:val="single" w:color="000000"/>
        </w:rPr>
      </w:pPr>
      <w:r>
        <w:rPr>
          <w:rStyle w:val="21"/>
          <w:rFonts w:hint="eastAsia" w:ascii="宋体" w:hAnsi="宋体" w:cs="宋体"/>
          <w:color w:val="auto"/>
          <w:sz w:val="24"/>
          <w:szCs w:val="24"/>
          <w:highlight w:val="none"/>
        </w:rPr>
        <w:t>投标人法定代表人（或法定代表人授权代表）签字：</w:t>
      </w:r>
    </w:p>
    <w:p>
      <w:pPr>
        <w:pStyle w:val="180"/>
        <w:snapToGrid w:val="0"/>
        <w:spacing w:line="440" w:lineRule="exact"/>
        <w:rPr>
          <w:rStyle w:val="21"/>
          <w:rFonts w:ascii="宋体" w:hAnsi="宋体" w:cs="宋体"/>
          <w:color w:val="auto"/>
          <w:sz w:val="24"/>
          <w:szCs w:val="24"/>
          <w:highlight w:val="none"/>
          <w:u w:val="single" w:color="000000"/>
        </w:rPr>
      </w:pPr>
      <w:r>
        <w:rPr>
          <w:rStyle w:val="21"/>
          <w:rFonts w:hint="eastAsia" w:ascii="宋体" w:hAnsi="宋体" w:cs="宋体"/>
          <w:color w:val="auto"/>
          <w:sz w:val="24"/>
          <w:szCs w:val="24"/>
          <w:highlight w:val="none"/>
        </w:rPr>
        <w:t>投标人名称（加盖公章）：</w:t>
      </w:r>
    </w:p>
    <w:p>
      <w:pPr>
        <w:pStyle w:val="181"/>
        <w:spacing w:line="440" w:lineRule="exact"/>
        <w:jc w:val="both"/>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日期：年月日</w:t>
      </w:r>
    </w:p>
    <w:p>
      <w:pPr>
        <w:pStyle w:val="179"/>
        <w:rPr>
          <w:rStyle w:val="21"/>
          <w:rFonts w:ascii="宋体" w:hAnsi="宋体" w:eastAsia="宋体"/>
          <w:b w:val="0"/>
          <w:bCs w:val="0"/>
          <w:color w:val="auto"/>
          <w:sz w:val="24"/>
          <w:szCs w:val="24"/>
          <w:highlight w:val="none"/>
        </w:rPr>
      </w:pPr>
    </w:p>
    <w:p>
      <w:pPr>
        <w:pStyle w:val="181"/>
        <w:spacing w:line="440" w:lineRule="exact"/>
        <w:rPr>
          <w:rStyle w:val="21"/>
          <w:rFonts w:ascii="宋体" w:hAnsi="宋体" w:cs="宋体"/>
          <w:color w:val="auto"/>
          <w:sz w:val="24"/>
          <w:szCs w:val="24"/>
          <w:highlight w:val="none"/>
        </w:rPr>
      </w:pPr>
      <w:r>
        <w:rPr>
          <w:rStyle w:val="21"/>
          <w:rFonts w:hint="eastAsia" w:ascii="宋体" w:hAnsi="宋体" w:cs="宋体"/>
          <w:b/>
          <w:bCs/>
          <w:color w:val="auto"/>
          <w:sz w:val="24"/>
          <w:szCs w:val="24"/>
          <w:highlight w:val="none"/>
        </w:rPr>
        <w:t>4、有依法缴纳税收和社会保障资金的良好记录；须提供</w:t>
      </w:r>
      <w:r>
        <w:rPr>
          <w:rStyle w:val="21"/>
          <w:rFonts w:hint="eastAsia" w:ascii="宋体" w:hAnsi="宋体" w:cs="宋体"/>
          <w:color w:val="auto"/>
          <w:sz w:val="24"/>
          <w:szCs w:val="24"/>
          <w:highlight w:val="none"/>
        </w:rPr>
        <w:t>依法缴纳税收和社会保障资金的证明材料，须提供开标前六个月内任意一个月的依法缴税凭据和缴纳社会保险的凭据（专用收据或社会保险缴纳清单）复印件；</w:t>
      </w:r>
    </w:p>
    <w:p>
      <w:pPr>
        <w:pStyle w:val="179"/>
        <w:rPr>
          <w:rStyle w:val="21"/>
          <w:rFonts w:ascii="宋体" w:hAnsi="宋体" w:eastAsia="宋体"/>
          <w:b w:val="0"/>
          <w:bCs w:val="0"/>
          <w:color w:val="auto"/>
          <w:sz w:val="24"/>
          <w:szCs w:val="24"/>
          <w:highlight w:val="none"/>
        </w:rPr>
      </w:pPr>
    </w:p>
    <w:p>
      <w:pPr>
        <w:pStyle w:val="179"/>
        <w:rPr>
          <w:rStyle w:val="21"/>
          <w:rFonts w:ascii="宋体" w:hAnsi="宋体" w:eastAsia="宋体"/>
          <w:b w:val="0"/>
          <w:bCs w:val="0"/>
          <w:color w:val="auto"/>
          <w:sz w:val="24"/>
          <w:szCs w:val="24"/>
          <w:highlight w:val="none"/>
        </w:rPr>
      </w:pPr>
    </w:p>
    <w:p>
      <w:pPr>
        <w:pStyle w:val="179"/>
        <w:rPr>
          <w:rStyle w:val="21"/>
          <w:rFonts w:ascii="宋体" w:hAnsi="宋体" w:eastAsia="宋体"/>
          <w:color w:val="auto"/>
          <w:sz w:val="24"/>
          <w:szCs w:val="24"/>
          <w:highlight w:val="none"/>
        </w:rPr>
      </w:pPr>
      <w:r>
        <w:rPr>
          <w:rStyle w:val="21"/>
          <w:rFonts w:hint="eastAsia" w:ascii="宋体" w:hAnsi="宋体" w:eastAsia="宋体"/>
          <w:color w:val="auto"/>
          <w:sz w:val="24"/>
          <w:szCs w:val="24"/>
          <w:highlight w:val="none"/>
        </w:rPr>
        <w:t>5、参加政府采购活动前三年内，在经营活动中没有重大违法记录；须提供书面声明</w:t>
      </w:r>
    </w:p>
    <w:p>
      <w:pPr>
        <w:pStyle w:val="179"/>
        <w:rPr>
          <w:rStyle w:val="21"/>
          <w:rFonts w:ascii="宋体" w:hAnsi="宋体" w:eastAsia="宋体"/>
          <w:color w:val="auto"/>
          <w:sz w:val="24"/>
          <w:szCs w:val="24"/>
          <w:highlight w:val="none"/>
        </w:rPr>
      </w:pPr>
    </w:p>
    <w:p>
      <w:pPr>
        <w:pStyle w:val="180"/>
        <w:spacing w:line="360" w:lineRule="auto"/>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我单位郑重声明：</w:t>
      </w:r>
    </w:p>
    <w:p>
      <w:pPr>
        <w:pStyle w:val="180"/>
        <w:spacing w:line="360" w:lineRule="auto"/>
        <w:ind w:firstLine="480" w:firstLineChars="200"/>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pPr>
        <w:pStyle w:val="180"/>
        <w:spacing w:line="360" w:lineRule="auto"/>
        <w:ind w:firstLine="480" w:firstLineChars="200"/>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如我公司声明与实际不符，我公司将承担因此引起的一切后果。</w:t>
      </w:r>
    </w:p>
    <w:p>
      <w:pPr>
        <w:pStyle w:val="181"/>
        <w:spacing w:line="440" w:lineRule="exact"/>
        <w:ind w:firstLine="480" w:firstLineChars="200"/>
        <w:jc w:val="both"/>
        <w:rPr>
          <w:rStyle w:val="21"/>
          <w:rFonts w:ascii="宋体" w:hAnsi="宋体" w:cs="宋体"/>
          <w:color w:val="auto"/>
          <w:sz w:val="24"/>
          <w:szCs w:val="24"/>
          <w:highlight w:val="none"/>
        </w:rPr>
      </w:pPr>
    </w:p>
    <w:p>
      <w:pPr>
        <w:pStyle w:val="180"/>
        <w:snapToGrid w:val="0"/>
        <w:spacing w:line="440" w:lineRule="exact"/>
        <w:rPr>
          <w:rStyle w:val="21"/>
          <w:rFonts w:ascii="宋体" w:hAnsi="宋体" w:cs="宋体"/>
          <w:color w:val="auto"/>
          <w:sz w:val="24"/>
          <w:szCs w:val="24"/>
          <w:highlight w:val="none"/>
          <w:u w:val="single" w:color="000000"/>
        </w:rPr>
      </w:pPr>
      <w:r>
        <w:rPr>
          <w:rStyle w:val="21"/>
          <w:rFonts w:hint="eastAsia" w:ascii="宋体" w:hAnsi="宋体" w:cs="宋体"/>
          <w:color w:val="auto"/>
          <w:sz w:val="24"/>
          <w:szCs w:val="24"/>
          <w:highlight w:val="none"/>
        </w:rPr>
        <w:t>投标人法定代表人（或法定代表人授权代表）签字：</w:t>
      </w:r>
    </w:p>
    <w:p>
      <w:pPr>
        <w:pStyle w:val="180"/>
        <w:snapToGrid w:val="0"/>
        <w:spacing w:line="440" w:lineRule="exact"/>
        <w:rPr>
          <w:rStyle w:val="21"/>
          <w:rFonts w:ascii="宋体" w:hAnsi="宋体" w:cs="宋体"/>
          <w:color w:val="auto"/>
          <w:sz w:val="24"/>
          <w:szCs w:val="24"/>
          <w:highlight w:val="none"/>
          <w:u w:val="single" w:color="000000"/>
        </w:rPr>
      </w:pPr>
      <w:r>
        <w:rPr>
          <w:rStyle w:val="21"/>
          <w:rFonts w:hint="eastAsia" w:ascii="宋体" w:hAnsi="宋体" w:cs="宋体"/>
          <w:color w:val="auto"/>
          <w:sz w:val="24"/>
          <w:szCs w:val="24"/>
          <w:highlight w:val="none"/>
        </w:rPr>
        <w:t>投标人名称（加盖公章）：</w:t>
      </w:r>
    </w:p>
    <w:p>
      <w:pPr>
        <w:pStyle w:val="181"/>
        <w:spacing w:line="440" w:lineRule="exact"/>
        <w:jc w:val="both"/>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日期：年月日</w:t>
      </w:r>
    </w:p>
    <w:p>
      <w:pPr>
        <w:pStyle w:val="179"/>
        <w:rPr>
          <w:rStyle w:val="21"/>
          <w:rFonts w:ascii="宋体" w:hAnsi="宋体" w:eastAsia="宋体"/>
          <w:color w:val="auto"/>
          <w:sz w:val="24"/>
          <w:szCs w:val="24"/>
          <w:highlight w:val="none"/>
        </w:rPr>
      </w:pPr>
    </w:p>
    <w:p>
      <w:pPr>
        <w:pStyle w:val="182"/>
        <w:spacing w:line="440" w:lineRule="exact"/>
        <w:rPr>
          <w:rStyle w:val="21"/>
          <w:rFonts w:ascii="宋体" w:hAnsi="宋体" w:cs="宋体"/>
          <w:b/>
          <w:bCs/>
          <w:color w:val="auto"/>
          <w:kern w:val="0"/>
          <w:sz w:val="24"/>
          <w:szCs w:val="24"/>
          <w:highlight w:val="none"/>
        </w:rPr>
      </w:pPr>
      <w:r>
        <w:rPr>
          <w:rStyle w:val="21"/>
          <w:rFonts w:hint="eastAsia" w:ascii="宋体" w:hAnsi="宋体" w:cs="宋体"/>
          <w:b/>
          <w:bCs/>
          <w:color w:val="auto"/>
          <w:kern w:val="0"/>
          <w:sz w:val="24"/>
          <w:szCs w:val="24"/>
          <w:highlight w:val="none"/>
        </w:rPr>
        <w:t>6、法律、行政法规规定的其他条件;</w:t>
      </w:r>
    </w:p>
    <w:p>
      <w:pPr>
        <w:pStyle w:val="179"/>
        <w:spacing w:line="440" w:lineRule="exact"/>
        <w:rPr>
          <w:rStyle w:val="21"/>
          <w:rFonts w:ascii="宋体" w:hAnsi="宋体" w:eastAsia="宋体"/>
          <w:b w:val="0"/>
          <w:bCs w:val="0"/>
          <w:color w:val="auto"/>
          <w:sz w:val="24"/>
          <w:szCs w:val="24"/>
          <w:highlight w:val="none"/>
        </w:rPr>
      </w:pPr>
      <w:r>
        <w:rPr>
          <w:rStyle w:val="21"/>
          <w:rFonts w:hint="eastAsia" w:ascii="宋体" w:hAnsi="宋体" w:eastAsia="宋体"/>
          <w:b w:val="0"/>
          <w:bCs w:val="0"/>
          <w:color w:val="auto"/>
          <w:sz w:val="24"/>
          <w:szCs w:val="24"/>
          <w:highlight w:val="none"/>
        </w:rPr>
        <w:t>（1）投标人须提供本单位“信用中国”网站（www.creditchina.gov.cn）及中国政府采购网（www.ccgp.gov.cn）已公布的信用记录查询结果截图。截图含被列入失信被执行人、重大税收违法失信主体、列入政府采购严重违法失信行为记录名单。（查询的时间须为本项目公告之日至投标截止日之间），如相关失信记录已失效，投标人需提供相关证明资料。</w:t>
      </w:r>
    </w:p>
    <w:p>
      <w:pPr>
        <w:pStyle w:val="179"/>
        <w:spacing w:line="440" w:lineRule="exact"/>
        <w:rPr>
          <w:rStyle w:val="21"/>
          <w:rFonts w:ascii="宋体" w:hAnsi="宋体" w:eastAsia="宋体"/>
          <w:b w:val="0"/>
          <w:bCs w:val="0"/>
          <w:color w:val="auto"/>
          <w:sz w:val="24"/>
          <w:szCs w:val="24"/>
          <w:highlight w:val="none"/>
        </w:rPr>
      </w:pPr>
    </w:p>
    <w:p>
      <w:pPr>
        <w:pStyle w:val="131"/>
        <w:jc w:val="both"/>
        <w:rPr>
          <w:rStyle w:val="21"/>
          <w:rFonts w:ascii="宋体" w:hAnsi="宋体" w:eastAsia="宋体" w:cs="宋体"/>
          <w:b w:val="0"/>
          <w:color w:val="auto"/>
          <w:sz w:val="24"/>
          <w:highlight w:val="none"/>
        </w:rPr>
      </w:pPr>
      <w:r>
        <w:rPr>
          <w:rStyle w:val="21"/>
          <w:rFonts w:hint="eastAsia" w:ascii="宋体" w:hAnsi="宋体" w:eastAsia="宋体" w:cs="宋体"/>
          <w:b w:val="0"/>
          <w:color w:val="auto"/>
          <w:sz w:val="24"/>
          <w:highlight w:val="none"/>
        </w:rPr>
        <w:t>上述投标人须提供的资格证明文件均应为有效文件并加盖本单位公章，否则评标时不予认可。上述文件为投标人必须达到的资格要求，如有任意一条未明确响应将按无效投标处理。</w:t>
      </w: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04"/>
        <w:jc w:val="both"/>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2.2投标保证金</w:t>
      </w: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rPr>
          <w:rStyle w:val="21"/>
          <w:rFonts w:ascii="宋体" w:hAnsi="宋体" w:eastAsia="宋体" w:cs="宋体"/>
          <w:b w:val="0"/>
          <w:color w:val="auto"/>
          <w:sz w:val="24"/>
          <w:highlight w:val="none"/>
        </w:rPr>
      </w:pPr>
    </w:p>
    <w:p>
      <w:pPr>
        <w:pStyle w:val="131"/>
        <w:jc w:val="both"/>
        <w:outlineLvl w:val="0"/>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三、商务文件</w:t>
      </w:r>
    </w:p>
    <w:p>
      <w:pPr>
        <w:pStyle w:val="95"/>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3.1营业执照、组织机构代码证、税务登记证</w:t>
      </w:r>
    </w:p>
    <w:p>
      <w:pPr>
        <w:pStyle w:val="97"/>
        <w:jc w:val="both"/>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3.2法定代表人身份证明及授权委托书</w:t>
      </w:r>
    </w:p>
    <w:p>
      <w:pPr>
        <w:pStyle w:val="99"/>
        <w:jc w:val="both"/>
        <w:rPr>
          <w:rStyle w:val="21"/>
          <w:rFonts w:cs="宋体"/>
          <w:b w:val="0"/>
          <w:color w:val="auto"/>
          <w:sz w:val="24"/>
          <w:szCs w:val="24"/>
          <w:highlight w:val="none"/>
        </w:rPr>
      </w:pPr>
      <w:r>
        <w:rPr>
          <w:rStyle w:val="21"/>
          <w:rFonts w:hint="eastAsia" w:cs="宋体"/>
          <w:b w:val="0"/>
          <w:color w:val="auto"/>
          <w:sz w:val="24"/>
          <w:szCs w:val="24"/>
          <w:highlight w:val="none"/>
        </w:rPr>
        <w:t>法定代表人资格证明文件</w:t>
      </w:r>
    </w:p>
    <w:p>
      <w:pPr>
        <w:pStyle w:val="100"/>
        <w:snapToGrid w:val="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u w:val="single" w:color="000000"/>
        </w:rPr>
        <w:t>（代理机构名称）</w:t>
      </w:r>
      <w:r>
        <w:rPr>
          <w:rStyle w:val="21"/>
          <w:rFonts w:hint="eastAsia" w:ascii="宋体" w:hAnsi="宋体" w:cs="宋体"/>
          <w:color w:val="auto"/>
          <w:sz w:val="24"/>
          <w:szCs w:val="24"/>
          <w:highlight w:val="none"/>
        </w:rPr>
        <w:t>：</w:t>
      </w:r>
    </w:p>
    <w:p>
      <w:pPr>
        <w:pStyle w:val="100"/>
        <w:snapToGrid w:val="0"/>
        <w:spacing w:line="500" w:lineRule="exact"/>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兹有同志为公司法定代表人，代表我公司办理一切社会公务事宜，具有法律效力。</w:t>
      </w:r>
    </w:p>
    <w:p>
      <w:pPr>
        <w:pStyle w:val="100"/>
        <w:snapToGrid w:val="0"/>
        <w:spacing w:line="500" w:lineRule="exact"/>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附法定代表人基本情况：</w:t>
      </w:r>
    </w:p>
    <w:p>
      <w:pPr>
        <w:pStyle w:val="100"/>
        <w:snapToGrid w:val="0"/>
        <w:spacing w:line="500" w:lineRule="exact"/>
        <w:ind w:firstLine="480" w:firstLineChars="200"/>
        <w:rPr>
          <w:rStyle w:val="21"/>
          <w:rFonts w:ascii="宋体" w:hAnsi="宋体" w:cs="宋体"/>
          <w:color w:val="auto"/>
          <w:sz w:val="24"/>
          <w:szCs w:val="24"/>
          <w:highlight w:val="none"/>
          <w:u w:val="single"/>
        </w:rPr>
      </w:pPr>
      <w:r>
        <w:rPr>
          <w:rStyle w:val="21"/>
          <w:rFonts w:hint="eastAsia" w:ascii="宋体" w:hAnsi="宋体" w:cs="宋体"/>
          <w:color w:val="auto"/>
          <w:sz w:val="24"/>
          <w:szCs w:val="24"/>
          <w:highlight w:val="none"/>
        </w:rPr>
        <w:t>姓名：性别：年龄：职务：</w:t>
      </w:r>
    </w:p>
    <w:p>
      <w:pPr>
        <w:pStyle w:val="100"/>
        <w:snapToGrid w:val="0"/>
        <w:spacing w:line="500" w:lineRule="exact"/>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身份证号码：</w:t>
      </w:r>
    </w:p>
    <w:p>
      <w:pPr>
        <w:pStyle w:val="100"/>
        <w:snapToGrid w:val="0"/>
        <w:spacing w:line="500" w:lineRule="exact"/>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通讯地址：</w:t>
      </w:r>
    </w:p>
    <w:p>
      <w:pPr>
        <w:pStyle w:val="100"/>
        <w:snapToGrid w:val="0"/>
        <w:spacing w:line="500" w:lineRule="exact"/>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电话号码：邮政编码：</w:t>
      </w:r>
    </w:p>
    <w:p>
      <w:pPr>
        <w:pStyle w:val="100"/>
        <w:snapToGrid w:val="0"/>
        <w:spacing w:line="500" w:lineRule="exact"/>
        <w:rPr>
          <w:rStyle w:val="21"/>
          <w:rFonts w:ascii="宋体" w:hAnsi="宋体" w:cs="宋体"/>
          <w:color w:val="auto"/>
          <w:sz w:val="24"/>
          <w:szCs w:val="24"/>
          <w:highlight w:val="none"/>
        </w:rPr>
      </w:pPr>
    </w:p>
    <w:tbl>
      <w:tblPr>
        <w:tblStyle w:val="18"/>
        <w:tblW w:w="68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jc w:val="center"/>
        </w:trPr>
        <w:tc>
          <w:tcPr>
            <w:tcW w:w="6804" w:type="dxa"/>
            <w:tcBorders>
              <w:top w:val="single" w:color="000000" w:sz="4" w:space="0"/>
              <w:left w:val="single" w:color="000000" w:sz="4" w:space="0"/>
              <w:bottom w:val="single" w:color="000000" w:sz="4" w:space="0"/>
              <w:right w:val="single" w:color="000000" w:sz="4" w:space="0"/>
            </w:tcBorders>
          </w:tcPr>
          <w:p>
            <w:pPr>
              <w:pStyle w:val="100"/>
              <w:snapToGrid w:val="0"/>
              <w:spacing w:line="500" w:lineRule="exact"/>
              <w:jc w:val="center"/>
              <w:rPr>
                <w:rStyle w:val="21"/>
                <w:rFonts w:ascii="宋体" w:hAnsi="宋体" w:cs="宋体"/>
                <w:color w:val="auto"/>
                <w:sz w:val="24"/>
                <w:szCs w:val="24"/>
                <w:highlight w:val="none"/>
              </w:rPr>
            </w:pPr>
          </w:p>
          <w:p>
            <w:pPr>
              <w:pStyle w:val="100"/>
              <w:snapToGrid w:val="0"/>
              <w:spacing w:line="500" w:lineRule="exact"/>
              <w:jc w:val="center"/>
              <w:rPr>
                <w:rStyle w:val="21"/>
                <w:rFonts w:ascii="宋体" w:hAnsi="宋体" w:cs="宋体"/>
                <w:color w:val="auto"/>
                <w:sz w:val="24"/>
                <w:szCs w:val="24"/>
                <w:highlight w:val="none"/>
              </w:rPr>
            </w:pPr>
          </w:p>
          <w:p>
            <w:pPr>
              <w:pStyle w:val="100"/>
              <w:snapToGrid w:val="0"/>
              <w:spacing w:line="500" w:lineRule="exact"/>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法定代表人《居民身份证》扫描件</w:t>
            </w:r>
          </w:p>
        </w:tc>
      </w:tr>
    </w:tbl>
    <w:p>
      <w:pPr>
        <w:pStyle w:val="100"/>
        <w:snapToGrid w:val="0"/>
        <w:spacing w:line="500" w:lineRule="exact"/>
        <w:rPr>
          <w:rStyle w:val="21"/>
          <w:rFonts w:ascii="宋体" w:hAnsi="宋体" w:cs="宋体"/>
          <w:color w:val="auto"/>
          <w:sz w:val="24"/>
          <w:szCs w:val="24"/>
          <w:highlight w:val="none"/>
        </w:rPr>
      </w:pPr>
    </w:p>
    <w:p>
      <w:pPr>
        <w:pStyle w:val="100"/>
        <w:tabs>
          <w:tab w:val="left" w:pos="750"/>
        </w:tabs>
        <w:snapToGrid w:val="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ab/>
      </w:r>
      <w:r>
        <w:rPr>
          <w:rStyle w:val="21"/>
          <w:rFonts w:hint="eastAsia" w:ascii="宋体" w:hAnsi="宋体" w:cs="宋体"/>
          <w:color w:val="auto"/>
          <w:sz w:val="24"/>
          <w:szCs w:val="24"/>
          <w:highlight w:val="none"/>
        </w:rPr>
        <w:t>投标人名称（签章）：</w:t>
      </w:r>
    </w:p>
    <w:p>
      <w:pPr>
        <w:pStyle w:val="100"/>
        <w:tabs>
          <w:tab w:val="left" w:pos="750"/>
        </w:tabs>
        <w:snapToGrid w:val="0"/>
        <w:spacing w:line="500" w:lineRule="exact"/>
        <w:rPr>
          <w:rStyle w:val="21"/>
          <w:rFonts w:ascii="宋体" w:hAnsi="宋体" w:cs="宋体"/>
          <w:color w:val="auto"/>
          <w:sz w:val="24"/>
          <w:szCs w:val="24"/>
          <w:highlight w:val="none"/>
        </w:rPr>
      </w:pPr>
    </w:p>
    <w:p>
      <w:pPr>
        <w:pStyle w:val="100"/>
        <w:tabs>
          <w:tab w:val="left" w:pos="750"/>
        </w:tabs>
        <w:snapToGrid w:val="0"/>
        <w:spacing w:line="500" w:lineRule="exact"/>
        <w:ind w:firstLine="720" w:firstLineChars="3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法定代表人（签章）：</w:t>
      </w:r>
    </w:p>
    <w:p>
      <w:pPr>
        <w:pStyle w:val="100"/>
        <w:tabs>
          <w:tab w:val="left" w:pos="750"/>
        </w:tabs>
        <w:snapToGrid w:val="0"/>
        <w:spacing w:line="500" w:lineRule="exact"/>
        <w:rPr>
          <w:rStyle w:val="21"/>
          <w:rFonts w:ascii="宋体" w:hAnsi="宋体" w:cs="宋体"/>
          <w:color w:val="auto"/>
          <w:sz w:val="24"/>
          <w:szCs w:val="24"/>
          <w:highlight w:val="none"/>
        </w:rPr>
      </w:pPr>
    </w:p>
    <w:p>
      <w:pPr>
        <w:pStyle w:val="100"/>
        <w:tabs>
          <w:tab w:val="left" w:pos="750"/>
        </w:tabs>
        <w:snapToGrid w:val="0"/>
        <w:spacing w:line="500" w:lineRule="exact"/>
        <w:ind w:firstLine="720" w:firstLineChars="3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日期：年月日</w:t>
      </w:r>
    </w:p>
    <w:p>
      <w:pPr>
        <w:pStyle w:val="99"/>
        <w:rPr>
          <w:rStyle w:val="21"/>
          <w:rFonts w:cs="宋体"/>
          <w:color w:val="auto"/>
          <w:highlight w:val="none"/>
        </w:rPr>
      </w:pPr>
    </w:p>
    <w:p>
      <w:pPr>
        <w:pStyle w:val="99"/>
        <w:rPr>
          <w:rStyle w:val="21"/>
          <w:rFonts w:cs="宋体"/>
          <w:color w:val="auto"/>
          <w:highlight w:val="none"/>
        </w:rPr>
      </w:pPr>
    </w:p>
    <w:p>
      <w:pPr>
        <w:pStyle w:val="100"/>
        <w:rPr>
          <w:rStyle w:val="21"/>
          <w:rFonts w:ascii="宋体" w:hAnsi="宋体" w:cs="宋体"/>
          <w:color w:val="auto"/>
          <w:highlight w:val="none"/>
        </w:rPr>
      </w:pPr>
    </w:p>
    <w:p>
      <w:pPr>
        <w:pStyle w:val="99"/>
        <w:rPr>
          <w:rStyle w:val="21"/>
          <w:rFonts w:cs="宋体"/>
          <w:color w:val="auto"/>
          <w:highlight w:val="none"/>
        </w:rPr>
      </w:pPr>
    </w:p>
    <w:p>
      <w:pPr>
        <w:pStyle w:val="99"/>
        <w:rPr>
          <w:rStyle w:val="21"/>
          <w:rFonts w:cs="宋体"/>
          <w:b w:val="0"/>
          <w:color w:val="auto"/>
          <w:sz w:val="24"/>
          <w:szCs w:val="24"/>
          <w:highlight w:val="none"/>
        </w:rPr>
      </w:pPr>
      <w:r>
        <w:rPr>
          <w:rStyle w:val="21"/>
          <w:rFonts w:hint="eastAsia" w:cs="宋体"/>
          <w:b w:val="0"/>
          <w:color w:val="auto"/>
          <w:sz w:val="24"/>
          <w:szCs w:val="24"/>
          <w:highlight w:val="none"/>
        </w:rPr>
        <w:t>法定代表人授权书</w:t>
      </w:r>
    </w:p>
    <w:p>
      <w:pPr>
        <w:pStyle w:val="10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u w:val="single" w:color="000000"/>
        </w:rPr>
        <w:t>（代理机构名称）</w:t>
      </w:r>
      <w:r>
        <w:rPr>
          <w:rStyle w:val="21"/>
          <w:rFonts w:hint="eastAsia" w:ascii="宋体" w:hAnsi="宋体" w:cs="宋体"/>
          <w:color w:val="auto"/>
          <w:sz w:val="24"/>
          <w:szCs w:val="24"/>
          <w:highlight w:val="none"/>
        </w:rPr>
        <w:t>：</w:t>
      </w:r>
    </w:p>
    <w:p>
      <w:pPr>
        <w:pStyle w:val="100"/>
        <w:spacing w:line="500" w:lineRule="exact"/>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兹授权同志为我公司参加贵单位组织的编号为</w:t>
      </w:r>
      <w:r>
        <w:rPr>
          <w:rStyle w:val="21"/>
          <w:rFonts w:hint="eastAsia" w:ascii="宋体" w:hAnsi="宋体" w:cs="宋体"/>
          <w:color w:val="auto"/>
          <w:sz w:val="24"/>
          <w:szCs w:val="24"/>
          <w:highlight w:val="none"/>
          <w:u w:val="single" w:color="000000"/>
        </w:rPr>
        <w:t>（项目编号）</w:t>
      </w:r>
      <w:r>
        <w:rPr>
          <w:rStyle w:val="21"/>
          <w:rFonts w:hint="eastAsia" w:ascii="宋体" w:hAnsi="宋体" w:cs="宋体"/>
          <w:color w:val="auto"/>
          <w:sz w:val="24"/>
          <w:szCs w:val="24"/>
          <w:highlight w:val="none"/>
        </w:rPr>
        <w:t>的</w:t>
      </w:r>
      <w:r>
        <w:rPr>
          <w:rStyle w:val="21"/>
          <w:rFonts w:hint="eastAsia" w:ascii="宋体" w:hAnsi="宋体" w:cs="宋体"/>
          <w:color w:val="auto"/>
          <w:sz w:val="24"/>
          <w:szCs w:val="24"/>
          <w:highlight w:val="none"/>
          <w:u w:val="single" w:color="000000"/>
        </w:rPr>
        <w:t>（项目名称）</w:t>
      </w:r>
      <w:r>
        <w:rPr>
          <w:rStyle w:val="21"/>
          <w:rFonts w:hint="eastAsia" w:ascii="宋体" w:hAnsi="宋体" w:cs="宋体"/>
          <w:color w:val="auto"/>
          <w:sz w:val="24"/>
          <w:szCs w:val="24"/>
          <w:highlight w:val="none"/>
        </w:rPr>
        <w:t>采购活动的投标代表人，全权代表我公司处理在该项目采购活动中的一切事宜。代理期限从年月日起至年月日止。</w:t>
      </w:r>
    </w:p>
    <w:p>
      <w:pPr>
        <w:pStyle w:val="100"/>
        <w:spacing w:line="500" w:lineRule="exact"/>
        <w:rPr>
          <w:rStyle w:val="21"/>
          <w:rFonts w:ascii="宋体" w:hAnsi="宋体" w:cs="宋体"/>
          <w:color w:val="auto"/>
          <w:sz w:val="24"/>
          <w:szCs w:val="24"/>
          <w:highlight w:val="none"/>
        </w:rPr>
      </w:pPr>
    </w:p>
    <w:p>
      <w:pPr>
        <w:pStyle w:val="10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投标人（签章）：</w:t>
      </w:r>
    </w:p>
    <w:p>
      <w:pPr>
        <w:pStyle w:val="10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法定代表人（签章）：</w:t>
      </w:r>
    </w:p>
    <w:p>
      <w:pPr>
        <w:pStyle w:val="10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签发日期：年月日</w:t>
      </w:r>
    </w:p>
    <w:p>
      <w:pPr>
        <w:pStyle w:val="100"/>
        <w:spacing w:line="500" w:lineRule="exact"/>
        <w:rPr>
          <w:rStyle w:val="21"/>
          <w:rFonts w:ascii="宋体" w:hAnsi="宋体" w:cs="宋体"/>
          <w:color w:val="auto"/>
          <w:sz w:val="24"/>
          <w:szCs w:val="24"/>
          <w:highlight w:val="none"/>
        </w:rPr>
      </w:pPr>
    </w:p>
    <w:p>
      <w:pPr>
        <w:pStyle w:val="10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附：</w:t>
      </w:r>
    </w:p>
    <w:p>
      <w:pPr>
        <w:pStyle w:val="10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代理人工作单位：</w:t>
      </w:r>
    </w:p>
    <w:p>
      <w:pPr>
        <w:pStyle w:val="10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职务：性别：</w:t>
      </w:r>
    </w:p>
    <w:p>
      <w:pPr>
        <w:pStyle w:val="100"/>
        <w:snapToGrid w:val="0"/>
        <w:spacing w:line="500" w:lineRule="exact"/>
        <w:rPr>
          <w:rStyle w:val="21"/>
          <w:rFonts w:ascii="宋体" w:hAnsi="宋体" w:cs="宋体"/>
          <w:color w:val="auto"/>
          <w:sz w:val="24"/>
          <w:szCs w:val="24"/>
          <w:highlight w:val="none"/>
          <w:u w:val="single"/>
        </w:rPr>
      </w:pPr>
      <w:r>
        <w:rPr>
          <w:rStyle w:val="21"/>
          <w:rFonts w:hint="eastAsia" w:ascii="宋体" w:hAnsi="宋体" w:cs="宋体"/>
          <w:color w:val="auto"/>
          <w:sz w:val="24"/>
          <w:szCs w:val="24"/>
          <w:highlight w:val="none"/>
        </w:rPr>
        <w:t>身份证号码：</w:t>
      </w:r>
    </w:p>
    <w:p>
      <w:pPr>
        <w:pStyle w:val="100"/>
        <w:snapToGrid w:val="0"/>
        <w:spacing w:line="500" w:lineRule="exact"/>
        <w:ind w:left="-88" w:leftChars="-42" w:firstLine="600" w:firstLineChars="250"/>
        <w:rPr>
          <w:rStyle w:val="21"/>
          <w:rFonts w:ascii="宋体" w:hAnsi="宋体" w:cs="宋体"/>
          <w:color w:val="auto"/>
          <w:sz w:val="24"/>
          <w:szCs w:val="24"/>
          <w:highlight w:val="none"/>
          <w:u w:val="single"/>
        </w:rPr>
      </w:pPr>
    </w:p>
    <w:tbl>
      <w:tblPr>
        <w:tblStyle w:val="18"/>
        <w:tblW w:w="7668"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2" w:hRule="atLeast"/>
        </w:trPr>
        <w:tc>
          <w:tcPr>
            <w:tcW w:w="7668" w:type="dxa"/>
            <w:tcBorders>
              <w:top w:val="single" w:color="000000" w:sz="4" w:space="0"/>
              <w:left w:val="single" w:color="000000" w:sz="4" w:space="0"/>
              <w:bottom w:val="single" w:color="000000" w:sz="4" w:space="0"/>
              <w:right w:val="single" w:color="000000" w:sz="4" w:space="0"/>
            </w:tcBorders>
          </w:tcPr>
          <w:p>
            <w:pPr>
              <w:pStyle w:val="10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粘贴被授权人身份证（扫描件）</w:t>
            </w:r>
          </w:p>
        </w:tc>
      </w:tr>
    </w:tbl>
    <w:p>
      <w:pPr>
        <w:pStyle w:val="102"/>
        <w:tabs>
          <w:tab w:val="left" w:pos="8786"/>
        </w:tabs>
        <w:spacing w:after="0" w:line="360" w:lineRule="auto"/>
        <w:rPr>
          <w:rStyle w:val="21"/>
          <w:rFonts w:ascii="宋体" w:hAnsi="宋体" w:cs="宋体"/>
          <w:b/>
          <w:color w:val="auto"/>
          <w:sz w:val="24"/>
          <w:highlight w:val="none"/>
        </w:rPr>
      </w:pPr>
    </w:p>
    <w:p>
      <w:pPr>
        <w:pStyle w:val="102"/>
        <w:tabs>
          <w:tab w:val="left" w:pos="8786"/>
        </w:tabs>
        <w:spacing w:after="0" w:line="360" w:lineRule="auto"/>
        <w:rPr>
          <w:rStyle w:val="21"/>
          <w:rFonts w:ascii="宋体" w:hAnsi="宋体" w:cs="宋体"/>
          <w:b/>
          <w:color w:val="auto"/>
          <w:sz w:val="24"/>
          <w:highlight w:val="none"/>
        </w:rPr>
      </w:pPr>
    </w:p>
    <w:p>
      <w:pPr>
        <w:rPr>
          <w:rStyle w:val="21"/>
          <w:rFonts w:ascii="宋体" w:hAnsi="宋体" w:cs="宋体"/>
          <w:color w:val="auto"/>
          <w:highlight w:val="none"/>
        </w:rPr>
      </w:pPr>
      <w:r>
        <w:rPr>
          <w:rStyle w:val="21"/>
          <w:rFonts w:hint="eastAsia" w:ascii="宋体" w:hAnsi="宋体" w:cs="宋体"/>
          <w:color w:val="auto"/>
          <w:highlight w:val="none"/>
        </w:rPr>
        <w:br w:type="page"/>
      </w:r>
    </w:p>
    <w:p>
      <w:pPr>
        <w:pStyle w:val="106"/>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3.3制造商授权书</w:t>
      </w:r>
    </w:p>
    <w:p>
      <w:pPr>
        <w:pStyle w:val="108"/>
        <w:spacing w:line="500" w:lineRule="exact"/>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（适用于产品不是投标人自己生产的）</w:t>
      </w:r>
    </w:p>
    <w:p>
      <w:pPr>
        <w:pStyle w:val="108"/>
        <w:spacing w:line="500" w:lineRule="exact"/>
        <w:rPr>
          <w:rStyle w:val="21"/>
          <w:rFonts w:ascii="宋体" w:hAnsi="宋体" w:cs="宋体"/>
          <w:color w:val="auto"/>
          <w:sz w:val="24"/>
          <w:szCs w:val="24"/>
          <w:highlight w:val="none"/>
        </w:rPr>
      </w:pPr>
    </w:p>
    <w:p>
      <w:pPr>
        <w:pStyle w:val="108"/>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u w:val="single" w:color="000000"/>
        </w:rPr>
        <w:t>（代理机构名称）</w:t>
      </w:r>
      <w:r>
        <w:rPr>
          <w:rStyle w:val="21"/>
          <w:rFonts w:hint="eastAsia" w:ascii="宋体" w:hAnsi="宋体" w:cs="宋体"/>
          <w:color w:val="auto"/>
          <w:sz w:val="24"/>
          <w:szCs w:val="24"/>
          <w:highlight w:val="none"/>
        </w:rPr>
        <w:t>：</w:t>
      </w:r>
    </w:p>
    <w:p>
      <w:pPr>
        <w:pStyle w:val="108"/>
        <w:spacing w:line="500" w:lineRule="exact"/>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我方</w:t>
      </w:r>
      <w:r>
        <w:rPr>
          <w:rStyle w:val="21"/>
          <w:rFonts w:hint="eastAsia" w:ascii="宋体" w:hAnsi="宋体" w:cs="宋体"/>
          <w:color w:val="auto"/>
          <w:sz w:val="24"/>
          <w:szCs w:val="24"/>
          <w:highlight w:val="none"/>
          <w:u w:val="single" w:color="000000"/>
        </w:rPr>
        <w:t>（制造商名称）</w:t>
      </w:r>
      <w:r>
        <w:rPr>
          <w:rStyle w:val="21"/>
          <w:rFonts w:hint="eastAsia" w:ascii="宋体" w:hAnsi="宋体" w:cs="宋体"/>
          <w:color w:val="auto"/>
          <w:sz w:val="24"/>
          <w:szCs w:val="24"/>
          <w:highlight w:val="none"/>
        </w:rPr>
        <w:t>是按国家法律成立的一家制造厂，主要营业地点设在</w:t>
      </w:r>
      <w:r>
        <w:rPr>
          <w:rStyle w:val="21"/>
          <w:rFonts w:hint="eastAsia" w:ascii="宋体" w:hAnsi="宋体" w:cs="宋体"/>
          <w:color w:val="auto"/>
          <w:sz w:val="24"/>
          <w:szCs w:val="24"/>
          <w:highlight w:val="none"/>
          <w:u w:val="single" w:color="000000"/>
        </w:rPr>
        <w:t>（制造商地址）</w:t>
      </w:r>
      <w:r>
        <w:rPr>
          <w:rStyle w:val="21"/>
          <w:rFonts w:hint="eastAsia" w:ascii="宋体" w:hAnsi="宋体" w:cs="宋体"/>
          <w:color w:val="auto"/>
          <w:sz w:val="24"/>
          <w:szCs w:val="24"/>
          <w:highlight w:val="none"/>
        </w:rPr>
        <w:t>。兹授权</w:t>
      </w:r>
      <w:r>
        <w:rPr>
          <w:rStyle w:val="21"/>
          <w:rFonts w:hint="eastAsia" w:ascii="宋体" w:hAnsi="宋体" w:cs="宋体"/>
          <w:color w:val="auto"/>
          <w:sz w:val="24"/>
          <w:szCs w:val="24"/>
          <w:highlight w:val="none"/>
          <w:u w:val="single" w:color="000000"/>
        </w:rPr>
        <w:t>（投标人名称）</w:t>
      </w:r>
      <w:r>
        <w:rPr>
          <w:rStyle w:val="21"/>
          <w:rFonts w:hint="eastAsia" w:ascii="宋体" w:hAnsi="宋体" w:cs="宋体"/>
          <w:color w:val="auto"/>
          <w:sz w:val="24"/>
          <w:szCs w:val="24"/>
          <w:highlight w:val="none"/>
        </w:rPr>
        <w:t>作为我方真正的合法的代理人进行下列活动：</w:t>
      </w:r>
    </w:p>
    <w:p>
      <w:pPr>
        <w:pStyle w:val="108"/>
        <w:spacing w:line="500" w:lineRule="exact"/>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（1）代表我方办理贵方采购项目编号为的招标文件要求提供的由我方制造的</w:t>
      </w:r>
      <w:r>
        <w:rPr>
          <w:rStyle w:val="21"/>
          <w:rFonts w:hint="eastAsia" w:ascii="宋体" w:hAnsi="宋体" w:cs="宋体"/>
          <w:color w:val="auto"/>
          <w:sz w:val="24"/>
          <w:szCs w:val="24"/>
          <w:highlight w:val="none"/>
          <w:u w:val="single" w:color="000000"/>
        </w:rPr>
        <w:t>（货物名称）</w:t>
      </w:r>
      <w:r>
        <w:rPr>
          <w:rStyle w:val="21"/>
          <w:rFonts w:hint="eastAsia" w:ascii="宋体" w:hAnsi="宋体" w:cs="宋体"/>
          <w:color w:val="auto"/>
          <w:sz w:val="24"/>
          <w:szCs w:val="24"/>
          <w:highlight w:val="none"/>
        </w:rPr>
        <w:t>的有关事宜，并对我方具有约束力。</w:t>
      </w:r>
    </w:p>
    <w:p>
      <w:pPr>
        <w:pStyle w:val="108"/>
        <w:spacing w:line="500" w:lineRule="exact"/>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（2）作为制造商，我方保证以投标人合作者身份来约束自己，并对该投标共同和分别负责。</w:t>
      </w:r>
    </w:p>
    <w:p>
      <w:pPr>
        <w:pStyle w:val="108"/>
        <w:spacing w:line="500" w:lineRule="exact"/>
        <w:ind w:firstLine="480" w:firstLineChars="2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（3）我方兹授权</w:t>
      </w:r>
      <w:r>
        <w:rPr>
          <w:rStyle w:val="21"/>
          <w:rFonts w:hint="eastAsia" w:ascii="宋体" w:hAnsi="宋体" w:cs="宋体"/>
          <w:color w:val="auto"/>
          <w:sz w:val="24"/>
          <w:szCs w:val="24"/>
          <w:highlight w:val="none"/>
          <w:u w:val="single" w:color="000000"/>
        </w:rPr>
        <w:t>（投标人名称）</w:t>
      </w:r>
      <w:r>
        <w:rPr>
          <w:rStyle w:val="21"/>
          <w:rFonts w:hint="eastAsia" w:ascii="宋体" w:hAnsi="宋体" w:cs="宋体"/>
          <w:color w:val="auto"/>
          <w:sz w:val="24"/>
          <w:szCs w:val="24"/>
          <w:highlight w:val="none"/>
        </w:rPr>
        <w:t>全权办理和履行此项目招标文件中约定的一切事宜。兹确认</w:t>
      </w:r>
      <w:r>
        <w:rPr>
          <w:rStyle w:val="21"/>
          <w:rFonts w:hint="eastAsia" w:ascii="宋体" w:hAnsi="宋体" w:cs="宋体"/>
          <w:color w:val="auto"/>
          <w:sz w:val="24"/>
          <w:szCs w:val="24"/>
          <w:highlight w:val="none"/>
          <w:u w:val="single" w:color="000000"/>
        </w:rPr>
        <w:t>（投标人名称）</w:t>
      </w:r>
      <w:r>
        <w:rPr>
          <w:rStyle w:val="21"/>
          <w:rFonts w:hint="eastAsia" w:ascii="宋体" w:hAnsi="宋体" w:cs="宋体"/>
          <w:color w:val="auto"/>
          <w:sz w:val="24"/>
          <w:szCs w:val="24"/>
          <w:highlight w:val="none"/>
        </w:rPr>
        <w:t>及其正式授权代表依此办理一切合法事宜。</w:t>
      </w:r>
    </w:p>
    <w:p>
      <w:pPr>
        <w:pStyle w:val="108"/>
        <w:spacing w:line="500" w:lineRule="exact"/>
        <w:ind w:firstLine="480" w:firstLineChars="200"/>
        <w:rPr>
          <w:rStyle w:val="21"/>
          <w:rFonts w:ascii="宋体" w:hAnsi="宋体" w:cs="宋体"/>
          <w:color w:val="auto"/>
          <w:sz w:val="24"/>
          <w:szCs w:val="24"/>
          <w:highlight w:val="none"/>
          <w:u w:val="single"/>
        </w:rPr>
      </w:pPr>
      <w:r>
        <w:rPr>
          <w:rStyle w:val="21"/>
          <w:rFonts w:hint="eastAsia" w:ascii="宋体" w:hAnsi="宋体" w:cs="宋体"/>
          <w:color w:val="auto"/>
          <w:sz w:val="24"/>
          <w:szCs w:val="24"/>
          <w:highlight w:val="none"/>
        </w:rPr>
        <w:t>我方于年月日签署本文件</w:t>
      </w:r>
      <w:r>
        <w:rPr>
          <w:rStyle w:val="21"/>
          <w:rFonts w:hint="eastAsia" w:ascii="宋体" w:hAnsi="宋体" w:cs="宋体"/>
          <w:color w:val="auto"/>
          <w:sz w:val="24"/>
          <w:szCs w:val="24"/>
          <w:highlight w:val="none"/>
          <w:u w:val="single" w:color="000000"/>
        </w:rPr>
        <w:t>（投标人名称）</w:t>
      </w:r>
      <w:r>
        <w:rPr>
          <w:rStyle w:val="21"/>
          <w:rFonts w:hint="eastAsia" w:ascii="宋体" w:hAnsi="宋体" w:cs="宋体"/>
          <w:color w:val="auto"/>
          <w:sz w:val="24"/>
          <w:szCs w:val="24"/>
          <w:highlight w:val="none"/>
        </w:rPr>
        <w:t>于年月日接受此文件,以此为证。</w:t>
      </w:r>
    </w:p>
    <w:p>
      <w:pPr>
        <w:pStyle w:val="108"/>
        <w:spacing w:line="500" w:lineRule="exact"/>
        <w:rPr>
          <w:rStyle w:val="21"/>
          <w:rFonts w:ascii="宋体" w:hAnsi="宋体" w:cs="宋体"/>
          <w:color w:val="auto"/>
          <w:sz w:val="24"/>
          <w:szCs w:val="24"/>
          <w:highlight w:val="none"/>
        </w:rPr>
      </w:pPr>
    </w:p>
    <w:p>
      <w:pPr>
        <w:pStyle w:val="108"/>
        <w:spacing w:line="500" w:lineRule="exact"/>
        <w:rPr>
          <w:rStyle w:val="21"/>
          <w:rFonts w:ascii="宋体" w:hAnsi="宋体" w:cs="宋体"/>
          <w:color w:val="auto"/>
          <w:sz w:val="24"/>
          <w:szCs w:val="24"/>
          <w:highlight w:val="none"/>
        </w:rPr>
      </w:pPr>
    </w:p>
    <w:p>
      <w:pPr>
        <w:pStyle w:val="108"/>
        <w:spacing w:line="500" w:lineRule="exact"/>
        <w:rPr>
          <w:rStyle w:val="21"/>
          <w:rFonts w:ascii="宋体" w:hAnsi="宋体" w:cs="宋体"/>
          <w:color w:val="auto"/>
          <w:sz w:val="24"/>
          <w:szCs w:val="24"/>
          <w:highlight w:val="none"/>
        </w:rPr>
      </w:pPr>
    </w:p>
    <w:p>
      <w:pPr>
        <w:pStyle w:val="108"/>
        <w:spacing w:line="500" w:lineRule="exact"/>
        <w:rPr>
          <w:rStyle w:val="21"/>
          <w:rFonts w:ascii="宋体" w:hAnsi="宋体" w:cs="宋体"/>
          <w:color w:val="auto"/>
          <w:sz w:val="24"/>
          <w:szCs w:val="24"/>
          <w:highlight w:val="none"/>
          <w:u w:val="single"/>
        </w:rPr>
      </w:pPr>
      <w:r>
        <w:rPr>
          <w:rStyle w:val="21"/>
          <w:rFonts w:hint="eastAsia" w:ascii="宋体" w:hAnsi="宋体" w:cs="宋体"/>
          <w:color w:val="auto"/>
          <w:sz w:val="24"/>
          <w:szCs w:val="24"/>
          <w:highlight w:val="none"/>
        </w:rPr>
        <w:t>投标人名称(签章)：出具授权书的制造厂名称(签章):</w:t>
      </w:r>
    </w:p>
    <w:p>
      <w:pPr>
        <w:pStyle w:val="108"/>
        <w:spacing w:line="500" w:lineRule="exact"/>
        <w:rPr>
          <w:rStyle w:val="21"/>
          <w:rFonts w:ascii="宋体" w:hAnsi="宋体" w:cs="宋体"/>
          <w:color w:val="auto"/>
          <w:sz w:val="24"/>
          <w:szCs w:val="24"/>
          <w:highlight w:val="none"/>
        </w:rPr>
      </w:pPr>
    </w:p>
    <w:p>
      <w:pPr>
        <w:pStyle w:val="108"/>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法定代表人（签章）：正式授权代表（签章）：</w:t>
      </w:r>
    </w:p>
    <w:p>
      <w:pPr>
        <w:pStyle w:val="108"/>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职务：职务：</w:t>
      </w:r>
    </w:p>
    <w:p>
      <w:pPr>
        <w:pStyle w:val="108"/>
        <w:spacing w:line="500" w:lineRule="exact"/>
        <w:rPr>
          <w:rStyle w:val="21"/>
          <w:rFonts w:ascii="宋体" w:hAnsi="宋体" w:cs="宋体"/>
          <w:color w:val="auto"/>
          <w:szCs w:val="28"/>
          <w:highlight w:val="none"/>
        </w:rPr>
      </w:pPr>
      <w:r>
        <w:rPr>
          <w:rStyle w:val="21"/>
          <w:rFonts w:hint="eastAsia" w:ascii="宋体" w:hAnsi="宋体" w:cs="宋体"/>
          <w:color w:val="auto"/>
          <w:sz w:val="24"/>
          <w:szCs w:val="24"/>
          <w:highlight w:val="none"/>
        </w:rPr>
        <w:t>部门：部门：</w:t>
      </w:r>
    </w:p>
    <w:p>
      <w:pPr>
        <w:pStyle w:val="109"/>
        <w:jc w:val="both"/>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3.4中、小微企业声明函（中、小、微型企业产品价格需扣除的须提供）</w:t>
      </w:r>
    </w:p>
    <w:p>
      <w:pPr>
        <w:spacing w:before="116" w:line="225" w:lineRule="auto"/>
        <w:ind w:left="1686"/>
        <w:rPr>
          <w:rStyle w:val="21"/>
          <w:rFonts w:ascii="宋体" w:hAnsi="宋体" w:cs="宋体"/>
          <w:b/>
          <w:bCs/>
          <w:color w:val="auto"/>
          <w:kern w:val="0"/>
          <w:sz w:val="24"/>
          <w:szCs w:val="24"/>
          <w:highlight w:val="none"/>
        </w:rPr>
      </w:pPr>
      <w:r>
        <w:rPr>
          <w:rStyle w:val="21"/>
          <w:rFonts w:hint="eastAsia" w:ascii="宋体" w:hAnsi="宋体" w:cs="宋体"/>
          <w:b/>
          <w:bCs/>
          <w:color w:val="auto"/>
          <w:kern w:val="0"/>
          <w:sz w:val="24"/>
          <w:szCs w:val="24"/>
          <w:highlight w:val="none"/>
        </w:rPr>
        <w:t>中小企业声明函 (工程、服务)</w:t>
      </w:r>
    </w:p>
    <w:p>
      <w:pPr>
        <w:spacing w:line="271" w:lineRule="auto"/>
        <w:rPr>
          <w:rStyle w:val="21"/>
          <w:rFonts w:ascii="宋体" w:hAnsi="宋体" w:cs="宋体"/>
          <w:color w:val="auto"/>
          <w:kern w:val="0"/>
          <w:sz w:val="24"/>
          <w:szCs w:val="24"/>
          <w:highlight w:val="none"/>
        </w:rPr>
      </w:pPr>
    </w:p>
    <w:p>
      <w:pPr>
        <w:tabs>
          <w:tab w:val="left" w:pos="193"/>
        </w:tabs>
        <w:snapToGrid w:val="0"/>
        <w:spacing w:line="360" w:lineRule="auto"/>
        <w:ind w:left="36" w:right="84" w:firstLine="640"/>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本公司 (联合体) 郑重声明，根据《政府采购促进中小 企业发展管理办法》(财库 ﹝2020﹞46号) 的规定，本公司</w:t>
      </w:r>
      <w:r>
        <w:rPr>
          <w:rStyle w:val="21"/>
          <w:rFonts w:hint="eastAsia" w:ascii="宋体" w:hAnsi="宋体" w:cs="宋体"/>
          <w:color w:val="auto"/>
          <w:kern w:val="0"/>
          <w:sz w:val="24"/>
          <w:szCs w:val="24"/>
          <w:highlight w:val="none"/>
        </w:rPr>
        <w:tab/>
      </w:r>
      <w:r>
        <w:rPr>
          <w:rStyle w:val="21"/>
          <w:rFonts w:hint="eastAsia" w:ascii="宋体" w:hAnsi="宋体" w:cs="宋体"/>
          <w:color w:val="auto"/>
          <w:kern w:val="0"/>
          <w:sz w:val="24"/>
          <w:szCs w:val="24"/>
          <w:highlight w:val="none"/>
        </w:rPr>
        <w:t>(联合体)参加 (单位名称)  的 (项目名称) 采购活动，</w:t>
      </w:r>
      <w:r>
        <w:rPr>
          <w:rStyle w:val="21"/>
          <w:rFonts w:hint="eastAsia" w:ascii="宋体" w:hAnsi="宋体" w:cs="宋体"/>
          <w:color w:val="auto"/>
          <w:kern w:val="0"/>
          <w:sz w:val="24"/>
          <w:szCs w:val="24"/>
          <w:highlight w:val="none"/>
          <w:u w:val="single"/>
        </w:rPr>
        <w:t xml:space="preserve">        </w:t>
      </w:r>
      <w:r>
        <w:rPr>
          <w:rStyle w:val="21"/>
          <w:rFonts w:hint="eastAsia" w:ascii="宋体" w:hAnsi="宋体" w:cs="宋体"/>
          <w:color w:val="auto"/>
          <w:kern w:val="0"/>
          <w:sz w:val="24"/>
          <w:szCs w:val="24"/>
          <w:highlight w:val="none"/>
        </w:rPr>
        <w:t>（工程的施工单位全部为符合政策要求的中小企业，或者：服务全部由符合政策要求的中小企业承接) 。相关企业 (含联合体中的中小企业、签订分包意向协议的中小企业) 的具体情况如下：</w:t>
      </w:r>
    </w:p>
    <w:p>
      <w:pPr>
        <w:snapToGrid w:val="0"/>
        <w:spacing w:line="360" w:lineRule="auto"/>
        <w:ind w:left="9" w:firstLine="679" w:firstLineChars="283"/>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1. (标的名称) ，属于(采购文件中明确的所属行业)；承建 (承接) 企业为 (企业名称)，从业人员</w:t>
      </w:r>
      <w:r>
        <w:rPr>
          <w:rStyle w:val="21"/>
          <w:rFonts w:hint="eastAsia" w:ascii="宋体" w:hAnsi="宋体" w:cs="宋体"/>
          <w:color w:val="auto"/>
          <w:kern w:val="0"/>
          <w:sz w:val="24"/>
          <w:szCs w:val="24"/>
          <w:highlight w:val="none"/>
          <w:u w:val="single"/>
        </w:rPr>
        <w:t xml:space="preserve">    </w:t>
      </w:r>
      <w:r>
        <w:rPr>
          <w:rStyle w:val="21"/>
          <w:rFonts w:hint="eastAsia" w:ascii="宋体" w:hAnsi="宋体" w:cs="宋体"/>
          <w:color w:val="auto"/>
          <w:kern w:val="0"/>
          <w:sz w:val="24"/>
          <w:szCs w:val="24"/>
          <w:highlight w:val="none"/>
        </w:rPr>
        <w:t>人，营业收入为</w:t>
      </w:r>
      <w:r>
        <w:rPr>
          <w:rStyle w:val="21"/>
          <w:rFonts w:hint="eastAsia" w:ascii="宋体" w:hAnsi="宋体" w:cs="宋体"/>
          <w:color w:val="auto"/>
          <w:kern w:val="0"/>
          <w:sz w:val="24"/>
          <w:szCs w:val="24"/>
          <w:highlight w:val="none"/>
          <w:u w:val="single"/>
        </w:rPr>
        <w:t xml:space="preserve">    </w:t>
      </w:r>
      <w:r>
        <w:rPr>
          <w:rStyle w:val="21"/>
          <w:rFonts w:hint="eastAsia" w:ascii="宋体" w:hAnsi="宋体" w:cs="宋体"/>
          <w:color w:val="auto"/>
          <w:kern w:val="0"/>
          <w:sz w:val="24"/>
          <w:szCs w:val="24"/>
          <w:highlight w:val="none"/>
        </w:rPr>
        <w:t>万元，资产总额为</w:t>
      </w:r>
      <w:r>
        <w:rPr>
          <w:rStyle w:val="21"/>
          <w:rFonts w:hint="eastAsia" w:ascii="宋体" w:hAnsi="宋体" w:cs="宋体"/>
          <w:color w:val="auto"/>
          <w:kern w:val="0"/>
          <w:sz w:val="24"/>
          <w:szCs w:val="24"/>
          <w:highlight w:val="none"/>
          <w:u w:val="single"/>
        </w:rPr>
        <w:t xml:space="preserve">    </w:t>
      </w:r>
      <w:r>
        <w:rPr>
          <w:rStyle w:val="21"/>
          <w:rFonts w:hint="eastAsia" w:ascii="宋体" w:hAnsi="宋体" w:cs="宋体"/>
          <w:color w:val="auto"/>
          <w:kern w:val="0"/>
          <w:sz w:val="24"/>
          <w:szCs w:val="24"/>
          <w:highlight w:val="none"/>
        </w:rPr>
        <w:t>万元，属于 (中型企业、小型企业、微型企业)；</w:t>
      </w:r>
    </w:p>
    <w:p>
      <w:pPr>
        <w:snapToGrid w:val="0"/>
        <w:spacing w:line="360" w:lineRule="auto"/>
        <w:ind w:left="35" w:right="86" w:firstLine="678"/>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pPr>
        <w:snapToGrid w:val="0"/>
        <w:spacing w:line="360" w:lineRule="auto"/>
        <w:ind w:left="45" w:right="88" w:firstLine="631"/>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本企业对上述声明内容的真实性负责。如有虚假，将依法承担相应责任。</w:t>
      </w:r>
    </w:p>
    <w:p>
      <w:pPr>
        <w:pStyle w:val="4"/>
        <w:rPr>
          <w:color w:val="auto"/>
          <w:highlight w:val="none"/>
        </w:rPr>
      </w:pPr>
    </w:p>
    <w:p>
      <w:pPr>
        <w:spacing w:before="1" w:line="226" w:lineRule="auto"/>
        <w:ind w:left="3876"/>
        <w:rPr>
          <w:rStyle w:val="21"/>
          <w:rFonts w:ascii="宋体" w:hAnsi="宋体" w:cs="宋体"/>
          <w:color w:val="auto"/>
          <w:kern w:val="0"/>
          <w:sz w:val="24"/>
          <w:szCs w:val="24"/>
          <w:highlight w:val="none"/>
        </w:rPr>
      </w:pPr>
      <w:r>
        <w:rPr>
          <w:rStyle w:val="21"/>
          <w:rFonts w:hint="eastAsia" w:ascii="宋体" w:hAnsi="宋体" w:cs="宋体"/>
          <w:color w:val="auto"/>
          <w:kern w:val="0"/>
          <w:sz w:val="24"/>
          <w:szCs w:val="24"/>
          <w:highlight w:val="none"/>
        </w:rPr>
        <w:t>企业名称 (盖章)：</w:t>
      </w:r>
    </w:p>
    <w:p>
      <w:pPr>
        <w:pStyle w:val="110"/>
        <w:spacing w:line="360" w:lineRule="auto"/>
        <w:ind w:firstLine="4560" w:firstLineChars="1900"/>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日 期：</w:t>
      </w:r>
      <w:r>
        <w:rPr>
          <w:rStyle w:val="21"/>
          <w:rFonts w:hint="eastAsia" w:ascii="宋体" w:hAnsi="宋体" w:cs="宋体"/>
          <w:color w:val="auto"/>
          <w:sz w:val="24"/>
          <w:highlight w:val="none"/>
        </w:rPr>
        <w:t>年月日</w:t>
      </w:r>
    </w:p>
    <w:p>
      <w:pPr>
        <w:pStyle w:val="113"/>
        <w:tabs>
          <w:tab w:val="left" w:pos="8786"/>
        </w:tabs>
        <w:spacing w:after="0" w:line="360" w:lineRule="auto"/>
        <w:rPr>
          <w:rStyle w:val="21"/>
          <w:rFonts w:ascii="宋体" w:hAnsi="宋体" w:cs="宋体"/>
          <w:b/>
          <w:color w:val="auto"/>
          <w:sz w:val="24"/>
          <w:highlight w:val="none"/>
        </w:rPr>
      </w:pPr>
    </w:p>
    <w:p>
      <w:pPr>
        <w:pStyle w:val="113"/>
        <w:tabs>
          <w:tab w:val="left" w:pos="8786"/>
        </w:tabs>
        <w:spacing w:after="0" w:line="360" w:lineRule="auto"/>
        <w:rPr>
          <w:rStyle w:val="21"/>
          <w:rFonts w:ascii="宋体" w:hAnsi="宋体" w:cs="宋体"/>
          <w:b/>
          <w:color w:val="auto"/>
          <w:sz w:val="24"/>
          <w:highlight w:val="none"/>
        </w:rPr>
      </w:pPr>
    </w:p>
    <w:p>
      <w:pPr>
        <w:pStyle w:val="113"/>
        <w:tabs>
          <w:tab w:val="left" w:pos="8786"/>
        </w:tabs>
        <w:spacing w:after="0" w:line="360" w:lineRule="auto"/>
        <w:rPr>
          <w:rStyle w:val="21"/>
          <w:rFonts w:ascii="宋体" w:hAnsi="宋体" w:cs="宋体"/>
          <w:b/>
          <w:color w:val="auto"/>
          <w:sz w:val="24"/>
          <w:highlight w:val="none"/>
        </w:rPr>
      </w:pPr>
    </w:p>
    <w:p>
      <w:pPr>
        <w:pStyle w:val="113"/>
        <w:tabs>
          <w:tab w:val="left" w:pos="8786"/>
        </w:tabs>
        <w:spacing w:after="0" w:line="360" w:lineRule="auto"/>
        <w:rPr>
          <w:rStyle w:val="21"/>
          <w:rFonts w:ascii="宋体" w:hAnsi="宋体" w:cs="宋体"/>
          <w:b/>
          <w:color w:val="auto"/>
          <w:sz w:val="24"/>
          <w:highlight w:val="none"/>
        </w:rPr>
      </w:pPr>
    </w:p>
    <w:p>
      <w:pPr>
        <w:pStyle w:val="113"/>
        <w:tabs>
          <w:tab w:val="left" w:pos="8786"/>
        </w:tabs>
        <w:spacing w:after="0" w:line="360" w:lineRule="auto"/>
        <w:rPr>
          <w:rStyle w:val="21"/>
          <w:rFonts w:ascii="宋体" w:hAnsi="宋体" w:cs="宋体"/>
          <w:b/>
          <w:color w:val="auto"/>
          <w:sz w:val="24"/>
          <w:highlight w:val="none"/>
        </w:rPr>
      </w:pPr>
    </w:p>
    <w:p>
      <w:pPr>
        <w:pStyle w:val="113"/>
        <w:tabs>
          <w:tab w:val="left" w:pos="8786"/>
        </w:tabs>
        <w:spacing w:after="0" w:line="360" w:lineRule="auto"/>
        <w:rPr>
          <w:rStyle w:val="21"/>
          <w:rFonts w:ascii="宋体" w:hAnsi="宋体" w:cs="宋体"/>
          <w:b/>
          <w:color w:val="auto"/>
          <w:sz w:val="24"/>
          <w:highlight w:val="none"/>
        </w:rPr>
      </w:pPr>
    </w:p>
    <w:p>
      <w:pPr>
        <w:pStyle w:val="113"/>
        <w:tabs>
          <w:tab w:val="left" w:pos="8786"/>
        </w:tabs>
        <w:spacing w:after="0" w:line="360" w:lineRule="auto"/>
        <w:rPr>
          <w:rStyle w:val="21"/>
          <w:rFonts w:ascii="宋体" w:hAnsi="宋体" w:cs="宋体"/>
          <w:b/>
          <w:color w:val="auto"/>
          <w:sz w:val="24"/>
          <w:highlight w:val="none"/>
        </w:rPr>
      </w:pPr>
    </w:p>
    <w:p>
      <w:pPr>
        <w:pStyle w:val="113"/>
        <w:tabs>
          <w:tab w:val="left" w:pos="8786"/>
        </w:tabs>
        <w:spacing w:after="0" w:line="360" w:lineRule="auto"/>
        <w:rPr>
          <w:rStyle w:val="21"/>
          <w:rFonts w:ascii="宋体" w:hAnsi="宋体" w:cs="宋体"/>
          <w:b/>
          <w:color w:val="auto"/>
          <w:sz w:val="24"/>
          <w:highlight w:val="none"/>
        </w:rPr>
      </w:pPr>
    </w:p>
    <w:p>
      <w:pPr>
        <w:pStyle w:val="113"/>
        <w:tabs>
          <w:tab w:val="left" w:pos="8786"/>
        </w:tabs>
        <w:spacing w:after="0" w:line="360" w:lineRule="auto"/>
        <w:rPr>
          <w:rStyle w:val="21"/>
          <w:rFonts w:ascii="宋体" w:hAnsi="宋体" w:cs="宋体"/>
          <w:b/>
          <w:color w:val="auto"/>
          <w:sz w:val="24"/>
          <w:highlight w:val="none"/>
        </w:rPr>
      </w:pPr>
    </w:p>
    <w:p>
      <w:pPr>
        <w:rPr>
          <w:rStyle w:val="21"/>
          <w:rFonts w:ascii="宋体" w:hAnsi="宋体" w:cs="宋体"/>
          <w:color w:val="auto"/>
          <w:highlight w:val="none"/>
        </w:rPr>
      </w:pPr>
      <w:r>
        <w:rPr>
          <w:rStyle w:val="21"/>
          <w:rFonts w:hint="eastAsia" w:ascii="宋体" w:hAnsi="宋体" w:cs="宋体"/>
          <w:color w:val="auto"/>
          <w:highlight w:val="none"/>
        </w:rPr>
        <w:br w:type="page"/>
      </w:r>
    </w:p>
    <w:p>
      <w:pPr>
        <w:pStyle w:val="115"/>
        <w:jc w:val="both"/>
        <w:rPr>
          <w:rStyle w:val="21"/>
          <w:rFonts w:ascii="宋体" w:hAnsi="宋体" w:eastAsia="宋体" w:cs="宋体"/>
          <w:color w:val="auto"/>
          <w:highlight w:val="none"/>
        </w:rPr>
      </w:pPr>
      <w:r>
        <w:rPr>
          <w:rStyle w:val="21"/>
          <w:rFonts w:hint="eastAsia" w:ascii="宋体" w:hAnsi="宋体" w:eastAsia="宋体" w:cs="宋体"/>
          <w:color w:val="auto"/>
          <w:highlight w:val="none"/>
        </w:rPr>
        <w:t>3.5供应商认为有必要提供的声明及文件资料</w:t>
      </w:r>
    </w:p>
    <w:p>
      <w:pPr>
        <w:pStyle w:val="116"/>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①供应商在疆设有分公司或售后服务机构证明文件；</w:t>
      </w:r>
    </w:p>
    <w:p>
      <w:pPr>
        <w:pStyle w:val="116"/>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②供应商自觉抵制政府采购领域商业贿赂行为承诺书；</w:t>
      </w:r>
    </w:p>
    <w:p>
      <w:pPr>
        <w:pStyle w:val="116"/>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③节能产品、环境标志产品证明文件；</w:t>
      </w:r>
    </w:p>
    <w:p>
      <w:pPr>
        <w:pStyle w:val="116"/>
        <w:rPr>
          <w:rStyle w:val="21"/>
          <w:rFonts w:ascii="宋体" w:hAnsi="宋体" w:cs="宋体"/>
          <w:color w:val="auto"/>
          <w:kern w:val="0"/>
          <w:sz w:val="24"/>
          <w:highlight w:val="none"/>
        </w:rPr>
      </w:pPr>
      <w:r>
        <w:rPr>
          <w:rStyle w:val="21"/>
          <w:rFonts w:hint="eastAsia" w:ascii="宋体" w:hAnsi="宋体" w:cs="宋体"/>
          <w:color w:val="auto"/>
          <w:kern w:val="0"/>
          <w:sz w:val="24"/>
          <w:highlight w:val="none"/>
        </w:rPr>
        <w:t>④类似项目业绩表；</w:t>
      </w:r>
    </w:p>
    <w:p>
      <w:pPr>
        <w:pStyle w:val="117"/>
        <w:jc w:val="both"/>
        <w:rPr>
          <w:rStyle w:val="21"/>
          <w:rFonts w:cs="宋体"/>
          <w:b w:val="0"/>
          <w:color w:val="auto"/>
          <w:sz w:val="24"/>
          <w:szCs w:val="24"/>
          <w:highlight w:val="none"/>
        </w:rPr>
      </w:pPr>
      <w:r>
        <w:rPr>
          <w:rStyle w:val="21"/>
          <w:rFonts w:hint="eastAsia" w:cs="宋体"/>
          <w:b w:val="0"/>
          <w:color w:val="auto"/>
          <w:sz w:val="24"/>
          <w:szCs w:val="24"/>
          <w:highlight w:val="none"/>
        </w:rPr>
        <w:t>附：类似项目业绩表</w:t>
      </w:r>
    </w:p>
    <w:p>
      <w:pPr>
        <w:pStyle w:val="118"/>
        <w:snapToGrid w:val="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采购项目编号：</w:t>
      </w:r>
    </w:p>
    <w:p>
      <w:pPr>
        <w:pStyle w:val="118"/>
        <w:snapToGrid w:val="0"/>
        <w:spacing w:line="500" w:lineRule="exact"/>
        <w:rPr>
          <w:rStyle w:val="21"/>
          <w:rFonts w:ascii="宋体" w:hAnsi="宋体" w:cs="宋体"/>
          <w:color w:val="auto"/>
          <w:sz w:val="24"/>
          <w:szCs w:val="24"/>
          <w:highlight w:val="none"/>
          <w:u w:val="single"/>
        </w:rPr>
      </w:pPr>
      <w:r>
        <w:rPr>
          <w:rStyle w:val="21"/>
          <w:rFonts w:hint="eastAsia" w:ascii="宋体" w:hAnsi="宋体" w:cs="宋体"/>
          <w:color w:val="auto"/>
          <w:sz w:val="24"/>
          <w:szCs w:val="24"/>
          <w:highlight w:val="none"/>
        </w:rPr>
        <w:t>采购项目名称：</w:t>
      </w:r>
    </w:p>
    <w:tbl>
      <w:tblPr>
        <w:tblStyle w:val="18"/>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8"/>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8"/>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项目名称</w:t>
            </w:r>
          </w:p>
        </w:tc>
        <w:tc>
          <w:tcPr>
            <w:tcW w:w="7200" w:type="dxa"/>
            <w:tcBorders>
              <w:top w:val="single" w:color="000000" w:sz="4" w:space="0"/>
              <w:left w:val="single" w:color="000000" w:sz="4" w:space="0"/>
              <w:bottom w:val="single" w:color="000000" w:sz="4" w:space="0"/>
              <w:right w:val="single" w:color="000000" w:sz="4" w:space="0"/>
            </w:tcBorders>
          </w:tcPr>
          <w:p>
            <w:pPr>
              <w:pStyle w:val="118"/>
              <w:tabs>
                <w:tab w:val="left" w:pos="2265"/>
              </w:tabs>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8"/>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项目单位名称</w:t>
            </w:r>
          </w:p>
        </w:tc>
        <w:tc>
          <w:tcPr>
            <w:tcW w:w="7200" w:type="dxa"/>
            <w:tcBorders>
              <w:top w:val="single" w:color="000000" w:sz="4" w:space="0"/>
              <w:left w:val="single" w:color="000000" w:sz="4" w:space="0"/>
              <w:bottom w:val="single" w:color="000000" w:sz="4" w:space="0"/>
              <w:right w:val="single" w:color="000000" w:sz="4" w:space="0"/>
            </w:tcBorders>
          </w:tcPr>
          <w:p>
            <w:pPr>
              <w:pStyle w:val="118"/>
              <w:jc w:val="center"/>
              <w:rPr>
                <w:rStyle w:val="21"/>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8"/>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项目单位联系人姓名及联系方式</w:t>
            </w:r>
          </w:p>
        </w:tc>
        <w:tc>
          <w:tcPr>
            <w:tcW w:w="7200" w:type="dxa"/>
            <w:tcBorders>
              <w:top w:val="single" w:color="000000" w:sz="4" w:space="0"/>
              <w:left w:val="single" w:color="000000" w:sz="4" w:space="0"/>
              <w:bottom w:val="single" w:color="000000" w:sz="4" w:space="0"/>
              <w:right w:val="single" w:color="000000" w:sz="4" w:space="0"/>
            </w:tcBorders>
          </w:tcPr>
          <w:p>
            <w:pPr>
              <w:pStyle w:val="118"/>
              <w:jc w:val="center"/>
              <w:rPr>
                <w:rStyle w:val="21"/>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8"/>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合同金额</w:t>
            </w:r>
          </w:p>
        </w:tc>
        <w:tc>
          <w:tcPr>
            <w:tcW w:w="7200" w:type="dxa"/>
            <w:tcBorders>
              <w:top w:val="single" w:color="000000" w:sz="4" w:space="0"/>
              <w:left w:val="single" w:color="000000" w:sz="4" w:space="0"/>
              <w:bottom w:val="single" w:color="000000" w:sz="4" w:space="0"/>
              <w:right w:val="single" w:color="000000" w:sz="4" w:space="0"/>
            </w:tcBorders>
          </w:tcPr>
          <w:p>
            <w:pPr>
              <w:pStyle w:val="118"/>
              <w:jc w:val="center"/>
              <w:rPr>
                <w:rStyle w:val="21"/>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8"/>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项目负责人</w:t>
            </w:r>
          </w:p>
          <w:p>
            <w:pPr>
              <w:pStyle w:val="118"/>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姓名</w:t>
            </w:r>
          </w:p>
        </w:tc>
        <w:tc>
          <w:tcPr>
            <w:tcW w:w="7200" w:type="dxa"/>
            <w:tcBorders>
              <w:top w:val="single" w:color="000000" w:sz="4" w:space="0"/>
              <w:left w:val="single" w:color="000000" w:sz="4" w:space="0"/>
              <w:bottom w:val="single" w:color="000000" w:sz="4" w:space="0"/>
              <w:right w:val="single" w:color="000000" w:sz="4" w:space="0"/>
            </w:tcBorders>
          </w:tcPr>
          <w:p>
            <w:pPr>
              <w:pStyle w:val="118"/>
              <w:jc w:val="center"/>
              <w:rPr>
                <w:rStyle w:val="21"/>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8"/>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项目实施时间</w:t>
            </w:r>
          </w:p>
        </w:tc>
        <w:tc>
          <w:tcPr>
            <w:tcW w:w="7200" w:type="dxa"/>
            <w:tcBorders>
              <w:top w:val="single" w:color="000000" w:sz="4" w:space="0"/>
              <w:left w:val="single" w:color="000000" w:sz="4" w:space="0"/>
              <w:bottom w:val="single" w:color="000000" w:sz="4" w:space="0"/>
              <w:right w:val="single" w:color="000000" w:sz="4" w:space="0"/>
            </w:tcBorders>
          </w:tcPr>
          <w:p>
            <w:pPr>
              <w:pStyle w:val="118"/>
              <w:jc w:val="center"/>
              <w:rPr>
                <w:rStyle w:val="21"/>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8"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8"/>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项目内容说明</w:t>
            </w:r>
          </w:p>
        </w:tc>
        <w:tc>
          <w:tcPr>
            <w:tcW w:w="7200" w:type="dxa"/>
            <w:tcBorders>
              <w:top w:val="single" w:color="000000" w:sz="4" w:space="0"/>
              <w:left w:val="single" w:color="000000" w:sz="4" w:space="0"/>
              <w:bottom w:val="single" w:color="000000" w:sz="4" w:space="0"/>
              <w:right w:val="single" w:color="000000" w:sz="4" w:space="0"/>
            </w:tcBorders>
          </w:tcPr>
          <w:p>
            <w:pPr>
              <w:pStyle w:val="118"/>
              <w:jc w:val="center"/>
              <w:rPr>
                <w:rStyle w:val="21"/>
                <w:rFonts w:ascii="宋体" w:hAnsi="宋体" w:cs="宋体"/>
                <w:color w:val="auto"/>
                <w:sz w:val="24"/>
                <w:szCs w:val="24"/>
                <w:highlight w:val="none"/>
              </w:rPr>
            </w:pPr>
          </w:p>
        </w:tc>
      </w:tr>
    </w:tbl>
    <w:p>
      <w:pPr>
        <w:pStyle w:val="118"/>
        <w:spacing w:line="360" w:lineRule="auto"/>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说明：1．每个合同须单独附表，并附上相关证明材料，否则专家在评审时将不予采信；</w:t>
      </w:r>
    </w:p>
    <w:p>
      <w:pPr>
        <w:pStyle w:val="118"/>
        <w:spacing w:line="360" w:lineRule="auto"/>
        <w:ind w:firstLine="720" w:firstLineChars="300"/>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2．项目内容请详细说明所承担的具体工作内容；</w:t>
      </w:r>
    </w:p>
    <w:p>
      <w:pPr>
        <w:pStyle w:val="118"/>
        <w:snapToGrid w:val="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投标人法定代表人（签章）：</w:t>
      </w:r>
    </w:p>
    <w:p>
      <w:pPr>
        <w:pStyle w:val="118"/>
        <w:snapToGrid w:val="0"/>
        <w:spacing w:line="500" w:lineRule="exact"/>
        <w:rPr>
          <w:rStyle w:val="21"/>
          <w:rFonts w:ascii="宋体" w:hAnsi="宋体" w:cs="宋体"/>
          <w:color w:val="auto"/>
          <w:sz w:val="24"/>
          <w:szCs w:val="24"/>
          <w:highlight w:val="none"/>
          <w:u w:val="single"/>
        </w:rPr>
      </w:pPr>
      <w:r>
        <w:rPr>
          <w:rStyle w:val="21"/>
          <w:rFonts w:hint="eastAsia" w:ascii="宋体" w:hAnsi="宋体" w:cs="宋体"/>
          <w:color w:val="auto"/>
          <w:sz w:val="24"/>
          <w:szCs w:val="24"/>
          <w:highlight w:val="none"/>
        </w:rPr>
        <w:t>投标人名称（签章）：</w:t>
      </w:r>
    </w:p>
    <w:p>
      <w:pPr>
        <w:pStyle w:val="118"/>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日期：年月日</w:t>
      </w:r>
    </w:p>
    <w:p>
      <w:pPr>
        <w:pStyle w:val="132"/>
        <w:jc w:val="both"/>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3.6投标函</w:t>
      </w:r>
    </w:p>
    <w:p>
      <w:pPr>
        <w:pStyle w:val="133"/>
        <w:spacing w:line="360" w:lineRule="auto"/>
        <w:ind w:left="0" w:leftChars="0"/>
        <w:rPr>
          <w:rStyle w:val="21"/>
          <w:rFonts w:ascii="宋体" w:hAnsi="宋体" w:cs="宋体"/>
          <w:color w:val="auto"/>
          <w:sz w:val="24"/>
          <w:highlight w:val="none"/>
        </w:rPr>
      </w:pPr>
      <w:r>
        <w:rPr>
          <w:rStyle w:val="21"/>
          <w:rFonts w:hint="eastAsia" w:ascii="宋体" w:hAnsi="宋体" w:cs="宋体"/>
          <w:color w:val="auto"/>
          <w:sz w:val="24"/>
          <w:highlight w:val="none"/>
        </w:rPr>
        <w:t>：</w:t>
      </w:r>
    </w:p>
    <w:p>
      <w:pPr>
        <w:pStyle w:val="133"/>
        <w:spacing w:line="360" w:lineRule="auto"/>
        <w:ind w:left="0" w:leftChars="0"/>
        <w:rPr>
          <w:rStyle w:val="21"/>
          <w:rFonts w:ascii="宋体" w:hAnsi="宋体" w:cs="宋体"/>
          <w:color w:val="auto"/>
          <w:sz w:val="24"/>
          <w:highlight w:val="none"/>
        </w:rPr>
      </w:pPr>
      <w:r>
        <w:rPr>
          <w:rStyle w:val="21"/>
          <w:rFonts w:hint="eastAsia" w:ascii="宋体" w:hAnsi="宋体" w:cs="宋体"/>
          <w:color w:val="auto"/>
          <w:sz w:val="24"/>
          <w:highlight w:val="none"/>
        </w:rPr>
        <w:t>(投标人名称)授权(投标人授权代理人姓名)(职务、职称)为我方代表，参加贵方组织的(项目名称、项目编号、包号)招标的有关活动，并对此项目进行投标。为此：</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1、我方同意在本项目招标文件中规定的投标有效期内遵守本投标文件中的承诺且在此期限期满之前均具有约束力。</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2、我方承诺已经具备《中华人民共和国政府采购法》中规定的参加政府采购活动的供应商应当具备的条件：</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1）具有独立承担民事责任的能力；</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2）具有良好的商业信誉和健全的财务会计制度；</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3）具有履行合同所必需的设备和专业技术能力；</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4）有依法缴纳税收和社会保障资金的良好记录；</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5）参加此项采购活动前三年内，在经营活动中没有重大违法记录；</w:t>
      </w:r>
    </w:p>
    <w:p>
      <w:pPr>
        <w:pStyle w:val="134"/>
        <w:spacing w:line="360" w:lineRule="auto"/>
        <w:ind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6）法律、行政法规规定的其他条件。</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3、提供投标人须知规定的全部投标文件，包括在政采云交易平台上传加密电子投标文件一份，提交未加密电子投标文件有效U盘一份及纸质版投标文件三份。</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4、按招标文件要求提供和交付的货物及相关服务的投标报价详见开标一览表。</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5、保证忠实地执行双方所签订的合同，并承担合同规定的责任和义务。</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6、我方承诺完全满足和响应招标文件中的各项技术和服务要求，若有偏差，已在投标文件偏离表中予以明确特别说明。</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7、我方承诺：完全理解投标报价若超过项目预算时，投标将被拒绝。</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8、我方承诺：与在本项目中设计编制技术规格的机构及其附属机构无任何直接隶属关系和利益关联。</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9、如果在开标后规定的投标有效期内撤回投标，我方的投标保证金可被贵方没收。</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10、我方完全理解贵方不一定接受最低价的投标或收到的任何投标。</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12、我方已详细审核全部投标文件，包括投标文件修改书（如有的话）、参考资料及有关附件，确认无误。</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13、我方承诺：采购人若需追加采购本项目招标文件所列货物及相关服务的，在不改变合同其他实质性条款的前提下，按相同或更优惠的折扣率保证供货。</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14、我方承诺：如所报货物属国家强制认证产品的，均已通过认证且在有效期内，否则，由此产生的一切法律责任由我方承担。</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15、我方承诺：接受招标文件中的全部条款且无任何异议，保证遵守招标文件的规定。</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1）提供虚假材料谋取中标、成交的；</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2）采取不正当手段诋毁、排挤其他供应商的；</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3）与采购人、其他供应商或者采购代理机构工作人员恶意串通的；</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4）向采购人、采购代理机构工作人员行贿或者提供其他不正当利益的；</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5）在采购过程中与采购人进行协商谈判的；</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6）拒绝有关部门监督检查或提供虚假情况的。</w:t>
      </w:r>
    </w:p>
    <w:p>
      <w:pPr>
        <w:pStyle w:val="134"/>
        <w:rPr>
          <w:rStyle w:val="21"/>
          <w:rFonts w:ascii="宋体" w:hAnsi="宋体" w:cs="宋体"/>
          <w:color w:val="auto"/>
          <w:highlight w:val="none"/>
        </w:rPr>
      </w:pPr>
      <w:r>
        <w:rPr>
          <w:rStyle w:val="21"/>
          <w:rFonts w:hint="eastAsia" w:ascii="宋体" w:hAnsi="宋体" w:cs="宋体"/>
          <w:color w:val="auto"/>
          <w:highlight w:val="none"/>
        </w:rPr>
        <w:t>17、</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与本投标有关的一切往来通讯请寄：</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地址：____________________________________________________</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邮编：____________　</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电话：____________　</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传真：____________</w:t>
      </w:r>
    </w:p>
    <w:p>
      <w:pPr>
        <w:pStyle w:val="133"/>
        <w:spacing w:line="360" w:lineRule="auto"/>
        <w:ind w:left="0" w:leftChars="0" w:firstLine="480" w:firstLineChars="200"/>
        <w:rPr>
          <w:rStyle w:val="21"/>
          <w:rFonts w:ascii="宋体" w:hAnsi="宋体" w:cs="宋体"/>
          <w:color w:val="auto"/>
          <w:sz w:val="24"/>
          <w:highlight w:val="none"/>
        </w:rPr>
      </w:pPr>
      <w:r>
        <w:rPr>
          <w:rStyle w:val="21"/>
          <w:rFonts w:hint="eastAsia" w:ascii="宋体" w:hAnsi="宋体" w:cs="宋体"/>
          <w:color w:val="auto"/>
          <w:sz w:val="24"/>
          <w:highlight w:val="none"/>
        </w:rPr>
        <w:t>投标人法定代表人或授权代理人联系电话，e-mail：</w:t>
      </w:r>
    </w:p>
    <w:p>
      <w:pPr>
        <w:pStyle w:val="133"/>
        <w:spacing w:line="360" w:lineRule="auto"/>
        <w:ind w:left="0" w:leftChars="0"/>
        <w:rPr>
          <w:rStyle w:val="21"/>
          <w:rFonts w:ascii="宋体" w:hAnsi="宋体" w:cs="宋体"/>
          <w:color w:val="auto"/>
          <w:sz w:val="24"/>
          <w:highlight w:val="none"/>
        </w:rPr>
      </w:pPr>
    </w:p>
    <w:p>
      <w:pPr>
        <w:pStyle w:val="133"/>
        <w:spacing w:line="360" w:lineRule="auto"/>
        <w:ind w:left="101" w:leftChars="48" w:firstLine="361" w:firstLineChars="150"/>
        <w:rPr>
          <w:rStyle w:val="21"/>
          <w:rFonts w:ascii="宋体" w:hAnsi="宋体" w:cs="宋体"/>
          <w:b/>
          <w:color w:val="auto"/>
          <w:sz w:val="24"/>
          <w:highlight w:val="none"/>
        </w:rPr>
      </w:pPr>
      <w:r>
        <w:rPr>
          <w:rStyle w:val="21"/>
          <w:rFonts w:hint="eastAsia" w:ascii="宋体" w:hAnsi="宋体" w:cs="宋体"/>
          <w:b/>
          <w:color w:val="auto"/>
          <w:sz w:val="24"/>
          <w:highlight w:val="none"/>
        </w:rPr>
        <w:t>投标人法定代表人电子签章：</w:t>
      </w:r>
    </w:p>
    <w:p>
      <w:pPr>
        <w:pStyle w:val="133"/>
        <w:spacing w:line="360" w:lineRule="auto"/>
        <w:ind w:left="0" w:leftChars="0" w:firstLine="482" w:firstLineChars="200"/>
        <w:rPr>
          <w:rStyle w:val="21"/>
          <w:rFonts w:ascii="宋体" w:hAnsi="宋体" w:cs="宋体"/>
          <w:b/>
          <w:color w:val="auto"/>
          <w:sz w:val="24"/>
          <w:highlight w:val="none"/>
        </w:rPr>
      </w:pPr>
      <w:r>
        <w:rPr>
          <w:rStyle w:val="21"/>
          <w:rFonts w:hint="eastAsia" w:ascii="宋体" w:hAnsi="宋体" w:cs="宋体"/>
          <w:b/>
          <w:color w:val="auto"/>
          <w:sz w:val="24"/>
          <w:highlight w:val="none"/>
        </w:rPr>
        <w:t>投标人公章：</w:t>
      </w:r>
    </w:p>
    <w:p>
      <w:pPr>
        <w:pStyle w:val="133"/>
        <w:spacing w:line="360" w:lineRule="auto"/>
        <w:ind w:left="0" w:leftChars="0"/>
        <w:rPr>
          <w:rStyle w:val="21"/>
          <w:rFonts w:ascii="宋体" w:hAnsi="宋体" w:cs="宋体"/>
          <w:color w:val="auto"/>
          <w:sz w:val="24"/>
          <w:highlight w:val="none"/>
        </w:rPr>
      </w:pPr>
      <w:r>
        <w:rPr>
          <w:rStyle w:val="21"/>
          <w:rFonts w:hint="eastAsia" w:ascii="宋体" w:hAnsi="宋体" w:cs="宋体"/>
          <w:color w:val="auto"/>
          <w:sz w:val="24"/>
          <w:highlight w:val="none"/>
        </w:rPr>
        <w:tab/>
      </w:r>
      <w:r>
        <w:rPr>
          <w:rStyle w:val="21"/>
          <w:rFonts w:hint="eastAsia" w:ascii="宋体" w:hAnsi="宋体" w:cs="宋体"/>
          <w:color w:val="auto"/>
          <w:sz w:val="24"/>
          <w:highlight w:val="none"/>
        </w:rPr>
        <w:t>日　期：</w:t>
      </w:r>
    </w:p>
    <w:p>
      <w:pPr>
        <w:pStyle w:val="133"/>
        <w:spacing w:line="360" w:lineRule="auto"/>
        <w:ind w:left="0" w:leftChars="0"/>
        <w:rPr>
          <w:rStyle w:val="21"/>
          <w:rFonts w:ascii="宋体" w:hAnsi="宋体" w:cs="宋体"/>
          <w:color w:val="auto"/>
          <w:sz w:val="24"/>
          <w:highlight w:val="none"/>
        </w:rPr>
      </w:pPr>
    </w:p>
    <w:p>
      <w:pPr>
        <w:pStyle w:val="133"/>
        <w:spacing w:line="360" w:lineRule="auto"/>
        <w:ind w:left="0" w:leftChars="0"/>
        <w:rPr>
          <w:rStyle w:val="21"/>
          <w:rFonts w:ascii="宋体" w:hAnsi="宋体" w:cs="宋体"/>
          <w:b/>
          <w:color w:val="auto"/>
          <w:sz w:val="24"/>
          <w:highlight w:val="none"/>
        </w:rPr>
      </w:pPr>
      <w:r>
        <w:rPr>
          <w:rStyle w:val="21"/>
          <w:rFonts w:hint="eastAsia" w:ascii="宋体" w:hAnsi="宋体" w:cs="宋体"/>
          <w:b/>
          <w:color w:val="auto"/>
          <w:sz w:val="24"/>
          <w:highlight w:val="none"/>
        </w:rPr>
        <w:t>说明：除可填报项目外，对本投标函的任何修改将被视为非实质性响应投标，从而导致该投标被拒绝。</w:t>
      </w:r>
    </w:p>
    <w:p>
      <w:pPr>
        <w:pStyle w:val="136"/>
        <w:spacing w:after="0" w:line="360" w:lineRule="auto"/>
        <w:rPr>
          <w:rStyle w:val="21"/>
          <w:rFonts w:ascii="宋体" w:hAnsi="宋体" w:cs="宋体"/>
          <w:b/>
          <w:color w:val="auto"/>
          <w:szCs w:val="21"/>
          <w:highlight w:val="none"/>
        </w:rPr>
      </w:pPr>
    </w:p>
    <w:p>
      <w:pPr>
        <w:pStyle w:val="138"/>
        <w:jc w:val="both"/>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3.7开标一览表</w:t>
      </w:r>
    </w:p>
    <w:p>
      <w:pPr>
        <w:pStyle w:val="140"/>
        <w:spacing w:after="0" w:line="360" w:lineRule="auto"/>
        <w:ind w:firstLine="482" w:firstLineChars="200"/>
        <w:rPr>
          <w:rStyle w:val="21"/>
          <w:rFonts w:ascii="宋体" w:hAnsi="宋体" w:cs="宋体"/>
          <w:b/>
          <w:color w:val="auto"/>
          <w:sz w:val="24"/>
          <w:highlight w:val="none"/>
        </w:rPr>
      </w:pPr>
    </w:p>
    <w:p>
      <w:pPr>
        <w:pStyle w:val="142"/>
        <w:spacing w:line="360" w:lineRule="auto"/>
        <w:ind w:left="0" w:leftChars="0" w:firstLineChars="0"/>
        <w:rPr>
          <w:rStyle w:val="21"/>
          <w:rFonts w:ascii="宋体" w:hAnsi="宋体" w:cs="宋体"/>
          <w:color w:val="auto"/>
          <w:highlight w:val="none"/>
        </w:rPr>
      </w:pPr>
      <w:r>
        <w:rPr>
          <w:rStyle w:val="21"/>
          <w:rFonts w:hint="eastAsia" w:ascii="宋体" w:hAnsi="宋体" w:cs="宋体"/>
          <w:color w:val="auto"/>
          <w:highlight w:val="none"/>
        </w:rPr>
        <w:t>包号：价格单位：元</w:t>
      </w:r>
    </w:p>
    <w:tbl>
      <w:tblPr>
        <w:tblStyle w:val="18"/>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pStyle w:val="139"/>
              <w:tabs>
                <w:tab w:val="left" w:pos="1337"/>
              </w:tabs>
              <w:spacing w:line="360" w:lineRule="auto"/>
              <w:jc w:val="center"/>
              <w:rPr>
                <w:rStyle w:val="21"/>
                <w:rFonts w:ascii="宋体" w:hAnsi="宋体" w:cs="宋体"/>
                <w:color w:val="auto"/>
                <w:sz w:val="24"/>
                <w:highlight w:val="none"/>
              </w:rPr>
            </w:pPr>
            <w:r>
              <w:rPr>
                <w:rStyle w:val="21"/>
                <w:rFonts w:hint="eastAsia" w:ascii="宋体" w:hAnsi="宋体" w:cs="宋体"/>
                <w:bCs/>
                <w:color w:val="auto"/>
                <w:sz w:val="24"/>
                <w:highlight w:val="none"/>
              </w:rPr>
              <w:t>分包名称</w:t>
            </w:r>
          </w:p>
        </w:tc>
        <w:tc>
          <w:tcPr>
            <w:tcW w:w="6770" w:type="dxa"/>
            <w:tcBorders>
              <w:top w:val="single" w:color="000000" w:sz="4" w:space="0"/>
              <w:left w:val="single" w:color="000000" w:sz="4" w:space="0"/>
              <w:bottom w:val="single" w:color="000000" w:sz="4" w:space="0"/>
              <w:right w:val="single" w:color="000000" w:sz="4" w:space="0"/>
            </w:tcBorders>
            <w:vAlign w:val="center"/>
          </w:tcPr>
          <w:p>
            <w:pPr>
              <w:pStyle w:val="139"/>
              <w:tabs>
                <w:tab w:val="left" w:pos="1337"/>
              </w:tabs>
              <w:spacing w:line="360" w:lineRule="auto"/>
              <w:rPr>
                <w:rStyle w:val="21"/>
                <w:rFonts w:ascii="宋体" w:hAnsi="宋体" w:cs="宋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13"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pStyle w:val="139"/>
              <w:tabs>
                <w:tab w:val="left" w:pos="1337"/>
              </w:tabs>
              <w:spacing w:line="360" w:lineRule="auto"/>
              <w:jc w:val="center"/>
              <w:rPr>
                <w:rStyle w:val="21"/>
                <w:rFonts w:ascii="宋体" w:hAnsi="宋体" w:cs="宋体"/>
                <w:color w:val="auto"/>
                <w:sz w:val="24"/>
                <w:highlight w:val="none"/>
              </w:rPr>
            </w:pPr>
            <w:r>
              <w:rPr>
                <w:rStyle w:val="21"/>
                <w:rFonts w:hint="eastAsia" w:ascii="宋体" w:hAnsi="宋体" w:cs="宋体"/>
                <w:bCs/>
                <w:color w:val="auto"/>
                <w:sz w:val="24"/>
                <w:highlight w:val="none"/>
              </w:rPr>
              <w:t>投标总价</w:t>
            </w:r>
          </w:p>
        </w:tc>
        <w:tc>
          <w:tcPr>
            <w:tcW w:w="6770" w:type="dxa"/>
            <w:tcBorders>
              <w:top w:val="single" w:color="000000" w:sz="4" w:space="0"/>
              <w:left w:val="single" w:color="000000" w:sz="4" w:space="0"/>
              <w:bottom w:val="single" w:color="000000" w:sz="4" w:space="0"/>
              <w:right w:val="single" w:color="000000" w:sz="4" w:space="0"/>
            </w:tcBorders>
          </w:tcPr>
          <w:p>
            <w:pPr>
              <w:pStyle w:val="139"/>
              <w:tabs>
                <w:tab w:val="left" w:pos="1337"/>
              </w:tabs>
              <w:spacing w:line="360" w:lineRule="auto"/>
              <w:rPr>
                <w:rStyle w:val="21"/>
                <w:rFonts w:ascii="宋体" w:hAnsi="宋体" w:cs="宋体"/>
                <w:bCs/>
                <w:color w:val="auto"/>
                <w:sz w:val="24"/>
                <w:highlight w:val="none"/>
              </w:rPr>
            </w:pPr>
          </w:p>
          <w:p>
            <w:pPr>
              <w:pStyle w:val="139"/>
              <w:tabs>
                <w:tab w:val="left" w:pos="1337"/>
              </w:tabs>
              <w:spacing w:line="360" w:lineRule="auto"/>
              <w:rPr>
                <w:rStyle w:val="21"/>
                <w:rFonts w:ascii="宋体" w:hAnsi="宋体" w:cs="宋体"/>
                <w:bCs/>
                <w:color w:val="auto"/>
                <w:sz w:val="24"/>
                <w:highlight w:val="none"/>
              </w:rPr>
            </w:pPr>
            <w:r>
              <w:rPr>
                <w:rStyle w:val="21"/>
                <w:rFonts w:hint="eastAsia" w:ascii="宋体" w:hAnsi="宋体" w:cs="宋体"/>
                <w:bCs/>
                <w:color w:val="auto"/>
                <w:sz w:val="24"/>
                <w:highlight w:val="none"/>
              </w:rPr>
              <w:t>小写：元</w:t>
            </w:r>
          </w:p>
          <w:p>
            <w:pPr>
              <w:pStyle w:val="139"/>
              <w:tabs>
                <w:tab w:val="left" w:pos="1337"/>
              </w:tabs>
              <w:spacing w:line="360" w:lineRule="auto"/>
              <w:rPr>
                <w:rStyle w:val="21"/>
                <w:rFonts w:ascii="宋体" w:hAnsi="宋体" w:cs="宋体"/>
                <w:color w:val="auto"/>
                <w:sz w:val="24"/>
                <w:highlight w:val="none"/>
              </w:rPr>
            </w:pPr>
            <w:r>
              <w:rPr>
                <w:rStyle w:val="21"/>
                <w:rFonts w:hint="eastAsia" w:ascii="宋体" w:hAnsi="宋体" w:cs="宋体"/>
                <w:bCs/>
                <w:color w:val="auto"/>
                <w:sz w:val="24"/>
                <w:highlight w:val="none"/>
              </w:rPr>
              <w:t>大写：元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13"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pStyle w:val="139"/>
              <w:tabs>
                <w:tab w:val="left" w:pos="1337"/>
              </w:tabs>
              <w:spacing w:line="360" w:lineRule="auto"/>
              <w:jc w:val="center"/>
              <w:rPr>
                <w:rStyle w:val="21"/>
                <w:rFonts w:ascii="宋体" w:hAnsi="宋体" w:cs="宋体"/>
                <w:bCs/>
                <w:color w:val="auto"/>
                <w:sz w:val="24"/>
                <w:highlight w:val="none"/>
              </w:rPr>
            </w:pPr>
            <w:r>
              <w:rPr>
                <w:rStyle w:val="21"/>
                <w:rFonts w:hint="eastAsia" w:ascii="宋体" w:hAnsi="宋体" w:cs="宋体"/>
                <w:bCs/>
                <w:color w:val="auto"/>
                <w:sz w:val="24"/>
                <w:highlight w:val="none"/>
              </w:rPr>
              <w:t>投标单价</w:t>
            </w:r>
          </w:p>
        </w:tc>
        <w:tc>
          <w:tcPr>
            <w:tcW w:w="6770" w:type="dxa"/>
            <w:tcBorders>
              <w:top w:val="single" w:color="000000" w:sz="4" w:space="0"/>
              <w:left w:val="single" w:color="000000" w:sz="4" w:space="0"/>
              <w:bottom w:val="single" w:color="000000" w:sz="4" w:space="0"/>
              <w:right w:val="single" w:color="000000" w:sz="4" w:space="0"/>
            </w:tcBorders>
          </w:tcPr>
          <w:p>
            <w:pPr>
              <w:pStyle w:val="139"/>
              <w:tabs>
                <w:tab w:val="left" w:pos="1337"/>
              </w:tabs>
              <w:spacing w:line="360" w:lineRule="auto"/>
              <w:rPr>
                <w:rStyle w:val="21"/>
                <w:rFonts w:ascii="宋体" w:hAnsi="宋体" w:cs="宋体"/>
                <w:bCs/>
                <w:color w:val="auto"/>
                <w:sz w:val="24"/>
                <w:highlight w:val="none"/>
              </w:rPr>
            </w:pPr>
          </w:p>
          <w:p>
            <w:pPr>
              <w:pStyle w:val="139"/>
              <w:tabs>
                <w:tab w:val="left" w:pos="1337"/>
              </w:tabs>
              <w:spacing w:line="360" w:lineRule="auto"/>
              <w:rPr>
                <w:rStyle w:val="21"/>
                <w:rFonts w:ascii="宋体" w:hAnsi="宋体" w:cs="宋体"/>
                <w:bCs/>
                <w:color w:val="auto"/>
                <w:sz w:val="24"/>
                <w:highlight w:val="none"/>
              </w:rPr>
            </w:pPr>
            <w:r>
              <w:rPr>
                <w:rStyle w:val="21"/>
                <w:rFonts w:hint="eastAsia" w:ascii="宋体" w:hAnsi="宋体" w:cs="宋体"/>
                <w:bCs/>
                <w:color w:val="auto"/>
                <w:sz w:val="24"/>
                <w:highlight w:val="none"/>
              </w:rPr>
              <w:t>小写：元/家</w:t>
            </w:r>
          </w:p>
          <w:p>
            <w:pPr>
              <w:pStyle w:val="139"/>
              <w:tabs>
                <w:tab w:val="left" w:pos="1337"/>
              </w:tabs>
              <w:spacing w:line="360" w:lineRule="auto"/>
              <w:rPr>
                <w:rStyle w:val="21"/>
                <w:rFonts w:ascii="宋体" w:hAnsi="宋体" w:cs="宋体"/>
                <w:bCs/>
                <w:color w:val="auto"/>
                <w:sz w:val="24"/>
                <w:highlight w:val="none"/>
              </w:rPr>
            </w:pPr>
            <w:r>
              <w:rPr>
                <w:rStyle w:val="21"/>
                <w:rFonts w:hint="eastAsia" w:ascii="宋体" w:hAnsi="宋体" w:cs="宋体"/>
                <w:bCs/>
                <w:color w:val="auto"/>
                <w:sz w:val="24"/>
                <w:highlight w:val="none"/>
              </w:rPr>
              <w:t>大写：元/家</w:t>
            </w:r>
          </w:p>
          <w:p>
            <w:pPr>
              <w:pStyle w:val="139"/>
              <w:tabs>
                <w:tab w:val="left" w:pos="1337"/>
              </w:tabs>
              <w:spacing w:line="360" w:lineRule="auto"/>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tcPr>
          <w:p>
            <w:pPr>
              <w:pStyle w:val="139"/>
              <w:tabs>
                <w:tab w:val="left" w:pos="1337"/>
              </w:tabs>
              <w:spacing w:line="360" w:lineRule="auto"/>
              <w:jc w:val="center"/>
              <w:rPr>
                <w:rStyle w:val="21"/>
                <w:rFonts w:ascii="宋体" w:hAnsi="宋体" w:cs="宋体"/>
                <w:color w:val="auto"/>
                <w:sz w:val="24"/>
                <w:highlight w:val="none"/>
              </w:rPr>
            </w:pPr>
            <w:r>
              <w:rPr>
                <w:rStyle w:val="21"/>
                <w:rFonts w:hint="eastAsia" w:ascii="宋体" w:hAnsi="宋体" w:cs="宋体"/>
                <w:bCs/>
                <w:color w:val="auto"/>
                <w:sz w:val="24"/>
                <w:highlight w:val="none"/>
              </w:rPr>
              <w:t>交付日期</w:t>
            </w:r>
          </w:p>
        </w:tc>
        <w:tc>
          <w:tcPr>
            <w:tcW w:w="6770" w:type="dxa"/>
            <w:tcBorders>
              <w:top w:val="single" w:color="000000" w:sz="4" w:space="0"/>
              <w:left w:val="single" w:color="000000" w:sz="4" w:space="0"/>
              <w:bottom w:val="single" w:color="000000" w:sz="4" w:space="0"/>
              <w:right w:val="single" w:color="000000" w:sz="4" w:space="0"/>
            </w:tcBorders>
          </w:tcPr>
          <w:p>
            <w:pPr>
              <w:pStyle w:val="139"/>
              <w:tabs>
                <w:tab w:val="left" w:pos="1337"/>
              </w:tabs>
              <w:spacing w:line="360" w:lineRule="auto"/>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tcPr>
          <w:p>
            <w:pPr>
              <w:pStyle w:val="139"/>
              <w:tabs>
                <w:tab w:val="left" w:pos="1337"/>
              </w:tabs>
              <w:spacing w:line="360" w:lineRule="auto"/>
              <w:jc w:val="center"/>
              <w:rPr>
                <w:rStyle w:val="21"/>
                <w:rFonts w:ascii="宋体" w:hAnsi="宋体" w:cs="宋体"/>
                <w:bCs/>
                <w:color w:val="auto"/>
                <w:sz w:val="24"/>
                <w:highlight w:val="none"/>
              </w:rPr>
            </w:pPr>
            <w:r>
              <w:rPr>
                <w:rStyle w:val="21"/>
                <w:rFonts w:hint="eastAsia" w:ascii="宋体" w:hAnsi="宋体" w:cs="宋体"/>
                <w:bCs/>
                <w:color w:val="auto"/>
                <w:sz w:val="24"/>
                <w:highlight w:val="none"/>
              </w:rPr>
              <w:t>质保期</w:t>
            </w:r>
          </w:p>
        </w:tc>
        <w:tc>
          <w:tcPr>
            <w:tcW w:w="6770" w:type="dxa"/>
            <w:tcBorders>
              <w:top w:val="single" w:color="000000" w:sz="4" w:space="0"/>
              <w:left w:val="single" w:color="000000" w:sz="4" w:space="0"/>
              <w:bottom w:val="single" w:color="000000" w:sz="4" w:space="0"/>
              <w:right w:val="single" w:color="000000" w:sz="4" w:space="0"/>
            </w:tcBorders>
          </w:tcPr>
          <w:p>
            <w:pPr>
              <w:pStyle w:val="139"/>
              <w:tabs>
                <w:tab w:val="left" w:pos="1337"/>
              </w:tabs>
              <w:spacing w:line="360" w:lineRule="auto"/>
              <w:rPr>
                <w:rStyle w:val="21"/>
                <w:rFonts w:ascii="宋体" w:hAnsi="宋体" w:cs="宋体"/>
                <w:color w:val="auto"/>
                <w:highlight w:val="none"/>
                <w:u w:val="single" w:color="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tcPr>
          <w:p>
            <w:pPr>
              <w:pStyle w:val="139"/>
              <w:tabs>
                <w:tab w:val="left" w:pos="1337"/>
              </w:tabs>
              <w:spacing w:line="360" w:lineRule="auto"/>
              <w:rPr>
                <w:rStyle w:val="21"/>
                <w:rFonts w:ascii="宋体" w:hAnsi="宋体" w:cs="宋体"/>
                <w:color w:val="auto"/>
                <w:sz w:val="24"/>
                <w:highlight w:val="none"/>
              </w:rPr>
            </w:pPr>
            <w:r>
              <w:rPr>
                <w:rStyle w:val="21"/>
                <w:rFonts w:hint="eastAsia" w:ascii="宋体" w:hAnsi="宋体" w:cs="宋体"/>
                <w:bCs/>
                <w:color w:val="auto"/>
                <w:highlight w:val="none"/>
              </w:rPr>
              <w:t>备注：</w:t>
            </w:r>
            <w:r>
              <w:rPr>
                <w:rStyle w:val="21"/>
                <w:rFonts w:hint="eastAsia" w:ascii="宋体" w:hAnsi="宋体" w:cs="宋体"/>
                <w:bCs/>
                <w:color w:val="auto"/>
                <w:highlight w:val="none"/>
                <w:lang w:val="zh-CN"/>
              </w:rPr>
              <w:t>本次计划实施范围为不少于15家兵团二、三级医院</w:t>
            </w:r>
            <w:r>
              <w:rPr>
                <w:rStyle w:val="21"/>
                <w:rFonts w:hint="eastAsia" w:ascii="宋体" w:hAnsi="宋体" w:cs="宋体"/>
                <w:bCs/>
                <w:color w:val="auto"/>
                <w:highlight w:val="none"/>
                <w:lang w:val="zh-CN" w:eastAsia="zh-CN"/>
              </w:rPr>
              <w:t>，</w:t>
            </w:r>
            <w:r>
              <w:rPr>
                <w:rStyle w:val="21"/>
                <w:rFonts w:hint="eastAsia" w:ascii="宋体" w:hAnsi="宋体" w:cs="宋体"/>
                <w:bCs/>
                <w:color w:val="auto"/>
                <w:highlight w:val="none"/>
                <w:lang w:val="zh-CN"/>
              </w:rPr>
              <w:t xml:space="preserve"> 超过15家的实施费用全部包含在本项目投标报价中。单家医院实施费用也一次性包死，不受市场价格变化因素的影响。</w:t>
            </w:r>
          </w:p>
        </w:tc>
      </w:tr>
    </w:tbl>
    <w:p>
      <w:pPr>
        <w:pStyle w:val="139"/>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说明：1、投标人严格按照规定的格式填写。</w:t>
      </w:r>
      <w:r>
        <w:rPr>
          <w:rStyle w:val="21"/>
          <w:rFonts w:hint="eastAsia" w:ascii="宋体" w:hAnsi="宋体" w:cs="宋体"/>
          <w:b/>
          <w:color w:val="auto"/>
          <w:sz w:val="24"/>
          <w:highlight w:val="none"/>
        </w:rPr>
        <w:t>投标单价</w:t>
      </w:r>
      <w:r>
        <w:rPr>
          <w:rStyle w:val="21"/>
          <w:rFonts w:hint="eastAsia" w:ascii="宋体" w:hAnsi="宋体" w:cs="宋体"/>
          <w:bCs/>
          <w:color w:val="auto"/>
          <w:sz w:val="24"/>
          <w:highlight w:val="none"/>
        </w:rPr>
        <w:t>及</w:t>
      </w:r>
      <w:r>
        <w:rPr>
          <w:rStyle w:val="21"/>
          <w:rFonts w:hint="eastAsia" w:ascii="宋体" w:hAnsi="宋体" w:cs="宋体"/>
          <w:b/>
          <w:color w:val="auto"/>
          <w:sz w:val="24"/>
          <w:highlight w:val="none"/>
        </w:rPr>
        <w:t>投标总价</w:t>
      </w:r>
      <w:r>
        <w:rPr>
          <w:rStyle w:val="21"/>
          <w:rFonts w:hint="eastAsia" w:ascii="宋体" w:hAnsi="宋体" w:cs="宋体"/>
          <w:color w:val="auto"/>
          <w:sz w:val="24"/>
          <w:highlight w:val="none"/>
        </w:rPr>
        <w:t>为优惠后报价，并以</w:t>
      </w:r>
      <w:r>
        <w:rPr>
          <w:rStyle w:val="21"/>
          <w:rFonts w:hint="eastAsia" w:ascii="宋体" w:hAnsi="宋体" w:cs="宋体"/>
          <w:b/>
          <w:color w:val="auto"/>
          <w:sz w:val="24"/>
          <w:highlight w:val="none"/>
        </w:rPr>
        <w:t>投标总价</w:t>
      </w:r>
      <w:r>
        <w:rPr>
          <w:rStyle w:val="21"/>
          <w:rFonts w:hint="eastAsia" w:ascii="宋体" w:hAnsi="宋体" w:cs="宋体"/>
          <w:color w:val="auto"/>
          <w:sz w:val="24"/>
          <w:highlight w:val="none"/>
        </w:rPr>
        <w:t>作为评审及定标的依据。</w:t>
      </w:r>
    </w:p>
    <w:p>
      <w:pPr>
        <w:pStyle w:val="139"/>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2、任何有选择或有条件的投标总价或表中某一包填写多个报价，均将导致投标被拒绝。</w:t>
      </w:r>
    </w:p>
    <w:p>
      <w:pPr>
        <w:pStyle w:val="139"/>
        <w:spacing w:line="360" w:lineRule="auto"/>
        <w:rPr>
          <w:rStyle w:val="21"/>
          <w:rFonts w:ascii="宋体" w:hAnsi="宋体" w:cs="宋体"/>
          <w:color w:val="auto"/>
          <w:sz w:val="24"/>
          <w:highlight w:val="none"/>
        </w:rPr>
      </w:pPr>
    </w:p>
    <w:p>
      <w:pPr>
        <w:pStyle w:val="118"/>
        <w:snapToGrid w:val="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投标人法定代表人（签章）：</w:t>
      </w:r>
    </w:p>
    <w:p>
      <w:pPr>
        <w:pStyle w:val="118"/>
        <w:snapToGrid w:val="0"/>
        <w:spacing w:line="500" w:lineRule="exact"/>
        <w:rPr>
          <w:rStyle w:val="21"/>
          <w:rFonts w:ascii="宋体" w:hAnsi="宋体" w:cs="宋体"/>
          <w:color w:val="auto"/>
          <w:sz w:val="24"/>
          <w:szCs w:val="24"/>
          <w:highlight w:val="none"/>
          <w:u w:val="single"/>
        </w:rPr>
      </w:pPr>
      <w:r>
        <w:rPr>
          <w:rStyle w:val="21"/>
          <w:rFonts w:hint="eastAsia" w:ascii="宋体" w:hAnsi="宋体" w:cs="宋体"/>
          <w:color w:val="auto"/>
          <w:sz w:val="24"/>
          <w:szCs w:val="24"/>
          <w:highlight w:val="none"/>
        </w:rPr>
        <w:t>投标人名称（签章）：</w:t>
      </w:r>
    </w:p>
    <w:p>
      <w:pPr>
        <w:pStyle w:val="139"/>
        <w:spacing w:line="360" w:lineRule="auto"/>
        <w:rPr>
          <w:rStyle w:val="21"/>
          <w:rFonts w:ascii="宋体" w:hAnsi="宋体" w:cs="宋体"/>
          <w:color w:val="auto"/>
          <w:sz w:val="24"/>
          <w:highlight w:val="none"/>
        </w:rPr>
      </w:pPr>
      <w:r>
        <w:rPr>
          <w:rStyle w:val="21"/>
          <w:rFonts w:hint="eastAsia" w:ascii="宋体" w:hAnsi="宋体" w:cs="宋体"/>
          <w:color w:val="auto"/>
          <w:sz w:val="24"/>
          <w:highlight w:val="none"/>
        </w:rPr>
        <w:t>日期：年月日</w:t>
      </w:r>
    </w:p>
    <w:p>
      <w:pPr>
        <w:pStyle w:val="139"/>
        <w:spacing w:line="360" w:lineRule="auto"/>
        <w:rPr>
          <w:rStyle w:val="21"/>
          <w:rFonts w:ascii="宋体" w:hAnsi="宋体" w:cs="宋体"/>
          <w:color w:val="auto"/>
          <w:sz w:val="24"/>
          <w:highlight w:val="none"/>
        </w:rPr>
      </w:pPr>
    </w:p>
    <w:p>
      <w:pPr>
        <w:pStyle w:val="139"/>
        <w:spacing w:line="360" w:lineRule="auto"/>
        <w:rPr>
          <w:rStyle w:val="21"/>
          <w:rFonts w:ascii="宋体" w:hAnsi="宋体" w:cs="宋体"/>
          <w:color w:val="auto"/>
          <w:sz w:val="24"/>
          <w:highlight w:val="none"/>
        </w:rPr>
      </w:pPr>
    </w:p>
    <w:p>
      <w:pPr>
        <w:pStyle w:val="139"/>
        <w:spacing w:line="360" w:lineRule="auto"/>
        <w:rPr>
          <w:rStyle w:val="21"/>
          <w:rFonts w:ascii="宋体" w:hAnsi="宋体" w:cs="宋体"/>
          <w:color w:val="auto"/>
          <w:sz w:val="24"/>
          <w:highlight w:val="none"/>
        </w:rPr>
      </w:pPr>
    </w:p>
    <w:p>
      <w:pPr>
        <w:pStyle w:val="144"/>
        <w:jc w:val="both"/>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3.8投标报价明细表</w:t>
      </w:r>
    </w:p>
    <w:p>
      <w:pPr>
        <w:pStyle w:val="145"/>
        <w:spacing w:line="360" w:lineRule="auto"/>
        <w:ind w:left="0" w:leftChars="0" w:firstLineChars="0"/>
        <w:rPr>
          <w:rStyle w:val="21"/>
          <w:rFonts w:ascii="宋体" w:hAnsi="宋体" w:cs="宋体"/>
          <w:color w:val="auto"/>
          <w:highlight w:val="none"/>
        </w:rPr>
      </w:pPr>
      <w:r>
        <w:rPr>
          <w:rStyle w:val="21"/>
          <w:rFonts w:hint="eastAsia" w:ascii="宋体" w:hAnsi="宋体" w:cs="宋体"/>
          <w:color w:val="auto"/>
          <w:highlight w:val="none"/>
        </w:rPr>
        <w:t>项目编号、包号：价格单位：元</w:t>
      </w:r>
    </w:p>
    <w:tbl>
      <w:tblPr>
        <w:tblStyle w:val="18"/>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470"/>
        <w:gridCol w:w="3458"/>
        <w:gridCol w:w="966"/>
        <w:gridCol w:w="966"/>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58" w:type="dxa"/>
            <w:tcBorders>
              <w:top w:val="single" w:color="auto" w:sz="12" w:space="0"/>
              <w:left w:val="single" w:color="auto" w:sz="12" w:space="0"/>
              <w:bottom w:val="single" w:color="auto" w:sz="4" w:space="0"/>
            </w:tcBorders>
            <w:vAlign w:val="center"/>
          </w:tcPr>
          <w:p>
            <w:pPr>
              <w:pStyle w:val="186"/>
              <w:tabs>
                <w:tab w:val="left" w:pos="1337"/>
              </w:tabs>
              <w:spacing w:line="360" w:lineRule="auto"/>
              <w:ind w:left="-42" w:right="-42"/>
              <w:jc w:val="center"/>
              <w:rPr>
                <w:rFonts w:ascii="宋体" w:hAnsi="宋体"/>
                <w:color w:val="auto"/>
                <w:sz w:val="24"/>
                <w:highlight w:val="none"/>
              </w:rPr>
            </w:pPr>
            <w:r>
              <w:rPr>
                <w:rFonts w:hint="eastAsia" w:ascii="宋体" w:hAnsi="宋体"/>
                <w:color w:val="auto"/>
                <w:sz w:val="24"/>
                <w:highlight w:val="none"/>
              </w:rPr>
              <w:t>项</w:t>
            </w:r>
          </w:p>
        </w:tc>
        <w:tc>
          <w:tcPr>
            <w:tcW w:w="2470" w:type="dxa"/>
            <w:tcBorders>
              <w:top w:val="single" w:color="auto" w:sz="12" w:space="0"/>
              <w:bottom w:val="single" w:color="auto" w:sz="4" w:space="0"/>
            </w:tcBorders>
            <w:vAlign w:val="center"/>
          </w:tcPr>
          <w:p>
            <w:pPr>
              <w:pStyle w:val="186"/>
              <w:tabs>
                <w:tab w:val="left" w:pos="1337"/>
              </w:tabs>
              <w:spacing w:line="360" w:lineRule="auto"/>
              <w:ind w:left="-42" w:right="-42"/>
              <w:jc w:val="center"/>
              <w:rPr>
                <w:rFonts w:ascii="宋体" w:hAnsi="宋体"/>
                <w:color w:val="auto"/>
                <w:sz w:val="24"/>
                <w:highlight w:val="none"/>
              </w:rPr>
            </w:pPr>
            <w:r>
              <w:rPr>
                <w:rFonts w:hint="eastAsia" w:ascii="宋体" w:hAnsi="宋体"/>
                <w:color w:val="auto"/>
                <w:sz w:val="24"/>
                <w:highlight w:val="none"/>
              </w:rPr>
              <w:t>1</w:t>
            </w:r>
          </w:p>
        </w:tc>
        <w:tc>
          <w:tcPr>
            <w:tcW w:w="3458" w:type="dxa"/>
            <w:tcBorders>
              <w:top w:val="single" w:color="auto" w:sz="12" w:space="0"/>
              <w:bottom w:val="single" w:color="auto" w:sz="4" w:space="0"/>
            </w:tcBorders>
            <w:vAlign w:val="center"/>
          </w:tcPr>
          <w:p>
            <w:pPr>
              <w:pStyle w:val="186"/>
              <w:tabs>
                <w:tab w:val="left" w:pos="1337"/>
              </w:tabs>
              <w:spacing w:line="360" w:lineRule="auto"/>
              <w:ind w:right="-42"/>
              <w:jc w:val="center"/>
              <w:rPr>
                <w:rFonts w:ascii="宋体" w:hAnsi="宋体"/>
                <w:color w:val="auto"/>
                <w:sz w:val="24"/>
                <w:highlight w:val="none"/>
              </w:rPr>
            </w:pPr>
            <w:r>
              <w:rPr>
                <w:rFonts w:hint="eastAsia" w:ascii="宋体" w:hAnsi="宋体"/>
                <w:color w:val="auto"/>
                <w:sz w:val="24"/>
                <w:highlight w:val="none"/>
              </w:rPr>
              <w:t>2</w:t>
            </w:r>
          </w:p>
        </w:tc>
        <w:tc>
          <w:tcPr>
            <w:tcW w:w="3092" w:type="dxa"/>
            <w:gridSpan w:val="3"/>
            <w:tcBorders>
              <w:top w:val="single" w:color="auto" w:sz="12" w:space="0"/>
              <w:bottom w:val="single" w:color="auto" w:sz="4" w:space="0"/>
              <w:right w:val="single" w:color="auto" w:sz="12" w:space="0"/>
            </w:tcBorders>
            <w:vAlign w:val="center"/>
          </w:tcPr>
          <w:p>
            <w:pPr>
              <w:pStyle w:val="186"/>
              <w:tabs>
                <w:tab w:val="left" w:pos="1337"/>
              </w:tabs>
              <w:spacing w:line="360" w:lineRule="auto"/>
              <w:ind w:left="-42" w:right="-42"/>
              <w:jc w:val="center"/>
              <w:rPr>
                <w:rFonts w:ascii="宋体" w:hAnsi="宋体"/>
                <w:color w:val="auto"/>
                <w:sz w:val="24"/>
                <w:highlight w:val="none"/>
              </w:rPr>
            </w:pPr>
            <w:r>
              <w:rPr>
                <w:rFonts w:hint="eastAsia" w:ascii="宋体" w:hAnsi="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558" w:type="dxa"/>
            <w:vMerge w:val="restart"/>
            <w:tcBorders>
              <w:left w:val="single" w:color="auto" w:sz="12" w:space="0"/>
            </w:tcBorders>
            <w:vAlign w:val="center"/>
          </w:tcPr>
          <w:p>
            <w:pPr>
              <w:pStyle w:val="186"/>
              <w:tabs>
                <w:tab w:val="left" w:pos="1337"/>
              </w:tabs>
              <w:spacing w:line="360" w:lineRule="auto"/>
              <w:ind w:left="-42" w:right="-42"/>
              <w:jc w:val="center"/>
              <w:rPr>
                <w:rFonts w:ascii="宋体" w:hAnsi="宋体"/>
                <w:color w:val="auto"/>
                <w:sz w:val="24"/>
                <w:highlight w:val="none"/>
              </w:rPr>
            </w:pPr>
            <w:r>
              <w:rPr>
                <w:rFonts w:hint="eastAsia" w:ascii="宋体" w:hAnsi="宋体"/>
                <w:color w:val="auto"/>
                <w:sz w:val="24"/>
                <w:highlight w:val="none"/>
              </w:rPr>
              <w:t>序</w:t>
            </w:r>
          </w:p>
          <w:p>
            <w:pPr>
              <w:pStyle w:val="186"/>
              <w:tabs>
                <w:tab w:val="left" w:pos="1337"/>
              </w:tabs>
              <w:spacing w:line="360" w:lineRule="auto"/>
              <w:ind w:left="-42" w:right="-42"/>
              <w:jc w:val="center"/>
              <w:rPr>
                <w:rFonts w:ascii="宋体" w:hAnsi="宋体"/>
                <w:color w:val="auto"/>
                <w:sz w:val="24"/>
                <w:highlight w:val="none"/>
              </w:rPr>
            </w:pPr>
            <w:r>
              <w:rPr>
                <w:rFonts w:hint="eastAsia" w:ascii="宋体" w:hAnsi="宋体"/>
                <w:color w:val="auto"/>
                <w:sz w:val="24"/>
                <w:highlight w:val="none"/>
              </w:rPr>
              <w:t>号</w:t>
            </w:r>
          </w:p>
        </w:tc>
        <w:tc>
          <w:tcPr>
            <w:tcW w:w="2470" w:type="dxa"/>
            <w:vMerge w:val="restart"/>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产品名称</w:t>
            </w:r>
          </w:p>
        </w:tc>
        <w:tc>
          <w:tcPr>
            <w:tcW w:w="3458" w:type="dxa"/>
            <w:vMerge w:val="restart"/>
            <w:vAlign w:val="center"/>
          </w:tcPr>
          <w:p>
            <w:pPr>
              <w:pStyle w:val="186"/>
              <w:tabs>
                <w:tab w:val="left" w:pos="1337"/>
              </w:tabs>
              <w:spacing w:line="360" w:lineRule="auto"/>
              <w:ind w:left="-42" w:right="-42"/>
              <w:jc w:val="center"/>
              <w:rPr>
                <w:rFonts w:ascii="宋体" w:hAnsi="宋体"/>
                <w:color w:val="auto"/>
                <w:sz w:val="24"/>
                <w:highlight w:val="none"/>
              </w:rPr>
            </w:pPr>
            <w:r>
              <w:rPr>
                <w:rFonts w:hint="eastAsia" w:ascii="宋体" w:hAnsi="宋体"/>
                <w:color w:val="auto"/>
                <w:sz w:val="24"/>
                <w:highlight w:val="none"/>
              </w:rPr>
              <w:t>品牌、型号</w:t>
            </w:r>
          </w:p>
        </w:tc>
        <w:tc>
          <w:tcPr>
            <w:tcW w:w="3092" w:type="dxa"/>
            <w:gridSpan w:val="3"/>
            <w:tcBorders>
              <w:right w:val="single" w:color="auto" w:sz="12" w:space="0"/>
            </w:tcBorders>
            <w:vAlign w:val="center"/>
          </w:tcPr>
          <w:p>
            <w:pPr>
              <w:pStyle w:val="186"/>
              <w:spacing w:line="360" w:lineRule="auto"/>
              <w:jc w:val="center"/>
              <w:rPr>
                <w:rFonts w:ascii="宋体" w:hAnsi="宋体"/>
                <w:color w:val="auto"/>
                <w:sz w:val="24"/>
                <w:highlight w:val="none"/>
              </w:rPr>
            </w:pPr>
            <w:r>
              <w:rPr>
                <w:rFonts w:hint="eastAsia" w:ascii="宋体" w:hAnsi="宋体"/>
                <w:color w:val="auto"/>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558" w:type="dxa"/>
            <w:vMerge w:val="continue"/>
            <w:tcBorders>
              <w:left w:val="single" w:color="auto" w:sz="12" w:space="0"/>
            </w:tcBorders>
            <w:vAlign w:val="center"/>
          </w:tcPr>
          <w:p>
            <w:pPr>
              <w:pStyle w:val="186"/>
              <w:tabs>
                <w:tab w:val="left" w:pos="1337"/>
              </w:tabs>
              <w:spacing w:line="360" w:lineRule="auto"/>
              <w:ind w:left="-42" w:right="-42"/>
              <w:jc w:val="center"/>
              <w:rPr>
                <w:rFonts w:ascii="宋体" w:hAnsi="宋体"/>
                <w:color w:val="auto"/>
                <w:sz w:val="24"/>
                <w:highlight w:val="none"/>
              </w:rPr>
            </w:pPr>
          </w:p>
        </w:tc>
        <w:tc>
          <w:tcPr>
            <w:tcW w:w="2470" w:type="dxa"/>
            <w:vMerge w:val="continue"/>
            <w:vAlign w:val="center"/>
          </w:tcPr>
          <w:p>
            <w:pPr>
              <w:pStyle w:val="186"/>
              <w:tabs>
                <w:tab w:val="left" w:pos="1337"/>
              </w:tabs>
              <w:spacing w:line="360" w:lineRule="auto"/>
              <w:ind w:left="-42" w:right="-42"/>
              <w:jc w:val="center"/>
              <w:rPr>
                <w:rFonts w:ascii="宋体" w:hAnsi="宋体"/>
                <w:color w:val="auto"/>
                <w:sz w:val="24"/>
                <w:highlight w:val="none"/>
              </w:rPr>
            </w:pPr>
          </w:p>
        </w:tc>
        <w:tc>
          <w:tcPr>
            <w:tcW w:w="3458" w:type="dxa"/>
            <w:vMerge w:val="continue"/>
            <w:vAlign w:val="center"/>
          </w:tcPr>
          <w:p>
            <w:pPr>
              <w:pStyle w:val="186"/>
              <w:tabs>
                <w:tab w:val="left" w:pos="1337"/>
              </w:tabs>
              <w:spacing w:line="360" w:lineRule="auto"/>
              <w:ind w:left="-42" w:right="-42"/>
              <w:jc w:val="center"/>
              <w:rPr>
                <w:rFonts w:ascii="宋体" w:hAnsi="宋体"/>
                <w:color w:val="auto"/>
                <w:sz w:val="24"/>
                <w:highlight w:val="none"/>
              </w:rPr>
            </w:pPr>
          </w:p>
        </w:tc>
        <w:tc>
          <w:tcPr>
            <w:tcW w:w="966" w:type="dxa"/>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单价</w:t>
            </w:r>
          </w:p>
        </w:tc>
        <w:tc>
          <w:tcPr>
            <w:tcW w:w="966" w:type="dxa"/>
            <w:vAlign w:val="center"/>
          </w:tcPr>
          <w:p>
            <w:pPr>
              <w:pStyle w:val="186"/>
              <w:widowControl/>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160" w:type="dxa"/>
            <w:tcBorders>
              <w:right w:val="single" w:color="auto" w:sz="12" w:space="0"/>
            </w:tcBorders>
            <w:vAlign w:val="center"/>
          </w:tcPr>
          <w:p>
            <w:pPr>
              <w:pStyle w:val="186"/>
              <w:widowControl/>
              <w:spacing w:line="360" w:lineRule="auto"/>
              <w:jc w:val="center"/>
              <w:rPr>
                <w:rFonts w:ascii="宋体" w:hAnsi="宋体"/>
                <w:color w:val="auto"/>
                <w:sz w:val="24"/>
                <w:highlight w:val="none"/>
              </w:rPr>
            </w:pPr>
            <w:r>
              <w:rPr>
                <w:rFonts w:hint="eastAsia" w:ascii="宋体" w:hAnsi="宋体"/>
                <w:color w:val="auto"/>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470" w:type="dxa"/>
            <w:vAlign w:val="center"/>
          </w:tcPr>
          <w:p>
            <w:pPr>
              <w:pStyle w:val="186"/>
              <w:tabs>
                <w:tab w:val="left" w:pos="1337"/>
              </w:tabs>
              <w:spacing w:line="360" w:lineRule="auto"/>
              <w:jc w:val="center"/>
              <w:rPr>
                <w:rFonts w:ascii="宋体" w:hAnsi="宋体"/>
                <w:color w:val="auto"/>
                <w:sz w:val="24"/>
                <w:highlight w:val="none"/>
              </w:rPr>
            </w:pPr>
          </w:p>
        </w:tc>
        <w:tc>
          <w:tcPr>
            <w:tcW w:w="3458" w:type="dxa"/>
            <w:vAlign w:val="center"/>
          </w:tcPr>
          <w:p>
            <w:pPr>
              <w:pStyle w:val="186"/>
              <w:tabs>
                <w:tab w:val="left" w:pos="1337"/>
              </w:tabs>
              <w:spacing w:line="360" w:lineRule="auto"/>
              <w:jc w:val="center"/>
              <w:rPr>
                <w:rFonts w:ascii="宋体" w:hAnsi="宋体"/>
                <w:color w:val="auto"/>
                <w:sz w:val="24"/>
                <w:highlight w:val="none"/>
              </w:rPr>
            </w:pPr>
          </w:p>
        </w:tc>
        <w:tc>
          <w:tcPr>
            <w:tcW w:w="966" w:type="dxa"/>
            <w:vAlign w:val="center"/>
          </w:tcPr>
          <w:p>
            <w:pPr>
              <w:pStyle w:val="186"/>
              <w:tabs>
                <w:tab w:val="left" w:pos="1337"/>
              </w:tabs>
              <w:spacing w:line="360" w:lineRule="auto"/>
              <w:jc w:val="center"/>
              <w:rPr>
                <w:rFonts w:ascii="宋体" w:hAnsi="宋体"/>
                <w:color w:val="auto"/>
                <w:sz w:val="24"/>
                <w:highlight w:val="none"/>
              </w:rPr>
            </w:pPr>
          </w:p>
        </w:tc>
        <w:tc>
          <w:tcPr>
            <w:tcW w:w="966" w:type="dxa"/>
            <w:vAlign w:val="center"/>
          </w:tcPr>
          <w:p>
            <w:pPr>
              <w:pStyle w:val="186"/>
              <w:tabs>
                <w:tab w:val="left" w:pos="1337"/>
              </w:tabs>
              <w:spacing w:line="360" w:lineRule="auto"/>
              <w:jc w:val="center"/>
              <w:rPr>
                <w:rFonts w:ascii="宋体" w:hAnsi="宋体"/>
                <w:color w:val="auto"/>
                <w:sz w:val="24"/>
                <w:highlight w:val="none"/>
              </w:rPr>
            </w:pPr>
          </w:p>
        </w:tc>
        <w:tc>
          <w:tcPr>
            <w:tcW w:w="1160" w:type="dxa"/>
            <w:tcBorders>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2470" w:type="dxa"/>
            <w:vAlign w:val="center"/>
          </w:tcPr>
          <w:p>
            <w:pPr>
              <w:pStyle w:val="186"/>
              <w:tabs>
                <w:tab w:val="left" w:pos="1337"/>
              </w:tabs>
              <w:spacing w:line="360" w:lineRule="auto"/>
              <w:jc w:val="center"/>
              <w:rPr>
                <w:rFonts w:ascii="宋体" w:hAnsi="宋体"/>
                <w:color w:val="auto"/>
                <w:sz w:val="24"/>
                <w:highlight w:val="none"/>
              </w:rPr>
            </w:pPr>
          </w:p>
        </w:tc>
        <w:tc>
          <w:tcPr>
            <w:tcW w:w="3458" w:type="dxa"/>
          </w:tcPr>
          <w:p>
            <w:pPr>
              <w:pStyle w:val="186"/>
              <w:tabs>
                <w:tab w:val="left" w:pos="1337"/>
              </w:tabs>
              <w:spacing w:line="360" w:lineRule="auto"/>
              <w:jc w:val="center"/>
              <w:rPr>
                <w:rFonts w:ascii="宋体" w:hAnsi="宋体"/>
                <w:color w:val="auto"/>
                <w:sz w:val="24"/>
                <w:highlight w:val="none"/>
              </w:rPr>
            </w:pPr>
          </w:p>
        </w:tc>
        <w:tc>
          <w:tcPr>
            <w:tcW w:w="966" w:type="dxa"/>
          </w:tcPr>
          <w:p>
            <w:pPr>
              <w:pStyle w:val="186"/>
              <w:tabs>
                <w:tab w:val="left" w:pos="1337"/>
              </w:tabs>
              <w:spacing w:line="360" w:lineRule="auto"/>
              <w:jc w:val="center"/>
              <w:rPr>
                <w:rFonts w:ascii="宋体" w:hAnsi="宋体"/>
                <w:color w:val="auto"/>
                <w:sz w:val="24"/>
                <w:highlight w:val="none"/>
              </w:rPr>
            </w:pPr>
          </w:p>
        </w:tc>
        <w:tc>
          <w:tcPr>
            <w:tcW w:w="966" w:type="dxa"/>
          </w:tcPr>
          <w:p>
            <w:pPr>
              <w:pStyle w:val="186"/>
              <w:tabs>
                <w:tab w:val="left" w:pos="1337"/>
              </w:tabs>
              <w:spacing w:line="360" w:lineRule="auto"/>
              <w:jc w:val="center"/>
              <w:rPr>
                <w:rFonts w:ascii="宋体" w:hAnsi="宋体"/>
                <w:color w:val="auto"/>
                <w:sz w:val="24"/>
                <w:highlight w:val="none"/>
              </w:rPr>
            </w:pPr>
          </w:p>
        </w:tc>
        <w:tc>
          <w:tcPr>
            <w:tcW w:w="1160" w:type="dxa"/>
            <w:tcBorders>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470" w:type="dxa"/>
            <w:vAlign w:val="center"/>
          </w:tcPr>
          <w:p>
            <w:pPr>
              <w:pStyle w:val="186"/>
              <w:tabs>
                <w:tab w:val="left" w:pos="1337"/>
              </w:tabs>
              <w:spacing w:line="360" w:lineRule="auto"/>
              <w:jc w:val="center"/>
              <w:rPr>
                <w:rFonts w:ascii="宋体" w:hAnsi="宋体"/>
                <w:color w:val="auto"/>
                <w:sz w:val="24"/>
                <w:highlight w:val="none"/>
              </w:rPr>
            </w:pPr>
          </w:p>
        </w:tc>
        <w:tc>
          <w:tcPr>
            <w:tcW w:w="3458" w:type="dxa"/>
          </w:tcPr>
          <w:p>
            <w:pPr>
              <w:pStyle w:val="186"/>
              <w:tabs>
                <w:tab w:val="left" w:pos="1337"/>
              </w:tabs>
              <w:spacing w:line="360" w:lineRule="auto"/>
              <w:jc w:val="center"/>
              <w:rPr>
                <w:rFonts w:ascii="宋体" w:hAnsi="宋体"/>
                <w:color w:val="auto"/>
                <w:sz w:val="24"/>
                <w:highlight w:val="none"/>
              </w:rPr>
            </w:pPr>
          </w:p>
        </w:tc>
        <w:tc>
          <w:tcPr>
            <w:tcW w:w="966" w:type="dxa"/>
          </w:tcPr>
          <w:p>
            <w:pPr>
              <w:pStyle w:val="186"/>
              <w:tabs>
                <w:tab w:val="left" w:pos="1337"/>
              </w:tabs>
              <w:spacing w:line="360" w:lineRule="auto"/>
              <w:jc w:val="center"/>
              <w:rPr>
                <w:rFonts w:ascii="宋体" w:hAnsi="宋体"/>
                <w:color w:val="auto"/>
                <w:sz w:val="24"/>
                <w:highlight w:val="none"/>
              </w:rPr>
            </w:pPr>
          </w:p>
        </w:tc>
        <w:tc>
          <w:tcPr>
            <w:tcW w:w="966" w:type="dxa"/>
          </w:tcPr>
          <w:p>
            <w:pPr>
              <w:pStyle w:val="186"/>
              <w:tabs>
                <w:tab w:val="left" w:pos="1337"/>
              </w:tabs>
              <w:spacing w:line="360" w:lineRule="auto"/>
              <w:jc w:val="center"/>
              <w:rPr>
                <w:rFonts w:ascii="宋体" w:hAnsi="宋体"/>
                <w:color w:val="auto"/>
                <w:sz w:val="24"/>
                <w:highlight w:val="none"/>
              </w:rPr>
            </w:pPr>
          </w:p>
        </w:tc>
        <w:tc>
          <w:tcPr>
            <w:tcW w:w="1160" w:type="dxa"/>
            <w:tcBorders>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2470" w:type="dxa"/>
            <w:vAlign w:val="center"/>
          </w:tcPr>
          <w:p>
            <w:pPr>
              <w:pStyle w:val="186"/>
              <w:tabs>
                <w:tab w:val="left" w:pos="1337"/>
              </w:tabs>
              <w:spacing w:line="360" w:lineRule="auto"/>
              <w:jc w:val="center"/>
              <w:rPr>
                <w:rFonts w:ascii="宋体" w:hAnsi="宋体"/>
                <w:color w:val="auto"/>
                <w:sz w:val="24"/>
                <w:highlight w:val="none"/>
              </w:rPr>
            </w:pPr>
          </w:p>
        </w:tc>
        <w:tc>
          <w:tcPr>
            <w:tcW w:w="3458" w:type="dxa"/>
          </w:tcPr>
          <w:p>
            <w:pPr>
              <w:pStyle w:val="186"/>
              <w:tabs>
                <w:tab w:val="left" w:pos="1337"/>
              </w:tabs>
              <w:spacing w:line="360" w:lineRule="auto"/>
              <w:jc w:val="center"/>
              <w:rPr>
                <w:rFonts w:ascii="宋体" w:hAnsi="宋体"/>
                <w:color w:val="auto"/>
                <w:sz w:val="24"/>
                <w:highlight w:val="none"/>
              </w:rPr>
            </w:pPr>
          </w:p>
        </w:tc>
        <w:tc>
          <w:tcPr>
            <w:tcW w:w="966" w:type="dxa"/>
          </w:tcPr>
          <w:p>
            <w:pPr>
              <w:pStyle w:val="186"/>
              <w:tabs>
                <w:tab w:val="left" w:pos="1337"/>
              </w:tabs>
              <w:spacing w:line="360" w:lineRule="auto"/>
              <w:jc w:val="center"/>
              <w:rPr>
                <w:rFonts w:ascii="宋体" w:hAnsi="宋体"/>
                <w:color w:val="auto"/>
                <w:sz w:val="24"/>
                <w:highlight w:val="none"/>
              </w:rPr>
            </w:pPr>
          </w:p>
        </w:tc>
        <w:tc>
          <w:tcPr>
            <w:tcW w:w="966" w:type="dxa"/>
          </w:tcPr>
          <w:p>
            <w:pPr>
              <w:pStyle w:val="186"/>
              <w:tabs>
                <w:tab w:val="left" w:pos="1337"/>
              </w:tabs>
              <w:spacing w:line="360" w:lineRule="auto"/>
              <w:jc w:val="center"/>
              <w:rPr>
                <w:rFonts w:ascii="宋体" w:hAnsi="宋体"/>
                <w:color w:val="auto"/>
                <w:sz w:val="24"/>
                <w:highlight w:val="none"/>
              </w:rPr>
            </w:pPr>
          </w:p>
        </w:tc>
        <w:tc>
          <w:tcPr>
            <w:tcW w:w="1160" w:type="dxa"/>
            <w:tcBorders>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2470" w:type="dxa"/>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3458" w:type="dxa"/>
          </w:tcPr>
          <w:p>
            <w:pPr>
              <w:pStyle w:val="186"/>
              <w:tabs>
                <w:tab w:val="left" w:pos="1337"/>
              </w:tabs>
              <w:spacing w:line="360" w:lineRule="auto"/>
              <w:jc w:val="center"/>
              <w:rPr>
                <w:rFonts w:ascii="宋体" w:hAnsi="宋体"/>
                <w:color w:val="auto"/>
                <w:sz w:val="24"/>
                <w:highlight w:val="none"/>
              </w:rPr>
            </w:pPr>
          </w:p>
        </w:tc>
        <w:tc>
          <w:tcPr>
            <w:tcW w:w="966" w:type="dxa"/>
          </w:tcPr>
          <w:p>
            <w:pPr>
              <w:pStyle w:val="186"/>
              <w:tabs>
                <w:tab w:val="left" w:pos="1337"/>
              </w:tabs>
              <w:spacing w:line="360" w:lineRule="auto"/>
              <w:jc w:val="center"/>
              <w:rPr>
                <w:rFonts w:ascii="宋体" w:hAnsi="宋体"/>
                <w:color w:val="auto"/>
                <w:sz w:val="24"/>
                <w:highlight w:val="none"/>
              </w:rPr>
            </w:pPr>
          </w:p>
        </w:tc>
        <w:tc>
          <w:tcPr>
            <w:tcW w:w="966" w:type="dxa"/>
            <w:vAlign w:val="center"/>
          </w:tcPr>
          <w:p>
            <w:pPr>
              <w:pStyle w:val="186"/>
              <w:tabs>
                <w:tab w:val="left" w:pos="1337"/>
              </w:tabs>
              <w:spacing w:line="360" w:lineRule="auto"/>
              <w:jc w:val="center"/>
              <w:rPr>
                <w:rFonts w:ascii="宋体" w:hAnsi="宋体"/>
                <w:color w:val="auto"/>
                <w:sz w:val="24"/>
                <w:highlight w:val="none"/>
              </w:rPr>
            </w:pPr>
          </w:p>
        </w:tc>
        <w:tc>
          <w:tcPr>
            <w:tcW w:w="1160" w:type="dxa"/>
            <w:tcBorders>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2470"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货物费用小计</w:t>
            </w:r>
          </w:p>
        </w:tc>
        <w:tc>
          <w:tcPr>
            <w:tcW w:w="3458"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1160" w:type="dxa"/>
            <w:tcBorders>
              <w:bottom w:val="single" w:color="auto" w:sz="12" w:space="0"/>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2470"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安装调试费用</w:t>
            </w:r>
          </w:p>
        </w:tc>
        <w:tc>
          <w:tcPr>
            <w:tcW w:w="3458"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1160" w:type="dxa"/>
            <w:tcBorders>
              <w:bottom w:val="single" w:color="auto" w:sz="12" w:space="0"/>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2470"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维护与技术支持费用</w:t>
            </w:r>
          </w:p>
        </w:tc>
        <w:tc>
          <w:tcPr>
            <w:tcW w:w="3458"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1160" w:type="dxa"/>
            <w:tcBorders>
              <w:bottom w:val="single" w:color="auto" w:sz="12" w:space="0"/>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2470"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培训费用</w:t>
            </w:r>
          </w:p>
        </w:tc>
        <w:tc>
          <w:tcPr>
            <w:tcW w:w="3458"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1160" w:type="dxa"/>
            <w:tcBorders>
              <w:bottom w:val="single" w:color="auto" w:sz="12" w:space="0"/>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2470"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备品备件费用</w:t>
            </w:r>
          </w:p>
        </w:tc>
        <w:tc>
          <w:tcPr>
            <w:tcW w:w="3458"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1160" w:type="dxa"/>
            <w:tcBorders>
              <w:bottom w:val="single" w:color="auto" w:sz="12" w:space="0"/>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2470"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运输与保险费用</w:t>
            </w:r>
          </w:p>
        </w:tc>
        <w:tc>
          <w:tcPr>
            <w:tcW w:w="3458"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1160" w:type="dxa"/>
            <w:tcBorders>
              <w:bottom w:val="single" w:color="auto" w:sz="12" w:space="0"/>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2470" w:type="dxa"/>
            <w:tcBorders>
              <w:bottom w:val="single" w:color="auto" w:sz="12" w:space="0"/>
            </w:tcBorders>
            <w:vAlign w:val="center"/>
          </w:tcPr>
          <w:p>
            <w:pPr>
              <w:pStyle w:val="186"/>
              <w:tabs>
                <w:tab w:val="left" w:pos="1337"/>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其他</w:t>
            </w:r>
          </w:p>
        </w:tc>
        <w:tc>
          <w:tcPr>
            <w:tcW w:w="3458"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1160" w:type="dxa"/>
            <w:tcBorders>
              <w:bottom w:val="single" w:color="auto" w:sz="12" w:space="0"/>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558" w:type="dxa"/>
            <w:tcBorders>
              <w:left w:val="single" w:color="auto" w:sz="12" w:space="0"/>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2470"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r>
              <w:rPr>
                <w:rFonts w:hint="eastAsia" w:ascii="宋体" w:hAnsi="宋体"/>
                <w:color w:val="auto"/>
                <w:sz w:val="24"/>
                <w:highlight w:val="none"/>
              </w:rPr>
              <w:t>合计</w:t>
            </w:r>
          </w:p>
        </w:tc>
        <w:tc>
          <w:tcPr>
            <w:tcW w:w="3458"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tcPr>
          <w:p>
            <w:pPr>
              <w:pStyle w:val="186"/>
              <w:tabs>
                <w:tab w:val="left" w:pos="1337"/>
              </w:tabs>
              <w:spacing w:line="360" w:lineRule="auto"/>
              <w:jc w:val="center"/>
              <w:rPr>
                <w:rFonts w:ascii="宋体" w:hAnsi="宋体"/>
                <w:color w:val="auto"/>
                <w:sz w:val="24"/>
                <w:highlight w:val="none"/>
              </w:rPr>
            </w:pPr>
          </w:p>
        </w:tc>
        <w:tc>
          <w:tcPr>
            <w:tcW w:w="966" w:type="dxa"/>
            <w:tcBorders>
              <w:bottom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c>
          <w:tcPr>
            <w:tcW w:w="1160" w:type="dxa"/>
            <w:tcBorders>
              <w:bottom w:val="single" w:color="auto" w:sz="12" w:space="0"/>
              <w:right w:val="single" w:color="auto" w:sz="12" w:space="0"/>
            </w:tcBorders>
            <w:vAlign w:val="center"/>
          </w:tcPr>
          <w:p>
            <w:pPr>
              <w:pStyle w:val="186"/>
              <w:tabs>
                <w:tab w:val="left" w:pos="1337"/>
              </w:tabs>
              <w:spacing w:line="360" w:lineRule="auto"/>
              <w:jc w:val="center"/>
              <w:rPr>
                <w:rFonts w:ascii="宋体" w:hAnsi="宋体"/>
                <w:color w:val="auto"/>
                <w:sz w:val="24"/>
                <w:highlight w:val="none"/>
              </w:rPr>
            </w:pPr>
          </w:p>
        </w:tc>
      </w:tr>
    </w:tbl>
    <w:p>
      <w:pPr>
        <w:pStyle w:val="184"/>
        <w:spacing w:before="156" w:beforeLines="50" w:line="440" w:lineRule="exact"/>
        <w:rPr>
          <w:rFonts w:ascii="宋体" w:hAnsi="宋体"/>
          <w:color w:val="auto"/>
          <w:sz w:val="24"/>
          <w:highlight w:val="none"/>
        </w:rPr>
      </w:pPr>
      <w:r>
        <w:rPr>
          <w:rFonts w:hint="eastAsia" w:ascii="宋体" w:hAnsi="宋体"/>
          <w:color w:val="auto"/>
          <w:sz w:val="24"/>
          <w:highlight w:val="none"/>
        </w:rPr>
        <w:t>兹声明：以上投标报价在投标有效期内一直有效。</w:t>
      </w:r>
    </w:p>
    <w:p>
      <w:pPr>
        <w:pStyle w:val="118"/>
        <w:snapToGrid w:val="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投标人法定代表人（签章）：</w:t>
      </w:r>
    </w:p>
    <w:p>
      <w:pPr>
        <w:pStyle w:val="118"/>
        <w:snapToGrid w:val="0"/>
        <w:spacing w:line="500" w:lineRule="exact"/>
        <w:rPr>
          <w:rStyle w:val="21"/>
          <w:rFonts w:ascii="宋体" w:hAnsi="宋体" w:cs="宋体"/>
          <w:color w:val="auto"/>
          <w:sz w:val="24"/>
          <w:szCs w:val="24"/>
          <w:highlight w:val="none"/>
          <w:u w:val="single"/>
        </w:rPr>
      </w:pPr>
      <w:r>
        <w:rPr>
          <w:rStyle w:val="21"/>
          <w:rFonts w:hint="eastAsia" w:ascii="宋体" w:hAnsi="宋体" w:cs="宋体"/>
          <w:color w:val="auto"/>
          <w:sz w:val="24"/>
          <w:szCs w:val="24"/>
          <w:highlight w:val="none"/>
        </w:rPr>
        <w:t>投标人名称（签章）：</w:t>
      </w:r>
    </w:p>
    <w:p>
      <w:pPr>
        <w:pStyle w:val="185"/>
        <w:keepNext w:val="0"/>
        <w:keepLines w:val="0"/>
        <w:adjustRightInd/>
        <w:spacing w:before="0" w:line="440" w:lineRule="exact"/>
        <w:textAlignment w:val="auto"/>
        <w:outlineLvl w:val="9"/>
        <w:rPr>
          <w:rStyle w:val="21"/>
          <w:rFonts w:cs="宋体"/>
          <w:b w:val="0"/>
          <w:color w:val="auto"/>
          <w:kern w:val="2"/>
          <w:sz w:val="24"/>
          <w:szCs w:val="24"/>
          <w:highlight w:val="none"/>
        </w:rPr>
      </w:pPr>
      <w:r>
        <w:rPr>
          <w:rStyle w:val="21"/>
          <w:rFonts w:hint="eastAsia" w:cs="宋体"/>
          <w:b w:val="0"/>
          <w:color w:val="auto"/>
          <w:kern w:val="2"/>
          <w:sz w:val="24"/>
          <w:szCs w:val="24"/>
          <w:highlight w:val="none"/>
        </w:rPr>
        <w:t>日期：年月日</w:t>
      </w:r>
    </w:p>
    <w:p>
      <w:pPr>
        <w:pStyle w:val="185"/>
        <w:keepNext w:val="0"/>
        <w:keepLines w:val="0"/>
        <w:adjustRightInd/>
        <w:spacing w:before="0" w:line="440" w:lineRule="exact"/>
        <w:textAlignment w:val="auto"/>
        <w:outlineLvl w:val="9"/>
        <w:rPr>
          <w:color w:val="auto"/>
          <w:kern w:val="2"/>
          <w:sz w:val="24"/>
          <w:highlight w:val="none"/>
        </w:rPr>
      </w:pPr>
      <w:r>
        <w:rPr>
          <w:rFonts w:hint="eastAsia"/>
          <w:color w:val="auto"/>
          <w:sz w:val="24"/>
          <w:szCs w:val="24"/>
          <w:highlight w:val="none"/>
        </w:rPr>
        <w:t>注：</w:t>
      </w:r>
      <w:r>
        <w:rPr>
          <w:rFonts w:hint="eastAsia"/>
          <w:color w:val="auto"/>
          <w:kern w:val="2"/>
          <w:sz w:val="24"/>
          <w:highlight w:val="none"/>
        </w:rPr>
        <w:t>1、本表格式不得更改，供应商只能按要求填报并盖章，否则将被视为无效投标。</w:t>
      </w:r>
    </w:p>
    <w:p>
      <w:pPr>
        <w:pStyle w:val="146"/>
        <w:spacing w:line="360" w:lineRule="auto"/>
        <w:ind w:left="720"/>
        <w:rPr>
          <w:rStyle w:val="21"/>
          <w:rFonts w:ascii="宋体" w:hAnsi="宋体" w:cs="宋体"/>
          <w:color w:val="auto"/>
          <w:sz w:val="24"/>
          <w:highlight w:val="none"/>
        </w:rPr>
      </w:pPr>
    </w:p>
    <w:p>
      <w:pPr>
        <w:pStyle w:val="146"/>
        <w:spacing w:line="360" w:lineRule="auto"/>
        <w:ind w:left="720"/>
        <w:rPr>
          <w:rStyle w:val="21"/>
          <w:rFonts w:ascii="宋体" w:hAnsi="宋体" w:cs="宋体"/>
          <w:color w:val="auto"/>
          <w:sz w:val="24"/>
          <w:highlight w:val="none"/>
        </w:rPr>
      </w:pPr>
    </w:p>
    <w:p>
      <w:pPr>
        <w:pStyle w:val="146"/>
        <w:spacing w:line="360" w:lineRule="auto"/>
        <w:ind w:right="480" w:firstLine="6360" w:firstLineChars="2650"/>
        <w:rPr>
          <w:rStyle w:val="21"/>
          <w:rFonts w:ascii="宋体" w:hAnsi="宋体" w:cs="宋体"/>
          <w:color w:val="auto"/>
          <w:sz w:val="24"/>
          <w:highlight w:val="none"/>
        </w:rPr>
      </w:pPr>
      <w:r>
        <w:rPr>
          <w:rStyle w:val="21"/>
          <w:rFonts w:hint="eastAsia" w:ascii="宋体" w:hAnsi="宋体" w:cs="宋体"/>
          <w:color w:val="auto"/>
          <w:sz w:val="24"/>
          <w:highlight w:val="none"/>
        </w:rPr>
        <w:t>年月日</w:t>
      </w:r>
    </w:p>
    <w:p>
      <w:pPr>
        <w:pStyle w:val="146"/>
        <w:spacing w:line="360" w:lineRule="auto"/>
        <w:ind w:right="480"/>
        <w:rPr>
          <w:rStyle w:val="21"/>
          <w:rFonts w:ascii="宋体" w:hAnsi="宋体" w:cs="宋体"/>
          <w:color w:val="auto"/>
          <w:szCs w:val="21"/>
          <w:highlight w:val="none"/>
        </w:rPr>
      </w:pPr>
    </w:p>
    <w:p>
      <w:pPr>
        <w:pStyle w:val="148"/>
        <w:jc w:val="both"/>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3.9☆售后服务承诺书（格式自拟）</w:t>
      </w:r>
    </w:p>
    <w:p>
      <w:pPr>
        <w:pStyle w:val="150"/>
        <w:jc w:val="both"/>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3.10商务条款偏离说明表</w:t>
      </w:r>
    </w:p>
    <w:p>
      <w:pPr>
        <w:snapToGrid w:val="0"/>
        <w:spacing w:line="500" w:lineRule="exac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采购项目编号：</w:t>
      </w:r>
    </w:p>
    <w:p>
      <w:pPr>
        <w:snapToGrid w:val="0"/>
        <w:spacing w:line="500" w:lineRule="exact"/>
        <w:rPr>
          <w:rStyle w:val="21"/>
          <w:rFonts w:ascii="宋体" w:hAnsi="宋体" w:cs="宋体"/>
          <w:color w:val="auto"/>
          <w:sz w:val="24"/>
          <w:szCs w:val="24"/>
          <w:highlight w:val="none"/>
          <w:u w:val="single" w:color="000000"/>
        </w:rPr>
      </w:pPr>
      <w:r>
        <w:rPr>
          <w:rStyle w:val="21"/>
          <w:rFonts w:hint="eastAsia" w:ascii="宋体" w:hAnsi="宋体" w:cs="宋体"/>
          <w:color w:val="auto"/>
          <w:sz w:val="24"/>
          <w:szCs w:val="24"/>
          <w:highlight w:val="none"/>
        </w:rPr>
        <w:t>采购项目名称：</w:t>
      </w:r>
    </w:p>
    <w:p>
      <w:pPr>
        <w:ind w:firstLine="480" w:firstLineChars="200"/>
        <w:rPr>
          <w:rStyle w:val="21"/>
          <w:rFonts w:ascii="宋体" w:hAnsi="宋体" w:cs="宋体"/>
          <w:color w:val="auto"/>
          <w:sz w:val="24"/>
          <w:szCs w:val="24"/>
          <w:highlight w:val="none"/>
        </w:rPr>
      </w:pPr>
    </w:p>
    <w:tbl>
      <w:tblPr>
        <w:tblStyle w:val="18"/>
        <w:tblW w:w="89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2593"/>
        <w:gridCol w:w="2593"/>
        <w:gridCol w:w="1518"/>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695" w:type="dxa"/>
            <w:tcBorders>
              <w:top w:val="single" w:color="000000" w:sz="4" w:space="0"/>
              <w:left w:val="single" w:color="000000" w:sz="4" w:space="0"/>
              <w:bottom w:val="single" w:color="000000" w:sz="4" w:space="0"/>
              <w:right w:val="single" w:color="000000" w:sz="4" w:space="0"/>
            </w:tcBorders>
            <w:shd w:val="pct10" w:color="auto" w:fill="FFFFFF" w:themeFill="background1"/>
            <w:vAlign w:val="center"/>
          </w:tcPr>
          <w:p>
            <w:pPr>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序号</w:t>
            </w:r>
          </w:p>
        </w:tc>
        <w:tc>
          <w:tcPr>
            <w:tcW w:w="2593" w:type="dxa"/>
            <w:tcBorders>
              <w:top w:val="single" w:color="000000" w:sz="4" w:space="0"/>
              <w:left w:val="single" w:color="000000" w:sz="4" w:space="0"/>
              <w:bottom w:val="single" w:color="000000" w:sz="4" w:space="0"/>
              <w:right w:val="single" w:color="000000" w:sz="4" w:space="0"/>
            </w:tcBorders>
            <w:shd w:val="pct10" w:color="auto" w:fill="FFFFFF" w:themeFill="background1"/>
            <w:vAlign w:val="center"/>
          </w:tcPr>
          <w:p>
            <w:pPr>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招标文件条款内容</w:t>
            </w:r>
          </w:p>
        </w:tc>
        <w:tc>
          <w:tcPr>
            <w:tcW w:w="2593" w:type="dxa"/>
            <w:tcBorders>
              <w:top w:val="single" w:color="000000" w:sz="4" w:space="0"/>
              <w:left w:val="single" w:color="000000" w:sz="4" w:space="0"/>
              <w:bottom w:val="single" w:color="000000" w:sz="4" w:space="0"/>
              <w:right w:val="single" w:color="000000" w:sz="4" w:space="0"/>
            </w:tcBorders>
            <w:shd w:val="pct10" w:color="auto" w:fill="FFFFFF" w:themeFill="background1"/>
            <w:vAlign w:val="center"/>
          </w:tcPr>
          <w:p>
            <w:pPr>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投标文件条款部分</w:t>
            </w:r>
          </w:p>
        </w:tc>
        <w:tc>
          <w:tcPr>
            <w:tcW w:w="1518" w:type="dxa"/>
            <w:tcBorders>
              <w:top w:val="single" w:color="000000" w:sz="4" w:space="0"/>
              <w:left w:val="single" w:color="000000" w:sz="4" w:space="0"/>
              <w:bottom w:val="single" w:color="000000" w:sz="4" w:space="0"/>
              <w:right w:val="single" w:color="000000" w:sz="4" w:space="0"/>
            </w:tcBorders>
            <w:shd w:val="pct10" w:color="auto" w:fill="FFFFFF" w:themeFill="background1"/>
            <w:vAlign w:val="center"/>
          </w:tcPr>
          <w:p>
            <w:pPr>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偏离说明</w:t>
            </w:r>
          </w:p>
        </w:tc>
        <w:tc>
          <w:tcPr>
            <w:tcW w:w="1518" w:type="dxa"/>
            <w:tcBorders>
              <w:top w:val="single" w:color="000000" w:sz="4" w:space="0"/>
              <w:left w:val="single" w:color="000000" w:sz="4" w:space="0"/>
              <w:bottom w:val="single" w:color="000000" w:sz="4" w:space="0"/>
              <w:right w:val="single" w:color="000000" w:sz="4" w:space="0"/>
            </w:tcBorders>
            <w:shd w:val="pct10" w:color="auto" w:fill="FFFFFF" w:themeFill="background1"/>
          </w:tcPr>
          <w:p>
            <w:pPr>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投标文件中对应的页码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6"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b/>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6"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b/>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6"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b/>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6"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b/>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6"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b/>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1"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w:t>
            </w: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2593"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c>
          <w:tcPr>
            <w:tcW w:w="151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宋体" w:hAnsi="宋体" w:cs="宋体"/>
                <w:color w:val="auto"/>
                <w:sz w:val="24"/>
                <w:szCs w:val="24"/>
                <w:highlight w:val="none"/>
              </w:rPr>
            </w:pPr>
          </w:p>
        </w:tc>
      </w:tr>
    </w:tbl>
    <w:p>
      <w:pPr>
        <w:jc w:val="left"/>
        <w:rPr>
          <w:rStyle w:val="21"/>
          <w:rFonts w:ascii="宋体" w:hAnsi="宋体" w:cs="宋体"/>
          <w:color w:val="auto"/>
          <w:sz w:val="24"/>
          <w:szCs w:val="24"/>
          <w:highlight w:val="none"/>
        </w:rPr>
      </w:pPr>
      <w:r>
        <w:rPr>
          <w:rStyle w:val="21"/>
          <w:rFonts w:hint="eastAsia" w:ascii="宋体" w:hAnsi="宋体" w:cs="宋体"/>
          <w:color w:val="auto"/>
          <w:sz w:val="24"/>
          <w:szCs w:val="24"/>
          <w:highlight w:val="none"/>
        </w:rPr>
        <w:t>注：1.供应商须对照招标文件第四章“评审方法、步骤及标准”中“符合性检查”关于招标文件第三章“采购需求”中标技术要求和商务要求”的条款进行逐项说明是否满足要求，并附相关证明文件，同时将相关证明文件的相应页码填写到上表“投标文件中对应的页码”中。</w:t>
      </w:r>
    </w:p>
    <w:p>
      <w:pPr>
        <w:pStyle w:val="152"/>
        <w:jc w:val="both"/>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3.11供应商认为有必要提供的声明及文件资料</w:t>
      </w:r>
    </w:p>
    <w:p>
      <w:pPr>
        <w:pStyle w:val="153"/>
        <w:rPr>
          <w:rStyle w:val="21"/>
          <w:rFonts w:ascii="宋体" w:hAnsi="宋体" w:cs="宋体"/>
          <w:b/>
          <w:color w:val="auto"/>
          <w:sz w:val="24"/>
          <w:highlight w:val="none"/>
        </w:rPr>
      </w:pPr>
      <w:r>
        <w:rPr>
          <w:rStyle w:val="21"/>
          <w:rFonts w:hint="eastAsia" w:ascii="宋体" w:hAnsi="宋体" w:cs="宋体"/>
          <w:b/>
          <w:color w:val="auto"/>
          <w:sz w:val="24"/>
          <w:highlight w:val="none"/>
        </w:rPr>
        <w:t>附：</w:t>
      </w:r>
    </w:p>
    <w:p>
      <w:pPr>
        <w:pStyle w:val="153"/>
        <w:rPr>
          <w:rStyle w:val="21"/>
          <w:rFonts w:ascii="宋体" w:hAnsi="宋体" w:cs="宋体"/>
          <w:b/>
          <w:color w:val="auto"/>
          <w:sz w:val="24"/>
          <w:highlight w:val="none"/>
        </w:rPr>
      </w:pPr>
      <w:r>
        <w:rPr>
          <w:rStyle w:val="21"/>
          <w:rFonts w:hint="eastAsia" w:ascii="宋体" w:hAnsi="宋体" w:cs="宋体"/>
          <w:b/>
          <w:color w:val="auto"/>
          <w:sz w:val="24"/>
          <w:highlight w:val="none"/>
        </w:rPr>
        <w:t>1）进口原装产品明细表</w:t>
      </w:r>
    </w:p>
    <w:p>
      <w:pPr>
        <w:pStyle w:val="154"/>
        <w:spacing w:line="360" w:lineRule="auto"/>
        <w:ind w:left="0" w:leftChars="0" w:firstLineChars="0"/>
        <w:rPr>
          <w:rStyle w:val="21"/>
          <w:rFonts w:ascii="宋体" w:hAnsi="宋体" w:cs="宋体"/>
          <w:color w:val="auto"/>
          <w:highlight w:val="none"/>
        </w:rPr>
      </w:pPr>
      <w:r>
        <w:rPr>
          <w:rStyle w:val="21"/>
          <w:rFonts w:hint="eastAsia" w:ascii="宋体" w:hAnsi="宋体" w:cs="宋体"/>
          <w:color w:val="auto"/>
          <w:highlight w:val="none"/>
        </w:rPr>
        <w:t>项目编号、包号：价格单位：元</w:t>
      </w:r>
    </w:p>
    <w:tbl>
      <w:tblPr>
        <w:tblStyle w:val="18"/>
        <w:tblW w:w="9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1719"/>
        <w:gridCol w:w="1719"/>
        <w:gridCol w:w="2110"/>
        <w:gridCol w:w="1331"/>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872" w:type="dxa"/>
            <w:tcBorders>
              <w:top w:val="single" w:color="000000" w:sz="12" w:space="0"/>
              <w:left w:val="single" w:color="000000" w:sz="12"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序号</w:t>
            </w:r>
          </w:p>
        </w:tc>
        <w:tc>
          <w:tcPr>
            <w:tcW w:w="1719" w:type="dxa"/>
            <w:tcBorders>
              <w:top w:val="single" w:color="000000" w:sz="12" w:space="0"/>
              <w:left w:val="single" w:color="000000" w:sz="4" w:space="0"/>
              <w:bottom w:val="single" w:color="000000" w:sz="4" w:space="0"/>
              <w:right w:val="single" w:color="000000" w:sz="4" w:space="0"/>
            </w:tcBorders>
          </w:tcPr>
          <w:p>
            <w:pPr>
              <w:pStyle w:val="153"/>
              <w:tabs>
                <w:tab w:val="center" w:pos="4777"/>
              </w:tabs>
              <w:spacing w:line="360" w:lineRule="auto"/>
              <w:ind w:right="-8439" w:firstLine="240" w:firstLineChars="100"/>
              <w:jc w:val="left"/>
              <w:rPr>
                <w:rStyle w:val="21"/>
                <w:rFonts w:ascii="宋体" w:hAnsi="宋体" w:cs="宋体"/>
                <w:color w:val="auto"/>
                <w:sz w:val="24"/>
                <w:highlight w:val="none"/>
              </w:rPr>
            </w:pPr>
            <w:r>
              <w:rPr>
                <w:rStyle w:val="21"/>
                <w:rFonts w:hint="eastAsia" w:ascii="宋体" w:hAnsi="宋体" w:cs="宋体"/>
                <w:color w:val="auto"/>
                <w:sz w:val="24"/>
                <w:highlight w:val="none"/>
              </w:rPr>
              <w:t>产品名称</w:t>
            </w:r>
            <w:r>
              <w:rPr>
                <w:rStyle w:val="21"/>
                <w:rFonts w:hint="eastAsia" w:ascii="宋体" w:hAnsi="宋体" w:cs="宋体"/>
                <w:color w:val="auto"/>
                <w:sz w:val="24"/>
                <w:highlight w:val="none"/>
              </w:rPr>
              <w:tab/>
            </w:r>
            <w:r>
              <w:rPr>
                <w:rStyle w:val="21"/>
                <w:rFonts w:hint="eastAsia" w:ascii="宋体" w:hAnsi="宋体" w:cs="宋体"/>
                <w:color w:val="auto"/>
                <w:sz w:val="24"/>
                <w:highlight w:val="none"/>
              </w:rPr>
              <w:t>产品名称</w:t>
            </w:r>
            <w:r>
              <w:rPr>
                <w:rStyle w:val="21"/>
                <w:rFonts w:hint="eastAsia" w:ascii="宋体" w:hAnsi="宋体" w:cs="宋体"/>
                <w:color w:val="auto"/>
                <w:sz w:val="24"/>
                <w:highlight w:val="none"/>
              </w:rPr>
              <w:tab/>
            </w:r>
            <w:r>
              <w:rPr>
                <w:rStyle w:val="21"/>
                <w:rFonts w:hint="eastAsia" w:ascii="宋体" w:hAnsi="宋体" w:cs="宋体"/>
                <w:color w:val="auto"/>
                <w:sz w:val="24"/>
                <w:highlight w:val="none"/>
              </w:rPr>
              <w:t>产品名称</w:t>
            </w:r>
          </w:p>
        </w:tc>
        <w:tc>
          <w:tcPr>
            <w:tcW w:w="1719"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品牌型号</w:t>
            </w:r>
          </w:p>
        </w:tc>
        <w:tc>
          <w:tcPr>
            <w:tcW w:w="2110"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制造商</w:t>
            </w:r>
          </w:p>
        </w:tc>
        <w:tc>
          <w:tcPr>
            <w:tcW w:w="1331"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产地</w:t>
            </w:r>
          </w:p>
        </w:tc>
        <w:tc>
          <w:tcPr>
            <w:tcW w:w="1525" w:type="dxa"/>
            <w:tcBorders>
              <w:top w:val="single" w:color="000000" w:sz="12" w:space="0"/>
              <w:left w:val="single" w:color="000000" w:sz="4" w:space="0"/>
              <w:bottom w:val="single" w:color="000000" w:sz="4" w:space="0"/>
              <w:right w:val="single" w:color="000000" w:sz="12"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872"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1</w:t>
            </w: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110"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525"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872"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2</w:t>
            </w: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110"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525"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872"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3</w:t>
            </w: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p>
            <w:pPr>
              <w:pStyle w:val="153"/>
              <w:spacing w:line="360" w:lineRule="auto"/>
              <w:ind w:right="480"/>
              <w:rPr>
                <w:rStyle w:val="21"/>
                <w:rFonts w:ascii="宋体" w:hAnsi="宋体" w:cs="宋体"/>
                <w:color w:val="auto"/>
                <w:sz w:val="24"/>
                <w:highlight w:val="none"/>
              </w:rPr>
            </w:pPr>
            <w:r>
              <w:rPr>
                <w:rStyle w:val="21"/>
                <w:rFonts w:hint="eastAsia" w:ascii="宋体" w:hAnsi="宋体" w:cs="宋体"/>
                <w:color w:val="auto"/>
                <w:sz w:val="24"/>
                <w:highlight w:val="none"/>
              </w:rPr>
              <w:t>…</w:t>
            </w: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110"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525"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872" w:type="dxa"/>
            <w:tcBorders>
              <w:top w:val="single" w:color="000000" w:sz="4" w:space="0"/>
              <w:left w:val="single" w:color="000000" w:sz="12" w:space="0"/>
              <w:bottom w:val="single" w:color="000000" w:sz="12"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4</w:t>
            </w:r>
          </w:p>
        </w:tc>
        <w:tc>
          <w:tcPr>
            <w:tcW w:w="1719" w:type="dxa"/>
            <w:tcBorders>
              <w:top w:val="single" w:color="000000" w:sz="4" w:space="0"/>
              <w:left w:val="single" w:color="000000" w:sz="4" w:space="0"/>
              <w:bottom w:val="single" w:color="000000" w:sz="12" w:space="0"/>
              <w:right w:val="single" w:color="000000" w:sz="4" w:space="0"/>
            </w:tcBorders>
            <w:vAlign w:val="center"/>
          </w:tcPr>
          <w:p>
            <w:pPr>
              <w:pStyle w:val="153"/>
              <w:spacing w:line="360" w:lineRule="auto"/>
              <w:ind w:right="154" w:firstLine="120" w:firstLineChars="50"/>
              <w:jc w:val="center"/>
              <w:rPr>
                <w:rStyle w:val="21"/>
                <w:rFonts w:ascii="宋体" w:hAnsi="宋体" w:cs="宋体"/>
                <w:color w:val="auto"/>
                <w:sz w:val="24"/>
                <w:highlight w:val="none"/>
              </w:rPr>
            </w:pPr>
            <w:r>
              <w:rPr>
                <w:rStyle w:val="21"/>
                <w:rFonts w:hint="eastAsia" w:ascii="宋体" w:hAnsi="宋体" w:cs="宋体"/>
                <w:color w:val="auto"/>
                <w:sz w:val="24"/>
                <w:highlight w:val="none"/>
              </w:rPr>
              <w:t>合计</w:t>
            </w:r>
          </w:p>
        </w:tc>
        <w:tc>
          <w:tcPr>
            <w:tcW w:w="1719"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110"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525" w:type="dxa"/>
            <w:tcBorders>
              <w:top w:val="single" w:color="000000" w:sz="4" w:space="0"/>
              <w:left w:val="single" w:color="000000" w:sz="4" w:space="0"/>
              <w:bottom w:val="single" w:color="000000" w:sz="12" w:space="0"/>
              <w:right w:val="single" w:color="000000" w:sz="12" w:space="0"/>
            </w:tcBorders>
          </w:tcPr>
          <w:p>
            <w:pPr>
              <w:pStyle w:val="153"/>
              <w:spacing w:line="360" w:lineRule="auto"/>
              <w:ind w:right="480"/>
              <w:rPr>
                <w:rStyle w:val="21"/>
                <w:rFonts w:ascii="宋体" w:hAnsi="宋体" w:cs="宋体"/>
                <w:color w:val="auto"/>
                <w:sz w:val="24"/>
                <w:highlight w:val="none"/>
              </w:rPr>
            </w:pPr>
          </w:p>
        </w:tc>
      </w:tr>
    </w:tbl>
    <w:p>
      <w:pPr>
        <w:pStyle w:val="153"/>
        <w:spacing w:line="360" w:lineRule="auto"/>
        <w:ind w:left="1080" w:right="-670" w:hanging="1080"/>
        <w:rPr>
          <w:rStyle w:val="21"/>
          <w:rFonts w:ascii="宋体" w:hAnsi="宋体" w:cs="宋体"/>
          <w:color w:val="auto"/>
          <w:sz w:val="24"/>
          <w:highlight w:val="none"/>
        </w:rPr>
      </w:pPr>
      <w:r>
        <w:rPr>
          <w:rStyle w:val="21"/>
          <w:rFonts w:hint="eastAsia" w:ascii="宋体" w:hAnsi="宋体" w:cs="宋体"/>
          <w:color w:val="auto"/>
          <w:sz w:val="24"/>
          <w:highlight w:val="none"/>
        </w:rPr>
        <w:t>说明：如所投产品为进口产品，须按规定格式逐项填写。</w:t>
      </w:r>
    </w:p>
    <w:p>
      <w:pPr>
        <w:pStyle w:val="153"/>
        <w:spacing w:line="360" w:lineRule="auto"/>
        <w:ind w:left="1080" w:right="-670" w:hanging="1080"/>
        <w:rPr>
          <w:rStyle w:val="21"/>
          <w:rFonts w:ascii="宋体" w:hAnsi="宋体" w:cs="宋体"/>
          <w:color w:val="auto"/>
          <w:sz w:val="24"/>
          <w:highlight w:val="none"/>
        </w:rPr>
      </w:pPr>
    </w:p>
    <w:p>
      <w:pPr>
        <w:pStyle w:val="153"/>
        <w:spacing w:line="360" w:lineRule="auto"/>
        <w:ind w:left="7560" w:right="-97" w:hanging="7560"/>
        <w:jc w:val="right"/>
        <w:rPr>
          <w:rStyle w:val="21"/>
          <w:rFonts w:ascii="宋体" w:hAnsi="宋体" w:cs="宋体"/>
          <w:color w:val="auto"/>
          <w:sz w:val="24"/>
          <w:highlight w:val="none"/>
        </w:rPr>
      </w:pPr>
      <w:r>
        <w:rPr>
          <w:rStyle w:val="21"/>
          <w:rFonts w:hint="eastAsia" w:ascii="宋体" w:hAnsi="宋体" w:cs="宋体"/>
          <w:color w:val="auto"/>
          <w:sz w:val="24"/>
          <w:highlight w:val="none"/>
        </w:rPr>
        <w:t>年月日</w:t>
      </w:r>
    </w:p>
    <w:p>
      <w:pPr>
        <w:pStyle w:val="153"/>
        <w:rPr>
          <w:rStyle w:val="21"/>
          <w:rFonts w:ascii="宋体" w:hAnsi="宋体" w:cs="宋体"/>
          <w:b/>
          <w:color w:val="auto"/>
          <w:szCs w:val="21"/>
          <w:highlight w:val="none"/>
        </w:rPr>
      </w:pPr>
      <w:r>
        <w:rPr>
          <w:rStyle w:val="21"/>
          <w:rFonts w:hint="eastAsia" w:ascii="宋体" w:hAnsi="宋体" w:cs="宋体"/>
          <w:b/>
          <w:color w:val="auto"/>
          <w:szCs w:val="21"/>
          <w:highlight w:val="none"/>
        </w:rPr>
        <w:br w:type="page"/>
      </w:r>
    </w:p>
    <w:p>
      <w:pPr>
        <w:pStyle w:val="153"/>
        <w:rPr>
          <w:rStyle w:val="21"/>
          <w:rFonts w:ascii="宋体" w:hAnsi="宋体" w:cs="宋体"/>
          <w:b/>
          <w:color w:val="auto"/>
          <w:sz w:val="24"/>
          <w:highlight w:val="none"/>
        </w:rPr>
      </w:pPr>
      <w:r>
        <w:rPr>
          <w:rStyle w:val="21"/>
          <w:rFonts w:hint="eastAsia" w:ascii="宋体" w:hAnsi="宋体" w:cs="宋体"/>
          <w:b/>
          <w:color w:val="auto"/>
          <w:szCs w:val="21"/>
          <w:highlight w:val="none"/>
        </w:rPr>
        <w:t>2）</w:t>
      </w:r>
      <w:r>
        <w:rPr>
          <w:rStyle w:val="21"/>
          <w:rFonts w:hint="eastAsia" w:ascii="宋体" w:hAnsi="宋体" w:cs="宋体"/>
          <w:b/>
          <w:color w:val="auto"/>
          <w:sz w:val="24"/>
          <w:highlight w:val="none"/>
        </w:rPr>
        <w:t>环境标志产品明细表</w:t>
      </w:r>
    </w:p>
    <w:p>
      <w:pPr>
        <w:pStyle w:val="154"/>
        <w:spacing w:line="360" w:lineRule="auto"/>
        <w:ind w:left="0" w:leftChars="0" w:firstLineChars="0"/>
        <w:rPr>
          <w:rStyle w:val="21"/>
          <w:rFonts w:ascii="宋体" w:hAnsi="宋体" w:cs="宋体"/>
          <w:color w:val="auto"/>
          <w:highlight w:val="none"/>
        </w:rPr>
      </w:pPr>
      <w:r>
        <w:rPr>
          <w:rStyle w:val="21"/>
          <w:rFonts w:hint="eastAsia" w:ascii="宋体" w:hAnsi="宋体" w:cs="宋体"/>
          <w:color w:val="auto"/>
          <w:highlight w:val="none"/>
        </w:rPr>
        <w:t>项目编号、包号：价格单位：元</w:t>
      </w:r>
    </w:p>
    <w:tbl>
      <w:tblPr>
        <w:tblStyle w:val="18"/>
        <w:tblW w:w="10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331"/>
        <w:gridCol w:w="1331"/>
        <w:gridCol w:w="1331"/>
        <w:gridCol w:w="1331"/>
        <w:gridCol w:w="1791"/>
        <w:gridCol w:w="1830"/>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58" w:type="dxa"/>
            <w:tcBorders>
              <w:top w:val="single" w:color="000000" w:sz="12" w:space="0"/>
              <w:left w:val="single" w:color="000000" w:sz="12"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序号</w:t>
            </w:r>
          </w:p>
        </w:tc>
        <w:tc>
          <w:tcPr>
            <w:tcW w:w="1331" w:type="dxa"/>
            <w:tcBorders>
              <w:top w:val="single" w:color="000000" w:sz="12" w:space="0"/>
              <w:left w:val="single" w:color="000000" w:sz="4" w:space="0"/>
              <w:bottom w:val="single" w:color="000000" w:sz="4" w:space="0"/>
              <w:right w:val="single" w:color="000000" w:sz="4" w:space="0"/>
            </w:tcBorders>
          </w:tcPr>
          <w:p>
            <w:pPr>
              <w:pStyle w:val="153"/>
              <w:tabs>
                <w:tab w:val="left" w:pos="60"/>
                <w:tab w:val="center" w:pos="4777"/>
              </w:tabs>
              <w:spacing w:line="360" w:lineRule="auto"/>
              <w:ind w:right="-8439"/>
              <w:jc w:val="left"/>
              <w:rPr>
                <w:rStyle w:val="21"/>
                <w:rFonts w:ascii="宋体" w:hAnsi="宋体" w:cs="宋体"/>
                <w:color w:val="auto"/>
                <w:sz w:val="24"/>
                <w:highlight w:val="none"/>
              </w:rPr>
            </w:pPr>
            <w:r>
              <w:rPr>
                <w:rStyle w:val="21"/>
                <w:rFonts w:hint="eastAsia" w:ascii="宋体" w:hAnsi="宋体" w:cs="宋体"/>
                <w:color w:val="auto"/>
                <w:sz w:val="24"/>
                <w:highlight w:val="none"/>
              </w:rPr>
              <w:tab/>
            </w:r>
            <w:r>
              <w:rPr>
                <w:rStyle w:val="21"/>
                <w:rFonts w:hint="eastAsia" w:ascii="宋体" w:hAnsi="宋体" w:cs="宋体"/>
                <w:color w:val="auto"/>
                <w:sz w:val="24"/>
                <w:highlight w:val="none"/>
              </w:rPr>
              <w:t>产品名称</w:t>
            </w:r>
            <w:r>
              <w:rPr>
                <w:rStyle w:val="21"/>
                <w:rFonts w:hint="eastAsia" w:ascii="宋体" w:hAnsi="宋体" w:cs="宋体"/>
                <w:color w:val="auto"/>
                <w:sz w:val="24"/>
                <w:highlight w:val="none"/>
              </w:rPr>
              <w:tab/>
            </w:r>
            <w:r>
              <w:rPr>
                <w:rStyle w:val="21"/>
                <w:rFonts w:hint="eastAsia" w:ascii="宋体" w:hAnsi="宋体" w:cs="宋体"/>
                <w:color w:val="auto"/>
                <w:sz w:val="24"/>
                <w:highlight w:val="none"/>
              </w:rPr>
              <w:t>产品名称</w:t>
            </w:r>
          </w:p>
        </w:tc>
        <w:tc>
          <w:tcPr>
            <w:tcW w:w="1331"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企业名称</w:t>
            </w:r>
          </w:p>
        </w:tc>
        <w:tc>
          <w:tcPr>
            <w:tcW w:w="1331"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注册商标</w:t>
            </w:r>
          </w:p>
        </w:tc>
        <w:tc>
          <w:tcPr>
            <w:tcW w:w="1331"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规格型号</w:t>
            </w:r>
          </w:p>
        </w:tc>
        <w:tc>
          <w:tcPr>
            <w:tcW w:w="1791"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中国环境标志认证证书编号</w:t>
            </w:r>
          </w:p>
        </w:tc>
        <w:tc>
          <w:tcPr>
            <w:tcW w:w="1830"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认证证书有效截止日期</w:t>
            </w:r>
          </w:p>
        </w:tc>
        <w:tc>
          <w:tcPr>
            <w:tcW w:w="955" w:type="dxa"/>
            <w:tcBorders>
              <w:top w:val="single" w:color="000000" w:sz="12" w:space="0"/>
              <w:left w:val="single" w:color="000000" w:sz="4" w:space="0"/>
              <w:bottom w:val="single" w:color="000000" w:sz="4" w:space="0"/>
              <w:right w:val="single" w:color="000000" w:sz="12"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758"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1</w:t>
            </w: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9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955"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758"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2</w:t>
            </w: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9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955"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758"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3</w:t>
            </w: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p>
            <w:pPr>
              <w:pStyle w:val="153"/>
              <w:spacing w:line="360" w:lineRule="auto"/>
              <w:ind w:right="480"/>
              <w:rPr>
                <w:rStyle w:val="21"/>
                <w:rFonts w:ascii="宋体" w:hAnsi="宋体" w:cs="宋体"/>
                <w:color w:val="auto"/>
                <w:sz w:val="24"/>
                <w:highlight w:val="none"/>
              </w:rPr>
            </w:pPr>
            <w:r>
              <w:rPr>
                <w:rStyle w:val="21"/>
                <w:rFonts w:hint="eastAsia" w:ascii="宋体" w:hAnsi="宋体" w:cs="宋体"/>
                <w:color w:val="auto"/>
                <w:sz w:val="24"/>
                <w:highlight w:val="none"/>
              </w:rPr>
              <w:t>…</w:t>
            </w: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9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830"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955"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758" w:type="dxa"/>
            <w:tcBorders>
              <w:top w:val="single" w:color="000000" w:sz="4" w:space="0"/>
              <w:left w:val="single" w:color="000000" w:sz="12" w:space="0"/>
              <w:bottom w:val="single" w:color="000000" w:sz="12"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4</w:t>
            </w:r>
          </w:p>
        </w:tc>
        <w:tc>
          <w:tcPr>
            <w:tcW w:w="1331" w:type="dxa"/>
            <w:tcBorders>
              <w:top w:val="single" w:color="000000" w:sz="4" w:space="0"/>
              <w:left w:val="single" w:color="000000" w:sz="4" w:space="0"/>
              <w:bottom w:val="single" w:color="000000" w:sz="12" w:space="0"/>
              <w:right w:val="single" w:color="000000" w:sz="4" w:space="0"/>
            </w:tcBorders>
            <w:vAlign w:val="center"/>
          </w:tcPr>
          <w:p>
            <w:pPr>
              <w:pStyle w:val="153"/>
              <w:spacing w:line="360" w:lineRule="auto"/>
              <w:ind w:right="154" w:firstLine="120" w:firstLineChars="50"/>
              <w:jc w:val="center"/>
              <w:rPr>
                <w:rStyle w:val="21"/>
                <w:rFonts w:ascii="宋体" w:hAnsi="宋体" w:cs="宋体"/>
                <w:color w:val="auto"/>
                <w:sz w:val="24"/>
                <w:highlight w:val="none"/>
              </w:rPr>
            </w:pPr>
            <w:r>
              <w:rPr>
                <w:rStyle w:val="21"/>
                <w:rFonts w:hint="eastAsia" w:ascii="宋体" w:hAnsi="宋体" w:cs="宋体"/>
                <w:color w:val="auto"/>
                <w:sz w:val="24"/>
                <w:highlight w:val="none"/>
              </w:rPr>
              <w:t>合计</w:t>
            </w:r>
          </w:p>
        </w:tc>
        <w:tc>
          <w:tcPr>
            <w:tcW w:w="1331"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1"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91"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830"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955" w:type="dxa"/>
            <w:tcBorders>
              <w:top w:val="single" w:color="000000" w:sz="4" w:space="0"/>
              <w:left w:val="single" w:color="000000" w:sz="4" w:space="0"/>
              <w:bottom w:val="single" w:color="000000" w:sz="12" w:space="0"/>
              <w:right w:val="single" w:color="000000" w:sz="12" w:space="0"/>
            </w:tcBorders>
          </w:tcPr>
          <w:p>
            <w:pPr>
              <w:pStyle w:val="153"/>
              <w:spacing w:line="360" w:lineRule="auto"/>
              <w:ind w:right="480"/>
              <w:rPr>
                <w:rStyle w:val="21"/>
                <w:rFonts w:ascii="宋体" w:hAnsi="宋体" w:cs="宋体"/>
                <w:color w:val="auto"/>
                <w:sz w:val="24"/>
                <w:highlight w:val="none"/>
              </w:rPr>
            </w:pPr>
          </w:p>
        </w:tc>
      </w:tr>
    </w:tbl>
    <w:p>
      <w:pPr>
        <w:pStyle w:val="153"/>
        <w:spacing w:line="360" w:lineRule="auto"/>
        <w:ind w:right="-88"/>
        <w:rPr>
          <w:rStyle w:val="21"/>
          <w:rFonts w:ascii="宋体" w:hAnsi="宋体" w:cs="宋体"/>
          <w:color w:val="auto"/>
          <w:sz w:val="24"/>
          <w:highlight w:val="none"/>
        </w:rPr>
      </w:pPr>
      <w:r>
        <w:rPr>
          <w:rStyle w:val="21"/>
          <w:rFonts w:hint="eastAsia" w:ascii="宋体" w:hAnsi="宋体" w:cs="宋体"/>
          <w:color w:val="auto"/>
          <w:sz w:val="24"/>
          <w:highlight w:val="none"/>
        </w:rPr>
        <w:t>说明：</w:t>
      </w:r>
    </w:p>
    <w:p>
      <w:pPr>
        <w:pStyle w:val="153"/>
        <w:spacing w:line="360" w:lineRule="auto"/>
        <w:ind w:right="-613"/>
        <w:rPr>
          <w:rStyle w:val="21"/>
          <w:rFonts w:ascii="宋体" w:hAnsi="宋体" w:cs="宋体"/>
          <w:color w:val="auto"/>
          <w:sz w:val="24"/>
          <w:highlight w:val="none"/>
        </w:rPr>
      </w:pPr>
      <w:r>
        <w:rPr>
          <w:rStyle w:val="21"/>
          <w:rFonts w:hint="eastAsia" w:ascii="宋体" w:hAnsi="宋体" w:cs="宋体"/>
          <w:color w:val="auto"/>
          <w:sz w:val="24"/>
          <w:highlight w:val="none"/>
        </w:rPr>
        <w:t>1、环境标志产品根据财政部、环境保护部最新公布的环境标志产品政府采购清单确定。</w:t>
      </w:r>
    </w:p>
    <w:p>
      <w:pPr>
        <w:pStyle w:val="153"/>
        <w:spacing w:line="360" w:lineRule="auto"/>
        <w:ind w:left="1" w:right="-97"/>
        <w:rPr>
          <w:rStyle w:val="21"/>
          <w:rFonts w:ascii="宋体" w:hAnsi="宋体" w:cs="宋体"/>
          <w:color w:val="auto"/>
          <w:sz w:val="24"/>
          <w:highlight w:val="none"/>
        </w:rPr>
      </w:pPr>
      <w:r>
        <w:rPr>
          <w:rStyle w:val="21"/>
          <w:rFonts w:hint="eastAsia" w:ascii="宋体" w:hAnsi="宋体" w:cs="宋体"/>
          <w:color w:val="auto"/>
          <w:sz w:val="24"/>
          <w:highlight w:val="none"/>
        </w:rPr>
        <w:t>2、如所投产品为环保产品，须提供所投产品在最新公布的环境标志产品政府采购清单所在页扫描件或相关网页截图，否则评分时不予认可。</w:t>
      </w:r>
    </w:p>
    <w:p>
      <w:pPr>
        <w:pStyle w:val="153"/>
        <w:spacing w:line="360" w:lineRule="auto"/>
        <w:ind w:right="-88"/>
        <w:rPr>
          <w:rStyle w:val="21"/>
          <w:rFonts w:ascii="宋体" w:hAnsi="宋体" w:cs="宋体"/>
          <w:color w:val="auto"/>
          <w:sz w:val="24"/>
          <w:highlight w:val="none"/>
        </w:rPr>
      </w:pPr>
      <w:r>
        <w:rPr>
          <w:rStyle w:val="21"/>
          <w:rFonts w:hint="eastAsia" w:ascii="宋体" w:hAnsi="宋体" w:cs="宋体"/>
          <w:color w:val="auto"/>
          <w:sz w:val="24"/>
          <w:highlight w:val="none"/>
        </w:rPr>
        <w:t>3、如所投产品为环保产品，须按规定格式逐项填写，否则评分时不予认可。如所投产品不是环保产品，可不填此表。</w:t>
      </w:r>
    </w:p>
    <w:p>
      <w:pPr>
        <w:pStyle w:val="153"/>
        <w:spacing w:line="360" w:lineRule="auto"/>
        <w:ind w:right="-88"/>
        <w:rPr>
          <w:rStyle w:val="21"/>
          <w:rFonts w:ascii="宋体" w:hAnsi="宋体" w:cs="宋体"/>
          <w:color w:val="auto"/>
          <w:sz w:val="24"/>
          <w:highlight w:val="none"/>
        </w:rPr>
      </w:pPr>
    </w:p>
    <w:p>
      <w:pPr>
        <w:pStyle w:val="153"/>
        <w:spacing w:line="360" w:lineRule="auto"/>
        <w:ind w:left="7560" w:right="-97" w:hanging="7560"/>
        <w:jc w:val="right"/>
        <w:rPr>
          <w:rStyle w:val="21"/>
          <w:rFonts w:ascii="宋体" w:hAnsi="宋体" w:cs="宋体"/>
          <w:color w:val="auto"/>
          <w:sz w:val="24"/>
          <w:highlight w:val="none"/>
        </w:rPr>
      </w:pPr>
      <w:r>
        <w:rPr>
          <w:rStyle w:val="21"/>
          <w:rFonts w:hint="eastAsia" w:ascii="宋体" w:hAnsi="宋体" w:cs="宋体"/>
          <w:color w:val="auto"/>
          <w:sz w:val="24"/>
          <w:highlight w:val="none"/>
        </w:rPr>
        <w:t>年月日</w:t>
      </w:r>
    </w:p>
    <w:p>
      <w:pPr>
        <w:pStyle w:val="153"/>
        <w:rPr>
          <w:rStyle w:val="21"/>
          <w:rFonts w:ascii="宋体" w:hAnsi="宋体" w:cs="宋体"/>
          <w:color w:val="auto"/>
          <w:sz w:val="24"/>
          <w:highlight w:val="none"/>
        </w:rPr>
      </w:pPr>
      <w:r>
        <w:rPr>
          <w:rStyle w:val="21"/>
          <w:rFonts w:hint="eastAsia" w:ascii="宋体" w:hAnsi="宋体" w:cs="宋体"/>
          <w:color w:val="auto"/>
          <w:sz w:val="24"/>
          <w:highlight w:val="none"/>
        </w:rPr>
        <w:br w:type="page"/>
      </w:r>
    </w:p>
    <w:p>
      <w:pPr>
        <w:pStyle w:val="153"/>
        <w:rPr>
          <w:rStyle w:val="21"/>
          <w:rFonts w:ascii="宋体" w:hAnsi="宋体" w:cs="宋体"/>
          <w:b/>
          <w:color w:val="auto"/>
          <w:sz w:val="24"/>
          <w:highlight w:val="none"/>
        </w:rPr>
      </w:pPr>
      <w:r>
        <w:rPr>
          <w:rStyle w:val="21"/>
          <w:rFonts w:hint="eastAsia" w:ascii="宋体" w:hAnsi="宋体" w:cs="宋体"/>
          <w:color w:val="auto"/>
          <w:sz w:val="24"/>
          <w:highlight w:val="none"/>
        </w:rPr>
        <w:t>3）</w:t>
      </w:r>
      <w:r>
        <w:rPr>
          <w:rStyle w:val="21"/>
          <w:rFonts w:hint="eastAsia" w:ascii="宋体" w:hAnsi="宋体" w:cs="宋体"/>
          <w:b/>
          <w:color w:val="auto"/>
          <w:sz w:val="24"/>
          <w:highlight w:val="none"/>
        </w:rPr>
        <w:t>节能产品明细表</w:t>
      </w:r>
    </w:p>
    <w:p>
      <w:pPr>
        <w:pStyle w:val="154"/>
        <w:spacing w:line="360" w:lineRule="auto"/>
        <w:ind w:left="0" w:leftChars="0" w:firstLineChars="0"/>
        <w:rPr>
          <w:rStyle w:val="21"/>
          <w:rFonts w:ascii="宋体" w:hAnsi="宋体" w:cs="宋体"/>
          <w:color w:val="auto"/>
          <w:highlight w:val="none"/>
        </w:rPr>
      </w:pPr>
      <w:r>
        <w:rPr>
          <w:rStyle w:val="21"/>
          <w:rFonts w:hint="eastAsia" w:ascii="宋体" w:hAnsi="宋体" w:cs="宋体"/>
          <w:color w:val="auto"/>
          <w:highlight w:val="none"/>
        </w:rPr>
        <w:t>项目编号、包号：价格单位：元</w:t>
      </w:r>
    </w:p>
    <w:tbl>
      <w:tblPr>
        <w:tblStyle w:val="18"/>
        <w:tblW w:w="10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1524"/>
        <w:gridCol w:w="1337"/>
        <w:gridCol w:w="1483"/>
        <w:gridCol w:w="1791"/>
        <w:gridCol w:w="2265"/>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76" w:type="dxa"/>
            <w:tcBorders>
              <w:top w:val="single" w:color="000000" w:sz="12" w:space="0"/>
              <w:left w:val="single" w:color="000000" w:sz="12"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序号</w:t>
            </w:r>
          </w:p>
        </w:tc>
        <w:tc>
          <w:tcPr>
            <w:tcW w:w="1524"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产品名称</w:t>
            </w:r>
          </w:p>
        </w:tc>
        <w:tc>
          <w:tcPr>
            <w:tcW w:w="1337"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制造商</w:t>
            </w:r>
          </w:p>
        </w:tc>
        <w:tc>
          <w:tcPr>
            <w:tcW w:w="1483"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产品型号</w:t>
            </w:r>
          </w:p>
        </w:tc>
        <w:tc>
          <w:tcPr>
            <w:tcW w:w="1791"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节能标志认证证书号</w:t>
            </w:r>
          </w:p>
        </w:tc>
        <w:tc>
          <w:tcPr>
            <w:tcW w:w="2265" w:type="dxa"/>
            <w:tcBorders>
              <w:top w:val="single" w:color="000000" w:sz="12" w:space="0"/>
              <w:left w:val="single" w:color="000000" w:sz="4" w:space="0"/>
              <w:bottom w:val="single" w:color="000000" w:sz="4" w:space="0"/>
              <w:right w:val="single" w:color="000000" w:sz="4"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节能产品认证证书有效截止日期</w:t>
            </w:r>
          </w:p>
        </w:tc>
        <w:tc>
          <w:tcPr>
            <w:tcW w:w="1337" w:type="dxa"/>
            <w:tcBorders>
              <w:top w:val="single" w:color="000000" w:sz="12" w:space="0"/>
              <w:left w:val="single" w:color="000000" w:sz="4" w:space="0"/>
              <w:bottom w:val="single" w:color="000000" w:sz="4" w:space="0"/>
              <w:right w:val="single" w:color="000000" w:sz="12" w:space="0"/>
            </w:tcBorders>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76"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1</w:t>
            </w:r>
          </w:p>
        </w:tc>
        <w:tc>
          <w:tcPr>
            <w:tcW w:w="1524"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7"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483"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9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265"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7"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76"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2</w:t>
            </w:r>
          </w:p>
        </w:tc>
        <w:tc>
          <w:tcPr>
            <w:tcW w:w="1524"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7"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483"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9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265"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7"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76"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3</w:t>
            </w:r>
          </w:p>
        </w:tc>
        <w:tc>
          <w:tcPr>
            <w:tcW w:w="1524"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firstLine="480" w:firstLineChars="200"/>
              <w:rPr>
                <w:rStyle w:val="21"/>
                <w:rFonts w:ascii="宋体" w:hAnsi="宋体" w:cs="宋体"/>
                <w:color w:val="auto"/>
                <w:sz w:val="24"/>
                <w:highlight w:val="none"/>
              </w:rPr>
            </w:pPr>
          </w:p>
          <w:p>
            <w:pPr>
              <w:pStyle w:val="153"/>
              <w:spacing w:line="360" w:lineRule="auto"/>
              <w:ind w:right="480" w:firstLine="600" w:firstLineChars="250"/>
              <w:rPr>
                <w:rStyle w:val="21"/>
                <w:rFonts w:ascii="宋体" w:hAnsi="宋体" w:cs="宋体"/>
                <w:color w:val="auto"/>
                <w:sz w:val="24"/>
                <w:highlight w:val="none"/>
              </w:rPr>
            </w:pPr>
            <w:r>
              <w:rPr>
                <w:rStyle w:val="21"/>
                <w:rFonts w:hint="eastAsia" w:ascii="宋体" w:hAnsi="宋体" w:cs="宋体"/>
                <w:color w:val="auto"/>
                <w:sz w:val="24"/>
                <w:highlight w:val="none"/>
              </w:rPr>
              <w:t>…</w:t>
            </w:r>
          </w:p>
        </w:tc>
        <w:tc>
          <w:tcPr>
            <w:tcW w:w="1337"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483"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9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265"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7"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76" w:type="dxa"/>
            <w:tcBorders>
              <w:top w:val="single" w:color="000000" w:sz="4" w:space="0"/>
              <w:left w:val="single" w:color="000000" w:sz="12" w:space="0"/>
              <w:bottom w:val="single" w:color="000000" w:sz="12"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240" w:firstLineChars="100"/>
              <w:rPr>
                <w:rStyle w:val="21"/>
                <w:rFonts w:ascii="宋体" w:hAnsi="宋体" w:cs="宋体"/>
                <w:color w:val="auto"/>
                <w:sz w:val="24"/>
                <w:highlight w:val="none"/>
              </w:rPr>
            </w:pPr>
            <w:r>
              <w:rPr>
                <w:rStyle w:val="21"/>
                <w:rFonts w:hint="eastAsia" w:ascii="宋体" w:hAnsi="宋体" w:cs="宋体"/>
                <w:color w:val="auto"/>
                <w:sz w:val="24"/>
                <w:highlight w:val="none"/>
              </w:rPr>
              <w:t>4</w:t>
            </w:r>
          </w:p>
        </w:tc>
        <w:tc>
          <w:tcPr>
            <w:tcW w:w="1524" w:type="dxa"/>
            <w:tcBorders>
              <w:top w:val="single" w:color="000000" w:sz="4" w:space="0"/>
              <w:left w:val="single" w:color="000000" w:sz="4" w:space="0"/>
              <w:bottom w:val="single" w:color="000000" w:sz="12" w:space="0"/>
              <w:right w:val="single" w:color="000000" w:sz="4" w:space="0"/>
            </w:tcBorders>
            <w:vAlign w:val="center"/>
          </w:tcPr>
          <w:p>
            <w:pPr>
              <w:pStyle w:val="153"/>
              <w:spacing w:line="360" w:lineRule="auto"/>
              <w:ind w:right="83" w:firstLine="120" w:firstLineChars="50"/>
              <w:jc w:val="center"/>
              <w:rPr>
                <w:rStyle w:val="21"/>
                <w:rFonts w:ascii="宋体" w:hAnsi="宋体" w:cs="宋体"/>
                <w:color w:val="auto"/>
                <w:sz w:val="24"/>
                <w:highlight w:val="none"/>
              </w:rPr>
            </w:pPr>
            <w:r>
              <w:rPr>
                <w:rStyle w:val="21"/>
                <w:rFonts w:hint="eastAsia" w:ascii="宋体" w:hAnsi="宋体" w:cs="宋体"/>
                <w:color w:val="auto"/>
                <w:sz w:val="24"/>
                <w:highlight w:val="none"/>
              </w:rPr>
              <w:t>合计</w:t>
            </w:r>
          </w:p>
        </w:tc>
        <w:tc>
          <w:tcPr>
            <w:tcW w:w="1337"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483"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91"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265"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337" w:type="dxa"/>
            <w:tcBorders>
              <w:top w:val="single" w:color="000000" w:sz="4" w:space="0"/>
              <w:left w:val="single" w:color="000000" w:sz="4" w:space="0"/>
              <w:bottom w:val="single" w:color="000000" w:sz="12" w:space="0"/>
              <w:right w:val="single" w:color="000000" w:sz="12" w:space="0"/>
            </w:tcBorders>
          </w:tcPr>
          <w:p>
            <w:pPr>
              <w:pStyle w:val="153"/>
              <w:spacing w:line="360" w:lineRule="auto"/>
              <w:ind w:right="480"/>
              <w:rPr>
                <w:rStyle w:val="21"/>
                <w:rFonts w:ascii="宋体" w:hAnsi="宋体" w:cs="宋体"/>
                <w:color w:val="auto"/>
                <w:sz w:val="24"/>
                <w:highlight w:val="none"/>
              </w:rPr>
            </w:pPr>
          </w:p>
        </w:tc>
      </w:tr>
    </w:tbl>
    <w:p>
      <w:pPr>
        <w:pStyle w:val="153"/>
        <w:spacing w:line="360" w:lineRule="auto"/>
        <w:ind w:left="1080" w:right="-96" w:hanging="1080"/>
        <w:rPr>
          <w:rStyle w:val="21"/>
          <w:rFonts w:ascii="宋体" w:hAnsi="宋体" w:cs="宋体"/>
          <w:color w:val="auto"/>
          <w:sz w:val="24"/>
          <w:highlight w:val="none"/>
        </w:rPr>
      </w:pPr>
      <w:r>
        <w:rPr>
          <w:rStyle w:val="21"/>
          <w:rFonts w:hint="eastAsia" w:ascii="宋体" w:hAnsi="宋体" w:cs="宋体"/>
          <w:color w:val="auto"/>
          <w:sz w:val="24"/>
          <w:highlight w:val="none"/>
        </w:rPr>
        <w:t>说明：</w:t>
      </w:r>
    </w:p>
    <w:p>
      <w:pPr>
        <w:pStyle w:val="153"/>
        <w:spacing w:line="360" w:lineRule="auto"/>
        <w:ind w:left="1080" w:right="-96" w:hanging="1080"/>
        <w:rPr>
          <w:rStyle w:val="21"/>
          <w:rFonts w:ascii="宋体" w:hAnsi="宋体" w:cs="宋体"/>
          <w:color w:val="auto"/>
          <w:sz w:val="24"/>
          <w:highlight w:val="none"/>
        </w:rPr>
      </w:pPr>
      <w:r>
        <w:rPr>
          <w:rStyle w:val="21"/>
          <w:rFonts w:hint="eastAsia" w:ascii="宋体" w:hAnsi="宋体" w:cs="宋体"/>
          <w:color w:val="auto"/>
          <w:sz w:val="24"/>
          <w:highlight w:val="none"/>
        </w:rPr>
        <w:t>1、节能产品根据财政部、国家发展改革委最新公布的节能产品政府采购清单确定。</w:t>
      </w:r>
    </w:p>
    <w:p>
      <w:pPr>
        <w:pStyle w:val="153"/>
        <w:spacing w:line="360" w:lineRule="auto"/>
        <w:ind w:right="-96"/>
        <w:rPr>
          <w:rStyle w:val="21"/>
          <w:rFonts w:ascii="宋体" w:hAnsi="宋体" w:cs="宋体"/>
          <w:color w:val="auto"/>
          <w:sz w:val="24"/>
          <w:highlight w:val="none"/>
        </w:rPr>
      </w:pPr>
      <w:r>
        <w:rPr>
          <w:rStyle w:val="21"/>
          <w:rFonts w:hint="eastAsia" w:ascii="宋体" w:hAnsi="宋体" w:cs="宋体"/>
          <w:color w:val="auto"/>
          <w:sz w:val="24"/>
          <w:highlight w:val="none"/>
        </w:rPr>
        <w:t>2、如所投产品为节能产品，须提供所投产品在最新公布的节能产品政府采购清单所在页扫描件或相关网页截图，否则评分时不予认可。</w:t>
      </w:r>
    </w:p>
    <w:p>
      <w:pPr>
        <w:pStyle w:val="153"/>
        <w:spacing w:line="360" w:lineRule="auto"/>
        <w:ind w:right="-96"/>
        <w:rPr>
          <w:rStyle w:val="21"/>
          <w:rFonts w:ascii="宋体" w:hAnsi="宋体" w:cs="宋体"/>
          <w:color w:val="auto"/>
          <w:sz w:val="24"/>
          <w:highlight w:val="none"/>
        </w:rPr>
      </w:pPr>
      <w:r>
        <w:rPr>
          <w:rStyle w:val="21"/>
          <w:rFonts w:hint="eastAsia" w:ascii="宋体" w:hAnsi="宋体" w:cs="宋体"/>
          <w:color w:val="auto"/>
          <w:sz w:val="24"/>
          <w:highlight w:val="none"/>
        </w:rPr>
        <w:t>3、如所投产品为节能产品，须按规定格式逐项填写，否则评分时不予认可。如所投产品不是节能产品，可不填此表。</w:t>
      </w:r>
    </w:p>
    <w:p>
      <w:pPr>
        <w:pStyle w:val="153"/>
        <w:spacing w:line="360" w:lineRule="auto"/>
        <w:ind w:right="-96"/>
        <w:rPr>
          <w:rStyle w:val="21"/>
          <w:rFonts w:ascii="宋体" w:hAnsi="宋体" w:cs="宋体"/>
          <w:color w:val="auto"/>
          <w:sz w:val="24"/>
          <w:highlight w:val="none"/>
        </w:rPr>
      </w:pPr>
    </w:p>
    <w:p>
      <w:pPr>
        <w:pStyle w:val="153"/>
        <w:spacing w:line="360" w:lineRule="auto"/>
        <w:ind w:right="17"/>
        <w:jc w:val="right"/>
        <w:rPr>
          <w:rStyle w:val="21"/>
          <w:rFonts w:ascii="宋体" w:hAnsi="宋体" w:cs="宋体"/>
          <w:color w:val="auto"/>
          <w:sz w:val="24"/>
          <w:highlight w:val="none"/>
        </w:rPr>
      </w:pPr>
      <w:r>
        <w:rPr>
          <w:rStyle w:val="21"/>
          <w:rFonts w:hint="eastAsia" w:ascii="宋体" w:hAnsi="宋体" w:cs="宋体"/>
          <w:color w:val="auto"/>
          <w:sz w:val="24"/>
          <w:highlight w:val="none"/>
        </w:rPr>
        <w:t>年月日</w:t>
      </w:r>
    </w:p>
    <w:p>
      <w:pPr>
        <w:pStyle w:val="153"/>
        <w:rPr>
          <w:rStyle w:val="21"/>
          <w:rFonts w:ascii="宋体" w:hAnsi="宋体" w:cs="宋体"/>
          <w:color w:val="auto"/>
          <w:szCs w:val="21"/>
          <w:highlight w:val="none"/>
        </w:rPr>
      </w:pPr>
      <w:r>
        <w:rPr>
          <w:rStyle w:val="21"/>
          <w:rFonts w:hint="eastAsia" w:ascii="宋体" w:hAnsi="宋体" w:cs="宋体"/>
          <w:color w:val="auto"/>
          <w:szCs w:val="21"/>
          <w:highlight w:val="none"/>
        </w:rPr>
        <w:br w:type="page"/>
      </w:r>
    </w:p>
    <w:p>
      <w:pPr>
        <w:pStyle w:val="153"/>
        <w:rPr>
          <w:rStyle w:val="21"/>
          <w:rFonts w:ascii="宋体" w:hAnsi="宋体" w:cs="宋体"/>
          <w:b/>
          <w:color w:val="auto"/>
          <w:sz w:val="24"/>
          <w:highlight w:val="none"/>
        </w:rPr>
      </w:pPr>
      <w:r>
        <w:rPr>
          <w:rStyle w:val="21"/>
          <w:rFonts w:hint="eastAsia" w:ascii="宋体" w:hAnsi="宋体" w:cs="宋体"/>
          <w:b/>
          <w:color w:val="auto"/>
          <w:sz w:val="24"/>
          <w:highlight w:val="none"/>
        </w:rPr>
        <w:t>4）中、小、微型企业产品明细表</w:t>
      </w:r>
    </w:p>
    <w:p>
      <w:pPr>
        <w:pStyle w:val="154"/>
        <w:spacing w:line="360" w:lineRule="auto"/>
        <w:ind w:left="0" w:leftChars="0" w:firstLineChars="0"/>
        <w:rPr>
          <w:rStyle w:val="21"/>
          <w:rFonts w:ascii="宋体" w:hAnsi="宋体" w:cs="宋体"/>
          <w:color w:val="auto"/>
          <w:highlight w:val="none"/>
        </w:rPr>
      </w:pPr>
      <w:r>
        <w:rPr>
          <w:rStyle w:val="21"/>
          <w:rFonts w:hint="eastAsia" w:ascii="宋体" w:hAnsi="宋体" w:cs="宋体"/>
          <w:color w:val="auto"/>
          <w:highlight w:val="none"/>
        </w:rPr>
        <w:t>项目编号、包号：价格单位：元</w:t>
      </w:r>
    </w:p>
    <w:tbl>
      <w:tblPr>
        <w:tblStyle w:val="18"/>
        <w:tblW w:w="8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1719"/>
        <w:gridCol w:w="2101"/>
        <w:gridCol w:w="1719"/>
        <w:gridCol w:w="2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955" w:type="dxa"/>
            <w:tcBorders>
              <w:top w:val="single" w:color="000000" w:sz="12" w:space="0"/>
              <w:left w:val="single" w:color="000000" w:sz="12" w:space="0"/>
              <w:bottom w:val="single" w:color="000000" w:sz="4" w:space="0"/>
              <w:right w:val="single" w:color="000000" w:sz="4" w:space="0"/>
            </w:tcBorders>
            <w:vAlign w:val="center"/>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序号</w:t>
            </w:r>
          </w:p>
        </w:tc>
        <w:tc>
          <w:tcPr>
            <w:tcW w:w="1719" w:type="dxa"/>
            <w:tcBorders>
              <w:top w:val="single" w:color="000000" w:sz="12" w:space="0"/>
              <w:left w:val="single" w:color="000000" w:sz="4" w:space="0"/>
              <w:bottom w:val="single" w:color="000000" w:sz="4" w:space="0"/>
              <w:right w:val="single" w:color="000000" w:sz="4" w:space="0"/>
            </w:tcBorders>
            <w:vAlign w:val="center"/>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产品名称</w:t>
            </w:r>
          </w:p>
        </w:tc>
        <w:tc>
          <w:tcPr>
            <w:tcW w:w="2101" w:type="dxa"/>
            <w:tcBorders>
              <w:top w:val="single" w:color="000000" w:sz="12" w:space="0"/>
              <w:left w:val="single" w:color="000000" w:sz="4" w:space="0"/>
              <w:bottom w:val="single" w:color="000000" w:sz="4" w:space="0"/>
              <w:right w:val="single" w:color="000000" w:sz="4" w:space="0"/>
            </w:tcBorders>
            <w:vAlign w:val="center"/>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制造商</w:t>
            </w:r>
          </w:p>
        </w:tc>
        <w:tc>
          <w:tcPr>
            <w:tcW w:w="1719" w:type="dxa"/>
            <w:tcBorders>
              <w:top w:val="single" w:color="000000" w:sz="12" w:space="0"/>
              <w:left w:val="single" w:color="000000" w:sz="4" w:space="0"/>
              <w:bottom w:val="single" w:color="000000" w:sz="4" w:space="0"/>
              <w:right w:val="single" w:color="000000" w:sz="4" w:space="0"/>
            </w:tcBorders>
            <w:vAlign w:val="center"/>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产品型号</w:t>
            </w:r>
          </w:p>
        </w:tc>
        <w:tc>
          <w:tcPr>
            <w:tcW w:w="2076" w:type="dxa"/>
            <w:tcBorders>
              <w:top w:val="single" w:color="000000" w:sz="12" w:space="0"/>
              <w:left w:val="single" w:color="000000" w:sz="4" w:space="0"/>
              <w:bottom w:val="single" w:color="000000" w:sz="4" w:space="0"/>
              <w:right w:val="single" w:color="000000" w:sz="12" w:space="0"/>
            </w:tcBorders>
            <w:vAlign w:val="center"/>
          </w:tcPr>
          <w:p>
            <w:pPr>
              <w:pStyle w:val="153"/>
              <w:spacing w:line="360" w:lineRule="auto"/>
              <w:jc w:val="center"/>
              <w:rPr>
                <w:rStyle w:val="21"/>
                <w:rFonts w:ascii="宋体" w:hAnsi="宋体" w:cs="宋体"/>
                <w:color w:val="auto"/>
                <w:sz w:val="24"/>
                <w:highlight w:val="none"/>
              </w:rPr>
            </w:pPr>
            <w:r>
              <w:rPr>
                <w:rStyle w:val="21"/>
                <w:rFonts w:hint="eastAsia" w:ascii="宋体" w:hAnsi="宋体" w:cs="宋体"/>
                <w:color w:val="auto"/>
                <w:sz w:val="24"/>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955"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240" w:firstLineChars="100"/>
              <w:rPr>
                <w:rStyle w:val="21"/>
                <w:rFonts w:ascii="宋体" w:hAnsi="宋体" w:cs="宋体"/>
                <w:color w:val="auto"/>
                <w:sz w:val="24"/>
                <w:highlight w:val="none"/>
              </w:rPr>
            </w:pPr>
          </w:p>
          <w:p>
            <w:pPr>
              <w:pStyle w:val="153"/>
              <w:spacing w:line="360" w:lineRule="auto"/>
              <w:ind w:right="480" w:firstLine="360" w:firstLineChars="150"/>
              <w:rPr>
                <w:rStyle w:val="21"/>
                <w:rFonts w:ascii="宋体" w:hAnsi="宋体" w:cs="宋体"/>
                <w:color w:val="auto"/>
                <w:sz w:val="24"/>
                <w:highlight w:val="none"/>
              </w:rPr>
            </w:pPr>
            <w:r>
              <w:rPr>
                <w:rStyle w:val="21"/>
                <w:rFonts w:hint="eastAsia" w:ascii="宋体" w:hAnsi="宋体" w:cs="宋体"/>
                <w:color w:val="auto"/>
                <w:sz w:val="24"/>
                <w:highlight w:val="none"/>
              </w:rPr>
              <w:t>1</w:t>
            </w: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10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076"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955"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360" w:firstLineChars="150"/>
              <w:rPr>
                <w:rStyle w:val="21"/>
                <w:rFonts w:ascii="宋体" w:hAnsi="宋体" w:cs="宋体"/>
                <w:color w:val="auto"/>
                <w:sz w:val="24"/>
                <w:highlight w:val="none"/>
              </w:rPr>
            </w:pPr>
          </w:p>
          <w:p>
            <w:pPr>
              <w:pStyle w:val="153"/>
              <w:spacing w:line="360" w:lineRule="auto"/>
              <w:ind w:right="480" w:firstLine="360" w:firstLineChars="150"/>
              <w:rPr>
                <w:rStyle w:val="21"/>
                <w:rFonts w:ascii="宋体" w:hAnsi="宋体" w:cs="宋体"/>
                <w:color w:val="auto"/>
                <w:sz w:val="24"/>
                <w:highlight w:val="none"/>
              </w:rPr>
            </w:pPr>
            <w:r>
              <w:rPr>
                <w:rStyle w:val="21"/>
                <w:rFonts w:hint="eastAsia" w:ascii="宋体" w:hAnsi="宋体" w:cs="宋体"/>
                <w:color w:val="auto"/>
                <w:sz w:val="24"/>
                <w:highlight w:val="none"/>
              </w:rPr>
              <w:t>2</w:t>
            </w: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10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076"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955" w:type="dxa"/>
            <w:tcBorders>
              <w:top w:val="single" w:color="000000" w:sz="4" w:space="0"/>
              <w:left w:val="single" w:color="000000" w:sz="12" w:space="0"/>
              <w:bottom w:val="single" w:color="000000" w:sz="4" w:space="0"/>
              <w:right w:val="single" w:color="000000" w:sz="4" w:space="0"/>
            </w:tcBorders>
          </w:tcPr>
          <w:p>
            <w:pPr>
              <w:pStyle w:val="153"/>
              <w:spacing w:line="360" w:lineRule="auto"/>
              <w:ind w:right="480" w:firstLine="360" w:firstLineChars="150"/>
              <w:rPr>
                <w:rStyle w:val="21"/>
                <w:rFonts w:ascii="宋体" w:hAnsi="宋体" w:cs="宋体"/>
                <w:color w:val="auto"/>
                <w:sz w:val="24"/>
                <w:highlight w:val="none"/>
              </w:rPr>
            </w:pPr>
          </w:p>
          <w:p>
            <w:pPr>
              <w:pStyle w:val="153"/>
              <w:spacing w:line="360" w:lineRule="auto"/>
              <w:ind w:right="480" w:firstLine="360" w:firstLineChars="150"/>
              <w:rPr>
                <w:rStyle w:val="21"/>
                <w:rFonts w:ascii="宋体" w:hAnsi="宋体" w:cs="宋体"/>
                <w:color w:val="auto"/>
                <w:sz w:val="24"/>
                <w:highlight w:val="none"/>
              </w:rPr>
            </w:pPr>
            <w:r>
              <w:rPr>
                <w:rStyle w:val="21"/>
                <w:rFonts w:hint="eastAsia" w:ascii="宋体" w:hAnsi="宋体" w:cs="宋体"/>
                <w:color w:val="auto"/>
                <w:sz w:val="24"/>
                <w:highlight w:val="none"/>
              </w:rPr>
              <w:t>3</w:t>
            </w: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p>
            <w:pPr>
              <w:pStyle w:val="153"/>
              <w:spacing w:line="360" w:lineRule="auto"/>
              <w:ind w:right="480" w:firstLine="720" w:firstLineChars="300"/>
              <w:rPr>
                <w:rStyle w:val="21"/>
                <w:rFonts w:ascii="宋体" w:hAnsi="宋体" w:cs="宋体"/>
                <w:color w:val="auto"/>
                <w:sz w:val="24"/>
                <w:highlight w:val="none"/>
              </w:rPr>
            </w:pPr>
            <w:r>
              <w:rPr>
                <w:rStyle w:val="21"/>
                <w:rFonts w:hint="eastAsia" w:ascii="宋体" w:hAnsi="宋体" w:cs="宋体"/>
                <w:color w:val="auto"/>
                <w:sz w:val="24"/>
                <w:highlight w:val="none"/>
              </w:rPr>
              <w:t>…</w:t>
            </w:r>
          </w:p>
        </w:tc>
        <w:tc>
          <w:tcPr>
            <w:tcW w:w="2101"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19" w:type="dxa"/>
            <w:tcBorders>
              <w:top w:val="single" w:color="000000" w:sz="4" w:space="0"/>
              <w:left w:val="single" w:color="000000" w:sz="4" w:space="0"/>
              <w:bottom w:val="single" w:color="000000" w:sz="4"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076" w:type="dxa"/>
            <w:tcBorders>
              <w:top w:val="single" w:color="000000" w:sz="4" w:space="0"/>
              <w:left w:val="single" w:color="000000" w:sz="4" w:space="0"/>
              <w:bottom w:val="single" w:color="000000" w:sz="4" w:space="0"/>
              <w:right w:val="single" w:color="000000" w:sz="12" w:space="0"/>
            </w:tcBorders>
          </w:tcPr>
          <w:p>
            <w:pPr>
              <w:pStyle w:val="153"/>
              <w:spacing w:line="360" w:lineRule="auto"/>
              <w:ind w:right="480"/>
              <w:rPr>
                <w:rStyle w:val="21"/>
                <w:rFonts w:ascii="宋体" w:hAnsi="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955" w:type="dxa"/>
            <w:tcBorders>
              <w:top w:val="single" w:color="000000" w:sz="4" w:space="0"/>
              <w:left w:val="single" w:color="000000" w:sz="12" w:space="0"/>
              <w:bottom w:val="single" w:color="000000" w:sz="12" w:space="0"/>
              <w:right w:val="single" w:color="000000" w:sz="4" w:space="0"/>
            </w:tcBorders>
          </w:tcPr>
          <w:p>
            <w:pPr>
              <w:pStyle w:val="153"/>
              <w:spacing w:line="360" w:lineRule="auto"/>
              <w:ind w:right="480" w:firstLine="360" w:firstLineChars="150"/>
              <w:rPr>
                <w:rStyle w:val="21"/>
                <w:rFonts w:ascii="宋体" w:hAnsi="宋体" w:cs="宋体"/>
                <w:color w:val="auto"/>
                <w:sz w:val="24"/>
                <w:highlight w:val="none"/>
              </w:rPr>
            </w:pPr>
          </w:p>
          <w:p>
            <w:pPr>
              <w:pStyle w:val="153"/>
              <w:spacing w:line="360" w:lineRule="auto"/>
              <w:ind w:right="480" w:firstLine="360" w:firstLineChars="150"/>
              <w:rPr>
                <w:rStyle w:val="21"/>
                <w:rFonts w:ascii="宋体" w:hAnsi="宋体" w:cs="宋体"/>
                <w:color w:val="auto"/>
                <w:sz w:val="24"/>
                <w:highlight w:val="none"/>
              </w:rPr>
            </w:pPr>
            <w:r>
              <w:rPr>
                <w:rStyle w:val="21"/>
                <w:rFonts w:hint="eastAsia" w:ascii="宋体" w:hAnsi="宋体" w:cs="宋体"/>
                <w:color w:val="auto"/>
                <w:sz w:val="24"/>
                <w:highlight w:val="none"/>
              </w:rPr>
              <w:t>4</w:t>
            </w:r>
          </w:p>
        </w:tc>
        <w:tc>
          <w:tcPr>
            <w:tcW w:w="1719" w:type="dxa"/>
            <w:tcBorders>
              <w:top w:val="single" w:color="000000" w:sz="4" w:space="0"/>
              <w:left w:val="single" w:color="000000" w:sz="4" w:space="0"/>
              <w:bottom w:val="single" w:color="000000" w:sz="12" w:space="0"/>
              <w:right w:val="single" w:color="000000" w:sz="4" w:space="0"/>
            </w:tcBorders>
            <w:vAlign w:val="center"/>
          </w:tcPr>
          <w:p>
            <w:pPr>
              <w:pStyle w:val="153"/>
              <w:spacing w:line="360" w:lineRule="auto"/>
              <w:ind w:right="83" w:firstLine="120" w:firstLineChars="50"/>
              <w:jc w:val="center"/>
              <w:rPr>
                <w:rStyle w:val="21"/>
                <w:rFonts w:ascii="宋体" w:hAnsi="宋体" w:cs="宋体"/>
                <w:color w:val="auto"/>
                <w:sz w:val="24"/>
                <w:highlight w:val="none"/>
              </w:rPr>
            </w:pPr>
            <w:r>
              <w:rPr>
                <w:rStyle w:val="21"/>
                <w:rFonts w:hint="eastAsia" w:ascii="宋体" w:hAnsi="宋体" w:cs="宋体"/>
                <w:color w:val="auto"/>
                <w:sz w:val="24"/>
                <w:highlight w:val="none"/>
              </w:rPr>
              <w:t>合计</w:t>
            </w:r>
          </w:p>
        </w:tc>
        <w:tc>
          <w:tcPr>
            <w:tcW w:w="2101"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1719" w:type="dxa"/>
            <w:tcBorders>
              <w:top w:val="single" w:color="000000" w:sz="4" w:space="0"/>
              <w:left w:val="single" w:color="000000" w:sz="4" w:space="0"/>
              <w:bottom w:val="single" w:color="000000" w:sz="12" w:space="0"/>
              <w:right w:val="single" w:color="000000" w:sz="4" w:space="0"/>
            </w:tcBorders>
          </w:tcPr>
          <w:p>
            <w:pPr>
              <w:pStyle w:val="153"/>
              <w:spacing w:line="360" w:lineRule="auto"/>
              <w:ind w:right="480"/>
              <w:rPr>
                <w:rStyle w:val="21"/>
                <w:rFonts w:ascii="宋体" w:hAnsi="宋体" w:cs="宋体"/>
                <w:color w:val="auto"/>
                <w:sz w:val="24"/>
                <w:highlight w:val="none"/>
              </w:rPr>
            </w:pPr>
          </w:p>
        </w:tc>
        <w:tc>
          <w:tcPr>
            <w:tcW w:w="2076" w:type="dxa"/>
            <w:tcBorders>
              <w:top w:val="single" w:color="000000" w:sz="4" w:space="0"/>
              <w:left w:val="single" w:color="000000" w:sz="4" w:space="0"/>
              <w:bottom w:val="single" w:color="000000" w:sz="12" w:space="0"/>
              <w:right w:val="single" w:color="000000" w:sz="12" w:space="0"/>
            </w:tcBorders>
          </w:tcPr>
          <w:p>
            <w:pPr>
              <w:pStyle w:val="153"/>
              <w:spacing w:line="360" w:lineRule="auto"/>
              <w:ind w:right="480"/>
              <w:rPr>
                <w:rStyle w:val="21"/>
                <w:rFonts w:ascii="宋体" w:hAnsi="宋体" w:cs="宋体"/>
                <w:color w:val="auto"/>
                <w:sz w:val="24"/>
                <w:highlight w:val="none"/>
              </w:rPr>
            </w:pPr>
          </w:p>
        </w:tc>
      </w:tr>
    </w:tbl>
    <w:p>
      <w:pPr>
        <w:pStyle w:val="153"/>
        <w:spacing w:line="360" w:lineRule="auto"/>
        <w:ind w:left="1" w:right="-96"/>
        <w:rPr>
          <w:rStyle w:val="21"/>
          <w:rFonts w:ascii="宋体" w:hAnsi="宋体" w:cs="宋体"/>
          <w:color w:val="auto"/>
          <w:sz w:val="24"/>
          <w:highlight w:val="none"/>
        </w:rPr>
      </w:pPr>
      <w:r>
        <w:rPr>
          <w:rStyle w:val="21"/>
          <w:rFonts w:hint="eastAsia" w:ascii="宋体" w:hAnsi="宋体" w:cs="宋体"/>
          <w:color w:val="auto"/>
          <w:sz w:val="24"/>
          <w:highlight w:val="none"/>
        </w:rPr>
        <w:t>说明：如所投货物为中、小、微型企业产品，须按规定格式逐项填写，否则评分时不予认可。</w:t>
      </w:r>
    </w:p>
    <w:p>
      <w:pPr>
        <w:pStyle w:val="153"/>
        <w:spacing w:line="360" w:lineRule="auto"/>
        <w:ind w:left="1" w:right="-96"/>
        <w:rPr>
          <w:rStyle w:val="21"/>
          <w:rFonts w:ascii="宋体" w:hAnsi="宋体" w:cs="宋体"/>
          <w:color w:val="auto"/>
          <w:sz w:val="24"/>
          <w:highlight w:val="none"/>
        </w:rPr>
      </w:pPr>
    </w:p>
    <w:p>
      <w:pPr>
        <w:pStyle w:val="153"/>
        <w:spacing w:line="360" w:lineRule="auto"/>
        <w:ind w:right="-88"/>
        <w:jc w:val="right"/>
        <w:rPr>
          <w:rStyle w:val="21"/>
          <w:rFonts w:ascii="宋体" w:hAnsi="宋体" w:cs="宋体"/>
          <w:color w:val="auto"/>
          <w:sz w:val="24"/>
          <w:highlight w:val="none"/>
        </w:rPr>
      </w:pPr>
      <w:r>
        <w:rPr>
          <w:rStyle w:val="21"/>
          <w:rFonts w:hint="eastAsia" w:ascii="宋体" w:hAnsi="宋体" w:cs="宋体"/>
          <w:color w:val="auto"/>
          <w:sz w:val="24"/>
          <w:highlight w:val="none"/>
        </w:rPr>
        <w:t>年月日</w:t>
      </w:r>
    </w:p>
    <w:p>
      <w:pPr>
        <w:pStyle w:val="88"/>
        <w:spacing w:after="312" w:afterAutospacing="1"/>
        <w:jc w:val="both"/>
        <w:rPr>
          <w:rStyle w:val="21"/>
          <w:rFonts w:ascii="宋体" w:hAnsi="宋体" w:eastAsia="宋体" w:cs="宋体"/>
          <w:b/>
          <w:color w:val="auto"/>
          <w:sz w:val="32"/>
          <w:highlight w:val="none"/>
        </w:rPr>
      </w:pPr>
      <w:r>
        <w:rPr>
          <w:rStyle w:val="21"/>
          <w:rFonts w:hint="eastAsia" w:ascii="宋体" w:hAnsi="宋体" w:eastAsia="宋体" w:cs="宋体"/>
          <w:b/>
          <w:color w:val="auto"/>
          <w:sz w:val="32"/>
          <w:highlight w:val="none"/>
        </w:rPr>
        <w:br w:type="page"/>
      </w:r>
      <w:r>
        <w:rPr>
          <w:rStyle w:val="21"/>
          <w:rFonts w:hint="eastAsia" w:ascii="宋体" w:hAnsi="宋体" w:eastAsia="宋体" w:cs="宋体"/>
          <w:b/>
          <w:color w:val="auto"/>
          <w:sz w:val="32"/>
          <w:highlight w:val="none"/>
        </w:rPr>
        <w:t>3.12项目整体服务方案设计</w:t>
      </w:r>
    </w:p>
    <w:p>
      <w:pPr>
        <w:pStyle w:val="158"/>
        <w:jc w:val="both"/>
        <w:outlineLvl w:val="0"/>
        <w:rPr>
          <w:rStyle w:val="21"/>
          <w:rFonts w:ascii="宋体" w:hAnsi="宋体" w:eastAsia="宋体" w:cs="宋体"/>
          <w:color w:val="auto"/>
          <w:highlight w:val="none"/>
        </w:rPr>
      </w:pPr>
      <w:r>
        <w:rPr>
          <w:rStyle w:val="21"/>
          <w:rFonts w:hint="eastAsia" w:ascii="宋体" w:hAnsi="宋体" w:eastAsia="宋体" w:cs="宋体"/>
          <w:color w:val="auto"/>
          <w:highlight w:val="none"/>
        </w:rPr>
        <w:br w:type="page"/>
      </w:r>
      <w:r>
        <w:rPr>
          <w:rStyle w:val="21"/>
          <w:rFonts w:hint="eastAsia" w:ascii="宋体" w:hAnsi="宋体" w:eastAsia="宋体" w:cs="宋体"/>
          <w:color w:val="auto"/>
          <w:highlight w:val="none"/>
        </w:rPr>
        <w:t>四、技术文件</w:t>
      </w:r>
    </w:p>
    <w:p>
      <w:pPr>
        <w:pStyle w:val="211"/>
        <w:rPr>
          <w:rFonts w:ascii="宋体" w:hAnsi="宋体" w:cs="宋体"/>
          <w:b/>
          <w:bCs/>
          <w:color w:val="auto"/>
          <w:sz w:val="28"/>
          <w:szCs w:val="28"/>
          <w:highlight w:val="none"/>
        </w:rPr>
      </w:pPr>
      <w:r>
        <w:rPr>
          <w:rStyle w:val="21"/>
          <w:rFonts w:hint="eastAsia" w:ascii="宋体" w:hAnsi="宋体" w:cs="宋体"/>
          <w:b/>
          <w:color w:val="auto"/>
          <w:sz w:val="32"/>
          <w:szCs w:val="24"/>
          <w:highlight w:val="none"/>
        </w:rPr>
        <w:br w:type="page"/>
      </w:r>
      <w:r>
        <w:rPr>
          <w:rFonts w:hint="eastAsia" w:ascii="宋体" w:hAnsi="宋体" w:cs="宋体"/>
          <w:b/>
          <w:bCs/>
          <w:color w:val="auto"/>
          <w:sz w:val="28"/>
          <w:szCs w:val="28"/>
          <w:highlight w:val="none"/>
        </w:rPr>
        <w:t>（1）货物主要技术指标和运行性能：</w:t>
      </w:r>
    </w:p>
    <w:p>
      <w:pPr>
        <w:pStyle w:val="211"/>
        <w:rPr>
          <w:rFonts w:ascii="宋体" w:hAnsi="宋体" w:cs="宋体"/>
          <w:color w:val="auto"/>
          <w:highlight w:val="none"/>
        </w:rPr>
      </w:pPr>
      <w:r>
        <w:rPr>
          <w:rFonts w:hint="eastAsia" w:ascii="宋体" w:hAnsi="宋体" w:cs="宋体"/>
          <w:color w:val="auto"/>
          <w:highlight w:val="none"/>
        </w:rPr>
        <w:t>&lt;1&gt;☆技术明细表（详细描述货物技术指标及性能等）；</w:t>
      </w:r>
    </w:p>
    <w:p>
      <w:pPr>
        <w:pStyle w:val="213"/>
        <w:snapToGrid w:val="0"/>
        <w:spacing w:line="360" w:lineRule="auto"/>
        <w:ind w:left="0" w:leftChars="0" w:firstLine="0" w:firstLineChars="0"/>
        <w:rPr>
          <w:rFonts w:ascii="宋体" w:hAnsi="宋体" w:cs="宋体"/>
          <w:color w:val="auto"/>
          <w:highlight w:val="none"/>
        </w:rPr>
      </w:pPr>
      <w:r>
        <w:rPr>
          <w:rFonts w:hint="eastAsia" w:ascii="宋体" w:hAnsi="宋体" w:cs="宋体"/>
          <w:color w:val="auto"/>
          <w:highlight w:val="none"/>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97"/>
        <w:gridCol w:w="4726"/>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 w:type="dxa"/>
            <w:tcBorders>
              <w:top w:val="single" w:color="auto" w:sz="12" w:space="0"/>
              <w:left w:val="single" w:color="auto" w:sz="12" w:space="0"/>
              <w:bottom w:val="single" w:color="auto" w:sz="4" w:space="0"/>
              <w:right w:val="single" w:color="auto" w:sz="4" w:space="0"/>
            </w:tcBorders>
            <w:vAlign w:val="center"/>
          </w:tcPr>
          <w:p>
            <w:pPr>
              <w:pStyle w:val="214"/>
              <w:snapToGrid w:val="0"/>
              <w:spacing w:line="360" w:lineRule="auto"/>
              <w:ind w:left="-42" w:right="-42"/>
              <w:jc w:val="center"/>
              <w:rPr>
                <w:rFonts w:ascii="宋体" w:hAnsi="宋体" w:cs="宋体"/>
                <w:color w:val="auto"/>
                <w:sz w:val="24"/>
                <w:szCs w:val="24"/>
                <w:highlight w:val="none"/>
              </w:rPr>
            </w:pPr>
            <w:r>
              <w:rPr>
                <w:rFonts w:hint="eastAsia" w:ascii="宋体" w:hAnsi="宋体" w:cs="宋体"/>
                <w:color w:val="auto"/>
                <w:sz w:val="24"/>
                <w:szCs w:val="24"/>
                <w:highlight w:val="none"/>
              </w:rPr>
              <w:t>项目</w:t>
            </w:r>
          </w:p>
        </w:tc>
        <w:tc>
          <w:tcPr>
            <w:tcW w:w="2197" w:type="dxa"/>
            <w:tcBorders>
              <w:top w:val="single" w:color="auto" w:sz="12" w:space="0"/>
              <w:left w:val="nil"/>
              <w:bottom w:val="single" w:color="auto" w:sz="4" w:space="0"/>
              <w:right w:val="single" w:color="auto" w:sz="4" w:space="0"/>
            </w:tcBorders>
            <w:vAlign w:val="center"/>
          </w:tcPr>
          <w:p>
            <w:pPr>
              <w:pStyle w:val="214"/>
              <w:snapToGrid w:val="0"/>
              <w:spacing w:line="360" w:lineRule="auto"/>
              <w:ind w:left="-42" w:right="-42"/>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726" w:type="dxa"/>
            <w:tcBorders>
              <w:top w:val="single" w:color="auto" w:sz="12" w:space="0"/>
              <w:left w:val="nil"/>
              <w:bottom w:val="single" w:color="auto" w:sz="4" w:space="0"/>
              <w:right w:val="single" w:color="auto" w:sz="4" w:space="0"/>
            </w:tcBorders>
            <w:vAlign w:val="center"/>
          </w:tcPr>
          <w:p>
            <w:pPr>
              <w:pStyle w:val="214"/>
              <w:snapToGrid w:val="0"/>
              <w:spacing w:line="360" w:lineRule="auto"/>
              <w:ind w:right="-42"/>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749" w:type="dxa"/>
            <w:tcBorders>
              <w:top w:val="single" w:color="auto" w:sz="12" w:space="0"/>
              <w:left w:val="nil"/>
              <w:bottom w:val="single" w:color="auto" w:sz="4" w:space="0"/>
              <w:right w:val="single" w:color="auto" w:sz="12" w:space="0"/>
            </w:tcBorders>
            <w:vAlign w:val="center"/>
          </w:tcPr>
          <w:p>
            <w:pPr>
              <w:pStyle w:val="214"/>
              <w:snapToGrid w:val="0"/>
              <w:spacing w:line="360" w:lineRule="auto"/>
              <w:ind w:left="-42" w:right="-42"/>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928" w:type="dxa"/>
            <w:tcBorders>
              <w:top w:val="single" w:color="auto" w:sz="4" w:space="0"/>
              <w:left w:val="single" w:color="auto" w:sz="12" w:space="0"/>
              <w:bottom w:val="single" w:color="auto" w:sz="4" w:space="0"/>
              <w:right w:val="single" w:color="auto" w:sz="4" w:space="0"/>
            </w:tcBorders>
            <w:vAlign w:val="center"/>
          </w:tcPr>
          <w:p>
            <w:pPr>
              <w:pStyle w:val="214"/>
              <w:snapToGrid w:val="0"/>
              <w:spacing w:line="360" w:lineRule="auto"/>
              <w:ind w:left="-42" w:right="-42"/>
              <w:jc w:val="center"/>
              <w:rPr>
                <w:rFonts w:ascii="宋体" w:hAnsi="宋体" w:cs="宋体"/>
                <w:color w:val="auto"/>
                <w:sz w:val="24"/>
                <w:szCs w:val="24"/>
                <w:highlight w:val="none"/>
              </w:rPr>
            </w:pPr>
            <w:r>
              <w:rPr>
                <w:rFonts w:hint="eastAsia" w:ascii="宋体" w:hAnsi="宋体" w:cs="宋体"/>
                <w:color w:val="auto"/>
                <w:sz w:val="24"/>
                <w:szCs w:val="24"/>
                <w:highlight w:val="none"/>
              </w:rPr>
              <w:t>序</w:t>
            </w:r>
          </w:p>
          <w:p>
            <w:pPr>
              <w:pStyle w:val="214"/>
              <w:snapToGrid w:val="0"/>
              <w:spacing w:line="360" w:lineRule="auto"/>
              <w:ind w:left="-42" w:right="-42"/>
              <w:jc w:val="center"/>
              <w:rPr>
                <w:rFonts w:ascii="宋体" w:hAnsi="宋体" w:cs="宋体"/>
                <w:color w:val="auto"/>
                <w:sz w:val="24"/>
                <w:szCs w:val="24"/>
                <w:highlight w:val="none"/>
              </w:rPr>
            </w:pPr>
            <w:r>
              <w:rPr>
                <w:rFonts w:hint="eastAsia" w:ascii="宋体" w:hAnsi="宋体" w:cs="宋体"/>
                <w:color w:val="auto"/>
                <w:sz w:val="24"/>
                <w:szCs w:val="24"/>
                <w:highlight w:val="none"/>
              </w:rPr>
              <w:t>号</w:t>
            </w:r>
          </w:p>
        </w:tc>
        <w:tc>
          <w:tcPr>
            <w:tcW w:w="2197" w:type="dxa"/>
            <w:tcBorders>
              <w:top w:val="single" w:color="auto" w:sz="4" w:space="0"/>
              <w:left w:val="nil"/>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产品名称</w:t>
            </w:r>
          </w:p>
        </w:tc>
        <w:tc>
          <w:tcPr>
            <w:tcW w:w="4726" w:type="dxa"/>
            <w:tcBorders>
              <w:top w:val="single" w:color="auto" w:sz="4" w:space="0"/>
              <w:left w:val="nil"/>
              <w:bottom w:val="single" w:color="auto" w:sz="4" w:space="0"/>
              <w:right w:val="single" w:color="auto" w:sz="4" w:space="0"/>
            </w:tcBorders>
            <w:vAlign w:val="center"/>
          </w:tcPr>
          <w:p>
            <w:pPr>
              <w:pStyle w:val="214"/>
              <w:snapToGrid w:val="0"/>
              <w:spacing w:line="360" w:lineRule="auto"/>
              <w:ind w:left="-42" w:right="-42"/>
              <w:jc w:val="center"/>
              <w:rPr>
                <w:rFonts w:ascii="宋体" w:hAnsi="宋体" w:cs="宋体"/>
                <w:color w:val="auto"/>
                <w:sz w:val="24"/>
                <w:szCs w:val="24"/>
                <w:highlight w:val="none"/>
              </w:rPr>
            </w:pPr>
            <w:r>
              <w:rPr>
                <w:rFonts w:hint="eastAsia" w:ascii="宋体" w:hAnsi="宋体" w:cs="宋体"/>
                <w:color w:val="auto"/>
                <w:sz w:val="24"/>
                <w:szCs w:val="24"/>
                <w:highlight w:val="none"/>
              </w:rPr>
              <w:t>技术规格</w:t>
            </w:r>
          </w:p>
        </w:tc>
        <w:tc>
          <w:tcPr>
            <w:tcW w:w="1749" w:type="dxa"/>
            <w:tcBorders>
              <w:top w:val="single" w:color="auto" w:sz="4" w:space="0"/>
              <w:left w:val="nil"/>
              <w:bottom w:val="single" w:color="auto" w:sz="4" w:space="0"/>
              <w:right w:val="single" w:color="auto" w:sz="12" w:space="0"/>
            </w:tcBorders>
            <w:vAlign w:val="center"/>
          </w:tcPr>
          <w:p>
            <w:pPr>
              <w:pStyle w:val="214"/>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8" w:type="dxa"/>
            <w:tcBorders>
              <w:top w:val="single" w:color="auto" w:sz="4" w:space="0"/>
              <w:left w:val="single" w:color="auto" w:sz="12" w:space="0"/>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197" w:type="dxa"/>
            <w:tcBorders>
              <w:top w:val="single" w:color="auto" w:sz="4" w:space="0"/>
              <w:left w:val="nil"/>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p>
        </w:tc>
        <w:tc>
          <w:tcPr>
            <w:tcW w:w="4726" w:type="dxa"/>
            <w:tcBorders>
              <w:top w:val="single" w:color="auto" w:sz="4" w:space="0"/>
              <w:left w:val="nil"/>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p>
        </w:tc>
        <w:tc>
          <w:tcPr>
            <w:tcW w:w="1749" w:type="dxa"/>
            <w:tcBorders>
              <w:top w:val="single" w:color="auto" w:sz="4" w:space="0"/>
              <w:left w:val="nil"/>
              <w:bottom w:val="single" w:color="auto" w:sz="4" w:space="0"/>
              <w:right w:val="single" w:color="auto" w:sz="12" w:space="0"/>
            </w:tcBorders>
            <w:vAlign w:val="center"/>
          </w:tcPr>
          <w:p>
            <w:pPr>
              <w:pStyle w:val="214"/>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8" w:type="dxa"/>
            <w:tcBorders>
              <w:top w:val="single" w:color="auto" w:sz="4" w:space="0"/>
              <w:left w:val="single" w:color="auto" w:sz="12" w:space="0"/>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197" w:type="dxa"/>
            <w:tcBorders>
              <w:top w:val="single" w:color="auto" w:sz="4" w:space="0"/>
              <w:left w:val="nil"/>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p>
        </w:tc>
        <w:tc>
          <w:tcPr>
            <w:tcW w:w="4726" w:type="dxa"/>
            <w:tcBorders>
              <w:top w:val="single" w:color="auto" w:sz="4" w:space="0"/>
              <w:left w:val="nil"/>
              <w:bottom w:val="single" w:color="auto" w:sz="4" w:space="0"/>
              <w:right w:val="single" w:color="auto" w:sz="4" w:space="0"/>
            </w:tcBorders>
          </w:tcPr>
          <w:p>
            <w:pPr>
              <w:pStyle w:val="214"/>
              <w:snapToGrid w:val="0"/>
              <w:spacing w:line="360" w:lineRule="auto"/>
              <w:jc w:val="center"/>
              <w:rPr>
                <w:rFonts w:ascii="宋体" w:hAnsi="宋体" w:cs="宋体"/>
                <w:color w:val="auto"/>
                <w:sz w:val="24"/>
                <w:szCs w:val="24"/>
                <w:highlight w:val="none"/>
              </w:rPr>
            </w:pPr>
          </w:p>
        </w:tc>
        <w:tc>
          <w:tcPr>
            <w:tcW w:w="1749" w:type="dxa"/>
            <w:tcBorders>
              <w:top w:val="single" w:color="auto" w:sz="4" w:space="0"/>
              <w:left w:val="nil"/>
              <w:bottom w:val="single" w:color="auto" w:sz="4" w:space="0"/>
              <w:right w:val="single" w:color="auto" w:sz="12" w:space="0"/>
            </w:tcBorders>
          </w:tcPr>
          <w:p>
            <w:pPr>
              <w:pStyle w:val="214"/>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8" w:type="dxa"/>
            <w:tcBorders>
              <w:top w:val="single" w:color="auto" w:sz="4" w:space="0"/>
              <w:left w:val="single" w:color="auto" w:sz="12" w:space="0"/>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197" w:type="dxa"/>
            <w:tcBorders>
              <w:top w:val="single" w:color="auto" w:sz="4" w:space="0"/>
              <w:left w:val="nil"/>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p>
        </w:tc>
        <w:tc>
          <w:tcPr>
            <w:tcW w:w="4726" w:type="dxa"/>
            <w:tcBorders>
              <w:top w:val="single" w:color="auto" w:sz="4" w:space="0"/>
              <w:left w:val="nil"/>
              <w:bottom w:val="single" w:color="auto" w:sz="4" w:space="0"/>
              <w:right w:val="single" w:color="auto" w:sz="4" w:space="0"/>
            </w:tcBorders>
          </w:tcPr>
          <w:p>
            <w:pPr>
              <w:pStyle w:val="214"/>
              <w:snapToGrid w:val="0"/>
              <w:spacing w:line="360" w:lineRule="auto"/>
              <w:jc w:val="center"/>
              <w:rPr>
                <w:rFonts w:ascii="宋体" w:hAnsi="宋体" w:cs="宋体"/>
                <w:color w:val="auto"/>
                <w:sz w:val="24"/>
                <w:szCs w:val="24"/>
                <w:highlight w:val="none"/>
              </w:rPr>
            </w:pPr>
          </w:p>
        </w:tc>
        <w:tc>
          <w:tcPr>
            <w:tcW w:w="1749" w:type="dxa"/>
            <w:tcBorders>
              <w:top w:val="single" w:color="auto" w:sz="4" w:space="0"/>
              <w:left w:val="nil"/>
              <w:bottom w:val="single" w:color="auto" w:sz="4" w:space="0"/>
              <w:right w:val="single" w:color="auto" w:sz="12" w:space="0"/>
            </w:tcBorders>
          </w:tcPr>
          <w:p>
            <w:pPr>
              <w:pStyle w:val="214"/>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8" w:type="dxa"/>
            <w:tcBorders>
              <w:top w:val="single" w:color="auto" w:sz="4" w:space="0"/>
              <w:left w:val="single" w:color="auto" w:sz="12" w:space="0"/>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197" w:type="dxa"/>
            <w:tcBorders>
              <w:top w:val="single" w:color="auto" w:sz="4" w:space="0"/>
              <w:left w:val="nil"/>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p>
        </w:tc>
        <w:tc>
          <w:tcPr>
            <w:tcW w:w="4726" w:type="dxa"/>
            <w:tcBorders>
              <w:top w:val="single" w:color="auto" w:sz="4" w:space="0"/>
              <w:left w:val="nil"/>
              <w:bottom w:val="single" w:color="auto" w:sz="4" w:space="0"/>
              <w:right w:val="single" w:color="auto" w:sz="4" w:space="0"/>
            </w:tcBorders>
          </w:tcPr>
          <w:p>
            <w:pPr>
              <w:pStyle w:val="214"/>
              <w:snapToGrid w:val="0"/>
              <w:spacing w:line="360" w:lineRule="auto"/>
              <w:jc w:val="center"/>
              <w:rPr>
                <w:rFonts w:ascii="宋体" w:hAnsi="宋体" w:cs="宋体"/>
                <w:color w:val="auto"/>
                <w:sz w:val="24"/>
                <w:szCs w:val="24"/>
                <w:highlight w:val="none"/>
              </w:rPr>
            </w:pPr>
          </w:p>
        </w:tc>
        <w:tc>
          <w:tcPr>
            <w:tcW w:w="1749" w:type="dxa"/>
            <w:tcBorders>
              <w:top w:val="single" w:color="auto" w:sz="4" w:space="0"/>
              <w:left w:val="nil"/>
              <w:bottom w:val="single" w:color="auto" w:sz="4" w:space="0"/>
              <w:right w:val="single" w:color="auto" w:sz="12" w:space="0"/>
            </w:tcBorders>
          </w:tcPr>
          <w:p>
            <w:pPr>
              <w:pStyle w:val="214"/>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8" w:type="dxa"/>
            <w:tcBorders>
              <w:top w:val="single" w:color="auto" w:sz="4" w:space="0"/>
              <w:left w:val="single" w:color="auto" w:sz="12" w:space="0"/>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197" w:type="dxa"/>
            <w:tcBorders>
              <w:top w:val="single" w:color="auto" w:sz="4" w:space="0"/>
              <w:left w:val="nil"/>
              <w:bottom w:val="single" w:color="auto" w:sz="4"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p>
        </w:tc>
        <w:tc>
          <w:tcPr>
            <w:tcW w:w="4726" w:type="dxa"/>
            <w:tcBorders>
              <w:top w:val="single" w:color="auto" w:sz="4" w:space="0"/>
              <w:left w:val="nil"/>
              <w:bottom w:val="single" w:color="auto" w:sz="4" w:space="0"/>
              <w:right w:val="single" w:color="auto" w:sz="4" w:space="0"/>
            </w:tcBorders>
          </w:tcPr>
          <w:p>
            <w:pPr>
              <w:pStyle w:val="214"/>
              <w:snapToGrid w:val="0"/>
              <w:spacing w:line="360" w:lineRule="auto"/>
              <w:jc w:val="center"/>
              <w:rPr>
                <w:rFonts w:ascii="宋体" w:hAnsi="宋体" w:cs="宋体"/>
                <w:color w:val="auto"/>
                <w:sz w:val="24"/>
                <w:szCs w:val="24"/>
                <w:highlight w:val="none"/>
              </w:rPr>
            </w:pPr>
          </w:p>
        </w:tc>
        <w:tc>
          <w:tcPr>
            <w:tcW w:w="1749" w:type="dxa"/>
            <w:tcBorders>
              <w:top w:val="single" w:color="auto" w:sz="4" w:space="0"/>
              <w:left w:val="nil"/>
              <w:bottom w:val="single" w:color="auto" w:sz="4" w:space="0"/>
              <w:right w:val="single" w:color="auto" w:sz="12" w:space="0"/>
            </w:tcBorders>
          </w:tcPr>
          <w:p>
            <w:pPr>
              <w:pStyle w:val="214"/>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8" w:type="dxa"/>
            <w:tcBorders>
              <w:top w:val="single" w:color="auto" w:sz="4" w:space="0"/>
              <w:left w:val="single" w:color="auto" w:sz="12" w:space="0"/>
              <w:bottom w:val="single" w:color="auto" w:sz="12"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197" w:type="dxa"/>
            <w:tcBorders>
              <w:top w:val="single" w:color="auto" w:sz="4" w:space="0"/>
              <w:left w:val="nil"/>
              <w:bottom w:val="single" w:color="auto" w:sz="12" w:space="0"/>
              <w:right w:val="single" w:color="auto" w:sz="4" w:space="0"/>
            </w:tcBorders>
            <w:vAlign w:val="center"/>
          </w:tcPr>
          <w:p>
            <w:pPr>
              <w:pStyle w:val="214"/>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4726" w:type="dxa"/>
            <w:tcBorders>
              <w:top w:val="single" w:color="auto" w:sz="4" w:space="0"/>
              <w:left w:val="nil"/>
              <w:bottom w:val="single" w:color="auto" w:sz="12" w:space="0"/>
              <w:right w:val="single" w:color="auto" w:sz="4" w:space="0"/>
            </w:tcBorders>
          </w:tcPr>
          <w:p>
            <w:pPr>
              <w:pStyle w:val="214"/>
              <w:snapToGrid w:val="0"/>
              <w:spacing w:line="360" w:lineRule="auto"/>
              <w:jc w:val="center"/>
              <w:rPr>
                <w:rFonts w:ascii="宋体" w:hAnsi="宋体" w:cs="宋体"/>
                <w:color w:val="auto"/>
                <w:sz w:val="24"/>
                <w:szCs w:val="24"/>
                <w:highlight w:val="none"/>
              </w:rPr>
            </w:pPr>
          </w:p>
        </w:tc>
        <w:tc>
          <w:tcPr>
            <w:tcW w:w="1749" w:type="dxa"/>
            <w:tcBorders>
              <w:top w:val="single" w:color="auto" w:sz="4" w:space="0"/>
              <w:left w:val="nil"/>
              <w:bottom w:val="single" w:color="auto" w:sz="12" w:space="0"/>
              <w:right w:val="single" w:color="auto" w:sz="12" w:space="0"/>
            </w:tcBorders>
          </w:tcPr>
          <w:p>
            <w:pPr>
              <w:pStyle w:val="214"/>
              <w:snapToGrid w:val="0"/>
              <w:spacing w:line="360" w:lineRule="auto"/>
              <w:jc w:val="center"/>
              <w:rPr>
                <w:rFonts w:ascii="宋体" w:hAnsi="宋体" w:cs="宋体"/>
                <w:color w:val="auto"/>
                <w:sz w:val="24"/>
                <w:szCs w:val="24"/>
                <w:highlight w:val="none"/>
              </w:rPr>
            </w:pPr>
          </w:p>
        </w:tc>
      </w:tr>
    </w:tbl>
    <w:p>
      <w:pPr>
        <w:pStyle w:val="214"/>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说明：1.投标人必须填写技术明细表。如果此表中所列内容无法满足招标文件中提出的要求或者与投标人在技术文件中提供的内容不一致，投标有可能被拒绝。</w:t>
      </w:r>
    </w:p>
    <w:p>
      <w:pPr>
        <w:pStyle w:val="214"/>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2.技术规格不得完全复制招标文件内容，否则按无效投标处理。</w:t>
      </w:r>
    </w:p>
    <w:p>
      <w:pPr>
        <w:pStyle w:val="215"/>
        <w:snapToGrid w:val="0"/>
        <w:spacing w:before="0" w:after="0" w:line="360" w:lineRule="auto"/>
        <w:ind w:right="960"/>
        <w:rPr>
          <w:rFonts w:ascii="宋体" w:hAnsi="宋体" w:eastAsia="宋体" w:cs="宋体"/>
          <w:color w:val="auto"/>
          <w:sz w:val="24"/>
          <w:szCs w:val="24"/>
          <w:highlight w:val="none"/>
        </w:rPr>
      </w:pPr>
    </w:p>
    <w:p>
      <w:pPr>
        <w:pStyle w:val="215"/>
        <w:snapToGrid w:val="0"/>
        <w:spacing w:before="0" w:after="0" w:line="360" w:lineRule="auto"/>
        <w:ind w:right="17"/>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年月日</w:t>
      </w:r>
    </w:p>
    <w:p>
      <w:pPr>
        <w:pStyle w:val="211"/>
        <w:rPr>
          <w:rFonts w:ascii="宋体" w:hAnsi="宋体" w:cs="宋体"/>
          <w:color w:val="auto"/>
          <w:highlight w:val="none"/>
        </w:rPr>
      </w:pPr>
      <w:r>
        <w:rPr>
          <w:rFonts w:hint="eastAsia" w:ascii="宋体" w:hAnsi="宋体" w:cs="宋体"/>
          <w:color w:val="auto"/>
          <w:kern w:val="0"/>
          <w:highlight w:val="none"/>
        </w:rPr>
        <w:br w:type="page"/>
      </w:r>
    </w:p>
    <w:p>
      <w:pPr>
        <w:pStyle w:val="211"/>
        <w:rPr>
          <w:rFonts w:ascii="宋体" w:hAnsi="宋体" w:cs="宋体"/>
          <w:color w:val="auto"/>
          <w:highlight w:val="none"/>
        </w:rPr>
      </w:pPr>
      <w:r>
        <w:rPr>
          <w:rFonts w:hint="eastAsia" w:ascii="宋体" w:hAnsi="宋体" w:cs="宋体"/>
          <w:color w:val="auto"/>
          <w:highlight w:val="none"/>
        </w:rPr>
        <w:t>&lt;2&gt;项目技术文件（包括但不限于招标文件中要求提供的技术资料等）；</w:t>
      </w:r>
    </w:p>
    <w:p>
      <w:pPr>
        <w:pStyle w:val="211"/>
        <w:rPr>
          <w:rFonts w:ascii="宋体" w:hAnsi="宋体" w:cs="宋体"/>
          <w:color w:val="auto"/>
          <w:highlight w:val="none"/>
        </w:rPr>
      </w:pPr>
      <w:r>
        <w:rPr>
          <w:rFonts w:hint="eastAsia" w:ascii="宋体" w:hAnsi="宋体" w:cs="宋体"/>
          <w:color w:val="auto"/>
          <w:highlight w:val="none"/>
        </w:rPr>
        <w:t>&lt;3&gt;技术要求偏离表</w:t>
      </w:r>
    </w:p>
    <w:p>
      <w:pPr>
        <w:pStyle w:val="211"/>
        <w:rPr>
          <w:rFonts w:ascii="宋体" w:hAnsi="宋体" w:cs="宋体"/>
          <w:color w:val="auto"/>
          <w:highlight w:val="none"/>
          <w:u w:val="single"/>
        </w:rPr>
      </w:pPr>
      <w:r>
        <w:rPr>
          <w:rFonts w:hint="eastAsia" w:ascii="宋体" w:hAnsi="宋体" w:cs="宋体"/>
          <w:color w:val="auto"/>
          <w:highlight w:val="none"/>
        </w:rPr>
        <w:t>项目名称：</w:t>
      </w:r>
    </w:p>
    <w:tbl>
      <w:tblPr>
        <w:tblStyle w:val="18"/>
        <w:tblW w:w="9430" w:type="dxa"/>
        <w:tblInd w:w="-176" w:type="dxa"/>
        <w:tblLayout w:type="fixed"/>
        <w:tblCellMar>
          <w:top w:w="0" w:type="dxa"/>
          <w:left w:w="0" w:type="dxa"/>
          <w:bottom w:w="0" w:type="dxa"/>
          <w:right w:w="0" w:type="dxa"/>
        </w:tblCellMar>
      </w:tblPr>
      <w:tblGrid>
        <w:gridCol w:w="292"/>
        <w:gridCol w:w="600"/>
        <w:gridCol w:w="810"/>
        <w:gridCol w:w="4765"/>
        <w:gridCol w:w="902"/>
        <w:gridCol w:w="758"/>
        <w:gridCol w:w="774"/>
        <w:gridCol w:w="529"/>
      </w:tblGrid>
      <w:tr>
        <w:tblPrEx>
          <w:tblCellMar>
            <w:top w:w="0" w:type="dxa"/>
            <w:left w:w="0" w:type="dxa"/>
            <w:bottom w:w="0" w:type="dxa"/>
            <w:right w:w="0" w:type="dxa"/>
          </w:tblCellMar>
        </w:tblPrEx>
        <w:trPr>
          <w:trHeight w:val="90" w:hRule="atLeast"/>
        </w:trPr>
        <w:tc>
          <w:tcPr>
            <w:tcW w:w="29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r>
              <w:rPr>
                <w:rFonts w:hint="eastAsia" w:ascii="宋体" w:hAnsi="宋体" w:cs="宋体"/>
                <w:color w:val="auto"/>
                <w:kern w:val="0"/>
                <w:highlight w:val="none"/>
              </w:rPr>
              <w:t>序号</w:t>
            </w:r>
          </w:p>
        </w:tc>
        <w:tc>
          <w:tcPr>
            <w:tcW w:w="1410" w:type="dxa"/>
            <w:gridSpan w:val="2"/>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r>
              <w:rPr>
                <w:rFonts w:hint="eastAsia" w:ascii="宋体" w:hAnsi="宋体" w:cs="宋体"/>
                <w:color w:val="auto"/>
                <w:kern w:val="0"/>
                <w:highlight w:val="none"/>
              </w:rPr>
              <w:t>设备名称</w:t>
            </w:r>
          </w:p>
        </w:tc>
        <w:tc>
          <w:tcPr>
            <w:tcW w:w="476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r>
              <w:rPr>
                <w:rFonts w:hint="eastAsia" w:ascii="宋体" w:hAnsi="宋体" w:cs="宋体"/>
                <w:color w:val="auto"/>
                <w:kern w:val="0"/>
                <w:highlight w:val="none"/>
              </w:rPr>
              <w:t>招标文件技术规范、要求</w:t>
            </w:r>
          </w:p>
        </w:tc>
        <w:tc>
          <w:tcPr>
            <w:tcW w:w="902"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r>
              <w:rPr>
                <w:rFonts w:hint="eastAsia" w:ascii="宋体" w:hAnsi="宋体" w:cs="宋体"/>
                <w:color w:val="auto"/>
                <w:kern w:val="0"/>
                <w:highlight w:val="none"/>
              </w:rPr>
              <w:t>投标文件对应规范</w:t>
            </w:r>
          </w:p>
        </w:tc>
        <w:tc>
          <w:tcPr>
            <w:tcW w:w="758"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r>
              <w:rPr>
                <w:rFonts w:hint="eastAsia" w:ascii="宋体" w:hAnsi="宋体" w:cs="宋体"/>
                <w:color w:val="auto"/>
                <w:kern w:val="0"/>
                <w:highlight w:val="none"/>
              </w:rPr>
              <w:t>有/无偏离</w:t>
            </w:r>
          </w:p>
        </w:tc>
        <w:tc>
          <w:tcPr>
            <w:tcW w:w="774"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r>
              <w:rPr>
                <w:rFonts w:hint="eastAsia" w:ascii="宋体" w:hAnsi="宋体" w:cs="宋体"/>
                <w:color w:val="auto"/>
                <w:kern w:val="0"/>
                <w:highlight w:val="none"/>
              </w:rPr>
              <w:t>正偏离/负偏离</w:t>
            </w:r>
          </w:p>
        </w:tc>
        <w:tc>
          <w:tcPr>
            <w:tcW w:w="529"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widowControl/>
              <w:snapToGrid w:val="0"/>
              <w:jc w:val="left"/>
              <w:textAlignment w:val="center"/>
              <w:rPr>
                <w:rFonts w:ascii="宋体" w:hAnsi="宋体" w:cs="宋体"/>
                <w:color w:val="auto"/>
                <w:sz w:val="24"/>
                <w:szCs w:val="24"/>
                <w:highlight w:val="none"/>
              </w:rPr>
            </w:pPr>
            <w:r>
              <w:rPr>
                <w:rFonts w:hint="eastAsia" w:ascii="宋体" w:hAnsi="宋体" w:cs="宋体"/>
                <w:color w:val="auto"/>
                <w:kern w:val="0"/>
                <w:highlight w:val="none"/>
              </w:rPr>
              <w:t>备注</w:t>
            </w:r>
          </w:p>
        </w:tc>
      </w:tr>
      <w:tr>
        <w:tblPrEx>
          <w:tblCellMar>
            <w:top w:w="0" w:type="dxa"/>
            <w:left w:w="0" w:type="dxa"/>
            <w:bottom w:w="0" w:type="dxa"/>
            <w:right w:w="0" w:type="dxa"/>
          </w:tblCellMar>
        </w:tblPrEx>
        <w:trPr>
          <w:trHeight w:val="337" w:hRule="atLeast"/>
        </w:trPr>
        <w:tc>
          <w:tcPr>
            <w:tcW w:w="292" w:type="dxa"/>
            <w:vMerge w:val="restart"/>
            <w:tcBorders>
              <w:top w:val="nil"/>
              <w:left w:val="single" w:color="000000" w:sz="4" w:space="0"/>
              <w:bottom w:val="single" w:color="auto"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600" w:type="dxa"/>
            <w:vMerge w:val="restart"/>
            <w:tcBorders>
              <w:top w:val="nil"/>
              <w:left w:val="nil"/>
              <w:bottom w:val="single" w:color="auto" w:sz="4" w:space="0"/>
              <w:right w:val="single" w:color="auto" w:sz="4" w:space="0"/>
            </w:tcBorders>
            <w:noWrap/>
            <w:tcMar>
              <w:top w:w="10" w:type="dxa"/>
              <w:left w:w="10" w:type="dxa"/>
              <w:bottom w:w="0" w:type="dxa"/>
              <w:right w:w="10" w:type="dxa"/>
            </w:tcMar>
            <w:vAlign w:val="center"/>
          </w:tcPr>
          <w:p>
            <w:pPr>
              <w:jc w:val="center"/>
              <w:rPr>
                <w:rFonts w:ascii="宋体" w:hAnsi="宋体" w:cs="宋体"/>
                <w:color w:val="auto"/>
                <w:kern w:val="0"/>
                <w:sz w:val="24"/>
                <w:szCs w:val="24"/>
                <w:highlight w:val="none"/>
              </w:rPr>
            </w:pPr>
          </w:p>
        </w:tc>
        <w:tc>
          <w:tcPr>
            <w:tcW w:w="810" w:type="dxa"/>
            <w:vMerge w:val="restart"/>
            <w:tcBorders>
              <w:top w:val="single" w:color="000000" w:sz="4" w:space="0"/>
              <w:left w:val="nil"/>
              <w:right w:val="single" w:color="000000" w:sz="4" w:space="0"/>
            </w:tcBorders>
            <w:noWrap/>
            <w:tcMar>
              <w:top w:w="10" w:type="dxa"/>
              <w:left w:w="10" w:type="dxa"/>
              <w:bottom w:w="0" w:type="dxa"/>
              <w:right w:w="10" w:type="dxa"/>
            </w:tcMar>
            <w:vAlign w:val="center"/>
          </w:tcPr>
          <w:p>
            <w:pPr>
              <w:jc w:val="center"/>
              <w:rPr>
                <w:rFonts w:ascii="宋体" w:hAnsi="宋体" w:cs="宋体"/>
                <w:color w:val="auto"/>
                <w:kern w:val="0"/>
                <w:sz w:val="24"/>
                <w:szCs w:val="24"/>
                <w:highlight w:val="none"/>
              </w:rPr>
            </w:pPr>
          </w:p>
        </w:tc>
        <w:tc>
          <w:tcPr>
            <w:tcW w:w="476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rPr>
                <w:rFonts w:ascii="宋体" w:hAnsi="宋体" w:cs="宋体"/>
                <w:color w:val="auto"/>
                <w:kern w:val="0"/>
                <w:szCs w:val="24"/>
                <w:highlight w:val="none"/>
              </w:rPr>
            </w:pPr>
          </w:p>
        </w:tc>
        <w:tc>
          <w:tcPr>
            <w:tcW w:w="902"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758"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774"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529"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rPr>
                <w:rFonts w:ascii="宋体" w:hAnsi="宋体" w:cs="宋体"/>
                <w:color w:val="auto"/>
                <w:sz w:val="24"/>
                <w:szCs w:val="24"/>
                <w:highlight w:val="none"/>
              </w:rPr>
            </w:pPr>
          </w:p>
        </w:tc>
      </w:tr>
      <w:tr>
        <w:tblPrEx>
          <w:tblCellMar>
            <w:top w:w="0" w:type="dxa"/>
            <w:left w:w="0" w:type="dxa"/>
            <w:bottom w:w="0" w:type="dxa"/>
            <w:right w:w="0" w:type="dxa"/>
          </w:tblCellMar>
        </w:tblPrEx>
        <w:trPr>
          <w:trHeight w:val="256" w:hRule="atLeast"/>
        </w:trPr>
        <w:tc>
          <w:tcPr>
            <w:tcW w:w="292" w:type="dxa"/>
            <w:vMerge w:val="continue"/>
            <w:tcBorders>
              <w:top w:val="nil"/>
              <w:left w:val="single" w:color="000000" w:sz="4" w:space="0"/>
              <w:bottom w:val="single" w:color="auto" w:sz="4" w:space="0"/>
              <w:right w:val="single" w:color="000000" w:sz="4" w:space="0"/>
            </w:tcBorders>
            <w:vAlign w:val="center"/>
          </w:tcPr>
          <w:p>
            <w:pPr>
              <w:pStyle w:val="212"/>
              <w:widowControl/>
              <w:jc w:val="left"/>
              <w:rPr>
                <w:rFonts w:ascii="宋体" w:hAnsi="宋体" w:cs="宋体"/>
                <w:color w:val="auto"/>
                <w:sz w:val="24"/>
                <w:szCs w:val="24"/>
                <w:highlight w:val="none"/>
              </w:rPr>
            </w:pPr>
          </w:p>
        </w:tc>
        <w:tc>
          <w:tcPr>
            <w:tcW w:w="600" w:type="dxa"/>
            <w:vMerge w:val="continue"/>
            <w:tcBorders>
              <w:top w:val="nil"/>
              <w:left w:val="nil"/>
              <w:bottom w:val="single" w:color="auto" w:sz="4" w:space="0"/>
              <w:right w:val="single" w:color="auto" w:sz="4" w:space="0"/>
            </w:tcBorders>
            <w:vAlign w:val="center"/>
          </w:tcPr>
          <w:p>
            <w:pPr>
              <w:pStyle w:val="212"/>
              <w:widowControl/>
              <w:jc w:val="left"/>
              <w:rPr>
                <w:rFonts w:ascii="宋体" w:hAnsi="宋体" w:cs="宋体"/>
                <w:color w:val="auto"/>
                <w:kern w:val="0"/>
                <w:sz w:val="24"/>
                <w:szCs w:val="24"/>
                <w:highlight w:val="none"/>
              </w:rPr>
            </w:pPr>
          </w:p>
        </w:tc>
        <w:tc>
          <w:tcPr>
            <w:tcW w:w="810" w:type="dxa"/>
            <w:vMerge w:val="continue"/>
            <w:tcBorders>
              <w:left w:val="nil"/>
              <w:bottom w:val="single" w:color="auto"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p>
        </w:tc>
        <w:tc>
          <w:tcPr>
            <w:tcW w:w="476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rPr>
                <w:rFonts w:ascii="宋体" w:hAnsi="宋体" w:cs="宋体"/>
                <w:color w:val="auto"/>
                <w:kern w:val="0"/>
                <w:szCs w:val="24"/>
                <w:highlight w:val="none"/>
              </w:rPr>
            </w:pPr>
          </w:p>
        </w:tc>
        <w:tc>
          <w:tcPr>
            <w:tcW w:w="902"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758"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774"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529"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rPr>
                <w:rFonts w:ascii="宋体" w:hAnsi="宋体" w:cs="宋体"/>
                <w:color w:val="auto"/>
                <w:sz w:val="24"/>
                <w:szCs w:val="24"/>
                <w:highlight w:val="none"/>
              </w:rPr>
            </w:pPr>
          </w:p>
        </w:tc>
      </w:tr>
      <w:tr>
        <w:tblPrEx>
          <w:tblCellMar>
            <w:top w:w="0" w:type="dxa"/>
            <w:left w:w="0" w:type="dxa"/>
            <w:bottom w:w="0" w:type="dxa"/>
            <w:right w:w="0" w:type="dxa"/>
          </w:tblCellMar>
        </w:tblPrEx>
        <w:trPr>
          <w:trHeight w:val="601" w:hRule="atLeast"/>
        </w:trPr>
        <w:tc>
          <w:tcPr>
            <w:tcW w:w="292" w:type="dxa"/>
            <w:tcBorders>
              <w:top w:val="nil"/>
              <w:left w:val="single" w:color="000000" w:sz="4" w:space="0"/>
              <w:right w:val="single" w:color="000000" w:sz="4" w:space="0"/>
            </w:tcBorders>
            <w:noWrap/>
            <w:tcMar>
              <w:top w:w="10" w:type="dxa"/>
              <w:left w:w="10" w:type="dxa"/>
              <w:bottom w:w="0" w:type="dxa"/>
              <w:right w:w="10" w:type="dxa"/>
            </w:tcMar>
            <w:vAlign w:val="center"/>
          </w:tcPr>
          <w:p>
            <w:pPr>
              <w:pStyle w:val="211"/>
              <w:snapToGrid w:val="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600" w:type="dxa"/>
            <w:tcBorders>
              <w:top w:val="nil"/>
              <w:left w:val="nil"/>
              <w:right w:val="single" w:color="auto" w:sz="4" w:space="0"/>
            </w:tcBorders>
            <w:noWrap/>
            <w:tcMar>
              <w:top w:w="10" w:type="dxa"/>
              <w:left w:w="10" w:type="dxa"/>
              <w:bottom w:w="0" w:type="dxa"/>
              <w:right w:w="10" w:type="dxa"/>
            </w:tcMar>
            <w:vAlign w:val="center"/>
          </w:tcPr>
          <w:p>
            <w:pPr>
              <w:jc w:val="center"/>
              <w:rPr>
                <w:rFonts w:ascii="宋体" w:hAnsi="宋体" w:cs="宋体"/>
                <w:color w:val="auto"/>
                <w:kern w:val="0"/>
                <w:sz w:val="24"/>
                <w:szCs w:val="24"/>
                <w:highlight w:val="none"/>
              </w:rPr>
            </w:pPr>
          </w:p>
        </w:tc>
        <w:tc>
          <w:tcPr>
            <w:tcW w:w="810" w:type="dxa"/>
            <w:tcBorders>
              <w:top w:val="single" w:color="auto" w:sz="4" w:space="0"/>
              <w:left w:val="nil"/>
              <w:right w:val="single" w:color="000000" w:sz="4" w:space="0"/>
            </w:tcBorders>
            <w:noWrap/>
            <w:tcMar>
              <w:top w:w="10" w:type="dxa"/>
              <w:left w:w="10" w:type="dxa"/>
              <w:bottom w:w="0" w:type="dxa"/>
              <w:right w:w="10" w:type="dxa"/>
            </w:tcMar>
            <w:vAlign w:val="center"/>
          </w:tcPr>
          <w:p>
            <w:pPr>
              <w:jc w:val="center"/>
              <w:rPr>
                <w:rFonts w:ascii="宋体" w:hAnsi="宋体" w:cs="宋体"/>
                <w:color w:val="auto"/>
                <w:kern w:val="0"/>
                <w:sz w:val="24"/>
                <w:szCs w:val="24"/>
                <w:highlight w:val="none"/>
              </w:rPr>
            </w:pPr>
          </w:p>
        </w:tc>
        <w:tc>
          <w:tcPr>
            <w:tcW w:w="476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rPr>
                <w:rFonts w:ascii="宋体" w:hAnsi="宋体" w:cs="宋体"/>
                <w:color w:val="auto"/>
                <w:sz w:val="24"/>
                <w:szCs w:val="24"/>
                <w:highlight w:val="none"/>
              </w:rPr>
            </w:pPr>
          </w:p>
        </w:tc>
        <w:tc>
          <w:tcPr>
            <w:tcW w:w="902"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758"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774"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529"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rPr>
                <w:rFonts w:ascii="宋体" w:hAnsi="宋体" w:cs="宋体"/>
                <w:color w:val="auto"/>
                <w:sz w:val="24"/>
                <w:szCs w:val="24"/>
                <w:highlight w:val="none"/>
              </w:rPr>
            </w:pPr>
          </w:p>
        </w:tc>
      </w:tr>
      <w:tr>
        <w:tblPrEx>
          <w:tblCellMar>
            <w:top w:w="0" w:type="dxa"/>
            <w:left w:w="0" w:type="dxa"/>
            <w:bottom w:w="0" w:type="dxa"/>
            <w:right w:w="0" w:type="dxa"/>
          </w:tblCellMar>
        </w:tblPrEx>
        <w:trPr>
          <w:trHeight w:val="329" w:hRule="atLeast"/>
        </w:trPr>
        <w:tc>
          <w:tcPr>
            <w:tcW w:w="29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r>
              <w:rPr>
                <w:rFonts w:hint="eastAsia" w:ascii="宋体" w:hAnsi="宋体" w:cs="宋体"/>
                <w:color w:val="auto"/>
                <w:kern w:val="0"/>
                <w:highlight w:val="none"/>
              </w:rPr>
              <w:t>…</w:t>
            </w:r>
          </w:p>
        </w:tc>
        <w:tc>
          <w:tcPr>
            <w:tcW w:w="6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r>
              <w:rPr>
                <w:rFonts w:hint="eastAsia" w:ascii="宋体" w:hAnsi="宋体" w:cs="宋体"/>
                <w:color w:val="auto"/>
                <w:kern w:val="0"/>
                <w:highlight w:val="none"/>
              </w:rPr>
              <w:t>…</w:t>
            </w:r>
          </w:p>
        </w:tc>
        <w:tc>
          <w:tcPr>
            <w:tcW w:w="81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widowControl/>
              <w:snapToGrid w:val="0"/>
              <w:jc w:val="center"/>
              <w:textAlignment w:val="center"/>
              <w:rPr>
                <w:rFonts w:ascii="宋体" w:hAnsi="宋体" w:cs="宋体"/>
                <w:color w:val="auto"/>
                <w:sz w:val="24"/>
                <w:szCs w:val="24"/>
                <w:highlight w:val="none"/>
              </w:rPr>
            </w:pPr>
            <w:r>
              <w:rPr>
                <w:rFonts w:hint="eastAsia" w:ascii="宋体" w:hAnsi="宋体" w:cs="宋体"/>
                <w:color w:val="auto"/>
                <w:kern w:val="0"/>
                <w:highlight w:val="none"/>
              </w:rPr>
              <w:t>……</w:t>
            </w:r>
          </w:p>
        </w:tc>
        <w:tc>
          <w:tcPr>
            <w:tcW w:w="476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902"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758"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774"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529"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rPr>
                <w:rFonts w:ascii="宋体" w:hAnsi="宋体" w:cs="宋体"/>
                <w:color w:val="auto"/>
                <w:sz w:val="24"/>
                <w:szCs w:val="24"/>
                <w:highlight w:val="none"/>
              </w:rPr>
            </w:pPr>
          </w:p>
        </w:tc>
      </w:tr>
      <w:tr>
        <w:tblPrEx>
          <w:tblCellMar>
            <w:top w:w="0" w:type="dxa"/>
            <w:left w:w="0" w:type="dxa"/>
            <w:bottom w:w="0" w:type="dxa"/>
            <w:right w:w="0" w:type="dxa"/>
          </w:tblCellMar>
        </w:tblPrEx>
        <w:trPr>
          <w:trHeight w:val="90" w:hRule="atLeast"/>
        </w:trPr>
        <w:tc>
          <w:tcPr>
            <w:tcW w:w="292"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60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810"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4765"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902"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758"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jc w:val="center"/>
              <w:rPr>
                <w:rFonts w:ascii="宋体" w:hAnsi="宋体" w:cs="宋体"/>
                <w:color w:val="auto"/>
                <w:sz w:val="24"/>
                <w:szCs w:val="24"/>
                <w:highlight w:val="none"/>
              </w:rPr>
            </w:pPr>
          </w:p>
        </w:tc>
        <w:tc>
          <w:tcPr>
            <w:tcW w:w="774"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rPr>
                <w:rFonts w:ascii="宋体" w:hAnsi="宋体" w:cs="宋体"/>
                <w:color w:val="auto"/>
                <w:sz w:val="24"/>
                <w:szCs w:val="24"/>
                <w:highlight w:val="none"/>
              </w:rPr>
            </w:pPr>
          </w:p>
        </w:tc>
        <w:tc>
          <w:tcPr>
            <w:tcW w:w="529" w:type="dxa"/>
            <w:tcBorders>
              <w:top w:val="single" w:color="000000" w:sz="4" w:space="0"/>
              <w:left w:val="nil"/>
              <w:bottom w:val="single" w:color="000000" w:sz="4" w:space="0"/>
              <w:right w:val="single" w:color="000000" w:sz="4" w:space="0"/>
            </w:tcBorders>
            <w:noWrap/>
            <w:tcMar>
              <w:top w:w="10" w:type="dxa"/>
              <w:left w:w="10" w:type="dxa"/>
              <w:bottom w:w="0" w:type="dxa"/>
              <w:right w:w="10" w:type="dxa"/>
            </w:tcMar>
            <w:vAlign w:val="center"/>
          </w:tcPr>
          <w:p>
            <w:pPr>
              <w:pStyle w:val="211"/>
              <w:snapToGrid w:val="0"/>
              <w:rPr>
                <w:rFonts w:ascii="宋体" w:hAnsi="宋体" w:cs="宋体"/>
                <w:color w:val="auto"/>
                <w:sz w:val="24"/>
                <w:szCs w:val="24"/>
                <w:highlight w:val="none"/>
              </w:rPr>
            </w:pPr>
          </w:p>
        </w:tc>
      </w:tr>
    </w:tbl>
    <w:p>
      <w:pPr>
        <w:pStyle w:val="214"/>
        <w:snapToGrid w:val="0"/>
        <w:jc w:val="left"/>
        <w:rPr>
          <w:rFonts w:ascii="宋体" w:hAnsi="宋体" w:cs="宋体"/>
          <w:b/>
          <w:bCs/>
          <w:color w:val="auto"/>
          <w:kern w:val="0"/>
          <w:sz w:val="24"/>
          <w:szCs w:val="24"/>
          <w:highlight w:val="none"/>
        </w:rPr>
      </w:pPr>
    </w:p>
    <w:p>
      <w:pPr>
        <w:pStyle w:val="214"/>
        <w:snapToGrid w:val="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说明：1、投标人须按招标文件的要求，逐项填写《技术要求偏离表》。</w:t>
      </w:r>
    </w:p>
    <w:p>
      <w:pPr>
        <w:pStyle w:val="214"/>
        <w:snapToGrid w:val="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2、投标人须根据招标文件第三部分项目采购需求中第3条即技术要求章节的内容，逐条逐款填写响应情况。</w:t>
      </w:r>
    </w:p>
    <w:p>
      <w:pPr>
        <w:pStyle w:val="214"/>
        <w:snapToGrid w:val="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3、格式根据上表要求逐项填写。</w:t>
      </w:r>
    </w:p>
    <w:p>
      <w:pPr>
        <w:pStyle w:val="214"/>
        <w:snapToGrid w:val="0"/>
        <w:spacing w:line="360" w:lineRule="auto"/>
        <w:rPr>
          <w:rFonts w:ascii="宋体" w:hAnsi="宋体" w:cs="宋体"/>
          <w:color w:val="auto"/>
          <w:kern w:val="0"/>
          <w:sz w:val="24"/>
          <w:szCs w:val="24"/>
          <w:highlight w:val="none"/>
        </w:rPr>
      </w:pPr>
    </w:p>
    <w:p>
      <w:pPr>
        <w:pStyle w:val="214"/>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&lt;4&gt;技术条款及其他相关要求偏离表</w:t>
      </w:r>
    </w:p>
    <w:p>
      <w:pPr>
        <w:pStyle w:val="211"/>
        <w:rPr>
          <w:rFonts w:ascii="宋体" w:hAnsi="宋体" w:cs="宋体"/>
          <w:color w:val="auto"/>
          <w:highlight w:val="none"/>
          <w:u w:val="single"/>
        </w:rPr>
      </w:pPr>
      <w:r>
        <w:rPr>
          <w:rFonts w:hint="eastAsia" w:ascii="宋体" w:hAnsi="宋体" w:cs="宋体"/>
          <w:color w:val="auto"/>
          <w:highlight w:val="none"/>
        </w:rPr>
        <w:t>项目名称：</w:t>
      </w:r>
    </w:p>
    <w:tbl>
      <w:tblPr>
        <w:tblStyle w:val="18"/>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669"/>
        <w:gridCol w:w="1243"/>
        <w:gridCol w:w="966"/>
        <w:gridCol w:w="124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4" w:type="dxa"/>
            <w:tcBorders>
              <w:top w:val="single" w:color="auto" w:sz="12" w:space="0"/>
              <w:left w:val="single" w:color="auto" w:sz="12" w:space="0"/>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4669" w:type="dxa"/>
            <w:tcBorders>
              <w:top w:val="single" w:color="auto" w:sz="12"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招标文件技术规范、要求</w:t>
            </w:r>
          </w:p>
        </w:tc>
        <w:tc>
          <w:tcPr>
            <w:tcW w:w="1243" w:type="dxa"/>
            <w:tcBorders>
              <w:top w:val="single" w:color="auto" w:sz="12"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投标文件对应规范</w:t>
            </w:r>
          </w:p>
        </w:tc>
        <w:tc>
          <w:tcPr>
            <w:tcW w:w="966" w:type="dxa"/>
            <w:tcBorders>
              <w:top w:val="single" w:color="auto" w:sz="12"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有/无偏离</w:t>
            </w:r>
          </w:p>
        </w:tc>
        <w:tc>
          <w:tcPr>
            <w:tcW w:w="1243" w:type="dxa"/>
            <w:tcBorders>
              <w:top w:val="single" w:color="auto" w:sz="12"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正偏离/负偏离</w:t>
            </w:r>
          </w:p>
        </w:tc>
        <w:tc>
          <w:tcPr>
            <w:tcW w:w="895" w:type="dxa"/>
            <w:tcBorders>
              <w:top w:val="single" w:color="auto" w:sz="12" w:space="0"/>
              <w:left w:val="nil"/>
              <w:bottom w:val="single" w:color="auto" w:sz="4" w:space="0"/>
              <w:right w:val="single" w:color="auto" w:sz="12" w:space="0"/>
            </w:tcBorders>
            <w:noWrap/>
            <w:vAlign w:val="center"/>
          </w:tcPr>
          <w:p>
            <w:pPr>
              <w:pStyle w:val="214"/>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4" w:type="dxa"/>
            <w:tcBorders>
              <w:top w:val="single" w:color="auto" w:sz="4" w:space="0"/>
              <w:left w:val="single" w:color="auto" w:sz="12" w:space="0"/>
              <w:bottom w:val="single" w:color="auto" w:sz="4" w:space="0"/>
              <w:right w:val="single" w:color="auto" w:sz="4" w:space="0"/>
            </w:tcBorders>
            <w:noWrap/>
            <w:vAlign w:val="center"/>
          </w:tcPr>
          <w:p>
            <w:pPr>
              <w:pStyle w:val="211"/>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4669" w:type="dxa"/>
            <w:tcBorders>
              <w:top w:val="single" w:color="auto" w:sz="4" w:space="0"/>
              <w:left w:val="nil"/>
              <w:bottom w:val="single" w:color="auto" w:sz="4" w:space="0"/>
              <w:right w:val="single" w:color="auto" w:sz="4" w:space="0"/>
            </w:tcBorders>
            <w:noWrap/>
            <w:vAlign w:val="center"/>
          </w:tcPr>
          <w:p>
            <w:pPr>
              <w:pStyle w:val="211"/>
              <w:widowControl/>
              <w:snapToGrid w:val="0"/>
              <w:rPr>
                <w:rFonts w:ascii="宋体" w:hAnsi="宋体" w:cs="宋体"/>
                <w:b/>
                <w:bCs/>
                <w:color w:val="auto"/>
                <w:kern w:val="0"/>
                <w:sz w:val="24"/>
                <w:szCs w:val="24"/>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966"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895" w:type="dxa"/>
            <w:tcBorders>
              <w:top w:val="single" w:color="auto" w:sz="4" w:space="0"/>
              <w:left w:val="nil"/>
              <w:bottom w:val="single" w:color="auto" w:sz="4" w:space="0"/>
              <w:right w:val="single" w:color="auto" w:sz="12" w:space="0"/>
            </w:tcBorders>
            <w:noWrap/>
            <w:vAlign w:val="center"/>
          </w:tcPr>
          <w:p>
            <w:pPr>
              <w:pStyle w:val="214"/>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4" w:type="dxa"/>
            <w:tcBorders>
              <w:top w:val="single" w:color="auto" w:sz="4" w:space="0"/>
              <w:left w:val="single" w:color="auto" w:sz="12" w:space="0"/>
              <w:bottom w:val="single" w:color="auto" w:sz="4" w:space="0"/>
              <w:right w:val="single" w:color="auto" w:sz="4" w:space="0"/>
            </w:tcBorders>
            <w:noWrap/>
            <w:vAlign w:val="center"/>
          </w:tcPr>
          <w:p>
            <w:pPr>
              <w:pStyle w:val="211"/>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4669" w:type="dxa"/>
            <w:tcBorders>
              <w:top w:val="single" w:color="auto" w:sz="4" w:space="0"/>
              <w:left w:val="nil"/>
              <w:bottom w:val="single" w:color="auto" w:sz="4" w:space="0"/>
              <w:right w:val="single" w:color="auto" w:sz="4" w:space="0"/>
            </w:tcBorders>
            <w:noWrap/>
            <w:vAlign w:val="center"/>
          </w:tcPr>
          <w:p>
            <w:pPr>
              <w:pStyle w:val="211"/>
              <w:widowControl/>
              <w:snapToGrid w:val="0"/>
              <w:rPr>
                <w:rFonts w:ascii="宋体" w:hAnsi="宋体" w:cs="宋体"/>
                <w:color w:val="auto"/>
                <w:kern w:val="0"/>
                <w:sz w:val="24"/>
                <w:szCs w:val="24"/>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966"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895" w:type="dxa"/>
            <w:tcBorders>
              <w:top w:val="single" w:color="auto" w:sz="4" w:space="0"/>
              <w:left w:val="nil"/>
              <w:bottom w:val="single" w:color="auto" w:sz="4" w:space="0"/>
              <w:right w:val="single" w:color="auto" w:sz="12" w:space="0"/>
            </w:tcBorders>
            <w:noWrap/>
            <w:vAlign w:val="center"/>
          </w:tcPr>
          <w:p>
            <w:pPr>
              <w:pStyle w:val="214"/>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4" w:type="dxa"/>
            <w:tcBorders>
              <w:top w:val="nil"/>
              <w:left w:val="single" w:color="auto" w:sz="12" w:space="0"/>
              <w:bottom w:val="single" w:color="auto" w:sz="4" w:space="0"/>
              <w:right w:val="single" w:color="auto" w:sz="4" w:space="0"/>
            </w:tcBorders>
            <w:noWrap/>
            <w:vAlign w:val="center"/>
          </w:tcPr>
          <w:p>
            <w:pPr>
              <w:pStyle w:val="211"/>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4669" w:type="dxa"/>
            <w:tcBorders>
              <w:top w:val="single" w:color="auto" w:sz="4" w:space="0"/>
              <w:left w:val="nil"/>
              <w:bottom w:val="single" w:color="auto" w:sz="4" w:space="0"/>
              <w:right w:val="single" w:color="auto" w:sz="4" w:space="0"/>
            </w:tcBorders>
            <w:noWrap/>
            <w:vAlign w:val="center"/>
          </w:tcPr>
          <w:p>
            <w:pPr>
              <w:rPr>
                <w:rFonts w:ascii="宋体" w:hAnsi="宋体" w:cs="宋体"/>
                <w:b/>
                <w:bCs/>
                <w:color w:val="auto"/>
                <w:kern w:val="0"/>
                <w:sz w:val="24"/>
                <w:szCs w:val="24"/>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3"/>
              <w:snapToGrid w:val="0"/>
              <w:ind w:left="0" w:leftChars="0" w:firstLine="470"/>
              <w:jc w:val="center"/>
              <w:rPr>
                <w:rFonts w:ascii="宋体" w:hAnsi="宋体" w:cs="宋体"/>
                <w:color w:val="auto"/>
                <w:highlight w:val="none"/>
              </w:rPr>
            </w:pPr>
          </w:p>
        </w:tc>
        <w:tc>
          <w:tcPr>
            <w:tcW w:w="966" w:type="dxa"/>
            <w:tcBorders>
              <w:top w:val="single" w:color="auto" w:sz="4" w:space="0"/>
              <w:left w:val="nil"/>
              <w:bottom w:val="single" w:color="auto" w:sz="4" w:space="0"/>
              <w:right w:val="single" w:color="auto" w:sz="4" w:space="0"/>
            </w:tcBorders>
            <w:noWrap/>
            <w:vAlign w:val="center"/>
          </w:tcPr>
          <w:p>
            <w:pPr>
              <w:pStyle w:val="213"/>
              <w:snapToGrid w:val="0"/>
              <w:ind w:left="0" w:leftChars="0" w:firstLine="470"/>
              <w:jc w:val="center"/>
              <w:rPr>
                <w:rFonts w:ascii="宋体" w:hAnsi="宋体" w:cs="宋体"/>
                <w:color w:val="auto"/>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3"/>
              <w:snapToGrid w:val="0"/>
              <w:ind w:left="0" w:leftChars="0" w:firstLine="470"/>
              <w:jc w:val="center"/>
              <w:rPr>
                <w:rFonts w:ascii="宋体" w:hAnsi="宋体" w:cs="宋体"/>
                <w:color w:val="auto"/>
                <w:highlight w:val="none"/>
              </w:rPr>
            </w:pPr>
          </w:p>
        </w:tc>
        <w:tc>
          <w:tcPr>
            <w:tcW w:w="895" w:type="dxa"/>
            <w:tcBorders>
              <w:top w:val="single" w:color="auto" w:sz="4" w:space="0"/>
              <w:left w:val="nil"/>
              <w:bottom w:val="single" w:color="auto" w:sz="4" w:space="0"/>
              <w:right w:val="single" w:color="auto" w:sz="12" w:space="0"/>
            </w:tcBorders>
            <w:noWrap/>
            <w:vAlign w:val="center"/>
          </w:tcPr>
          <w:p>
            <w:pPr>
              <w:pStyle w:val="213"/>
              <w:snapToGrid w:val="0"/>
              <w:ind w:left="0" w:leftChars="0" w:firstLine="47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nil"/>
              <w:left w:val="single" w:color="auto" w:sz="12" w:space="0"/>
              <w:bottom w:val="single" w:color="auto" w:sz="4" w:space="0"/>
              <w:right w:val="single" w:color="auto" w:sz="4" w:space="0"/>
            </w:tcBorders>
            <w:noWrap/>
            <w:vAlign w:val="center"/>
          </w:tcPr>
          <w:p>
            <w:pPr>
              <w:pStyle w:val="211"/>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4669" w:type="dxa"/>
            <w:tcBorders>
              <w:top w:val="single" w:color="auto" w:sz="4" w:space="0"/>
              <w:left w:val="nil"/>
              <w:bottom w:val="single" w:color="auto" w:sz="4" w:space="0"/>
              <w:right w:val="single" w:color="auto" w:sz="4" w:space="0"/>
            </w:tcBorders>
            <w:noWrap/>
            <w:vAlign w:val="center"/>
          </w:tcPr>
          <w:p>
            <w:pPr>
              <w:spacing w:line="276" w:lineRule="auto"/>
              <w:rPr>
                <w:rFonts w:ascii="宋体" w:hAnsi="宋体" w:cs="宋体"/>
                <w:b/>
                <w:bCs/>
                <w:color w:val="auto"/>
                <w:kern w:val="0"/>
                <w:szCs w:val="21"/>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966"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895" w:type="dxa"/>
            <w:tcBorders>
              <w:top w:val="single" w:color="auto" w:sz="4" w:space="0"/>
              <w:left w:val="nil"/>
              <w:bottom w:val="single" w:color="auto" w:sz="4" w:space="0"/>
              <w:right w:val="single" w:color="auto" w:sz="12" w:space="0"/>
            </w:tcBorders>
            <w:noWrap/>
            <w:vAlign w:val="center"/>
          </w:tcPr>
          <w:p>
            <w:pPr>
              <w:pStyle w:val="214"/>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04" w:type="dxa"/>
            <w:tcBorders>
              <w:top w:val="single" w:color="auto" w:sz="4" w:space="0"/>
              <w:left w:val="single" w:color="auto" w:sz="12" w:space="0"/>
              <w:bottom w:val="single" w:color="auto" w:sz="4" w:space="0"/>
              <w:right w:val="single" w:color="auto" w:sz="4" w:space="0"/>
            </w:tcBorders>
            <w:noWrap/>
            <w:vAlign w:val="center"/>
          </w:tcPr>
          <w:p>
            <w:pPr>
              <w:pStyle w:val="211"/>
              <w:widowControl/>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4669" w:type="dxa"/>
            <w:tcBorders>
              <w:top w:val="single" w:color="auto" w:sz="4" w:space="0"/>
              <w:left w:val="nil"/>
              <w:bottom w:val="single" w:color="auto" w:sz="4" w:space="0"/>
              <w:right w:val="single" w:color="auto" w:sz="4" w:space="0"/>
            </w:tcBorders>
            <w:noWrap/>
            <w:vAlign w:val="center"/>
          </w:tcPr>
          <w:p>
            <w:pPr>
              <w:spacing w:line="276" w:lineRule="auto"/>
              <w:rPr>
                <w:rFonts w:ascii="宋体" w:hAnsi="宋体" w:cs="宋体"/>
                <w:b/>
                <w:bCs/>
                <w:color w:val="auto"/>
                <w:kern w:val="0"/>
                <w:szCs w:val="21"/>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966"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895" w:type="dxa"/>
            <w:tcBorders>
              <w:top w:val="single" w:color="auto" w:sz="4" w:space="0"/>
              <w:left w:val="nil"/>
              <w:bottom w:val="single" w:color="auto" w:sz="4" w:space="0"/>
              <w:right w:val="single" w:color="auto" w:sz="12" w:space="0"/>
            </w:tcBorders>
            <w:noWrap/>
            <w:vAlign w:val="center"/>
          </w:tcPr>
          <w:p>
            <w:pPr>
              <w:pStyle w:val="214"/>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04" w:type="dxa"/>
            <w:tcBorders>
              <w:top w:val="single" w:color="auto" w:sz="4" w:space="0"/>
              <w:left w:val="single" w:color="auto" w:sz="12" w:space="0"/>
              <w:bottom w:val="single" w:color="auto" w:sz="4" w:space="0"/>
              <w:right w:val="single" w:color="auto" w:sz="4" w:space="0"/>
            </w:tcBorders>
            <w:noWrap/>
            <w:vAlign w:val="center"/>
          </w:tcPr>
          <w:p>
            <w:pPr>
              <w:pStyle w:val="211"/>
              <w:widowControl/>
              <w:snapToGrid w:val="0"/>
              <w:jc w:val="center"/>
              <w:rPr>
                <w:rFonts w:ascii="宋体" w:hAnsi="宋体" w:cs="宋体"/>
                <w:color w:val="auto"/>
                <w:sz w:val="24"/>
                <w:szCs w:val="24"/>
                <w:highlight w:val="none"/>
              </w:rPr>
            </w:pPr>
            <w:r>
              <w:rPr>
                <w:rFonts w:hint="eastAsia" w:ascii="宋体" w:hAnsi="宋体" w:cs="宋体"/>
                <w:color w:val="auto"/>
                <w:highlight w:val="none"/>
              </w:rPr>
              <w:t>…</w:t>
            </w:r>
          </w:p>
        </w:tc>
        <w:tc>
          <w:tcPr>
            <w:tcW w:w="4669" w:type="dxa"/>
            <w:tcBorders>
              <w:top w:val="single" w:color="auto" w:sz="4" w:space="0"/>
              <w:left w:val="nil"/>
              <w:bottom w:val="single" w:color="auto" w:sz="4" w:space="0"/>
              <w:right w:val="single" w:color="auto" w:sz="4" w:space="0"/>
            </w:tcBorders>
            <w:noWrap/>
            <w:vAlign w:val="center"/>
          </w:tcPr>
          <w:p>
            <w:pPr>
              <w:pStyle w:val="211"/>
              <w:widowControl/>
              <w:snapToGrid w:val="0"/>
              <w:rPr>
                <w:rFonts w:ascii="宋体" w:hAnsi="宋体" w:cs="宋体"/>
                <w:color w:val="auto"/>
                <w:sz w:val="24"/>
                <w:szCs w:val="24"/>
                <w:highlight w:val="none"/>
              </w:rPr>
            </w:pPr>
            <w:r>
              <w:rPr>
                <w:rFonts w:hint="eastAsia" w:ascii="宋体" w:hAnsi="宋体" w:cs="宋体"/>
                <w:color w:val="auto"/>
                <w:highlight w:val="none"/>
              </w:rPr>
              <w:t>……</w:t>
            </w: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966"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895" w:type="dxa"/>
            <w:tcBorders>
              <w:top w:val="single" w:color="auto" w:sz="4" w:space="0"/>
              <w:left w:val="nil"/>
              <w:bottom w:val="single" w:color="auto" w:sz="4" w:space="0"/>
              <w:right w:val="single" w:color="auto" w:sz="12" w:space="0"/>
            </w:tcBorders>
            <w:noWrap/>
            <w:vAlign w:val="center"/>
          </w:tcPr>
          <w:p>
            <w:pPr>
              <w:pStyle w:val="214"/>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04" w:type="dxa"/>
            <w:tcBorders>
              <w:top w:val="single" w:color="auto" w:sz="4" w:space="0"/>
              <w:left w:val="single" w:color="auto" w:sz="12" w:space="0"/>
              <w:bottom w:val="single" w:color="auto" w:sz="4" w:space="0"/>
              <w:right w:val="single" w:color="auto" w:sz="4" w:space="0"/>
            </w:tcBorders>
            <w:noWrap/>
            <w:vAlign w:val="center"/>
          </w:tcPr>
          <w:p>
            <w:pPr>
              <w:pStyle w:val="211"/>
              <w:widowControl/>
              <w:snapToGrid w:val="0"/>
              <w:jc w:val="center"/>
              <w:rPr>
                <w:rFonts w:ascii="宋体" w:hAnsi="宋体" w:cs="宋体"/>
                <w:color w:val="auto"/>
                <w:sz w:val="24"/>
                <w:szCs w:val="24"/>
                <w:highlight w:val="none"/>
              </w:rPr>
            </w:pPr>
          </w:p>
        </w:tc>
        <w:tc>
          <w:tcPr>
            <w:tcW w:w="4669" w:type="dxa"/>
            <w:tcBorders>
              <w:top w:val="single" w:color="auto" w:sz="4" w:space="0"/>
              <w:left w:val="nil"/>
              <w:bottom w:val="single" w:color="auto" w:sz="4" w:space="0"/>
              <w:right w:val="single" w:color="auto" w:sz="4" w:space="0"/>
            </w:tcBorders>
            <w:noWrap/>
            <w:vAlign w:val="center"/>
          </w:tcPr>
          <w:p>
            <w:pPr>
              <w:pStyle w:val="211"/>
              <w:widowControl/>
              <w:snapToGrid w:val="0"/>
              <w:rPr>
                <w:rFonts w:ascii="宋体" w:hAnsi="宋体" w:cs="宋体"/>
                <w:color w:val="auto"/>
                <w:sz w:val="24"/>
                <w:szCs w:val="24"/>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966"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1243" w:type="dxa"/>
            <w:tcBorders>
              <w:top w:val="single" w:color="auto" w:sz="4" w:space="0"/>
              <w:left w:val="nil"/>
              <w:bottom w:val="single" w:color="auto" w:sz="4"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895" w:type="dxa"/>
            <w:tcBorders>
              <w:top w:val="single" w:color="auto" w:sz="4" w:space="0"/>
              <w:left w:val="nil"/>
              <w:bottom w:val="single" w:color="auto" w:sz="4" w:space="0"/>
              <w:right w:val="single" w:color="auto" w:sz="12" w:space="0"/>
            </w:tcBorders>
            <w:noWrap/>
            <w:vAlign w:val="center"/>
          </w:tcPr>
          <w:p>
            <w:pPr>
              <w:pStyle w:val="214"/>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4" w:type="dxa"/>
            <w:tcBorders>
              <w:top w:val="single" w:color="auto" w:sz="4" w:space="0"/>
              <w:left w:val="single" w:color="auto" w:sz="12" w:space="0"/>
              <w:bottom w:val="single" w:color="auto" w:sz="12" w:space="0"/>
              <w:right w:val="single" w:color="auto" w:sz="4" w:space="0"/>
            </w:tcBorders>
            <w:noWrap/>
            <w:vAlign w:val="center"/>
          </w:tcPr>
          <w:p>
            <w:pPr>
              <w:pStyle w:val="211"/>
              <w:widowControl/>
              <w:snapToGrid w:val="0"/>
              <w:jc w:val="center"/>
              <w:rPr>
                <w:rFonts w:ascii="宋体" w:hAnsi="宋体" w:cs="宋体"/>
                <w:color w:val="auto"/>
                <w:sz w:val="24"/>
                <w:szCs w:val="24"/>
                <w:highlight w:val="none"/>
              </w:rPr>
            </w:pPr>
          </w:p>
        </w:tc>
        <w:tc>
          <w:tcPr>
            <w:tcW w:w="4669" w:type="dxa"/>
            <w:tcBorders>
              <w:top w:val="single" w:color="auto" w:sz="4" w:space="0"/>
              <w:left w:val="nil"/>
              <w:bottom w:val="single" w:color="auto" w:sz="12" w:space="0"/>
              <w:right w:val="single" w:color="auto" w:sz="4" w:space="0"/>
            </w:tcBorders>
            <w:noWrap/>
            <w:vAlign w:val="center"/>
          </w:tcPr>
          <w:p>
            <w:pPr>
              <w:pStyle w:val="211"/>
              <w:widowControl/>
              <w:snapToGrid w:val="0"/>
              <w:rPr>
                <w:rFonts w:ascii="宋体" w:hAnsi="宋体" w:cs="宋体"/>
                <w:color w:val="auto"/>
                <w:sz w:val="24"/>
                <w:szCs w:val="24"/>
                <w:highlight w:val="none"/>
              </w:rPr>
            </w:pPr>
          </w:p>
        </w:tc>
        <w:tc>
          <w:tcPr>
            <w:tcW w:w="1243" w:type="dxa"/>
            <w:tcBorders>
              <w:top w:val="single" w:color="auto" w:sz="4" w:space="0"/>
              <w:left w:val="nil"/>
              <w:bottom w:val="single" w:color="auto" w:sz="12"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966" w:type="dxa"/>
            <w:tcBorders>
              <w:top w:val="single" w:color="auto" w:sz="4" w:space="0"/>
              <w:left w:val="nil"/>
              <w:bottom w:val="single" w:color="auto" w:sz="12"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1243" w:type="dxa"/>
            <w:tcBorders>
              <w:top w:val="single" w:color="auto" w:sz="4" w:space="0"/>
              <w:left w:val="nil"/>
              <w:bottom w:val="single" w:color="auto" w:sz="12" w:space="0"/>
              <w:right w:val="single" w:color="auto" w:sz="4" w:space="0"/>
            </w:tcBorders>
            <w:noWrap/>
            <w:vAlign w:val="center"/>
          </w:tcPr>
          <w:p>
            <w:pPr>
              <w:pStyle w:val="214"/>
              <w:snapToGrid w:val="0"/>
              <w:jc w:val="center"/>
              <w:rPr>
                <w:rFonts w:ascii="宋体" w:hAnsi="宋体" w:cs="宋体"/>
                <w:color w:val="auto"/>
                <w:sz w:val="24"/>
                <w:szCs w:val="24"/>
                <w:highlight w:val="none"/>
              </w:rPr>
            </w:pPr>
          </w:p>
        </w:tc>
        <w:tc>
          <w:tcPr>
            <w:tcW w:w="895" w:type="dxa"/>
            <w:tcBorders>
              <w:top w:val="single" w:color="auto" w:sz="4" w:space="0"/>
              <w:left w:val="nil"/>
              <w:bottom w:val="single" w:color="auto" w:sz="12" w:space="0"/>
              <w:right w:val="single" w:color="auto" w:sz="12" w:space="0"/>
            </w:tcBorders>
            <w:noWrap/>
            <w:vAlign w:val="center"/>
          </w:tcPr>
          <w:p>
            <w:pPr>
              <w:pStyle w:val="214"/>
              <w:snapToGrid w:val="0"/>
              <w:jc w:val="center"/>
              <w:rPr>
                <w:rFonts w:ascii="宋体" w:hAnsi="宋体" w:cs="宋体"/>
                <w:color w:val="auto"/>
                <w:sz w:val="24"/>
                <w:szCs w:val="24"/>
                <w:highlight w:val="none"/>
              </w:rPr>
            </w:pPr>
          </w:p>
        </w:tc>
      </w:tr>
    </w:tbl>
    <w:p>
      <w:pPr>
        <w:pStyle w:val="214"/>
        <w:snapToGrid w:val="0"/>
        <w:spacing w:line="360" w:lineRule="auto"/>
        <w:jc w:val="left"/>
        <w:rPr>
          <w:rFonts w:ascii="宋体" w:hAnsi="宋体" w:cs="宋体"/>
          <w:b/>
          <w:bCs/>
          <w:color w:val="auto"/>
          <w:kern w:val="0"/>
          <w:sz w:val="24"/>
          <w:szCs w:val="24"/>
          <w:highlight w:val="none"/>
        </w:rPr>
      </w:pPr>
    </w:p>
    <w:p>
      <w:pPr>
        <w:pStyle w:val="214"/>
        <w:snapToGri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说明：1、投标人须按招标文件的要求，逐项填写《技术要求偏离表》。</w:t>
      </w:r>
    </w:p>
    <w:p>
      <w:pPr>
        <w:pStyle w:val="214"/>
        <w:snapToGri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2、投标人须根据招标文件第三部分项目采购需求中第4条即技术条款及其他相关要求偏离表章节的内容，逐条逐款填写响应情况。</w:t>
      </w:r>
    </w:p>
    <w:p>
      <w:pPr>
        <w:pStyle w:val="214"/>
        <w:snapToGrid w:val="0"/>
        <w:spacing w:line="360" w:lineRule="auto"/>
        <w:ind w:left="2"/>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3、格式根据上表要求逐项填写。</w:t>
      </w:r>
    </w:p>
    <w:p>
      <w:pPr>
        <w:pStyle w:val="214"/>
        <w:snapToGrid w:val="0"/>
        <w:spacing w:line="360" w:lineRule="auto"/>
        <w:ind w:left="2"/>
        <w:rPr>
          <w:rFonts w:ascii="宋体" w:hAnsi="宋体" w:cs="宋体"/>
          <w:b/>
          <w:bCs/>
          <w:color w:val="auto"/>
          <w:sz w:val="24"/>
          <w:szCs w:val="24"/>
          <w:highlight w:val="none"/>
        </w:rPr>
      </w:pPr>
    </w:p>
    <w:p>
      <w:pPr>
        <w:pStyle w:val="214"/>
        <w:snapToGrid w:val="0"/>
        <w:spacing w:line="360" w:lineRule="auto"/>
        <w:ind w:left="2"/>
        <w:rPr>
          <w:rFonts w:ascii="宋体" w:hAnsi="宋体" w:cs="宋体"/>
          <w:b/>
          <w:bCs/>
          <w:color w:val="auto"/>
          <w:sz w:val="24"/>
          <w:szCs w:val="24"/>
          <w:highlight w:val="none"/>
        </w:rPr>
      </w:pPr>
    </w:p>
    <w:p>
      <w:pPr>
        <w:pStyle w:val="214"/>
        <w:snapToGrid w:val="0"/>
        <w:spacing w:line="360" w:lineRule="auto"/>
        <w:rPr>
          <w:rFonts w:ascii="宋体" w:hAnsi="宋体" w:cs="宋体"/>
          <w:color w:val="auto"/>
          <w:kern w:val="0"/>
          <w:sz w:val="24"/>
          <w:szCs w:val="24"/>
          <w:highlight w:val="none"/>
        </w:rPr>
      </w:pPr>
    </w:p>
    <w:p>
      <w:pPr>
        <w:pStyle w:val="214"/>
        <w:snapToGrid w:val="0"/>
        <w:spacing w:line="360" w:lineRule="auto"/>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（2）项目实施方案及验收标准；</w:t>
      </w:r>
    </w:p>
    <w:p>
      <w:pPr>
        <w:pStyle w:val="214"/>
        <w:snapToGrid w:val="0"/>
        <w:spacing w:line="360" w:lineRule="auto"/>
        <w:jc w:val="left"/>
        <w:rPr>
          <w:rFonts w:ascii="宋体" w:hAnsi="宋体" w:cs="宋体"/>
          <w:color w:val="auto"/>
          <w:kern w:val="0"/>
          <w:sz w:val="24"/>
          <w:szCs w:val="24"/>
          <w:highlight w:val="none"/>
        </w:rPr>
      </w:pPr>
    </w:p>
    <w:p>
      <w:pPr>
        <w:pStyle w:val="211"/>
        <w:rPr>
          <w:rFonts w:ascii="宋体" w:hAnsi="宋体" w:cs="宋体"/>
          <w:color w:val="auto"/>
          <w:highlight w:val="none"/>
        </w:rPr>
      </w:pPr>
      <w:r>
        <w:rPr>
          <w:rFonts w:hint="eastAsia" w:ascii="宋体" w:hAnsi="宋体" w:cs="宋体"/>
          <w:b/>
          <w:bCs/>
          <w:color w:val="auto"/>
          <w:kern w:val="0"/>
          <w:sz w:val="28"/>
          <w:szCs w:val="28"/>
          <w:highlight w:val="none"/>
        </w:rPr>
        <w:t>（3）质量保证措施和保证交货期措施；</w:t>
      </w:r>
    </w:p>
    <w:p>
      <w:pPr>
        <w:pStyle w:val="216"/>
        <w:outlineLvl w:val="1"/>
        <w:rPr>
          <w:rStyle w:val="21"/>
          <w:rFonts w:ascii="宋体" w:hAnsi="宋体" w:eastAsia="宋体" w:cs="宋体"/>
          <w:bCs w:val="0"/>
          <w:color w:val="auto"/>
          <w:szCs w:val="24"/>
          <w:highlight w:val="none"/>
        </w:rPr>
      </w:pPr>
      <w:r>
        <w:rPr>
          <w:rFonts w:hint="eastAsia" w:ascii="宋体" w:hAnsi="宋体" w:eastAsia="宋体" w:cs="宋体"/>
          <w:color w:val="auto"/>
          <w:highlight w:val="none"/>
        </w:rPr>
        <w:br w:type="page"/>
      </w:r>
      <w:r>
        <w:rPr>
          <w:rStyle w:val="21"/>
          <w:rFonts w:hint="eastAsia" w:ascii="宋体" w:hAnsi="宋体" w:eastAsia="宋体" w:cs="宋体"/>
          <w:bCs w:val="0"/>
          <w:color w:val="auto"/>
          <w:szCs w:val="24"/>
          <w:highlight w:val="none"/>
        </w:rPr>
        <w:t>五、服务文件</w:t>
      </w:r>
    </w:p>
    <w:p>
      <w:pPr>
        <w:pStyle w:val="217"/>
        <w:rPr>
          <w:rFonts w:ascii="宋体" w:hAnsi="宋体" w:cs="宋体"/>
          <w:color w:val="auto"/>
          <w:highlight w:val="none"/>
        </w:rPr>
      </w:pPr>
      <w:r>
        <w:rPr>
          <w:rFonts w:hint="eastAsia" w:ascii="宋体" w:hAnsi="宋体" w:cs="宋体"/>
          <w:color w:val="auto"/>
          <w:highlight w:val="none"/>
        </w:rPr>
        <w:t>1、项目实施管理方案（内容编排及格式等由投标人自定）</w:t>
      </w:r>
    </w:p>
    <w:p>
      <w:pPr>
        <w:pStyle w:val="218"/>
        <w:widowControl/>
        <w:jc w:val="left"/>
        <w:rPr>
          <w:rFonts w:ascii="宋体" w:hAnsi="宋体" w:cs="宋体"/>
          <w:color w:val="auto"/>
          <w:highlight w:val="none"/>
        </w:rPr>
      </w:pPr>
      <w:r>
        <w:rPr>
          <w:rFonts w:hint="eastAsia" w:ascii="宋体" w:hAnsi="宋体" w:cs="宋体"/>
          <w:color w:val="auto"/>
          <w:highlight w:val="none"/>
        </w:rPr>
        <w:t>包括但不限于①针对本项目的综合说明（含服务理念、工作目标、整体设想和策划）；②简单方案说明或总体方案设计；③项目组织和管理；④质量、进度、安全相关保障措施；⑤项目管理机构：要求提供项目管理机构框图、人员配备方案及岗位职责和职业资格（含管理层的设置，主要技术人员的人数和职责，各部门的设置、职责和拟安排的人数）；⑥完成服务所需的工具、设备等资源配置；</w:t>
      </w:r>
    </w:p>
    <w:p>
      <w:pPr>
        <w:pStyle w:val="218"/>
        <w:rPr>
          <w:rFonts w:ascii="宋体" w:hAnsi="宋体" w:cs="宋体"/>
          <w:color w:val="auto"/>
          <w:highlight w:val="none"/>
        </w:rPr>
      </w:pPr>
    </w:p>
    <w:p>
      <w:pPr>
        <w:pStyle w:val="217"/>
        <w:rPr>
          <w:rFonts w:ascii="宋体" w:hAnsi="宋体" w:cs="宋体"/>
          <w:color w:val="auto"/>
          <w:highlight w:val="none"/>
        </w:rPr>
      </w:pPr>
      <w:r>
        <w:rPr>
          <w:rFonts w:hint="eastAsia" w:ascii="宋体" w:hAnsi="宋体" w:cs="宋体"/>
          <w:color w:val="auto"/>
          <w:highlight w:val="none"/>
        </w:rPr>
        <w:t>2、服务和培训方案（内容编排及格式等由投标人自定）</w:t>
      </w:r>
    </w:p>
    <w:p>
      <w:pPr>
        <w:pStyle w:val="219"/>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另请注明本项目验收通过五年质量保证期过后维护方案（免费提供一次操作系统升级后软件的升级、改版），是否免费，免费几年。如需收费，收费标准列明细。如未注明收费标准明细视为免费提供。</w:t>
      </w: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p>
    <w:p>
      <w:pPr>
        <w:pStyle w:val="218"/>
        <w:rPr>
          <w:rFonts w:ascii="宋体" w:hAnsi="宋体" w:cs="宋体"/>
          <w:color w:val="auto"/>
          <w:sz w:val="24"/>
          <w:szCs w:val="24"/>
          <w:highlight w:val="none"/>
        </w:rPr>
      </w:pPr>
    </w:p>
    <w:p>
      <w:pPr>
        <w:pStyle w:val="217"/>
        <w:rPr>
          <w:rFonts w:ascii="宋体" w:hAnsi="宋体" w:cs="宋体"/>
          <w:color w:val="auto"/>
          <w:highlight w:val="none"/>
        </w:rPr>
      </w:pPr>
      <w:r>
        <w:rPr>
          <w:rFonts w:hint="eastAsia" w:ascii="宋体" w:hAnsi="宋体" w:cs="宋体"/>
          <w:color w:val="auto"/>
          <w:highlight w:val="none"/>
        </w:rPr>
        <w:t>3、售后服务网点明细表（包括联系人、详细地址、电话、传真）及本地化服务情况一览表</w:t>
      </w:r>
    </w:p>
    <w:p>
      <w:pPr>
        <w:pStyle w:val="219"/>
        <w:snapToGrid w:val="0"/>
        <w:spacing w:line="360" w:lineRule="auto"/>
        <w:rPr>
          <w:rFonts w:ascii="宋体" w:hAnsi="宋体" w:cs="宋体"/>
          <w:color w:val="auto"/>
          <w:sz w:val="24"/>
          <w:szCs w:val="24"/>
          <w:highlight w:val="none"/>
        </w:rPr>
      </w:pPr>
    </w:p>
    <w:p>
      <w:pPr>
        <w:pStyle w:val="219"/>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附本地化服务一览表：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Borders>
              <w:top w:val="single" w:color="auto" w:sz="4" w:space="0"/>
              <w:left w:val="single" w:color="auto" w:sz="4" w:space="0"/>
              <w:bottom w:val="single" w:color="auto" w:sz="4" w:space="0"/>
              <w:right w:val="single" w:color="auto" w:sz="4" w:space="0"/>
            </w:tcBorders>
          </w:tcPr>
          <w:p>
            <w:pPr>
              <w:pStyle w:val="219"/>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691" w:type="dxa"/>
            <w:gridSpan w:val="3"/>
            <w:tcBorders>
              <w:top w:val="single" w:color="auto" w:sz="4" w:space="0"/>
              <w:left w:val="nil"/>
              <w:bottom w:val="single" w:color="auto" w:sz="4" w:space="0"/>
              <w:right w:val="single" w:color="auto" w:sz="4" w:space="0"/>
            </w:tcBorders>
          </w:tcPr>
          <w:p>
            <w:pPr>
              <w:pStyle w:val="219"/>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Borders>
              <w:top w:val="single" w:color="auto" w:sz="4" w:space="0"/>
              <w:left w:val="single" w:color="auto" w:sz="4" w:space="0"/>
              <w:bottom w:val="single" w:color="auto" w:sz="4" w:space="0"/>
              <w:right w:val="single" w:color="auto" w:sz="4" w:space="0"/>
            </w:tcBorders>
            <w:vAlign w:val="center"/>
          </w:tcPr>
          <w:p>
            <w:pPr>
              <w:pStyle w:val="219"/>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本地化服务形式</w:t>
            </w:r>
          </w:p>
        </w:tc>
        <w:tc>
          <w:tcPr>
            <w:tcW w:w="7691" w:type="dxa"/>
            <w:gridSpan w:val="3"/>
            <w:tcBorders>
              <w:top w:val="single" w:color="auto" w:sz="4" w:space="0"/>
              <w:left w:val="nil"/>
              <w:bottom w:val="single" w:color="auto" w:sz="4" w:space="0"/>
              <w:right w:val="single" w:color="auto" w:sz="4" w:space="0"/>
            </w:tcBorders>
            <w:vAlign w:val="center"/>
          </w:tcPr>
          <w:p>
            <w:pPr>
              <w:pStyle w:val="219"/>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□在本地具有分支机构</w:t>
            </w:r>
          </w:p>
          <w:p>
            <w:pPr>
              <w:pStyle w:val="219"/>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□在本地具有固定的合作伙伴</w:t>
            </w:r>
          </w:p>
          <w:p>
            <w:pPr>
              <w:pStyle w:val="219"/>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Borders>
              <w:top w:val="single" w:color="auto" w:sz="4" w:space="0"/>
              <w:left w:val="single" w:color="auto" w:sz="4" w:space="0"/>
              <w:bottom w:val="single" w:color="auto" w:sz="4" w:space="0"/>
              <w:right w:val="single" w:color="auto" w:sz="4" w:space="0"/>
            </w:tcBorders>
            <w:vAlign w:val="center"/>
          </w:tcPr>
          <w:p>
            <w:pPr>
              <w:pStyle w:val="219"/>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Borders>
              <w:top w:val="single" w:color="auto" w:sz="4" w:space="0"/>
              <w:left w:val="single" w:color="auto" w:sz="4" w:space="0"/>
              <w:bottom w:val="single" w:color="auto" w:sz="4" w:space="0"/>
              <w:right w:val="single" w:color="auto" w:sz="4" w:space="0"/>
            </w:tcBorders>
            <w:vAlign w:val="center"/>
          </w:tcPr>
          <w:p>
            <w:pPr>
              <w:pStyle w:val="219"/>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本地化服务地点及联系方式</w:t>
            </w:r>
          </w:p>
        </w:tc>
        <w:tc>
          <w:tcPr>
            <w:tcW w:w="2940" w:type="dxa"/>
            <w:tcBorders>
              <w:top w:val="single" w:color="auto" w:sz="4" w:space="0"/>
              <w:left w:val="nil"/>
              <w:bottom w:val="single" w:color="auto" w:sz="4" w:space="0"/>
              <w:right w:val="single" w:color="auto" w:sz="4" w:space="0"/>
            </w:tcBorders>
            <w:vAlign w:val="center"/>
          </w:tcPr>
          <w:p>
            <w:pPr>
              <w:pStyle w:val="219"/>
              <w:snapToGrid w:val="0"/>
              <w:spacing w:line="360" w:lineRule="auto"/>
              <w:jc w:val="center"/>
              <w:rPr>
                <w:rFonts w:ascii="宋体" w:hAnsi="宋体" w:cs="宋体"/>
                <w:color w:val="auto"/>
                <w:sz w:val="24"/>
                <w:szCs w:val="24"/>
                <w:highlight w:val="none"/>
              </w:rPr>
            </w:pPr>
          </w:p>
        </w:tc>
        <w:tc>
          <w:tcPr>
            <w:tcW w:w="2180" w:type="dxa"/>
            <w:tcBorders>
              <w:top w:val="single" w:color="auto" w:sz="4" w:space="0"/>
              <w:left w:val="nil"/>
              <w:bottom w:val="single" w:color="auto" w:sz="4" w:space="0"/>
              <w:right w:val="single" w:color="auto" w:sz="4" w:space="0"/>
            </w:tcBorders>
            <w:vAlign w:val="center"/>
          </w:tcPr>
          <w:p>
            <w:pPr>
              <w:pStyle w:val="219"/>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负责人及联系方式（附身份证号码）</w:t>
            </w:r>
          </w:p>
        </w:tc>
        <w:tc>
          <w:tcPr>
            <w:tcW w:w="2571" w:type="dxa"/>
            <w:tcBorders>
              <w:top w:val="single" w:color="auto" w:sz="4" w:space="0"/>
              <w:left w:val="nil"/>
              <w:bottom w:val="single" w:color="auto" w:sz="4" w:space="0"/>
              <w:right w:val="single" w:color="auto" w:sz="4" w:space="0"/>
            </w:tcBorders>
          </w:tcPr>
          <w:p>
            <w:pPr>
              <w:pStyle w:val="219"/>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Borders>
              <w:top w:val="single" w:color="auto" w:sz="4" w:space="0"/>
              <w:left w:val="single" w:color="auto" w:sz="4" w:space="0"/>
              <w:bottom w:val="single" w:color="auto" w:sz="4" w:space="0"/>
              <w:right w:val="single" w:color="auto" w:sz="4" w:space="0"/>
            </w:tcBorders>
          </w:tcPr>
          <w:p>
            <w:pPr>
              <w:pStyle w:val="219"/>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服务人员名单及联系方式（附身份证号码）：</w:t>
            </w:r>
          </w:p>
          <w:p>
            <w:pPr>
              <w:pStyle w:val="219"/>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Borders>
              <w:top w:val="single" w:color="auto" w:sz="4" w:space="0"/>
              <w:left w:val="single" w:color="auto" w:sz="4" w:space="0"/>
              <w:bottom w:val="single" w:color="auto" w:sz="4" w:space="0"/>
              <w:right w:val="single" w:color="auto" w:sz="4" w:space="0"/>
            </w:tcBorders>
          </w:tcPr>
          <w:p>
            <w:pPr>
              <w:pStyle w:val="219"/>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其他有关证明文件说明（如营业执照等）：</w:t>
            </w:r>
          </w:p>
          <w:p>
            <w:pPr>
              <w:pStyle w:val="219"/>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tcBorders>
              <w:top w:val="single" w:color="auto" w:sz="4" w:space="0"/>
              <w:left w:val="single" w:color="auto" w:sz="4" w:space="0"/>
              <w:bottom w:val="single" w:color="auto" w:sz="4" w:space="0"/>
              <w:right w:val="single" w:color="auto" w:sz="4" w:space="0"/>
            </w:tcBorders>
          </w:tcPr>
          <w:p>
            <w:pPr>
              <w:pStyle w:val="219"/>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备注：1、具有合作伙伴的应填写合作伙伴的相关资料，并提供双方的合作协议以及合作伙伴的营业执照等证明文件。</w:t>
            </w:r>
          </w:p>
          <w:p>
            <w:pPr>
              <w:pStyle w:val="219"/>
              <w:snapToGrid w:val="0"/>
              <w:spacing w:line="360" w:lineRule="auto"/>
              <w:ind w:left="2" w:leftChars="1"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2、如供应商不能提供本地化服务，可不填报。</w:t>
            </w:r>
          </w:p>
        </w:tc>
      </w:tr>
    </w:tbl>
    <w:p>
      <w:pPr>
        <w:pStyle w:val="219"/>
        <w:snapToGrid w:val="0"/>
        <w:spacing w:line="360" w:lineRule="auto"/>
        <w:rPr>
          <w:rFonts w:ascii="宋体" w:hAnsi="宋体" w:cs="宋体"/>
          <w:color w:val="auto"/>
          <w:kern w:val="0"/>
          <w:sz w:val="24"/>
          <w:szCs w:val="24"/>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7"/>
        <w:rPr>
          <w:rFonts w:ascii="宋体" w:hAnsi="宋体" w:cs="宋体"/>
          <w:color w:val="auto"/>
          <w:highlight w:val="none"/>
        </w:rPr>
      </w:pPr>
      <w:r>
        <w:rPr>
          <w:rFonts w:hint="eastAsia" w:ascii="宋体" w:hAnsi="宋体" w:cs="宋体"/>
          <w:color w:val="auto"/>
          <w:highlight w:val="none"/>
        </w:rPr>
        <w:t>4、续保服务费报价表</w:t>
      </w:r>
    </w:p>
    <w:p>
      <w:pPr>
        <w:pStyle w:val="218"/>
        <w:rPr>
          <w:rFonts w:ascii="宋体" w:hAnsi="宋体" w:cs="宋体"/>
          <w:color w:val="auto"/>
          <w:highlight w:val="none"/>
          <w:u w:val="single"/>
        </w:rPr>
      </w:pPr>
      <w:r>
        <w:rPr>
          <w:rFonts w:hint="eastAsia" w:ascii="宋体" w:hAnsi="宋体" w:cs="宋体"/>
          <w:color w:val="auto"/>
          <w:highlight w:val="none"/>
        </w:rPr>
        <w:t>项目名称：</w:t>
      </w:r>
    </w:p>
    <w:p>
      <w:pPr>
        <w:pStyle w:val="220"/>
        <w:snapToGrid w:val="0"/>
        <w:spacing w:line="360" w:lineRule="auto"/>
        <w:ind w:left="0" w:leftChars="0" w:firstLine="0" w:firstLineChars="0"/>
        <w:rPr>
          <w:rFonts w:ascii="宋体" w:hAnsi="宋体" w:cs="宋体"/>
          <w:color w:val="auto"/>
          <w:highlight w:val="none"/>
        </w:rPr>
      </w:pPr>
      <w:r>
        <w:rPr>
          <w:rFonts w:hint="eastAsia" w:ascii="宋体" w:hAnsi="宋体" w:cs="宋体"/>
          <w:color w:val="auto"/>
          <w:highlight w:val="none"/>
        </w:rPr>
        <w:t>分包名称：</w:t>
      </w:r>
    </w:p>
    <w:p>
      <w:pPr>
        <w:pStyle w:val="220"/>
        <w:snapToGrid w:val="0"/>
        <w:spacing w:line="360" w:lineRule="auto"/>
        <w:ind w:left="0" w:leftChars="0" w:firstLine="0" w:firstLineChars="0"/>
        <w:rPr>
          <w:rFonts w:ascii="宋体" w:hAnsi="宋体" w:cs="宋体"/>
          <w:color w:val="auto"/>
          <w:highlight w:val="none"/>
        </w:rPr>
      </w:pPr>
      <w:r>
        <w:rPr>
          <w:rFonts w:hint="eastAsia" w:ascii="宋体" w:hAnsi="宋体" w:cs="宋体"/>
          <w:color w:val="auto"/>
          <w:highlight w:val="none"/>
        </w:rPr>
        <w:t>价格单位：元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843"/>
        <w:gridCol w:w="1559"/>
        <w:gridCol w:w="1843"/>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1" w:type="dxa"/>
            <w:tcBorders>
              <w:top w:val="single" w:color="auto" w:sz="4" w:space="0"/>
              <w:left w:val="single" w:color="auto" w:sz="4" w:space="0"/>
              <w:bottom w:val="single" w:color="auto" w:sz="4" w:space="0"/>
              <w:right w:val="single" w:color="auto" w:sz="4" w:space="0"/>
            </w:tcBorders>
            <w:vAlign w:val="center"/>
          </w:tcPr>
          <w:p>
            <w:pPr>
              <w:pStyle w:val="221"/>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843" w:type="dxa"/>
            <w:tcBorders>
              <w:top w:val="single" w:color="auto" w:sz="4" w:space="0"/>
              <w:left w:val="nil"/>
              <w:bottom w:val="single" w:color="auto" w:sz="4" w:space="0"/>
              <w:right w:val="single" w:color="auto" w:sz="4" w:space="0"/>
            </w:tcBorders>
            <w:vAlign w:val="center"/>
          </w:tcPr>
          <w:p>
            <w:pPr>
              <w:pStyle w:val="221"/>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w:t>
            </w:r>
          </w:p>
        </w:tc>
        <w:tc>
          <w:tcPr>
            <w:tcW w:w="1559" w:type="dxa"/>
            <w:tcBorders>
              <w:top w:val="single" w:color="auto" w:sz="4" w:space="0"/>
              <w:left w:val="nil"/>
              <w:bottom w:val="single" w:color="auto" w:sz="4" w:space="0"/>
              <w:right w:val="single" w:color="auto" w:sz="4" w:space="0"/>
            </w:tcBorders>
            <w:vAlign w:val="center"/>
          </w:tcPr>
          <w:p>
            <w:pPr>
              <w:pStyle w:val="221"/>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843" w:type="dxa"/>
            <w:tcBorders>
              <w:top w:val="single" w:color="auto" w:sz="4" w:space="0"/>
              <w:left w:val="nil"/>
              <w:bottom w:val="single" w:color="auto" w:sz="4" w:space="0"/>
              <w:right w:val="single" w:color="auto" w:sz="4" w:space="0"/>
            </w:tcBorders>
            <w:vAlign w:val="center"/>
          </w:tcPr>
          <w:p>
            <w:pPr>
              <w:pStyle w:val="221"/>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单位</w:t>
            </w:r>
          </w:p>
        </w:tc>
        <w:tc>
          <w:tcPr>
            <w:tcW w:w="2934" w:type="dxa"/>
            <w:tcBorders>
              <w:top w:val="single" w:color="auto" w:sz="4" w:space="0"/>
              <w:left w:val="nil"/>
              <w:bottom w:val="single" w:color="auto" w:sz="4" w:space="0"/>
              <w:right w:val="single" w:color="auto" w:sz="4" w:space="0"/>
            </w:tcBorders>
            <w:vAlign w:val="center"/>
          </w:tcPr>
          <w:p>
            <w:pPr>
              <w:pStyle w:val="221"/>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费用（元/年）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pPr>
              <w:pStyle w:val="221"/>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843" w:type="dxa"/>
            <w:tcBorders>
              <w:top w:val="single" w:color="auto" w:sz="4" w:space="0"/>
              <w:left w:val="nil"/>
              <w:bottom w:val="single" w:color="auto" w:sz="4" w:space="0"/>
              <w:right w:val="single" w:color="auto" w:sz="4" w:space="0"/>
            </w:tcBorders>
            <w:vAlign w:val="center"/>
          </w:tcPr>
          <w:p>
            <w:pPr>
              <w:pStyle w:val="221"/>
              <w:snapToGrid w:val="0"/>
              <w:spacing w:line="360" w:lineRule="auto"/>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续保服务费</w:t>
            </w:r>
          </w:p>
        </w:tc>
        <w:tc>
          <w:tcPr>
            <w:tcW w:w="1559" w:type="dxa"/>
            <w:tcBorders>
              <w:top w:val="single" w:color="auto" w:sz="4" w:space="0"/>
              <w:left w:val="nil"/>
              <w:bottom w:val="single" w:color="auto" w:sz="4" w:space="0"/>
              <w:right w:val="single" w:color="auto" w:sz="4" w:space="0"/>
            </w:tcBorders>
            <w:vAlign w:val="center"/>
          </w:tcPr>
          <w:p>
            <w:pPr>
              <w:pStyle w:val="221"/>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843" w:type="dxa"/>
            <w:tcBorders>
              <w:top w:val="single" w:color="auto" w:sz="4" w:space="0"/>
              <w:left w:val="nil"/>
              <w:bottom w:val="single" w:color="auto" w:sz="4" w:space="0"/>
              <w:right w:val="single" w:color="auto" w:sz="4" w:space="0"/>
            </w:tcBorders>
            <w:vAlign w:val="center"/>
          </w:tcPr>
          <w:p>
            <w:pPr>
              <w:pStyle w:val="221"/>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年</w:t>
            </w:r>
          </w:p>
        </w:tc>
        <w:tc>
          <w:tcPr>
            <w:tcW w:w="2934" w:type="dxa"/>
            <w:tcBorders>
              <w:top w:val="single" w:color="auto" w:sz="4" w:space="0"/>
              <w:left w:val="nil"/>
              <w:bottom w:val="single" w:color="auto" w:sz="4" w:space="0"/>
              <w:right w:val="single" w:color="auto" w:sz="4" w:space="0"/>
            </w:tcBorders>
            <w:vAlign w:val="center"/>
          </w:tcPr>
          <w:p>
            <w:pPr>
              <w:pStyle w:val="221"/>
              <w:snapToGrid w:val="0"/>
              <w:spacing w:line="360" w:lineRule="auto"/>
              <w:jc w:val="center"/>
              <w:rPr>
                <w:rFonts w:ascii="宋体" w:hAnsi="宋体" w:cs="宋体"/>
                <w:color w:val="auto"/>
                <w:sz w:val="24"/>
                <w:szCs w:val="24"/>
                <w:highlight w:val="none"/>
              </w:rPr>
            </w:pPr>
          </w:p>
        </w:tc>
      </w:tr>
    </w:tbl>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19"/>
        <w:snapToGrid w:val="0"/>
        <w:spacing w:line="360" w:lineRule="auto"/>
        <w:rPr>
          <w:rFonts w:ascii="宋体" w:hAnsi="宋体" w:cs="宋体"/>
          <w:color w:val="auto"/>
          <w:highlight w:val="none"/>
        </w:rPr>
      </w:pPr>
    </w:p>
    <w:p>
      <w:pPr>
        <w:pStyle w:val="222"/>
        <w:outlineLvl w:val="1"/>
        <w:rPr>
          <w:rFonts w:ascii="宋体" w:hAnsi="宋体" w:eastAsia="宋体" w:cs="宋体"/>
          <w:color w:val="auto"/>
          <w:highlight w:val="none"/>
        </w:rPr>
      </w:pPr>
      <w:r>
        <w:rPr>
          <w:rFonts w:hint="eastAsia" w:ascii="宋体" w:hAnsi="宋体" w:eastAsia="宋体" w:cs="宋体"/>
          <w:color w:val="auto"/>
          <w:highlight w:val="none"/>
        </w:rPr>
        <w:t>六、其他材料</w:t>
      </w:r>
    </w:p>
    <w:p>
      <w:pPr>
        <w:pStyle w:val="223"/>
        <w:outlineLvl w:val="2"/>
        <w:rPr>
          <w:rFonts w:ascii="宋体" w:hAnsi="宋体" w:eastAsia="宋体" w:cs="宋体"/>
          <w:color w:val="auto"/>
          <w:highlight w:val="none"/>
        </w:rPr>
      </w:pPr>
      <w:r>
        <w:rPr>
          <w:rFonts w:hint="eastAsia" w:ascii="宋体" w:hAnsi="宋体" w:eastAsia="宋体" w:cs="宋体"/>
          <w:color w:val="auto"/>
          <w:highlight w:val="none"/>
        </w:rPr>
        <w:t>投标人认为有必要提供的资料</w:t>
      </w:r>
    </w:p>
    <w:p>
      <w:pPr>
        <w:rPr>
          <w:rFonts w:ascii="宋体" w:hAnsi="宋体" w:cs="宋体"/>
          <w:color w:val="auto"/>
          <w:sz w:val="20"/>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1、新疆生产建设兵团医院政府采购供应商诚信承诺书</w:t>
      </w:r>
    </w:p>
    <w:p>
      <w:pPr>
        <w:rPr>
          <w:rFonts w:ascii="宋体" w:hAnsi="宋体" w:cs="宋体"/>
          <w:color w:val="auto"/>
          <w:sz w:val="28"/>
          <w:szCs w:val="28"/>
          <w:highlight w:val="none"/>
        </w:rPr>
      </w:pPr>
    </w:p>
    <w:p>
      <w:pPr>
        <w:widowControl w:val="0"/>
        <w:adjustRightInd w:val="0"/>
        <w:snapToGrid w:val="0"/>
        <w:spacing w:line="312"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新疆生产建设兵团医院：</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我公司自愿参与贵单位组织的</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 xml:space="preserve">项目 </w:t>
      </w:r>
      <w:r>
        <w:rPr>
          <w:rFonts w:hint="eastAsia" w:ascii="宋体" w:hAnsi="宋体" w:cs="宋体"/>
          <w:color w:val="auto"/>
          <w:sz w:val="24"/>
          <w:szCs w:val="24"/>
          <w:highlight w:val="none"/>
        </w:rPr>
        <w:t>采购活动，严格遵守《中华人民共和国政府采购法》等相关法律法规的规定，坚守公平竞争，并无条件地遵守本次采购活动各项规定。我单位郑重承诺：</w:t>
      </w:r>
    </w:p>
    <w:p>
      <w:pPr>
        <w:widowControl w:val="0"/>
        <w:adjustRightInd w:val="0"/>
        <w:snapToGrid w:val="0"/>
        <w:spacing w:line="312" w:lineRule="auto"/>
        <w:ind w:firstLine="482" w:firstLineChars="200"/>
        <w:textAlignment w:val="auto"/>
        <w:rPr>
          <w:rFonts w:ascii="宋体" w:hAnsi="宋体" w:cs="宋体"/>
          <w:color w:val="auto"/>
          <w:sz w:val="24"/>
          <w:szCs w:val="24"/>
          <w:highlight w:val="none"/>
        </w:rPr>
      </w:pPr>
      <w:r>
        <w:rPr>
          <w:rFonts w:hint="eastAsia" w:ascii="宋体" w:hAnsi="宋体" w:cs="宋体"/>
          <w:b/>
          <w:color w:val="auto"/>
          <w:sz w:val="24"/>
          <w:szCs w:val="24"/>
          <w:highlight w:val="none"/>
        </w:rPr>
        <w:t>如果在本次招标活动中有以下情形的，愿意接受新疆生产建设兵团医院相关部门、各级政府采购监管部门给予相关处罚并承担法律责任</w:t>
      </w:r>
      <w:r>
        <w:rPr>
          <w:rFonts w:hint="eastAsia" w:ascii="宋体" w:hAnsi="宋体" w:cs="宋体"/>
          <w:color w:val="auto"/>
          <w:sz w:val="24"/>
          <w:szCs w:val="24"/>
          <w:highlight w:val="none"/>
        </w:rPr>
        <w:t xml:space="preserve">。 </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(一)提供虚假材料谋取中标的；  </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(二)采取不正当手段诋毁、排挤其他供应商的；  </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(三)与招标采购单位恶意串通，与其他投标人围标的；  </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(四)向招标采购单位行贿或提供其他不正当利益的； </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(五)在招标过程中与招标采购单位进行协商谈判、不按照招标文件和投标文件订立合同，或者与采购人另立背离合同实质性内容协议的；</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(六)开标后擅自撤销投标，影响招标继续进行的或领取招标文件缴纳投标保证金后不投标导致废标的； </w:t>
      </w:r>
    </w:p>
    <w:p>
      <w:pPr>
        <w:widowControl w:val="0"/>
        <w:adjustRightInd w:val="0"/>
        <w:snapToGrid w:val="0"/>
        <w:spacing w:line="312" w:lineRule="auto"/>
        <w:ind w:firstLine="360" w:firstLineChars="15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(七)中标后无正当理由，在规定时间内不与采购单位签订合同的；  </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(八)将中标项目转让给他人或非法分包他人的；  </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(九)无正当理由，拒绝履行合同义务的；  </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(十)无正当理由放弃中标(成交)项目的；  </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(十一)擅自与采购人串通或接受采购人要求，在履约合同中通过减少货物数量，更换品牌、降低配置、技术要求、质量和服务标准等，却仍按原合同进行虚假验收或终止政府采购合同的；</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(十二)与采购人串通，对尚未履约完毕的采购项目出具虚假验收报告的；</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(十三)无不可抗力因素，拒绝提供售后服务、售后服务态度恶劣，故意提高维修配件价格(高于市场平均价)的；</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(十四)开标后对招标文件的相关内容再进行质疑的； </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(十五)恶意投诉的行为：投诉经查无实据的、捏造事实或者提供虚假投诉材料的；</w:t>
      </w:r>
    </w:p>
    <w:p>
      <w:pPr>
        <w:widowControl w:val="0"/>
        <w:adjustRightInd w:val="0"/>
        <w:snapToGrid w:val="0"/>
        <w:spacing w:line="312" w:lineRule="auto"/>
        <w:ind w:left="638" w:leftChars="304"/>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(十六)拒绝有关部门监督检查或者提供虚假情况的； </w:t>
      </w:r>
    </w:p>
    <w:p>
      <w:pPr>
        <w:widowControl w:val="0"/>
        <w:adjustRightInd w:val="0"/>
        <w:snapToGrid w:val="0"/>
        <w:spacing w:line="312" w:lineRule="auto"/>
        <w:ind w:firstLine="56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(十七)财政、监察部门认定的其他不诚信行为。</w:t>
      </w:r>
    </w:p>
    <w:p>
      <w:pPr>
        <w:widowControl w:val="0"/>
        <w:adjustRightInd w:val="0"/>
        <w:snapToGrid w:val="0"/>
        <w:spacing w:line="312" w:lineRule="auto"/>
        <w:ind w:firstLine="560"/>
        <w:textAlignment w:val="auto"/>
        <w:rPr>
          <w:rFonts w:ascii="宋体" w:hAnsi="宋体" w:cs="宋体"/>
          <w:color w:val="auto"/>
          <w:sz w:val="24"/>
          <w:szCs w:val="24"/>
          <w:highlight w:val="none"/>
        </w:rPr>
      </w:pPr>
      <w:r>
        <w:rPr>
          <w:rFonts w:hint="eastAsia" w:ascii="宋体" w:hAnsi="宋体" w:cs="宋体"/>
          <w:color w:val="auto"/>
          <w:sz w:val="24"/>
          <w:szCs w:val="24"/>
          <w:highlight w:val="none"/>
        </w:rPr>
        <w:t>如隐瞒以上事实，经相关部门查实，同意接受新疆生产建设兵团医院如下惩罚：</w:t>
      </w:r>
    </w:p>
    <w:p>
      <w:pPr>
        <w:widowControl w:val="0"/>
        <w:adjustRightInd w:val="0"/>
        <w:snapToGrid w:val="0"/>
        <w:spacing w:line="312" w:lineRule="auto"/>
        <w:ind w:firstLine="56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（一）进入新疆生产建设兵团医院黑名单，今后不得再参加新疆生产建设兵团医院的任何项目。</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（二）由新疆生产建设兵团医院向各级政府采购监管部门进行反映。</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（三）如有投标保证金的扣除全部投标保证金。如无保证金，已中标的作废标处理，已签订合同的终止合同，已经进行施工的，立即终止施工，已经施工的款项由供应商全额承担。</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公司名称：</w:t>
      </w:r>
    </w:p>
    <w:p>
      <w:pPr>
        <w:widowControl w:val="0"/>
        <w:adjustRightInd w:val="0"/>
        <w:snapToGrid w:val="0"/>
        <w:spacing w:line="312"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法人代表或授权委托人</w:t>
      </w:r>
      <w:r>
        <w:rPr>
          <w:rFonts w:hint="eastAsia" w:ascii="宋体" w:hAnsi="宋体" w:cs="宋体"/>
          <w:color w:val="auto"/>
          <w:kern w:val="0"/>
          <w:sz w:val="24"/>
          <w:highlight w:val="none"/>
        </w:rPr>
        <w:t>签字或盖章</w:t>
      </w:r>
      <w:r>
        <w:rPr>
          <w:rFonts w:hint="eastAsia" w:ascii="宋体" w:hAnsi="宋体" w:cs="宋体"/>
          <w:color w:val="auto"/>
          <w:sz w:val="24"/>
          <w:szCs w:val="24"/>
          <w:highlight w:val="none"/>
        </w:rPr>
        <w:t>：</w:t>
      </w:r>
    </w:p>
    <w:p>
      <w:pPr>
        <w:pStyle w:val="14"/>
        <w:rPr>
          <w:color w:val="auto"/>
          <w:highlight w:val="none"/>
        </w:rPr>
      </w:pPr>
      <w:r>
        <w:rPr>
          <w:rFonts w:hint="eastAsia" w:ascii="宋体" w:hAnsi="宋体" w:cs="宋体"/>
          <w:color w:val="auto"/>
          <w:sz w:val="24"/>
          <w:szCs w:val="24"/>
          <w:highlight w:val="none"/>
        </w:rPr>
        <w:t xml:space="preserve">    202  年   月    日</w:t>
      </w:r>
    </w:p>
    <w:p>
      <w:pPr>
        <w:rPr>
          <w:rStyle w:val="21"/>
          <w:rFonts w:ascii="宋体" w:hAnsi="宋体" w:cs="宋体"/>
          <w:color w:val="auto"/>
          <w:sz w:val="20"/>
          <w:highlight w:val="none"/>
        </w:rPr>
      </w:pPr>
    </w:p>
    <w:bookmarkEnd w:id="117"/>
    <w:p>
      <w:pPr>
        <w:rPr>
          <w:rStyle w:val="21"/>
          <w:rFonts w:ascii="宋体" w:hAnsi="宋体" w:cs="宋体"/>
          <w:color w:val="auto"/>
          <w:sz w:val="20"/>
          <w:highlight w:val="none"/>
        </w:rPr>
      </w:pPr>
    </w:p>
    <w:sectPr>
      <w:footerReference r:id="rId7" w:type="first"/>
      <w:footerReference r:id="rId6"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1"/>
        <w:rFonts w:ascii="宋体" w:hAnsi="宋体"/>
      </w:rPr>
    </w:pPr>
  </w:p>
  <w:p>
    <w:pPr>
      <w:pStyle w:val="11"/>
      <w:rPr>
        <w:rStyle w:val="21"/>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1"/>
        <w:rFonts w:ascii="宋体" w:hAnsi="宋体"/>
      </w:rPr>
    </w:pPr>
    <w:r>
      <w:pict>
        <v:shape id="_x0000_s1027" o:spid="_x0000_s1027" o:spt="202" type="#_x0000_t202" style="position:absolute;left:0pt;margin-top:0pt;height:16.65pt;width:56.2pt;mso-position-horizontal:center;mso-position-horizontal-relative:margin;z-index:251660288;mso-width-relative:page;mso-height-relative:page;" filled="f" stroked="f" coordsize="21600,21600">
          <v:path/>
          <v:fill on="f" focussize="0,0"/>
          <v:stroke on="f" joinstyle="miter"/>
          <v:imagedata o:title=""/>
          <o:lock v:ext="edit"/>
          <v:textbox inset="0mm,0mm,0mm,0mm">
            <w:txbxContent>
              <w:p>
                <w:pPr>
                  <w:pStyle w:val="11"/>
                </w:pPr>
                <w:r>
                  <w:fldChar w:fldCharType="begin"/>
                </w:r>
                <w:r>
                  <w:instrText xml:space="preserve"> PAGE  \* MERGEFORMAT </w:instrText>
                </w:r>
                <w:r>
                  <w:fldChar w:fldCharType="separate"/>
                </w:r>
                <w:r>
                  <w:t>201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0.35pt;width:13.55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Style w:val="21"/>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1"/>
        <w:rFonts w:ascii="宋体" w:hAnsi="宋体"/>
      </w:rPr>
    </w:pPr>
    <w:r>
      <w:rPr>
        <w:rStyle w:val="21"/>
      </w:rPr>
      <w:pict>
        <v:shape id="_x0000_s1025" o:spid="_x0000_s1025"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新疆生产建设兵团公共资源交易中心"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25DFE"/>
    <w:multiLevelType w:val="singleLevel"/>
    <w:tmpl w:val="8EC25DFE"/>
    <w:lvl w:ilvl="0" w:tentative="0">
      <w:start w:val="1"/>
      <w:numFmt w:val="decimal"/>
      <w:suff w:val="nothing"/>
      <w:lvlText w:val="%1、"/>
      <w:lvlJc w:val="left"/>
      <w:pPr>
        <w:textAlignment w:val="baseline"/>
      </w:pPr>
    </w:lvl>
  </w:abstractNum>
  <w:abstractNum w:abstractNumId="1">
    <w:nsid w:val="02034CE3"/>
    <w:multiLevelType w:val="multilevel"/>
    <w:tmpl w:val="02034CE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80773E"/>
    <w:multiLevelType w:val="multilevel"/>
    <w:tmpl w:val="038077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B5100F"/>
    <w:multiLevelType w:val="multilevel"/>
    <w:tmpl w:val="05B5100F"/>
    <w:lvl w:ilvl="0" w:tentative="0">
      <w:start w:val="1"/>
      <w:numFmt w:val="japaneseCounting"/>
      <w:lvlText w:val="第%1条"/>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6D42655"/>
    <w:multiLevelType w:val="multilevel"/>
    <w:tmpl w:val="06D4265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1B3992"/>
    <w:multiLevelType w:val="multilevel"/>
    <w:tmpl w:val="071B399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6B76DB"/>
    <w:multiLevelType w:val="multilevel"/>
    <w:tmpl w:val="096B76D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690E74"/>
    <w:multiLevelType w:val="multilevel"/>
    <w:tmpl w:val="0A690E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A7D1EA2"/>
    <w:multiLevelType w:val="multilevel"/>
    <w:tmpl w:val="0A7D1EA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9766B"/>
    <w:multiLevelType w:val="multilevel"/>
    <w:tmpl w:val="0E29766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23D6718"/>
    <w:multiLevelType w:val="multilevel"/>
    <w:tmpl w:val="123D67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FD5891"/>
    <w:multiLevelType w:val="multilevel"/>
    <w:tmpl w:val="14FD589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B97935"/>
    <w:multiLevelType w:val="multilevel"/>
    <w:tmpl w:val="16B9793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C65B05"/>
    <w:multiLevelType w:val="multilevel"/>
    <w:tmpl w:val="1AC65B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C6C8E85"/>
    <w:multiLevelType w:val="singleLevel"/>
    <w:tmpl w:val="1C6C8E85"/>
    <w:lvl w:ilvl="0" w:tentative="0">
      <w:start w:val="3"/>
      <w:numFmt w:val="chineseCounting"/>
      <w:suff w:val="nothing"/>
      <w:lvlText w:val="%1、"/>
      <w:lvlJc w:val="left"/>
      <w:rPr>
        <w:rFonts w:hint="eastAsia"/>
      </w:rPr>
    </w:lvl>
  </w:abstractNum>
  <w:abstractNum w:abstractNumId="15">
    <w:nsid w:val="1E1F305D"/>
    <w:multiLevelType w:val="multilevel"/>
    <w:tmpl w:val="1E1F30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ED34BCE"/>
    <w:multiLevelType w:val="multilevel"/>
    <w:tmpl w:val="1ED34BC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E74BAF"/>
    <w:multiLevelType w:val="multilevel"/>
    <w:tmpl w:val="1EE74B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0EF3744"/>
    <w:multiLevelType w:val="multilevel"/>
    <w:tmpl w:val="20EF37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35B0974"/>
    <w:multiLevelType w:val="multilevel"/>
    <w:tmpl w:val="235B09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48B31F9"/>
    <w:multiLevelType w:val="multilevel"/>
    <w:tmpl w:val="248B31F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7175737"/>
    <w:multiLevelType w:val="multilevel"/>
    <w:tmpl w:val="2717573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2B6682"/>
    <w:multiLevelType w:val="multilevel"/>
    <w:tmpl w:val="2A2B668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1ED1219"/>
    <w:multiLevelType w:val="multilevel"/>
    <w:tmpl w:val="31ED121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5232E12"/>
    <w:multiLevelType w:val="multilevel"/>
    <w:tmpl w:val="35232E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8460E69"/>
    <w:multiLevelType w:val="multilevel"/>
    <w:tmpl w:val="38460E6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C317015"/>
    <w:multiLevelType w:val="multilevel"/>
    <w:tmpl w:val="3C317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C4F6598"/>
    <w:multiLevelType w:val="multilevel"/>
    <w:tmpl w:val="3C4F65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F317FA8"/>
    <w:multiLevelType w:val="multilevel"/>
    <w:tmpl w:val="3F317FA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31C462B"/>
    <w:multiLevelType w:val="multilevel"/>
    <w:tmpl w:val="431C462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5D37A15"/>
    <w:multiLevelType w:val="multilevel"/>
    <w:tmpl w:val="45D37A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79442D5"/>
    <w:multiLevelType w:val="multilevel"/>
    <w:tmpl w:val="479442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9475A0B"/>
    <w:multiLevelType w:val="multilevel"/>
    <w:tmpl w:val="49475A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A2645A8"/>
    <w:multiLevelType w:val="multilevel"/>
    <w:tmpl w:val="4A2645A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A782390"/>
    <w:multiLevelType w:val="multilevel"/>
    <w:tmpl w:val="4A78239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AC64D61"/>
    <w:multiLevelType w:val="multilevel"/>
    <w:tmpl w:val="4AC64D6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C89714F"/>
    <w:multiLevelType w:val="multilevel"/>
    <w:tmpl w:val="4C8971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E48749A"/>
    <w:multiLevelType w:val="multilevel"/>
    <w:tmpl w:val="4E48749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F360481"/>
    <w:multiLevelType w:val="multilevel"/>
    <w:tmpl w:val="4F36048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F3E392D"/>
    <w:multiLevelType w:val="multilevel"/>
    <w:tmpl w:val="4F3E39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F5B0D66"/>
    <w:multiLevelType w:val="multilevel"/>
    <w:tmpl w:val="4F5B0D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3F2D11"/>
    <w:multiLevelType w:val="multilevel"/>
    <w:tmpl w:val="513F2D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74D7C6C"/>
    <w:multiLevelType w:val="multilevel"/>
    <w:tmpl w:val="574D7C6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7645B5E"/>
    <w:multiLevelType w:val="multilevel"/>
    <w:tmpl w:val="57645B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BAD39B5"/>
    <w:multiLevelType w:val="multilevel"/>
    <w:tmpl w:val="5BAD39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C2D776E"/>
    <w:multiLevelType w:val="multilevel"/>
    <w:tmpl w:val="5C2D776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1FD7B6A"/>
    <w:multiLevelType w:val="multilevel"/>
    <w:tmpl w:val="61FD7B6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2DE2D75"/>
    <w:multiLevelType w:val="multilevel"/>
    <w:tmpl w:val="62DE2D7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4D50359"/>
    <w:multiLevelType w:val="multilevel"/>
    <w:tmpl w:val="64D503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50F419B"/>
    <w:multiLevelType w:val="multilevel"/>
    <w:tmpl w:val="650F41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56D6133"/>
    <w:multiLevelType w:val="multilevel"/>
    <w:tmpl w:val="656D6133"/>
    <w:lvl w:ilvl="0" w:tentative="0">
      <w:start w:val="1"/>
      <w:numFmt w:val="chineseCountingThousand"/>
      <w:pStyle w:val="65"/>
      <w:suff w:val="nothing"/>
      <w:lvlText w:val="第%1部分"/>
      <w:lvlJc w:val="center"/>
      <w:pPr>
        <w:ind w:left="0" w:firstLine="288"/>
        <w:textAlignment w:val="baseline"/>
      </w:pPr>
      <w:rPr>
        <w:sz w:val="28"/>
        <w:szCs w:val="28"/>
      </w:rPr>
    </w:lvl>
    <w:lvl w:ilvl="1" w:tentative="0">
      <w:start w:val="1"/>
      <w:numFmt w:val="chineseCountingThousand"/>
      <w:pStyle w:val="62"/>
      <w:suff w:val="nothing"/>
      <w:lvlText w:val="%1、"/>
      <w:lvlJc w:val="left"/>
      <w:pPr>
        <w:ind w:left="240" w:firstLine="0"/>
        <w:textAlignment w:val="baseline"/>
      </w:pPr>
      <w:rPr>
        <w:rFonts w:ascii="宋体" w:hAnsi="宋体" w:eastAsia="宋体"/>
        <w:sz w:val="24"/>
        <w:szCs w:val="24"/>
        <w:lang w:val="en-US"/>
      </w:rPr>
    </w:lvl>
    <w:lvl w:ilvl="2" w:tentative="0">
      <w:start w:val="1"/>
      <w:numFmt w:val="chineseCountingThousand"/>
      <w:pStyle w:val="29"/>
      <w:suff w:val="nothing"/>
      <w:lvlText w:val="(%1)"/>
      <w:lvlJc w:val="left"/>
      <w:pPr>
        <w:ind w:left="0" w:firstLine="0"/>
        <w:textAlignment w:val="baseline"/>
      </w:pPr>
      <w:rPr>
        <w:rFonts w:ascii="Times New Roman" w:hAnsi="Times New Roman" w:eastAsia="宋体"/>
        <w:b/>
        <w:i w:val="0"/>
        <w:position w:val="0"/>
        <w:sz w:val="21"/>
        <w:szCs w:val="21"/>
      </w:rPr>
    </w:lvl>
    <w:lvl w:ilvl="3" w:tentative="0">
      <w:start w:val="1"/>
      <w:numFmt w:val="decimal"/>
      <w:pStyle w:val="63"/>
      <w:suff w:val="nothing"/>
      <w:lvlText w:val="%1、"/>
      <w:lvlJc w:val="left"/>
      <w:pPr>
        <w:ind w:left="0" w:firstLine="0"/>
        <w:textAlignment w:val="baseline"/>
      </w:pPr>
    </w:lvl>
    <w:lvl w:ilvl="4" w:tentative="0">
      <w:start w:val="1"/>
      <w:numFmt w:val="upperLetter"/>
      <w:pStyle w:val="31"/>
      <w:suff w:val="nothing"/>
      <w:lvlText w:val="%1、"/>
      <w:lvlJc w:val="left"/>
      <w:pPr>
        <w:ind w:left="0" w:firstLine="0"/>
        <w:textAlignment w:val="baseline"/>
      </w:pPr>
    </w:lvl>
    <w:lvl w:ilvl="5" w:tentative="0">
      <w:start w:val="1"/>
      <w:numFmt w:val="decimal"/>
      <w:pStyle w:val="32"/>
      <w:suff w:val="nothing"/>
      <w:lvlText w:val=""/>
      <w:lvlJc w:val="left"/>
      <w:pPr>
        <w:ind w:left="0" w:firstLine="0"/>
        <w:textAlignment w:val="baseline"/>
      </w:pPr>
    </w:lvl>
    <w:lvl w:ilvl="6" w:tentative="0">
      <w:start w:val="1"/>
      <w:numFmt w:val="decimal"/>
      <w:pStyle w:val="33"/>
      <w:suff w:val="nothing"/>
      <w:lvlText w:val=""/>
      <w:lvlJc w:val="left"/>
      <w:pPr>
        <w:ind w:left="0" w:firstLine="0"/>
        <w:textAlignment w:val="baseline"/>
      </w:pPr>
    </w:lvl>
    <w:lvl w:ilvl="7" w:tentative="0">
      <w:start w:val="1"/>
      <w:numFmt w:val="decimal"/>
      <w:pStyle w:val="34"/>
      <w:suff w:val="nothing"/>
      <w:lvlText w:val=""/>
      <w:lvlJc w:val="left"/>
      <w:pPr>
        <w:ind w:left="0" w:firstLine="0"/>
        <w:textAlignment w:val="baseline"/>
      </w:pPr>
    </w:lvl>
    <w:lvl w:ilvl="8" w:tentative="0">
      <w:start w:val="1"/>
      <w:numFmt w:val="decimal"/>
      <w:pStyle w:val="35"/>
      <w:suff w:val="nothing"/>
      <w:lvlText w:val=""/>
      <w:lvlJc w:val="left"/>
      <w:pPr>
        <w:ind w:left="0" w:firstLine="0"/>
        <w:textAlignment w:val="baseline"/>
      </w:pPr>
    </w:lvl>
  </w:abstractNum>
  <w:abstractNum w:abstractNumId="51">
    <w:nsid w:val="67FE5BD1"/>
    <w:multiLevelType w:val="multilevel"/>
    <w:tmpl w:val="67FE5BD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2">
    <w:nsid w:val="69232638"/>
    <w:multiLevelType w:val="multilevel"/>
    <w:tmpl w:val="692326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1021881"/>
    <w:multiLevelType w:val="multilevel"/>
    <w:tmpl w:val="7102188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4577A36"/>
    <w:multiLevelType w:val="multilevel"/>
    <w:tmpl w:val="74577A3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5CA1EC9"/>
    <w:multiLevelType w:val="multilevel"/>
    <w:tmpl w:val="75CA1E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6FD2046"/>
    <w:multiLevelType w:val="multilevel"/>
    <w:tmpl w:val="76FD204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78F7136"/>
    <w:multiLevelType w:val="multilevel"/>
    <w:tmpl w:val="778F7136"/>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58">
    <w:nsid w:val="779F5EEF"/>
    <w:multiLevelType w:val="multilevel"/>
    <w:tmpl w:val="779F5E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0"/>
  </w:num>
  <w:num w:numId="2">
    <w:abstractNumId w:val="0"/>
  </w:num>
  <w:num w:numId="3">
    <w:abstractNumId w:val="51"/>
  </w:num>
  <w:num w:numId="4">
    <w:abstractNumId w:val="7"/>
  </w:num>
  <w:num w:numId="5">
    <w:abstractNumId w:val="56"/>
  </w:num>
  <w:num w:numId="6">
    <w:abstractNumId w:val="11"/>
  </w:num>
  <w:num w:numId="7">
    <w:abstractNumId w:val="10"/>
  </w:num>
  <w:num w:numId="8">
    <w:abstractNumId w:val="49"/>
  </w:num>
  <w:num w:numId="9">
    <w:abstractNumId w:val="18"/>
  </w:num>
  <w:num w:numId="10">
    <w:abstractNumId w:val="20"/>
  </w:num>
  <w:num w:numId="11">
    <w:abstractNumId w:val="43"/>
  </w:num>
  <w:num w:numId="12">
    <w:abstractNumId w:val="9"/>
  </w:num>
  <w:num w:numId="13">
    <w:abstractNumId w:val="22"/>
  </w:num>
  <w:num w:numId="14">
    <w:abstractNumId w:val="13"/>
  </w:num>
  <w:num w:numId="15">
    <w:abstractNumId w:val="12"/>
  </w:num>
  <w:num w:numId="16">
    <w:abstractNumId w:val="24"/>
  </w:num>
  <w:num w:numId="17">
    <w:abstractNumId w:val="44"/>
  </w:num>
  <w:num w:numId="18">
    <w:abstractNumId w:val="27"/>
  </w:num>
  <w:num w:numId="19">
    <w:abstractNumId w:val="39"/>
  </w:num>
  <w:num w:numId="20">
    <w:abstractNumId w:val="29"/>
  </w:num>
  <w:num w:numId="21">
    <w:abstractNumId w:val="46"/>
  </w:num>
  <w:num w:numId="22">
    <w:abstractNumId w:val="26"/>
  </w:num>
  <w:num w:numId="23">
    <w:abstractNumId w:val="40"/>
  </w:num>
  <w:num w:numId="24">
    <w:abstractNumId w:val="25"/>
  </w:num>
  <w:num w:numId="25">
    <w:abstractNumId w:val="23"/>
  </w:num>
  <w:num w:numId="26">
    <w:abstractNumId w:val="5"/>
  </w:num>
  <w:num w:numId="27">
    <w:abstractNumId w:val="35"/>
  </w:num>
  <w:num w:numId="28">
    <w:abstractNumId w:val="8"/>
  </w:num>
  <w:num w:numId="29">
    <w:abstractNumId w:val="54"/>
  </w:num>
  <w:num w:numId="30">
    <w:abstractNumId w:val="33"/>
  </w:num>
  <w:num w:numId="31">
    <w:abstractNumId w:val="36"/>
  </w:num>
  <w:num w:numId="32">
    <w:abstractNumId w:val="58"/>
  </w:num>
  <w:num w:numId="33">
    <w:abstractNumId w:val="30"/>
  </w:num>
  <w:num w:numId="34">
    <w:abstractNumId w:val="31"/>
  </w:num>
  <w:num w:numId="35">
    <w:abstractNumId w:val="34"/>
  </w:num>
  <w:num w:numId="36">
    <w:abstractNumId w:val="47"/>
  </w:num>
  <w:num w:numId="37">
    <w:abstractNumId w:val="32"/>
  </w:num>
  <w:num w:numId="38">
    <w:abstractNumId w:val="48"/>
  </w:num>
  <w:num w:numId="39">
    <w:abstractNumId w:val="6"/>
  </w:num>
  <w:num w:numId="40">
    <w:abstractNumId w:val="41"/>
  </w:num>
  <w:num w:numId="41">
    <w:abstractNumId w:val="53"/>
  </w:num>
  <w:num w:numId="42">
    <w:abstractNumId w:val="28"/>
  </w:num>
  <w:num w:numId="43">
    <w:abstractNumId w:val="21"/>
  </w:num>
  <w:num w:numId="44">
    <w:abstractNumId w:val="1"/>
  </w:num>
  <w:num w:numId="45">
    <w:abstractNumId w:val="2"/>
  </w:num>
  <w:num w:numId="46">
    <w:abstractNumId w:val="45"/>
  </w:num>
  <w:num w:numId="47">
    <w:abstractNumId w:val="55"/>
  </w:num>
  <w:num w:numId="48">
    <w:abstractNumId w:val="19"/>
  </w:num>
  <w:num w:numId="49">
    <w:abstractNumId w:val="38"/>
  </w:num>
  <w:num w:numId="50">
    <w:abstractNumId w:val="37"/>
  </w:num>
  <w:num w:numId="51">
    <w:abstractNumId w:val="16"/>
  </w:num>
  <w:num w:numId="52">
    <w:abstractNumId w:val="15"/>
  </w:num>
  <w:num w:numId="53">
    <w:abstractNumId w:val="17"/>
  </w:num>
  <w:num w:numId="54">
    <w:abstractNumId w:val="4"/>
  </w:num>
  <w:num w:numId="55">
    <w:abstractNumId w:val="52"/>
  </w:num>
  <w:num w:numId="56">
    <w:abstractNumId w:val="42"/>
  </w:num>
  <w:num w:numId="57">
    <w:abstractNumId w:val="57"/>
  </w:num>
  <w:num w:numId="58">
    <w:abstractNumId w:val="3"/>
  </w:num>
  <w:num w:numId="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trackRevisions w:val="1"/>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zY0OTY5ZmJhNmJlMjAzOTRiNjdjNWY2ZTQyZGUxMGYifQ=="/>
  </w:docVars>
  <w:rsids>
    <w:rsidRoot w:val="00B4223E"/>
    <w:rsid w:val="00005CDB"/>
    <w:rsid w:val="00011B34"/>
    <w:rsid w:val="00015A8E"/>
    <w:rsid w:val="0006470B"/>
    <w:rsid w:val="00065405"/>
    <w:rsid w:val="000F588E"/>
    <w:rsid w:val="000F67CA"/>
    <w:rsid w:val="000F7122"/>
    <w:rsid w:val="0010392F"/>
    <w:rsid w:val="00105D29"/>
    <w:rsid w:val="00127999"/>
    <w:rsid w:val="0016735F"/>
    <w:rsid w:val="001676A1"/>
    <w:rsid w:val="001A77AC"/>
    <w:rsid w:val="001B49CB"/>
    <w:rsid w:val="001D1D63"/>
    <w:rsid w:val="001E6200"/>
    <w:rsid w:val="001F177C"/>
    <w:rsid w:val="0021239F"/>
    <w:rsid w:val="002152DC"/>
    <w:rsid w:val="00224920"/>
    <w:rsid w:val="0025078E"/>
    <w:rsid w:val="00254E50"/>
    <w:rsid w:val="00262658"/>
    <w:rsid w:val="0026394B"/>
    <w:rsid w:val="00267EBC"/>
    <w:rsid w:val="002C2994"/>
    <w:rsid w:val="002D08B1"/>
    <w:rsid w:val="00310F4F"/>
    <w:rsid w:val="003350BC"/>
    <w:rsid w:val="00370BB1"/>
    <w:rsid w:val="00371643"/>
    <w:rsid w:val="00392C9A"/>
    <w:rsid w:val="003A430A"/>
    <w:rsid w:val="003B5850"/>
    <w:rsid w:val="003C7400"/>
    <w:rsid w:val="003D6F76"/>
    <w:rsid w:val="0042098F"/>
    <w:rsid w:val="00423EFC"/>
    <w:rsid w:val="0042419C"/>
    <w:rsid w:val="00427290"/>
    <w:rsid w:val="00432008"/>
    <w:rsid w:val="00472ADB"/>
    <w:rsid w:val="00497586"/>
    <w:rsid w:val="00497C34"/>
    <w:rsid w:val="004A1862"/>
    <w:rsid w:val="004B4D2A"/>
    <w:rsid w:val="004F5492"/>
    <w:rsid w:val="004F5937"/>
    <w:rsid w:val="00514AD6"/>
    <w:rsid w:val="00532DCA"/>
    <w:rsid w:val="00535DAE"/>
    <w:rsid w:val="00540F7D"/>
    <w:rsid w:val="005563F3"/>
    <w:rsid w:val="00595B9A"/>
    <w:rsid w:val="005C10F2"/>
    <w:rsid w:val="005E18EE"/>
    <w:rsid w:val="005E4DE2"/>
    <w:rsid w:val="005F09F4"/>
    <w:rsid w:val="005F3EFE"/>
    <w:rsid w:val="005F7AAB"/>
    <w:rsid w:val="00614D7C"/>
    <w:rsid w:val="006163AB"/>
    <w:rsid w:val="00616DA5"/>
    <w:rsid w:val="00656BB1"/>
    <w:rsid w:val="006A4039"/>
    <w:rsid w:val="006B2DC8"/>
    <w:rsid w:val="006C44FD"/>
    <w:rsid w:val="006C4E59"/>
    <w:rsid w:val="006F5018"/>
    <w:rsid w:val="00701C8C"/>
    <w:rsid w:val="00702742"/>
    <w:rsid w:val="00706BC1"/>
    <w:rsid w:val="007251DC"/>
    <w:rsid w:val="00730D37"/>
    <w:rsid w:val="00731BD9"/>
    <w:rsid w:val="007432F6"/>
    <w:rsid w:val="00750DBA"/>
    <w:rsid w:val="00767A54"/>
    <w:rsid w:val="00794458"/>
    <w:rsid w:val="007B04A8"/>
    <w:rsid w:val="007C3B99"/>
    <w:rsid w:val="00832DC3"/>
    <w:rsid w:val="0085702F"/>
    <w:rsid w:val="0086085D"/>
    <w:rsid w:val="008B0605"/>
    <w:rsid w:val="008B2C95"/>
    <w:rsid w:val="008C6F31"/>
    <w:rsid w:val="008D2FDC"/>
    <w:rsid w:val="00910AB0"/>
    <w:rsid w:val="00962CD9"/>
    <w:rsid w:val="00971F54"/>
    <w:rsid w:val="00990539"/>
    <w:rsid w:val="00994154"/>
    <w:rsid w:val="009B4040"/>
    <w:rsid w:val="009D24C5"/>
    <w:rsid w:val="009D6E22"/>
    <w:rsid w:val="00A0508F"/>
    <w:rsid w:val="00A209AB"/>
    <w:rsid w:val="00A20F76"/>
    <w:rsid w:val="00A26AFA"/>
    <w:rsid w:val="00A431D7"/>
    <w:rsid w:val="00A45124"/>
    <w:rsid w:val="00A5447C"/>
    <w:rsid w:val="00A741B1"/>
    <w:rsid w:val="00A9124E"/>
    <w:rsid w:val="00AD6479"/>
    <w:rsid w:val="00AF3AE7"/>
    <w:rsid w:val="00B14C15"/>
    <w:rsid w:val="00B4223E"/>
    <w:rsid w:val="00B4343B"/>
    <w:rsid w:val="00B64356"/>
    <w:rsid w:val="00B65A0A"/>
    <w:rsid w:val="00B67927"/>
    <w:rsid w:val="00B70BFD"/>
    <w:rsid w:val="00B871F5"/>
    <w:rsid w:val="00BA593A"/>
    <w:rsid w:val="00BC33E4"/>
    <w:rsid w:val="00BE75F1"/>
    <w:rsid w:val="00C10BFE"/>
    <w:rsid w:val="00C20C76"/>
    <w:rsid w:val="00C27762"/>
    <w:rsid w:val="00C32ED9"/>
    <w:rsid w:val="00C758BA"/>
    <w:rsid w:val="00C864A1"/>
    <w:rsid w:val="00CB1E9B"/>
    <w:rsid w:val="00CB74E1"/>
    <w:rsid w:val="00CC2999"/>
    <w:rsid w:val="00CD011E"/>
    <w:rsid w:val="00D01E70"/>
    <w:rsid w:val="00D02EB6"/>
    <w:rsid w:val="00D236C6"/>
    <w:rsid w:val="00D67F74"/>
    <w:rsid w:val="00D90B2B"/>
    <w:rsid w:val="00D94DEA"/>
    <w:rsid w:val="00DD0E2E"/>
    <w:rsid w:val="00DE0432"/>
    <w:rsid w:val="00DE3AF3"/>
    <w:rsid w:val="00DE5554"/>
    <w:rsid w:val="00DF3130"/>
    <w:rsid w:val="00DF5649"/>
    <w:rsid w:val="00E01CC2"/>
    <w:rsid w:val="00E220F4"/>
    <w:rsid w:val="00E255C6"/>
    <w:rsid w:val="00E53DA8"/>
    <w:rsid w:val="00E578E5"/>
    <w:rsid w:val="00E64643"/>
    <w:rsid w:val="00E71A20"/>
    <w:rsid w:val="00E87883"/>
    <w:rsid w:val="00EA53AC"/>
    <w:rsid w:val="00EC57F2"/>
    <w:rsid w:val="00ED6B66"/>
    <w:rsid w:val="00EF5564"/>
    <w:rsid w:val="00F10CA5"/>
    <w:rsid w:val="00F17DEB"/>
    <w:rsid w:val="00F76A72"/>
    <w:rsid w:val="00F9793D"/>
    <w:rsid w:val="00FA1B76"/>
    <w:rsid w:val="00FA71DF"/>
    <w:rsid w:val="00FC300A"/>
    <w:rsid w:val="00FD3D9C"/>
    <w:rsid w:val="00FE602B"/>
    <w:rsid w:val="00FE7DA2"/>
    <w:rsid w:val="046D7E63"/>
    <w:rsid w:val="06C34DDD"/>
    <w:rsid w:val="080A1514"/>
    <w:rsid w:val="086C7AD9"/>
    <w:rsid w:val="09306D58"/>
    <w:rsid w:val="0A7B473D"/>
    <w:rsid w:val="0AC02050"/>
    <w:rsid w:val="0AD5114D"/>
    <w:rsid w:val="0B6D018C"/>
    <w:rsid w:val="0B7122CF"/>
    <w:rsid w:val="0C7720CC"/>
    <w:rsid w:val="0CFB6F52"/>
    <w:rsid w:val="0D5E60D8"/>
    <w:rsid w:val="0D9F44AC"/>
    <w:rsid w:val="0E636E2B"/>
    <w:rsid w:val="0ED37F5D"/>
    <w:rsid w:val="0F973D92"/>
    <w:rsid w:val="0FF31631"/>
    <w:rsid w:val="119F3716"/>
    <w:rsid w:val="12070F3F"/>
    <w:rsid w:val="126D2DCB"/>
    <w:rsid w:val="13171B63"/>
    <w:rsid w:val="15CA4054"/>
    <w:rsid w:val="166938A9"/>
    <w:rsid w:val="169656CC"/>
    <w:rsid w:val="16B931E0"/>
    <w:rsid w:val="176A5E66"/>
    <w:rsid w:val="17D67188"/>
    <w:rsid w:val="19131523"/>
    <w:rsid w:val="193037C6"/>
    <w:rsid w:val="1E2D0BD9"/>
    <w:rsid w:val="1EFA2F04"/>
    <w:rsid w:val="1F86727A"/>
    <w:rsid w:val="203211B0"/>
    <w:rsid w:val="209D5D0D"/>
    <w:rsid w:val="2100141B"/>
    <w:rsid w:val="217549B1"/>
    <w:rsid w:val="22460844"/>
    <w:rsid w:val="22C31281"/>
    <w:rsid w:val="22CA1B74"/>
    <w:rsid w:val="231057D9"/>
    <w:rsid w:val="285919D0"/>
    <w:rsid w:val="2C542624"/>
    <w:rsid w:val="2CD105A8"/>
    <w:rsid w:val="2D393B7E"/>
    <w:rsid w:val="2D3B03BD"/>
    <w:rsid w:val="2D7E3C87"/>
    <w:rsid w:val="2EB21E3A"/>
    <w:rsid w:val="2EF51D26"/>
    <w:rsid w:val="300B7478"/>
    <w:rsid w:val="306534E3"/>
    <w:rsid w:val="319F6249"/>
    <w:rsid w:val="32146C39"/>
    <w:rsid w:val="32700042"/>
    <w:rsid w:val="32E370A1"/>
    <w:rsid w:val="33AB050A"/>
    <w:rsid w:val="33F22CD8"/>
    <w:rsid w:val="36544CBB"/>
    <w:rsid w:val="38933EA6"/>
    <w:rsid w:val="38B10970"/>
    <w:rsid w:val="3A4818A4"/>
    <w:rsid w:val="3AA6651D"/>
    <w:rsid w:val="3B2D0303"/>
    <w:rsid w:val="3C8F6CDE"/>
    <w:rsid w:val="3CCB7D37"/>
    <w:rsid w:val="3E055C8F"/>
    <w:rsid w:val="3FD205F7"/>
    <w:rsid w:val="3FF07AFD"/>
    <w:rsid w:val="41752A02"/>
    <w:rsid w:val="44F74810"/>
    <w:rsid w:val="48284AC3"/>
    <w:rsid w:val="492865CA"/>
    <w:rsid w:val="49762F08"/>
    <w:rsid w:val="49803059"/>
    <w:rsid w:val="4CEE1FA0"/>
    <w:rsid w:val="4D403D2B"/>
    <w:rsid w:val="4E21448E"/>
    <w:rsid w:val="4E6A053F"/>
    <w:rsid w:val="4EE47B44"/>
    <w:rsid w:val="51A67184"/>
    <w:rsid w:val="51FB196C"/>
    <w:rsid w:val="533B4F80"/>
    <w:rsid w:val="545C5710"/>
    <w:rsid w:val="55AE31D6"/>
    <w:rsid w:val="568D4EDB"/>
    <w:rsid w:val="569A4DDE"/>
    <w:rsid w:val="571C3226"/>
    <w:rsid w:val="58040325"/>
    <w:rsid w:val="582E1C82"/>
    <w:rsid w:val="59396B30"/>
    <w:rsid w:val="5A595B32"/>
    <w:rsid w:val="5B6A2006"/>
    <w:rsid w:val="5C9522CF"/>
    <w:rsid w:val="5DA53655"/>
    <w:rsid w:val="616B5125"/>
    <w:rsid w:val="61D27B22"/>
    <w:rsid w:val="623B1E88"/>
    <w:rsid w:val="66D1280F"/>
    <w:rsid w:val="67652162"/>
    <w:rsid w:val="67F3600D"/>
    <w:rsid w:val="693676D9"/>
    <w:rsid w:val="694353ED"/>
    <w:rsid w:val="6B432BFB"/>
    <w:rsid w:val="6B754F42"/>
    <w:rsid w:val="6CAE379F"/>
    <w:rsid w:val="6D021100"/>
    <w:rsid w:val="6D251D5E"/>
    <w:rsid w:val="6E01708B"/>
    <w:rsid w:val="6E506241"/>
    <w:rsid w:val="6EA13F6B"/>
    <w:rsid w:val="70C12B6D"/>
    <w:rsid w:val="71905923"/>
    <w:rsid w:val="722B43DA"/>
    <w:rsid w:val="725400DF"/>
    <w:rsid w:val="74BD3764"/>
    <w:rsid w:val="7608190C"/>
    <w:rsid w:val="761046D8"/>
    <w:rsid w:val="76472434"/>
    <w:rsid w:val="774B90E7"/>
    <w:rsid w:val="7A0D62A4"/>
    <w:rsid w:val="7A5B252C"/>
    <w:rsid w:val="7C027A3C"/>
    <w:rsid w:val="7DDD542C"/>
    <w:rsid w:val="7FFC4EDE"/>
    <w:rsid w:val="9FFF600F"/>
    <w:rsid w:val="BFBFBD81"/>
    <w:rsid w:val="D6F762C6"/>
    <w:rsid w:val="DBC97BC5"/>
    <w:rsid w:val="DDED1AD2"/>
    <w:rsid w:val="DEEEC19F"/>
    <w:rsid w:val="E5AF74CE"/>
    <w:rsid w:val="E8DF029E"/>
    <w:rsid w:val="EEFEDF01"/>
    <w:rsid w:val="F679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2"/>
      <w:lang w:val="en-US" w:eastAsia="zh-CN" w:bidi="ar-SA"/>
    </w:rPr>
  </w:style>
  <w:style w:type="paragraph" w:styleId="3">
    <w:name w:val="heading 3"/>
    <w:basedOn w:val="1"/>
    <w:next w:val="1"/>
    <w:qFormat/>
    <w:uiPriority w:val="0"/>
    <w:pPr>
      <w:adjustRightInd w:val="0"/>
      <w:snapToGrid w:val="0"/>
      <w:spacing w:line="500" w:lineRule="exact"/>
      <w:ind w:left="-88" w:leftChars="-42"/>
      <w:jc w:val="center"/>
      <w:outlineLvl w:val="2"/>
    </w:pPr>
    <w:rPr>
      <w:rFonts w:ascii="仿宋_GB2312" w:hAnsi="宋体"/>
      <w:b/>
      <w:sz w:val="32"/>
      <w:szCs w:val="32"/>
    </w:rPr>
  </w:style>
  <w:style w:type="paragraph" w:styleId="4">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caption"/>
    <w:basedOn w:val="1"/>
    <w:next w:val="1"/>
    <w:qFormat/>
    <w:uiPriority w:val="0"/>
    <w:pPr>
      <w:spacing w:before="152" w:after="160"/>
    </w:pPr>
    <w:rPr>
      <w:rFonts w:ascii="Arial" w:hAnsi="Arial" w:eastAsia="黑体"/>
      <w:sz w:val="20"/>
      <w:szCs w:val="20"/>
    </w:rPr>
  </w:style>
  <w:style w:type="paragraph" w:styleId="6">
    <w:name w:val="annotation text"/>
    <w:basedOn w:val="1"/>
    <w:link w:val="229"/>
    <w:unhideWhenUsed/>
    <w:qFormat/>
    <w:uiPriority w:val="0"/>
    <w:pPr>
      <w:jc w:val="left"/>
    </w:pPr>
  </w:style>
  <w:style w:type="paragraph" w:styleId="7">
    <w:name w:val="Body Text"/>
    <w:basedOn w:val="1"/>
    <w:next w:val="8"/>
    <w:qFormat/>
    <w:uiPriority w:val="0"/>
    <w:pPr>
      <w:spacing w:after="120"/>
    </w:pPr>
    <w:rPr>
      <w:rFonts w:ascii="Times New Roman" w:hAnsi="Times New Roman"/>
      <w:szCs w:val="24"/>
    </w:rPr>
  </w:style>
  <w:style w:type="paragraph" w:styleId="8">
    <w:name w:val="Date"/>
    <w:basedOn w:val="1"/>
    <w:next w:val="1"/>
    <w:qFormat/>
    <w:uiPriority w:val="0"/>
    <w:pPr>
      <w:ind w:left="100" w:leftChars="2500"/>
    </w:pPr>
  </w:style>
  <w:style w:type="paragraph" w:styleId="9">
    <w:name w:val="Plain Text"/>
    <w:basedOn w:val="1"/>
    <w:qFormat/>
    <w:uiPriority w:val="0"/>
    <w:rPr>
      <w:rFonts w:ascii="宋体" w:hAnsi="Courier New"/>
      <w:szCs w:val="20"/>
    </w:rPr>
  </w:style>
  <w:style w:type="paragraph" w:styleId="10">
    <w:name w:val="Balloon Text"/>
    <w:basedOn w:val="1"/>
    <w:link w:val="228"/>
    <w:qFormat/>
    <w:uiPriority w:val="0"/>
    <w:rPr>
      <w:sz w:val="18"/>
      <w:szCs w:val="18"/>
    </w:rPr>
  </w:style>
  <w:style w:type="paragraph" w:styleId="11">
    <w:name w:val="footer"/>
    <w:basedOn w:val="1"/>
    <w:link w:val="52"/>
    <w:qFormat/>
    <w:uiPriority w:val="0"/>
    <w:pPr>
      <w:tabs>
        <w:tab w:val="center" w:pos="4153"/>
        <w:tab w:val="right" w:pos="8306"/>
      </w:tabs>
      <w:snapToGrid w:val="0"/>
      <w:jc w:val="left"/>
    </w:pPr>
    <w:rPr>
      <w:rFonts w:ascii="Times New Roman" w:hAnsi="Times New Roman"/>
      <w:sz w:val="18"/>
      <w:szCs w:val="18"/>
    </w:rPr>
  </w:style>
  <w:style w:type="paragraph" w:styleId="12">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HTML Preformatted"/>
    <w:basedOn w:val="1"/>
    <w:qFormat/>
    <w:uiPriority w:val="0"/>
    <w:rPr>
      <w:rFonts w:ascii="Courier New" w:hAnsi="Courier New"/>
      <w:sz w:val="20"/>
      <w:szCs w:val="20"/>
    </w:rPr>
  </w:style>
  <w:style w:type="paragraph" w:styleId="15">
    <w:name w:val="Normal (Web)"/>
    <w:basedOn w:val="1"/>
    <w:qFormat/>
    <w:uiPriority w:val="0"/>
    <w:pPr>
      <w:spacing w:before="100" w:beforeAutospacing="1" w:after="100" w:afterAutospacing="1"/>
      <w:jc w:val="left"/>
    </w:pPr>
    <w:rPr>
      <w:rFonts w:ascii="宋体" w:hAnsi="宋体"/>
      <w:kern w:val="0"/>
      <w:sz w:val="24"/>
    </w:rPr>
  </w:style>
  <w:style w:type="paragraph" w:styleId="16">
    <w:name w:val="annotation subject"/>
    <w:basedOn w:val="6"/>
    <w:next w:val="6"/>
    <w:link w:val="230"/>
    <w:qFormat/>
    <w:uiPriority w:val="0"/>
    <w:rPr>
      <w:b/>
      <w:bCs/>
    </w:rPr>
  </w:style>
  <w:style w:type="paragraph" w:styleId="17">
    <w:name w:val="Body Text First Indent"/>
    <w:basedOn w:val="7"/>
    <w:next w:val="1"/>
    <w:unhideWhenUsed/>
    <w:qFormat/>
    <w:uiPriority w:val="99"/>
    <w:pPr>
      <w:spacing w:line="360" w:lineRule="auto"/>
      <w:ind w:firstLine="420" w:firstLineChars="100"/>
    </w:pPr>
    <w:rPr>
      <w:rFonts w:ascii="Calibri" w:hAnsi="Calibri" w:eastAsia="仿宋"/>
      <w:sz w:val="28"/>
    </w:rPr>
  </w:style>
  <w:style w:type="character" w:styleId="20">
    <w:name w:val="Strong"/>
    <w:basedOn w:val="21"/>
    <w:qFormat/>
    <w:uiPriority w:val="0"/>
    <w:rPr>
      <w:rFonts w:cs="Times New Roman"/>
      <w:b/>
      <w:bCs/>
    </w:rPr>
  </w:style>
  <w:style w:type="character" w:customStyle="1" w:styleId="21">
    <w:name w:val="NormalCharacter"/>
    <w:link w:val="22"/>
    <w:qFormat/>
    <w:uiPriority w:val="0"/>
  </w:style>
  <w:style w:type="paragraph" w:customStyle="1" w:styleId="22">
    <w:name w:val="UserStyle_5"/>
    <w:basedOn w:val="1"/>
    <w:link w:val="21"/>
    <w:qFormat/>
    <w:uiPriority w:val="0"/>
    <w:pPr>
      <w:spacing w:after="160" w:line="240" w:lineRule="exact"/>
      <w:jc w:val="left"/>
    </w:pPr>
  </w:style>
  <w:style w:type="character" w:styleId="23">
    <w:name w:val="Hyperlink"/>
    <w:qFormat/>
    <w:uiPriority w:val="99"/>
    <w:rPr>
      <w:color w:val="0000FF"/>
      <w:u w:val="single"/>
    </w:rPr>
  </w:style>
  <w:style w:type="character" w:styleId="24">
    <w:name w:val="annotation reference"/>
    <w:semiHidden/>
    <w:qFormat/>
    <w:uiPriority w:val="99"/>
    <w:rPr>
      <w:sz w:val="21"/>
      <w:szCs w:val="21"/>
    </w:rPr>
  </w:style>
  <w:style w:type="paragraph" w:customStyle="1" w:styleId="25">
    <w:name w:val="NormalIndent"/>
    <w:basedOn w:val="1"/>
    <w:qFormat/>
    <w:uiPriority w:val="0"/>
    <w:pPr>
      <w:ind w:firstLine="420" w:firstLineChars="200"/>
    </w:pPr>
  </w:style>
  <w:style w:type="paragraph" w:customStyle="1" w:styleId="26">
    <w:name w:val="无间隔1"/>
    <w:basedOn w:val="1"/>
    <w:qFormat/>
    <w:uiPriority w:val="0"/>
    <w:pPr>
      <w:spacing w:before="50" w:after="50"/>
      <w:jc w:val="left"/>
    </w:pPr>
    <w:rPr>
      <w:szCs w:val="32"/>
    </w:rPr>
  </w:style>
  <w:style w:type="paragraph" w:customStyle="1" w:styleId="27">
    <w:name w:val="Heading1"/>
    <w:basedOn w:val="1"/>
    <w:next w:val="1"/>
    <w:qFormat/>
    <w:uiPriority w:val="0"/>
    <w:pPr>
      <w:keepNext/>
      <w:keepLines/>
      <w:spacing w:before="340" w:after="330" w:line="578" w:lineRule="atLeast"/>
      <w:ind w:firstLine="288"/>
      <w:jc w:val="left"/>
    </w:pPr>
    <w:rPr>
      <w:rFonts w:cs="Times New Roman"/>
      <w:b/>
      <w:bCs/>
      <w:kern w:val="44"/>
      <w:sz w:val="44"/>
      <w:szCs w:val="44"/>
    </w:rPr>
  </w:style>
  <w:style w:type="paragraph" w:customStyle="1" w:styleId="28">
    <w:name w:val="Heading2"/>
    <w:basedOn w:val="1"/>
    <w:next w:val="1"/>
    <w:qFormat/>
    <w:uiPriority w:val="0"/>
    <w:pPr>
      <w:keepNext/>
      <w:keepLines/>
      <w:spacing w:before="260" w:after="260" w:line="416" w:lineRule="atLeast"/>
      <w:ind w:left="240"/>
      <w:jc w:val="left"/>
    </w:pPr>
    <w:rPr>
      <w:rFonts w:ascii="Arial" w:hAnsi="Arial" w:eastAsia="黑体" w:cs="Times New Roman"/>
      <w:b/>
      <w:bCs/>
      <w:kern w:val="0"/>
      <w:sz w:val="32"/>
      <w:szCs w:val="32"/>
    </w:rPr>
  </w:style>
  <w:style w:type="paragraph" w:customStyle="1" w:styleId="29">
    <w:name w:val="Heading3"/>
    <w:basedOn w:val="1"/>
    <w:next w:val="1"/>
    <w:qFormat/>
    <w:uiPriority w:val="0"/>
    <w:pPr>
      <w:keepNext/>
      <w:keepLines/>
      <w:numPr>
        <w:ilvl w:val="2"/>
        <w:numId w:val="1"/>
      </w:numPr>
      <w:spacing w:before="260" w:after="260" w:line="416" w:lineRule="atLeast"/>
      <w:jc w:val="left"/>
    </w:pPr>
    <w:rPr>
      <w:rFonts w:cs="Times New Roman"/>
      <w:b/>
      <w:bCs/>
      <w:kern w:val="0"/>
      <w:sz w:val="32"/>
      <w:szCs w:val="32"/>
    </w:rPr>
  </w:style>
  <w:style w:type="paragraph" w:customStyle="1" w:styleId="30">
    <w:name w:val="Heading4"/>
    <w:basedOn w:val="1"/>
    <w:next w:val="1"/>
    <w:qFormat/>
    <w:uiPriority w:val="0"/>
    <w:pPr>
      <w:keepNext/>
      <w:keepLines/>
      <w:spacing w:before="280" w:after="290" w:line="376" w:lineRule="atLeast"/>
      <w:jc w:val="left"/>
    </w:pPr>
    <w:rPr>
      <w:rFonts w:ascii="Arial" w:hAnsi="Arial" w:eastAsia="黑体" w:cs="Times New Roman"/>
      <w:b/>
      <w:bCs/>
      <w:kern w:val="0"/>
      <w:sz w:val="28"/>
      <w:szCs w:val="28"/>
    </w:rPr>
  </w:style>
  <w:style w:type="paragraph" w:customStyle="1" w:styleId="31">
    <w:name w:val="Heading5"/>
    <w:basedOn w:val="1"/>
    <w:next w:val="1"/>
    <w:qFormat/>
    <w:uiPriority w:val="0"/>
    <w:pPr>
      <w:keepNext/>
      <w:keepLines/>
      <w:numPr>
        <w:ilvl w:val="4"/>
        <w:numId w:val="1"/>
      </w:numPr>
      <w:spacing w:before="280" w:after="290" w:line="376" w:lineRule="atLeast"/>
      <w:jc w:val="left"/>
    </w:pPr>
    <w:rPr>
      <w:rFonts w:cs="Times New Roman"/>
      <w:b/>
      <w:bCs/>
      <w:kern w:val="0"/>
      <w:sz w:val="28"/>
      <w:szCs w:val="28"/>
    </w:rPr>
  </w:style>
  <w:style w:type="paragraph" w:customStyle="1" w:styleId="32">
    <w:name w:val="Heading6"/>
    <w:basedOn w:val="1"/>
    <w:next w:val="1"/>
    <w:qFormat/>
    <w:uiPriority w:val="0"/>
    <w:pPr>
      <w:keepNext/>
      <w:keepLines/>
      <w:numPr>
        <w:ilvl w:val="5"/>
        <w:numId w:val="1"/>
      </w:numPr>
      <w:spacing w:before="240" w:after="64" w:line="320" w:lineRule="atLeast"/>
      <w:jc w:val="left"/>
    </w:pPr>
    <w:rPr>
      <w:rFonts w:ascii="Arial" w:hAnsi="Arial" w:eastAsia="黑体" w:cs="Times New Roman"/>
      <w:b/>
      <w:bCs/>
      <w:kern w:val="0"/>
      <w:sz w:val="24"/>
    </w:rPr>
  </w:style>
  <w:style w:type="paragraph" w:customStyle="1" w:styleId="33">
    <w:name w:val="Heading7"/>
    <w:basedOn w:val="1"/>
    <w:next w:val="1"/>
    <w:qFormat/>
    <w:uiPriority w:val="0"/>
    <w:pPr>
      <w:keepNext/>
      <w:keepLines/>
      <w:numPr>
        <w:ilvl w:val="6"/>
        <w:numId w:val="1"/>
      </w:numPr>
      <w:spacing w:before="240" w:after="64" w:line="320" w:lineRule="atLeast"/>
      <w:jc w:val="left"/>
    </w:pPr>
    <w:rPr>
      <w:rFonts w:cs="Times New Roman"/>
      <w:b/>
      <w:bCs/>
      <w:kern w:val="0"/>
      <w:sz w:val="24"/>
    </w:rPr>
  </w:style>
  <w:style w:type="paragraph" w:customStyle="1" w:styleId="34">
    <w:name w:val="Heading8"/>
    <w:basedOn w:val="1"/>
    <w:next w:val="1"/>
    <w:qFormat/>
    <w:uiPriority w:val="0"/>
    <w:pPr>
      <w:keepNext/>
      <w:keepLines/>
      <w:numPr>
        <w:ilvl w:val="7"/>
        <w:numId w:val="1"/>
      </w:numPr>
      <w:spacing w:before="240" w:after="64" w:line="320" w:lineRule="atLeast"/>
      <w:jc w:val="left"/>
    </w:pPr>
    <w:rPr>
      <w:rFonts w:ascii="Arial" w:hAnsi="Arial" w:eastAsia="黑体"/>
      <w:kern w:val="0"/>
      <w:sz w:val="24"/>
    </w:rPr>
  </w:style>
  <w:style w:type="paragraph" w:customStyle="1" w:styleId="35">
    <w:name w:val="Heading9"/>
    <w:basedOn w:val="1"/>
    <w:next w:val="1"/>
    <w:qFormat/>
    <w:uiPriority w:val="0"/>
    <w:pPr>
      <w:keepNext/>
      <w:keepLines/>
      <w:numPr>
        <w:ilvl w:val="8"/>
        <w:numId w:val="1"/>
      </w:numPr>
      <w:spacing w:before="240" w:after="64" w:line="320" w:lineRule="atLeast"/>
      <w:jc w:val="left"/>
    </w:pPr>
    <w:rPr>
      <w:rFonts w:ascii="Arial" w:hAnsi="Arial" w:eastAsia="黑体"/>
      <w:kern w:val="0"/>
      <w:szCs w:val="21"/>
    </w:rPr>
  </w:style>
  <w:style w:type="table" w:customStyle="1" w:styleId="36">
    <w:name w:val="TableNormal"/>
    <w:semiHidden/>
    <w:qFormat/>
    <w:uiPriority w:val="0"/>
    <w:tblPr>
      <w:tblCellMar>
        <w:top w:w="0" w:type="dxa"/>
        <w:left w:w="0" w:type="dxa"/>
        <w:bottom w:w="0" w:type="dxa"/>
        <w:right w:w="0" w:type="dxa"/>
      </w:tblCellMar>
    </w:tblPr>
  </w:style>
  <w:style w:type="paragraph" w:customStyle="1" w:styleId="37">
    <w:name w:val="List3"/>
    <w:basedOn w:val="1"/>
    <w:qFormat/>
    <w:uiPriority w:val="0"/>
    <w:pPr>
      <w:ind w:left="100" w:leftChars="400" w:hanging="200" w:hangingChars="200"/>
    </w:pPr>
  </w:style>
  <w:style w:type="paragraph" w:customStyle="1" w:styleId="38">
    <w:name w:val="NavPane"/>
    <w:basedOn w:val="1"/>
    <w:semiHidden/>
    <w:qFormat/>
    <w:uiPriority w:val="0"/>
    <w:pPr>
      <w:shd w:val="clear" w:color="auto" w:fill="000080"/>
    </w:pPr>
  </w:style>
  <w:style w:type="paragraph" w:customStyle="1" w:styleId="39">
    <w:name w:val="AnnotationText"/>
    <w:basedOn w:val="1"/>
    <w:link w:val="40"/>
    <w:semiHidden/>
    <w:qFormat/>
    <w:uiPriority w:val="0"/>
    <w:pPr>
      <w:jc w:val="left"/>
    </w:pPr>
    <w:rPr>
      <w:rFonts w:ascii="Times New Roman" w:hAnsi="Times New Roman"/>
      <w:szCs w:val="24"/>
    </w:rPr>
  </w:style>
  <w:style w:type="character" w:customStyle="1" w:styleId="40">
    <w:name w:val="UserStyle_0"/>
    <w:link w:val="39"/>
    <w:qFormat/>
    <w:uiPriority w:val="0"/>
    <w:rPr>
      <w:rFonts w:eastAsia="宋体"/>
      <w:kern w:val="2"/>
      <w:sz w:val="21"/>
      <w:szCs w:val="24"/>
      <w:lang w:val="en-US" w:eastAsia="zh-CN" w:bidi="ar-SA"/>
    </w:rPr>
  </w:style>
  <w:style w:type="paragraph" w:customStyle="1" w:styleId="41">
    <w:name w:val="BodyText3"/>
    <w:basedOn w:val="1"/>
    <w:qFormat/>
    <w:uiPriority w:val="0"/>
    <w:pPr>
      <w:spacing w:after="120"/>
    </w:pPr>
    <w:rPr>
      <w:sz w:val="16"/>
      <w:szCs w:val="16"/>
    </w:rPr>
  </w:style>
  <w:style w:type="paragraph" w:customStyle="1" w:styleId="42">
    <w:name w:val="BodyText"/>
    <w:basedOn w:val="1"/>
    <w:link w:val="43"/>
    <w:qFormat/>
    <w:uiPriority w:val="0"/>
    <w:pPr>
      <w:spacing w:after="120"/>
    </w:pPr>
    <w:rPr>
      <w:rFonts w:ascii="Times New Roman" w:hAnsi="Times New Roman"/>
      <w:szCs w:val="24"/>
    </w:rPr>
  </w:style>
  <w:style w:type="character" w:customStyle="1" w:styleId="43">
    <w:name w:val="UserStyle_1"/>
    <w:link w:val="42"/>
    <w:qFormat/>
    <w:uiPriority w:val="0"/>
    <w:rPr>
      <w:rFonts w:eastAsia="宋体"/>
      <w:kern w:val="2"/>
      <w:sz w:val="21"/>
      <w:szCs w:val="24"/>
      <w:lang w:val="en-US" w:eastAsia="zh-CN" w:bidi="ar-SA"/>
    </w:rPr>
  </w:style>
  <w:style w:type="paragraph" w:customStyle="1" w:styleId="44">
    <w:name w:val="BodyTextIndent"/>
    <w:basedOn w:val="1"/>
    <w:link w:val="45"/>
    <w:qFormat/>
    <w:uiPriority w:val="0"/>
    <w:pPr>
      <w:spacing w:line="500" w:lineRule="exact"/>
      <w:ind w:left="1588" w:leftChars="832" w:firstLine="433" w:firstLineChars="196"/>
    </w:pPr>
    <w:rPr>
      <w:rFonts w:ascii="Times New Roman" w:hAnsi="Times New Roman"/>
      <w:sz w:val="24"/>
      <w:szCs w:val="24"/>
    </w:rPr>
  </w:style>
  <w:style w:type="character" w:customStyle="1" w:styleId="45">
    <w:name w:val="UserStyle_2"/>
    <w:link w:val="44"/>
    <w:qFormat/>
    <w:uiPriority w:val="0"/>
    <w:rPr>
      <w:rFonts w:eastAsia="宋体"/>
      <w:kern w:val="2"/>
      <w:sz w:val="24"/>
      <w:szCs w:val="24"/>
      <w:lang w:val="en-US" w:eastAsia="zh-CN" w:bidi="ar-SA"/>
    </w:rPr>
  </w:style>
  <w:style w:type="paragraph" w:customStyle="1" w:styleId="46">
    <w:name w:val="List2"/>
    <w:basedOn w:val="1"/>
    <w:qFormat/>
    <w:uiPriority w:val="0"/>
    <w:pPr>
      <w:ind w:left="100" w:leftChars="200" w:hanging="200" w:hangingChars="200"/>
    </w:pPr>
  </w:style>
  <w:style w:type="paragraph" w:customStyle="1" w:styleId="47">
    <w:name w:val="TOC3"/>
    <w:basedOn w:val="1"/>
    <w:next w:val="1"/>
    <w:qFormat/>
    <w:uiPriority w:val="0"/>
    <w:pPr>
      <w:ind w:left="840" w:leftChars="400"/>
    </w:pPr>
  </w:style>
  <w:style w:type="paragraph" w:customStyle="1" w:styleId="48">
    <w:name w:val="PlainText"/>
    <w:basedOn w:val="1"/>
    <w:link w:val="49"/>
    <w:qFormat/>
    <w:uiPriority w:val="0"/>
    <w:rPr>
      <w:rFonts w:ascii="宋体" w:hAnsi="Courier New"/>
      <w:szCs w:val="21"/>
    </w:rPr>
  </w:style>
  <w:style w:type="character" w:customStyle="1" w:styleId="49">
    <w:name w:val="UserStyle_3"/>
    <w:link w:val="48"/>
    <w:qFormat/>
    <w:uiPriority w:val="0"/>
    <w:rPr>
      <w:rFonts w:ascii="宋体" w:hAnsi="Courier New" w:eastAsia="宋体"/>
      <w:kern w:val="2"/>
      <w:sz w:val="21"/>
      <w:szCs w:val="21"/>
      <w:lang w:val="en-US" w:eastAsia="zh-CN" w:bidi="ar-SA"/>
    </w:rPr>
  </w:style>
  <w:style w:type="paragraph" w:customStyle="1" w:styleId="50">
    <w:name w:val="BodyTextIndent2"/>
    <w:basedOn w:val="1"/>
    <w:qFormat/>
    <w:uiPriority w:val="0"/>
    <w:pPr>
      <w:spacing w:after="120" w:line="480" w:lineRule="auto"/>
      <w:ind w:left="420" w:leftChars="200"/>
    </w:pPr>
  </w:style>
  <w:style w:type="paragraph" w:customStyle="1" w:styleId="51">
    <w:name w:val="Acetate"/>
    <w:basedOn w:val="1"/>
    <w:semiHidden/>
    <w:qFormat/>
    <w:uiPriority w:val="0"/>
    <w:rPr>
      <w:sz w:val="18"/>
      <w:szCs w:val="18"/>
    </w:rPr>
  </w:style>
  <w:style w:type="character" w:customStyle="1" w:styleId="52">
    <w:name w:val="页脚 字符"/>
    <w:link w:val="11"/>
    <w:qFormat/>
    <w:uiPriority w:val="0"/>
    <w:rPr>
      <w:kern w:val="2"/>
      <w:sz w:val="18"/>
      <w:szCs w:val="18"/>
    </w:rPr>
  </w:style>
  <w:style w:type="paragraph" w:customStyle="1" w:styleId="53">
    <w:name w:val="TOC1"/>
    <w:basedOn w:val="1"/>
    <w:next w:val="1"/>
    <w:qFormat/>
    <w:uiPriority w:val="0"/>
    <w:pPr>
      <w:tabs>
        <w:tab w:val="right" w:leader="dot" w:pos="8302"/>
      </w:tabs>
    </w:pPr>
  </w:style>
  <w:style w:type="paragraph" w:customStyle="1" w:styleId="54">
    <w:name w:val="BodyTextIndent3"/>
    <w:basedOn w:val="1"/>
    <w:qFormat/>
    <w:uiPriority w:val="0"/>
    <w:pPr>
      <w:tabs>
        <w:tab w:val="left" w:pos="1134"/>
        <w:tab w:val="left" w:pos="5481"/>
        <w:tab w:val="left" w:pos="5859"/>
      </w:tabs>
      <w:spacing w:line="500" w:lineRule="exact"/>
      <w:ind w:firstLine="8275" w:firstLineChars="1200"/>
    </w:pPr>
    <w:rPr>
      <w:rFonts w:eastAsia="黑体" w:cs="Times New Roman"/>
      <w:b/>
      <w:bCs/>
      <w:sz w:val="72"/>
    </w:rPr>
  </w:style>
  <w:style w:type="paragraph" w:customStyle="1" w:styleId="55">
    <w:name w:val="TOC2"/>
    <w:basedOn w:val="1"/>
    <w:next w:val="1"/>
    <w:qFormat/>
    <w:uiPriority w:val="0"/>
    <w:pPr>
      <w:ind w:left="420" w:leftChars="200"/>
    </w:pPr>
  </w:style>
  <w:style w:type="paragraph" w:customStyle="1" w:styleId="56">
    <w:name w:val="HtmlNormal"/>
    <w:basedOn w:val="1"/>
    <w:qFormat/>
    <w:uiPriority w:val="0"/>
    <w:rPr>
      <w:sz w:val="24"/>
    </w:rPr>
  </w:style>
  <w:style w:type="paragraph" w:customStyle="1" w:styleId="57">
    <w:name w:val="AnnotationSubject"/>
    <w:basedOn w:val="39"/>
    <w:next w:val="39"/>
    <w:semiHidden/>
    <w:qFormat/>
    <w:uiPriority w:val="0"/>
    <w:rPr>
      <w:rFonts w:cs="Times New Roman"/>
      <w:b/>
      <w:bCs/>
    </w:rPr>
  </w:style>
  <w:style w:type="table" w:customStyle="1" w:styleId="58">
    <w:name w:val="TableGrid"/>
    <w:basedOn w:val="36"/>
    <w:qFormat/>
    <w:uiPriority w:val="0"/>
  </w:style>
  <w:style w:type="character" w:customStyle="1" w:styleId="59">
    <w:name w:val="PageNumber"/>
    <w:basedOn w:val="21"/>
    <w:qFormat/>
    <w:uiPriority w:val="0"/>
  </w:style>
  <w:style w:type="character" w:customStyle="1" w:styleId="60">
    <w:name w:val="AnnotationReference"/>
    <w:semiHidden/>
    <w:qFormat/>
    <w:uiPriority w:val="0"/>
    <w:rPr>
      <w:sz w:val="21"/>
      <w:szCs w:val="21"/>
    </w:rPr>
  </w:style>
  <w:style w:type="paragraph" w:customStyle="1" w:styleId="61">
    <w:name w:val="UserStyle_6"/>
    <w:basedOn w:val="1"/>
    <w:qFormat/>
    <w:uiPriority w:val="0"/>
    <w:rPr>
      <w:rFonts w:ascii="Tahoma" w:hAnsi="Tahoma"/>
      <w:sz w:val="24"/>
      <w:szCs w:val="20"/>
    </w:rPr>
  </w:style>
  <w:style w:type="paragraph" w:customStyle="1" w:styleId="62">
    <w:name w:val="UserStyle_7"/>
    <w:basedOn w:val="28"/>
    <w:qFormat/>
    <w:uiPriority w:val="0"/>
    <w:pPr>
      <w:numPr>
        <w:ilvl w:val="1"/>
        <w:numId w:val="1"/>
      </w:numPr>
    </w:pPr>
    <w:rPr>
      <w:rFonts w:ascii="宋体" w:hAnsi="宋体" w:eastAsia="宋体"/>
      <w:b w:val="0"/>
      <w:bCs w:val="0"/>
      <w:color w:val="000000"/>
      <w:sz w:val="21"/>
    </w:rPr>
  </w:style>
  <w:style w:type="paragraph" w:customStyle="1" w:styleId="63">
    <w:name w:val="UserStyle_8"/>
    <w:basedOn w:val="30"/>
    <w:qFormat/>
    <w:uiPriority w:val="0"/>
    <w:pPr>
      <w:numPr>
        <w:ilvl w:val="3"/>
        <w:numId w:val="1"/>
      </w:numPr>
      <w:spacing w:before="100" w:after="100" w:line="240" w:lineRule="auto"/>
    </w:pPr>
    <w:rPr>
      <w:rFonts w:cs="宋体"/>
      <w:szCs w:val="20"/>
    </w:rPr>
  </w:style>
  <w:style w:type="paragraph" w:customStyle="1" w:styleId="64">
    <w:name w:val="179"/>
    <w:basedOn w:val="1"/>
    <w:qFormat/>
    <w:uiPriority w:val="0"/>
    <w:pPr>
      <w:ind w:firstLine="420" w:firstLineChars="200"/>
    </w:pPr>
  </w:style>
  <w:style w:type="paragraph" w:customStyle="1" w:styleId="65">
    <w:name w:val="UserStyle_9"/>
    <w:basedOn w:val="1"/>
    <w:qFormat/>
    <w:uiPriority w:val="0"/>
    <w:pPr>
      <w:numPr>
        <w:ilvl w:val="0"/>
        <w:numId w:val="1"/>
      </w:numPr>
      <w:tabs>
        <w:tab w:val="left" w:pos="1110"/>
      </w:tabs>
    </w:pPr>
    <w:rPr>
      <w:rFonts w:ascii="宋体" w:hAnsi="宋体"/>
      <w:kern w:val="0"/>
      <w:szCs w:val="21"/>
    </w:rPr>
  </w:style>
  <w:style w:type="paragraph" w:customStyle="1" w:styleId="66">
    <w:name w:val="UserStyle_10"/>
    <w:basedOn w:val="1"/>
    <w:qFormat/>
    <w:uiPriority w:val="0"/>
    <w:pPr>
      <w:snapToGrid w:val="0"/>
      <w:spacing w:line="500" w:lineRule="exact"/>
      <w:ind w:firstLine="540" w:firstLineChars="225"/>
    </w:pPr>
    <w:rPr>
      <w:kern w:val="0"/>
      <w:sz w:val="24"/>
    </w:rPr>
  </w:style>
  <w:style w:type="paragraph" w:customStyle="1" w:styleId="67">
    <w:name w:val="UserStyle_11"/>
    <w:basedOn w:val="38"/>
    <w:qFormat/>
    <w:uiPriority w:val="0"/>
    <w:rPr>
      <w:rFonts w:ascii="Tahoma" w:hAnsi="Tahoma"/>
      <w:sz w:val="24"/>
    </w:rPr>
  </w:style>
  <w:style w:type="character" w:customStyle="1" w:styleId="68">
    <w:name w:val="UserStyle_12"/>
    <w:qFormat/>
    <w:uiPriority w:val="0"/>
    <w:rPr>
      <w:rFonts w:eastAsia="宋体"/>
      <w:kern w:val="2"/>
      <w:sz w:val="21"/>
      <w:szCs w:val="24"/>
      <w:lang w:val="en-US" w:eastAsia="zh-CN" w:bidi="ar-SA"/>
    </w:rPr>
  </w:style>
  <w:style w:type="paragraph" w:customStyle="1" w:styleId="69">
    <w:name w:val="UserStyle_13"/>
    <w:basedOn w:val="1"/>
    <w:semiHidden/>
    <w:qFormat/>
    <w:uiPriority w:val="0"/>
    <w:pPr>
      <w:spacing w:line="360" w:lineRule="auto"/>
      <w:ind w:firstLine="200" w:firstLineChars="200"/>
    </w:pPr>
    <w:rPr>
      <w:rFonts w:ascii="宋体" w:hAnsi="宋体"/>
      <w:sz w:val="24"/>
    </w:rPr>
  </w:style>
  <w:style w:type="character" w:customStyle="1" w:styleId="70">
    <w:name w:val="UserStyle_14"/>
    <w:qFormat/>
    <w:uiPriority w:val="0"/>
    <w:rPr>
      <w:rFonts w:eastAsia="宋体"/>
      <w:kern w:val="2"/>
      <w:sz w:val="21"/>
      <w:szCs w:val="24"/>
      <w:lang w:val="en-US" w:eastAsia="zh-CN" w:bidi="ar-SA"/>
    </w:rPr>
  </w:style>
  <w:style w:type="paragraph" w:customStyle="1" w:styleId="71">
    <w:name w:val="UserStyle_15"/>
    <w:basedOn w:val="1"/>
    <w:qFormat/>
    <w:uiPriority w:val="0"/>
    <w:pPr>
      <w:tabs>
        <w:tab w:val="left" w:pos="360"/>
      </w:tabs>
      <w:spacing w:line="360" w:lineRule="auto"/>
      <w:ind w:firstLine="480" w:firstLineChars="200"/>
    </w:pPr>
    <w:rPr>
      <w:rFonts w:ascii="楷体_GB2312" w:eastAsia="楷体_GB2312"/>
      <w:sz w:val="24"/>
    </w:rPr>
  </w:style>
  <w:style w:type="paragraph" w:customStyle="1" w:styleId="72">
    <w:name w:val="UserStyle_16"/>
    <w:basedOn w:val="1"/>
    <w:qFormat/>
    <w:uiPriority w:val="0"/>
    <w:pPr>
      <w:spacing w:after="160" w:line="240" w:lineRule="exact"/>
      <w:jc w:val="left"/>
    </w:pPr>
    <w:rPr>
      <w:rFonts w:ascii="Verdana" w:hAnsi="Verdana"/>
      <w:kern w:val="0"/>
      <w:sz w:val="20"/>
      <w:szCs w:val="20"/>
      <w:lang w:eastAsia="en-US"/>
    </w:rPr>
  </w:style>
  <w:style w:type="paragraph" w:customStyle="1" w:styleId="73">
    <w:name w:val="UserStyle_17"/>
    <w:basedOn w:val="1"/>
    <w:qFormat/>
    <w:uiPriority w:val="0"/>
    <w:pPr>
      <w:tabs>
        <w:tab w:val="left" w:pos="432"/>
      </w:tabs>
      <w:spacing w:before="156" w:after="156"/>
      <w:ind w:left="432" w:hanging="432"/>
    </w:pPr>
  </w:style>
  <w:style w:type="paragraph" w:customStyle="1" w:styleId="74">
    <w:name w:val="UserStyle_18"/>
    <w:basedOn w:val="75"/>
    <w:next w:val="75"/>
    <w:link w:val="76"/>
    <w:qFormat/>
    <w:uiPriority w:val="0"/>
    <w:pPr>
      <w:spacing w:line="500" w:lineRule="exact"/>
      <w:jc w:val="center"/>
    </w:pPr>
    <w:rPr>
      <w:rFonts w:ascii="宋体" w:hAnsi="宋体"/>
      <w:b/>
      <w:szCs w:val="28"/>
    </w:rPr>
  </w:style>
  <w:style w:type="paragraph" w:customStyle="1" w:styleId="75">
    <w:name w:val="UserStyle_19"/>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76">
    <w:name w:val="UserStyle_20"/>
    <w:link w:val="74"/>
    <w:qFormat/>
    <w:uiPriority w:val="0"/>
    <w:rPr>
      <w:rFonts w:ascii="宋体" w:hAnsi="宋体"/>
      <w:b/>
      <w:kern w:val="2"/>
      <w:sz w:val="28"/>
      <w:szCs w:val="28"/>
    </w:rPr>
  </w:style>
  <w:style w:type="paragraph" w:customStyle="1" w:styleId="77">
    <w:name w:val="266"/>
    <w:basedOn w:val="27"/>
    <w:next w:val="1"/>
    <w:qFormat/>
    <w:uiPriority w:val="0"/>
    <w:pPr>
      <w:spacing w:before="480" w:after="0" w:line="276" w:lineRule="auto"/>
      <w:ind w:firstLine="0"/>
      <w:textAlignment w:val="auto"/>
    </w:pPr>
    <w:rPr>
      <w:rFonts w:ascii="Cambria" w:hAnsi="Cambria"/>
      <w:color w:val="365F91"/>
      <w:kern w:val="0"/>
      <w:sz w:val="28"/>
      <w:szCs w:val="28"/>
    </w:rPr>
  </w:style>
  <w:style w:type="paragraph" w:customStyle="1" w:styleId="78">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9">
    <w:name w:val="UserStyle_22"/>
    <w:basedOn w:val="80"/>
    <w:qFormat/>
    <w:uiPriority w:val="0"/>
  </w:style>
  <w:style w:type="paragraph" w:customStyle="1" w:styleId="80">
    <w:name w:val="UserStyle_2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1">
    <w:name w:val="UserStyle_24"/>
    <w:basedOn w:val="79"/>
    <w:link w:val="82"/>
    <w:qFormat/>
    <w:uiPriority w:val="0"/>
    <w:pPr>
      <w:spacing w:after="120"/>
    </w:pPr>
    <w:rPr>
      <w:kern w:val="0"/>
      <w:sz w:val="20"/>
    </w:rPr>
  </w:style>
  <w:style w:type="character" w:customStyle="1" w:styleId="82">
    <w:name w:val="UserStyle_25"/>
    <w:link w:val="81"/>
    <w:qFormat/>
    <w:locked/>
    <w:uiPriority w:val="0"/>
    <w:rPr>
      <w:szCs w:val="24"/>
    </w:rPr>
  </w:style>
  <w:style w:type="paragraph" w:customStyle="1" w:styleId="83">
    <w:name w:val="UserStyle_26"/>
    <w:basedOn w:val="84"/>
    <w:next w:val="85"/>
    <w:qFormat/>
    <w:uiPriority w:val="0"/>
    <w:rPr>
      <w:kern w:val="2"/>
      <w:sz w:val="21"/>
    </w:rPr>
  </w:style>
  <w:style w:type="paragraph" w:customStyle="1" w:styleId="84">
    <w:name w:val="UserStyle_27"/>
    <w:basedOn w:val="79"/>
    <w:next w:val="79"/>
    <w:qFormat/>
    <w:uiPriority w:val="0"/>
    <w:pPr>
      <w:snapToGrid w:val="0"/>
      <w:spacing w:line="360" w:lineRule="auto"/>
    </w:pPr>
    <w:rPr>
      <w:rFonts w:ascii="Calibri" w:hAnsi="Calibri"/>
      <w:kern w:val="0"/>
      <w:sz w:val="24"/>
    </w:rPr>
  </w:style>
  <w:style w:type="paragraph" w:customStyle="1" w:styleId="85">
    <w:name w:val="UserStyle_28"/>
    <w:basedOn w:val="86"/>
    <w:semiHidden/>
    <w:qFormat/>
    <w:uiPriority w:val="0"/>
    <w:pPr>
      <w:snapToGrid w:val="0"/>
    </w:pPr>
    <w:rPr>
      <w:rFonts w:ascii="Calibri" w:hAnsi="Calibri"/>
      <w:sz w:val="18"/>
      <w:szCs w:val="18"/>
    </w:rPr>
  </w:style>
  <w:style w:type="paragraph" w:customStyle="1" w:styleId="86">
    <w:name w:val="UserStyle_29"/>
    <w:basedOn w:val="87"/>
    <w:next w:val="85"/>
    <w:qFormat/>
    <w:uiPriority w:val="0"/>
    <w:rPr>
      <w:rFonts w:ascii="Times New Roman" w:hAnsi="Times New Roman"/>
    </w:rPr>
  </w:style>
  <w:style w:type="paragraph" w:customStyle="1" w:styleId="87">
    <w:name w:val="UserStyle_30"/>
    <w:basedOn w:val="88"/>
    <w:qFormat/>
    <w:uiPriority w:val="0"/>
    <w:rPr>
      <w:rFonts w:ascii="Calibri" w:hAnsi="Calibri"/>
      <w:szCs w:val="21"/>
    </w:rPr>
  </w:style>
  <w:style w:type="paragraph" w:customStyle="1" w:styleId="88">
    <w:name w:val="UserStyle_31"/>
    <w:qFormat/>
    <w:uiPriority w:val="0"/>
    <w:pPr>
      <w:textAlignment w:val="baseline"/>
    </w:pPr>
    <w:rPr>
      <w:rFonts w:ascii="Times New Roman" w:hAnsi="Times New Roman" w:eastAsia="Times New Roman" w:cstheme="minorBidi"/>
      <w:sz w:val="24"/>
      <w:szCs w:val="24"/>
      <w:lang w:val="en-US" w:eastAsia="zh-CN" w:bidi="ar-SA"/>
    </w:rPr>
  </w:style>
  <w:style w:type="paragraph" w:customStyle="1" w:styleId="89">
    <w:name w:val="UserStyle_32"/>
    <w:qFormat/>
    <w:uiPriority w:val="0"/>
    <w:pPr>
      <w:textAlignment w:val="baseline"/>
    </w:pPr>
    <w:rPr>
      <w:rFonts w:ascii="黑体" w:hAnsi="黑体" w:eastAsia="黑体" w:cstheme="minorBidi"/>
      <w:b/>
      <w:sz w:val="32"/>
      <w:szCs w:val="24"/>
      <w:lang w:val="en-US" w:eastAsia="zh-CN" w:bidi="ar-SA"/>
    </w:rPr>
  </w:style>
  <w:style w:type="paragraph" w:customStyle="1" w:styleId="90">
    <w:name w:val="UserStyle_33"/>
    <w:qFormat/>
    <w:uiPriority w:val="0"/>
    <w:pPr>
      <w:textAlignment w:val="baseline"/>
    </w:pPr>
    <w:rPr>
      <w:rFonts w:ascii="黑体" w:hAnsi="黑体" w:eastAsia="黑体" w:cstheme="minorBidi"/>
      <w:b/>
      <w:sz w:val="32"/>
      <w:szCs w:val="24"/>
      <w:lang w:val="en-US" w:eastAsia="zh-CN" w:bidi="ar-SA"/>
    </w:rPr>
  </w:style>
  <w:style w:type="paragraph" w:customStyle="1" w:styleId="91">
    <w:name w:val="UserStyle_34"/>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2">
    <w:name w:val="UserStyle_35"/>
    <w:basedOn w:val="91"/>
    <w:link w:val="93"/>
    <w:qFormat/>
    <w:uiPriority w:val="0"/>
    <w:pPr>
      <w:spacing w:line="500" w:lineRule="exact"/>
      <w:ind w:left="1588" w:leftChars="832" w:firstLine="433" w:firstLineChars="196"/>
    </w:pPr>
    <w:rPr>
      <w:kern w:val="0"/>
      <w:sz w:val="24"/>
    </w:rPr>
  </w:style>
  <w:style w:type="character" w:customStyle="1" w:styleId="93">
    <w:name w:val="UserStyle_36"/>
    <w:link w:val="92"/>
    <w:qFormat/>
    <w:uiPriority w:val="0"/>
    <w:rPr>
      <w:rFonts w:ascii="Times New Roman" w:hAnsi="Times New Roman" w:eastAsia="宋体"/>
      <w:sz w:val="24"/>
      <w:szCs w:val="24"/>
    </w:rPr>
  </w:style>
  <w:style w:type="paragraph" w:customStyle="1" w:styleId="94">
    <w:name w:val="UserStyle_37"/>
    <w:qFormat/>
    <w:uiPriority w:val="0"/>
    <w:pPr>
      <w:textAlignment w:val="baseline"/>
    </w:pPr>
    <w:rPr>
      <w:rFonts w:ascii="黑体" w:hAnsi="黑体" w:eastAsia="黑体" w:cstheme="minorBidi"/>
      <w:b/>
      <w:sz w:val="32"/>
      <w:szCs w:val="24"/>
      <w:lang w:val="en-US" w:eastAsia="zh-CN" w:bidi="ar-SA"/>
    </w:rPr>
  </w:style>
  <w:style w:type="paragraph" w:customStyle="1" w:styleId="95">
    <w:name w:val="UserStyle_38"/>
    <w:qFormat/>
    <w:uiPriority w:val="0"/>
    <w:pPr>
      <w:textAlignment w:val="baseline"/>
    </w:pPr>
    <w:rPr>
      <w:rFonts w:ascii="黑体" w:hAnsi="黑体" w:eastAsia="黑体" w:cstheme="minorBidi"/>
      <w:b/>
      <w:sz w:val="32"/>
      <w:szCs w:val="24"/>
      <w:lang w:val="en-US" w:eastAsia="zh-CN" w:bidi="ar-SA"/>
    </w:rPr>
  </w:style>
  <w:style w:type="paragraph" w:customStyle="1" w:styleId="96">
    <w:name w:val="UserStyle_39"/>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97">
    <w:name w:val="UserStyle_40"/>
    <w:qFormat/>
    <w:uiPriority w:val="0"/>
    <w:pPr>
      <w:textAlignment w:val="baseline"/>
    </w:pPr>
    <w:rPr>
      <w:rFonts w:ascii="黑体" w:hAnsi="黑体" w:eastAsia="黑体" w:cstheme="minorBidi"/>
      <w:b/>
      <w:sz w:val="32"/>
      <w:szCs w:val="24"/>
      <w:lang w:val="en-US" w:eastAsia="zh-CN" w:bidi="ar-SA"/>
    </w:rPr>
  </w:style>
  <w:style w:type="paragraph" w:customStyle="1" w:styleId="98">
    <w:name w:val="UserStyle_4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9">
    <w:name w:val="UserStyle_42"/>
    <w:basedOn w:val="100"/>
    <w:next w:val="100"/>
    <w:link w:val="101"/>
    <w:qFormat/>
    <w:uiPriority w:val="0"/>
    <w:pPr>
      <w:spacing w:line="500" w:lineRule="exact"/>
      <w:jc w:val="center"/>
    </w:pPr>
    <w:rPr>
      <w:rFonts w:ascii="宋体" w:hAnsi="宋体"/>
      <w:b/>
      <w:kern w:val="0"/>
      <w:szCs w:val="28"/>
    </w:rPr>
  </w:style>
  <w:style w:type="paragraph" w:customStyle="1" w:styleId="100">
    <w:name w:val="UserStyle_43"/>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101">
    <w:name w:val="UserStyle_44"/>
    <w:link w:val="99"/>
    <w:qFormat/>
    <w:uiPriority w:val="0"/>
    <w:rPr>
      <w:rFonts w:ascii="宋体" w:hAnsi="宋体" w:eastAsia="宋体"/>
      <w:b/>
      <w:sz w:val="28"/>
      <w:szCs w:val="28"/>
    </w:rPr>
  </w:style>
  <w:style w:type="paragraph" w:customStyle="1" w:styleId="102">
    <w:name w:val="UserStyle_45"/>
    <w:basedOn w:val="98"/>
    <w:link w:val="103"/>
    <w:qFormat/>
    <w:uiPriority w:val="0"/>
    <w:pPr>
      <w:spacing w:after="120"/>
    </w:pPr>
    <w:rPr>
      <w:kern w:val="0"/>
      <w:sz w:val="20"/>
    </w:rPr>
  </w:style>
  <w:style w:type="character" w:customStyle="1" w:styleId="103">
    <w:name w:val="UserStyle_46"/>
    <w:link w:val="102"/>
    <w:qFormat/>
    <w:uiPriority w:val="0"/>
    <w:rPr>
      <w:rFonts w:ascii="Times New Roman" w:hAnsi="Times New Roman" w:eastAsia="宋体"/>
      <w:szCs w:val="24"/>
    </w:rPr>
  </w:style>
  <w:style w:type="paragraph" w:customStyle="1" w:styleId="104">
    <w:name w:val="UserStyle_47"/>
    <w:qFormat/>
    <w:uiPriority w:val="0"/>
    <w:pPr>
      <w:textAlignment w:val="baseline"/>
    </w:pPr>
    <w:rPr>
      <w:rFonts w:ascii="黑体" w:hAnsi="黑体" w:eastAsia="黑体" w:cstheme="minorBidi"/>
      <w:b/>
      <w:sz w:val="32"/>
      <w:szCs w:val="24"/>
      <w:lang w:val="en-US" w:eastAsia="zh-CN" w:bidi="ar-SA"/>
    </w:rPr>
  </w:style>
  <w:style w:type="paragraph" w:customStyle="1" w:styleId="105">
    <w:name w:val="UserStyle_48"/>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06">
    <w:name w:val="UserStyle_49"/>
    <w:qFormat/>
    <w:uiPriority w:val="0"/>
    <w:pPr>
      <w:textAlignment w:val="baseline"/>
    </w:pPr>
    <w:rPr>
      <w:rFonts w:ascii="黑体" w:hAnsi="黑体" w:eastAsia="黑体" w:cstheme="minorBidi"/>
      <w:b/>
      <w:sz w:val="32"/>
      <w:szCs w:val="24"/>
      <w:lang w:val="en-US" w:eastAsia="zh-CN" w:bidi="ar-SA"/>
    </w:rPr>
  </w:style>
  <w:style w:type="paragraph" w:customStyle="1" w:styleId="107">
    <w:name w:val="UserStyle_5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08">
    <w:name w:val="UserStyle_51"/>
    <w:qFormat/>
    <w:uiPriority w:val="0"/>
    <w:pPr>
      <w:jc w:val="both"/>
      <w:textAlignment w:val="baseline"/>
    </w:pPr>
    <w:rPr>
      <w:rFonts w:ascii="Calibri" w:hAnsi="Calibri" w:eastAsia="宋体" w:cstheme="minorBidi"/>
      <w:kern w:val="2"/>
      <w:sz w:val="28"/>
      <w:szCs w:val="22"/>
      <w:lang w:val="en-US" w:eastAsia="zh-CN" w:bidi="ar-SA"/>
    </w:rPr>
  </w:style>
  <w:style w:type="paragraph" w:customStyle="1" w:styleId="109">
    <w:name w:val="UserStyle_52"/>
    <w:qFormat/>
    <w:uiPriority w:val="0"/>
    <w:pPr>
      <w:textAlignment w:val="baseline"/>
    </w:pPr>
    <w:rPr>
      <w:rFonts w:ascii="黑体" w:hAnsi="黑体" w:eastAsia="黑体" w:cstheme="minorBidi"/>
      <w:b/>
      <w:sz w:val="32"/>
      <w:szCs w:val="24"/>
      <w:lang w:val="en-US" w:eastAsia="zh-CN" w:bidi="ar-SA"/>
    </w:rPr>
  </w:style>
  <w:style w:type="paragraph" w:customStyle="1" w:styleId="110">
    <w:name w:val="UserStyle_5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1">
    <w:name w:val="UserStyle_54"/>
    <w:basedOn w:val="110"/>
    <w:link w:val="112"/>
    <w:qFormat/>
    <w:uiPriority w:val="0"/>
    <w:pPr>
      <w:spacing w:line="500" w:lineRule="exact"/>
      <w:ind w:left="1588" w:leftChars="832" w:firstLine="433" w:firstLineChars="196"/>
    </w:pPr>
    <w:rPr>
      <w:kern w:val="0"/>
      <w:sz w:val="24"/>
    </w:rPr>
  </w:style>
  <w:style w:type="character" w:customStyle="1" w:styleId="112">
    <w:name w:val="UserStyle_55"/>
    <w:link w:val="111"/>
    <w:qFormat/>
    <w:uiPriority w:val="0"/>
    <w:rPr>
      <w:rFonts w:ascii="Times New Roman" w:hAnsi="Times New Roman" w:eastAsia="宋体"/>
      <w:sz w:val="24"/>
      <w:szCs w:val="24"/>
    </w:rPr>
  </w:style>
  <w:style w:type="paragraph" w:customStyle="1" w:styleId="113">
    <w:name w:val="UserStyle_56"/>
    <w:basedOn w:val="110"/>
    <w:link w:val="114"/>
    <w:qFormat/>
    <w:uiPriority w:val="0"/>
    <w:pPr>
      <w:spacing w:after="120"/>
    </w:pPr>
    <w:rPr>
      <w:kern w:val="0"/>
      <w:sz w:val="20"/>
    </w:rPr>
  </w:style>
  <w:style w:type="character" w:customStyle="1" w:styleId="114">
    <w:name w:val="UserStyle_57"/>
    <w:link w:val="113"/>
    <w:qFormat/>
    <w:uiPriority w:val="0"/>
    <w:rPr>
      <w:rFonts w:ascii="Times New Roman" w:hAnsi="Times New Roman" w:eastAsia="宋体"/>
      <w:szCs w:val="24"/>
    </w:rPr>
  </w:style>
  <w:style w:type="paragraph" w:customStyle="1" w:styleId="115">
    <w:name w:val="UserStyle_58"/>
    <w:qFormat/>
    <w:uiPriority w:val="0"/>
    <w:pPr>
      <w:textAlignment w:val="baseline"/>
    </w:pPr>
    <w:rPr>
      <w:rFonts w:ascii="黑体" w:hAnsi="黑体" w:eastAsia="黑体" w:cstheme="minorBidi"/>
      <w:b/>
      <w:sz w:val="32"/>
      <w:szCs w:val="24"/>
      <w:lang w:val="en-US" w:eastAsia="zh-CN" w:bidi="ar-SA"/>
    </w:rPr>
  </w:style>
  <w:style w:type="paragraph" w:customStyle="1" w:styleId="116">
    <w:name w:val="UserStyle_5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7">
    <w:name w:val="UserStyle_60"/>
    <w:basedOn w:val="118"/>
    <w:next w:val="118"/>
    <w:link w:val="119"/>
    <w:qFormat/>
    <w:uiPriority w:val="0"/>
    <w:pPr>
      <w:spacing w:line="500" w:lineRule="exact"/>
      <w:jc w:val="center"/>
    </w:pPr>
    <w:rPr>
      <w:rFonts w:ascii="宋体" w:hAnsi="宋体"/>
      <w:b/>
      <w:kern w:val="0"/>
      <w:szCs w:val="28"/>
    </w:rPr>
  </w:style>
  <w:style w:type="paragraph" w:customStyle="1" w:styleId="118">
    <w:name w:val="UserStyle_61"/>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119">
    <w:name w:val="UserStyle_62"/>
    <w:link w:val="117"/>
    <w:qFormat/>
    <w:uiPriority w:val="0"/>
    <w:rPr>
      <w:rFonts w:ascii="宋体" w:hAnsi="宋体" w:eastAsia="宋体"/>
      <w:b/>
      <w:sz w:val="28"/>
      <w:szCs w:val="28"/>
    </w:rPr>
  </w:style>
  <w:style w:type="paragraph" w:customStyle="1" w:styleId="120">
    <w:name w:val="UserStyle_63"/>
    <w:qFormat/>
    <w:uiPriority w:val="0"/>
    <w:pPr>
      <w:textAlignment w:val="baseline"/>
    </w:pPr>
    <w:rPr>
      <w:rFonts w:ascii="黑体" w:hAnsi="黑体" w:eastAsia="黑体" w:cstheme="minorBidi"/>
      <w:b/>
      <w:sz w:val="32"/>
      <w:szCs w:val="24"/>
      <w:lang w:val="en-US" w:eastAsia="zh-CN" w:bidi="ar-SA"/>
    </w:rPr>
  </w:style>
  <w:style w:type="paragraph" w:customStyle="1" w:styleId="121">
    <w:name w:val="UserStyle_64"/>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2">
    <w:name w:val="UserStyle_65"/>
    <w:qFormat/>
    <w:uiPriority w:val="0"/>
    <w:pPr>
      <w:textAlignment w:val="baseline"/>
    </w:pPr>
    <w:rPr>
      <w:rFonts w:ascii="黑体" w:hAnsi="黑体" w:eastAsia="黑体" w:cstheme="minorBidi"/>
      <w:b/>
      <w:sz w:val="32"/>
      <w:szCs w:val="24"/>
      <w:lang w:val="en-US" w:eastAsia="zh-CN" w:bidi="ar-SA"/>
    </w:rPr>
  </w:style>
  <w:style w:type="paragraph" w:customStyle="1" w:styleId="123">
    <w:name w:val="UserStyle_66"/>
    <w:basedOn w:val="124"/>
    <w:qFormat/>
    <w:uiPriority w:val="0"/>
  </w:style>
  <w:style w:type="paragraph" w:customStyle="1" w:styleId="124">
    <w:name w:val="UserStyle_67"/>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5">
    <w:name w:val="UserStyle_68"/>
    <w:basedOn w:val="123"/>
    <w:next w:val="123"/>
    <w:link w:val="126"/>
    <w:qFormat/>
    <w:uiPriority w:val="0"/>
    <w:pPr>
      <w:keepNext/>
      <w:keepLines/>
      <w:spacing w:before="340" w:after="330" w:line="578" w:lineRule="atLeast"/>
      <w:ind w:firstLine="288"/>
      <w:jc w:val="left"/>
    </w:pPr>
    <w:rPr>
      <w:rFonts w:ascii="Times New Roman" w:hAnsi="Times New Roman" w:cs="Times New Roman"/>
      <w:b/>
      <w:bCs/>
      <w:kern w:val="44"/>
      <w:sz w:val="44"/>
      <w:szCs w:val="44"/>
    </w:rPr>
  </w:style>
  <w:style w:type="character" w:customStyle="1" w:styleId="126">
    <w:name w:val="UserStyle_69"/>
    <w:link w:val="125"/>
    <w:qFormat/>
    <w:uiPriority w:val="0"/>
    <w:rPr>
      <w:rFonts w:ascii="Times New Roman" w:hAnsi="Times New Roman" w:cs="Times New Roman"/>
      <w:b/>
      <w:bCs/>
      <w:kern w:val="44"/>
      <w:sz w:val="44"/>
      <w:szCs w:val="44"/>
    </w:rPr>
  </w:style>
  <w:style w:type="paragraph" w:customStyle="1" w:styleId="127">
    <w:name w:val="UserStyle_70"/>
    <w:basedOn w:val="123"/>
    <w:link w:val="128"/>
    <w:qFormat/>
    <w:uiPriority w:val="0"/>
    <w:rPr>
      <w:rFonts w:ascii="宋体" w:hAnsi="Courier New"/>
      <w:szCs w:val="21"/>
    </w:rPr>
  </w:style>
  <w:style w:type="character" w:customStyle="1" w:styleId="128">
    <w:name w:val="UserStyle_71"/>
    <w:link w:val="127"/>
    <w:qFormat/>
    <w:uiPriority w:val="0"/>
    <w:rPr>
      <w:rFonts w:ascii="宋体" w:hAnsi="Courier New"/>
      <w:kern w:val="2"/>
      <w:sz w:val="21"/>
      <w:szCs w:val="21"/>
    </w:rPr>
  </w:style>
  <w:style w:type="paragraph" w:customStyle="1" w:styleId="129">
    <w:name w:val="UserStyle_72"/>
    <w:qFormat/>
    <w:uiPriority w:val="0"/>
    <w:pPr>
      <w:textAlignment w:val="baseline"/>
    </w:pPr>
    <w:rPr>
      <w:rFonts w:ascii="黑体" w:hAnsi="黑体" w:eastAsia="黑体" w:cstheme="minorBidi"/>
      <w:b/>
      <w:sz w:val="32"/>
      <w:szCs w:val="24"/>
      <w:lang w:val="en-US" w:eastAsia="zh-CN" w:bidi="ar-SA"/>
    </w:rPr>
  </w:style>
  <w:style w:type="paragraph" w:customStyle="1" w:styleId="130">
    <w:name w:val="UserStyle_73"/>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31">
    <w:name w:val="UserStyle_74"/>
    <w:qFormat/>
    <w:uiPriority w:val="0"/>
    <w:pPr>
      <w:textAlignment w:val="baseline"/>
    </w:pPr>
    <w:rPr>
      <w:rFonts w:ascii="黑体" w:hAnsi="黑体" w:eastAsia="黑体" w:cstheme="minorBidi"/>
      <w:b/>
      <w:sz w:val="32"/>
      <w:szCs w:val="24"/>
      <w:lang w:val="en-US" w:eastAsia="zh-CN" w:bidi="ar-SA"/>
    </w:rPr>
  </w:style>
  <w:style w:type="paragraph" w:customStyle="1" w:styleId="132">
    <w:name w:val="UserStyle_75"/>
    <w:qFormat/>
    <w:uiPriority w:val="0"/>
    <w:pPr>
      <w:textAlignment w:val="baseline"/>
    </w:pPr>
    <w:rPr>
      <w:rFonts w:ascii="黑体" w:hAnsi="黑体" w:eastAsia="黑体" w:cstheme="minorBidi"/>
      <w:b/>
      <w:sz w:val="32"/>
      <w:szCs w:val="24"/>
      <w:lang w:val="en-US" w:eastAsia="zh-CN" w:bidi="ar-SA"/>
    </w:rPr>
  </w:style>
  <w:style w:type="paragraph" w:customStyle="1" w:styleId="133">
    <w:name w:val="UserStyle_76"/>
    <w:basedOn w:val="134"/>
    <w:next w:val="134"/>
    <w:link w:val="135"/>
    <w:qFormat/>
    <w:uiPriority w:val="0"/>
    <w:pPr>
      <w:ind w:left="100" w:leftChars="2500"/>
    </w:pPr>
    <w:rPr>
      <w:kern w:val="0"/>
      <w:sz w:val="20"/>
    </w:rPr>
  </w:style>
  <w:style w:type="paragraph" w:customStyle="1" w:styleId="134">
    <w:name w:val="UserStyle_77"/>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135">
    <w:name w:val="UserStyle_78"/>
    <w:link w:val="133"/>
    <w:qFormat/>
    <w:uiPriority w:val="0"/>
    <w:rPr>
      <w:rFonts w:ascii="Times New Roman" w:hAnsi="Times New Roman" w:eastAsia="宋体"/>
      <w:szCs w:val="24"/>
    </w:rPr>
  </w:style>
  <w:style w:type="paragraph" w:customStyle="1" w:styleId="136">
    <w:name w:val="UserStyle_79"/>
    <w:basedOn w:val="134"/>
    <w:link w:val="137"/>
    <w:qFormat/>
    <w:uiPriority w:val="0"/>
    <w:pPr>
      <w:spacing w:after="120"/>
    </w:pPr>
    <w:rPr>
      <w:kern w:val="0"/>
      <w:sz w:val="20"/>
    </w:rPr>
  </w:style>
  <w:style w:type="character" w:customStyle="1" w:styleId="137">
    <w:name w:val="UserStyle_80"/>
    <w:link w:val="136"/>
    <w:qFormat/>
    <w:uiPriority w:val="0"/>
    <w:rPr>
      <w:rFonts w:ascii="Times New Roman" w:hAnsi="Times New Roman" w:eastAsia="宋体"/>
      <w:szCs w:val="24"/>
    </w:rPr>
  </w:style>
  <w:style w:type="paragraph" w:customStyle="1" w:styleId="138">
    <w:name w:val="UserStyle_81"/>
    <w:qFormat/>
    <w:uiPriority w:val="0"/>
    <w:pPr>
      <w:textAlignment w:val="baseline"/>
    </w:pPr>
    <w:rPr>
      <w:rFonts w:ascii="黑体" w:hAnsi="黑体" w:eastAsia="黑体" w:cstheme="minorBidi"/>
      <w:b/>
      <w:sz w:val="32"/>
      <w:szCs w:val="24"/>
      <w:lang w:val="en-US" w:eastAsia="zh-CN" w:bidi="ar-SA"/>
    </w:rPr>
  </w:style>
  <w:style w:type="paragraph" w:customStyle="1" w:styleId="139">
    <w:name w:val="UserStyle_8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40">
    <w:name w:val="UserStyle_83"/>
    <w:basedOn w:val="139"/>
    <w:link w:val="141"/>
    <w:qFormat/>
    <w:uiPriority w:val="0"/>
    <w:pPr>
      <w:spacing w:after="120"/>
    </w:pPr>
    <w:rPr>
      <w:kern w:val="0"/>
      <w:sz w:val="20"/>
    </w:rPr>
  </w:style>
  <w:style w:type="character" w:customStyle="1" w:styleId="141">
    <w:name w:val="UserStyle_84"/>
    <w:link w:val="140"/>
    <w:qFormat/>
    <w:uiPriority w:val="0"/>
    <w:rPr>
      <w:rFonts w:ascii="Times New Roman" w:hAnsi="Times New Roman" w:eastAsia="宋体"/>
      <w:szCs w:val="24"/>
    </w:rPr>
  </w:style>
  <w:style w:type="paragraph" w:customStyle="1" w:styleId="142">
    <w:name w:val="UserStyle_85"/>
    <w:basedOn w:val="139"/>
    <w:link w:val="143"/>
    <w:qFormat/>
    <w:uiPriority w:val="0"/>
    <w:pPr>
      <w:spacing w:line="500" w:lineRule="exact"/>
      <w:ind w:left="1588" w:leftChars="832" w:firstLine="433" w:firstLineChars="196"/>
    </w:pPr>
    <w:rPr>
      <w:kern w:val="0"/>
      <w:sz w:val="24"/>
    </w:rPr>
  </w:style>
  <w:style w:type="character" w:customStyle="1" w:styleId="143">
    <w:name w:val="UserStyle_86"/>
    <w:link w:val="142"/>
    <w:qFormat/>
    <w:uiPriority w:val="0"/>
    <w:rPr>
      <w:rFonts w:ascii="Times New Roman" w:hAnsi="Times New Roman" w:eastAsia="宋体"/>
      <w:sz w:val="24"/>
      <w:szCs w:val="24"/>
    </w:rPr>
  </w:style>
  <w:style w:type="paragraph" w:customStyle="1" w:styleId="144">
    <w:name w:val="UserStyle_87"/>
    <w:qFormat/>
    <w:uiPriority w:val="0"/>
    <w:pPr>
      <w:textAlignment w:val="baseline"/>
    </w:pPr>
    <w:rPr>
      <w:rFonts w:ascii="黑体" w:hAnsi="黑体" w:eastAsia="黑体" w:cstheme="minorBidi"/>
      <w:b/>
      <w:sz w:val="32"/>
      <w:szCs w:val="24"/>
      <w:lang w:val="en-US" w:eastAsia="zh-CN" w:bidi="ar-SA"/>
    </w:rPr>
  </w:style>
  <w:style w:type="paragraph" w:customStyle="1" w:styleId="145">
    <w:name w:val="UserStyle_88"/>
    <w:basedOn w:val="146"/>
    <w:link w:val="147"/>
    <w:qFormat/>
    <w:uiPriority w:val="0"/>
    <w:pPr>
      <w:spacing w:line="500" w:lineRule="exact"/>
      <w:ind w:left="1588" w:leftChars="832" w:firstLine="433" w:firstLineChars="196"/>
    </w:pPr>
    <w:rPr>
      <w:kern w:val="0"/>
      <w:sz w:val="24"/>
    </w:rPr>
  </w:style>
  <w:style w:type="paragraph" w:customStyle="1" w:styleId="146">
    <w:name w:val="UserStyle_89"/>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147">
    <w:name w:val="UserStyle_90"/>
    <w:link w:val="145"/>
    <w:qFormat/>
    <w:uiPriority w:val="0"/>
    <w:rPr>
      <w:rFonts w:ascii="Times New Roman" w:hAnsi="Times New Roman" w:eastAsia="宋体"/>
      <w:sz w:val="24"/>
      <w:szCs w:val="24"/>
    </w:rPr>
  </w:style>
  <w:style w:type="paragraph" w:customStyle="1" w:styleId="148">
    <w:name w:val="UserStyle_91"/>
    <w:qFormat/>
    <w:uiPriority w:val="0"/>
    <w:pPr>
      <w:textAlignment w:val="baseline"/>
    </w:pPr>
    <w:rPr>
      <w:rFonts w:ascii="黑体" w:hAnsi="黑体" w:eastAsia="黑体" w:cstheme="minorBidi"/>
      <w:b/>
      <w:sz w:val="32"/>
      <w:szCs w:val="24"/>
      <w:lang w:val="en-US" w:eastAsia="zh-CN" w:bidi="ar-SA"/>
    </w:rPr>
  </w:style>
  <w:style w:type="paragraph" w:customStyle="1" w:styleId="149">
    <w:name w:val="UserStyle_92"/>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50">
    <w:name w:val="UserStyle_93"/>
    <w:qFormat/>
    <w:uiPriority w:val="0"/>
    <w:pPr>
      <w:textAlignment w:val="baseline"/>
    </w:pPr>
    <w:rPr>
      <w:rFonts w:ascii="黑体" w:hAnsi="黑体" w:eastAsia="黑体" w:cstheme="minorBidi"/>
      <w:b/>
      <w:sz w:val="32"/>
      <w:szCs w:val="24"/>
      <w:lang w:val="en-US" w:eastAsia="zh-CN" w:bidi="ar-SA"/>
    </w:rPr>
  </w:style>
  <w:style w:type="paragraph" w:customStyle="1" w:styleId="151">
    <w:name w:val="UserStyle_94"/>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52">
    <w:name w:val="UserStyle_95"/>
    <w:qFormat/>
    <w:uiPriority w:val="0"/>
    <w:pPr>
      <w:textAlignment w:val="baseline"/>
    </w:pPr>
    <w:rPr>
      <w:rFonts w:ascii="黑体" w:hAnsi="黑体" w:eastAsia="黑体" w:cstheme="minorBidi"/>
      <w:b/>
      <w:sz w:val="32"/>
      <w:szCs w:val="24"/>
      <w:lang w:val="en-US" w:eastAsia="zh-CN" w:bidi="ar-SA"/>
    </w:rPr>
  </w:style>
  <w:style w:type="paragraph" w:customStyle="1" w:styleId="153">
    <w:name w:val="UserStyle_9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54">
    <w:name w:val="UserStyle_97"/>
    <w:basedOn w:val="153"/>
    <w:link w:val="155"/>
    <w:qFormat/>
    <w:uiPriority w:val="0"/>
    <w:pPr>
      <w:spacing w:line="500" w:lineRule="exact"/>
      <w:ind w:left="1588" w:leftChars="832" w:firstLine="433" w:firstLineChars="196"/>
    </w:pPr>
    <w:rPr>
      <w:kern w:val="0"/>
      <w:sz w:val="24"/>
    </w:rPr>
  </w:style>
  <w:style w:type="character" w:customStyle="1" w:styleId="155">
    <w:name w:val="UserStyle_98"/>
    <w:link w:val="154"/>
    <w:qFormat/>
    <w:uiPriority w:val="0"/>
    <w:rPr>
      <w:rFonts w:ascii="Times New Roman" w:hAnsi="Times New Roman" w:eastAsia="宋体"/>
      <w:sz w:val="24"/>
      <w:szCs w:val="24"/>
    </w:rPr>
  </w:style>
  <w:style w:type="paragraph" w:customStyle="1" w:styleId="156">
    <w:name w:val="UserStyle_99"/>
    <w:qFormat/>
    <w:uiPriority w:val="0"/>
    <w:pPr>
      <w:textAlignment w:val="baseline"/>
    </w:pPr>
    <w:rPr>
      <w:rFonts w:ascii="黑体" w:hAnsi="黑体" w:eastAsia="黑体" w:cstheme="minorBidi"/>
      <w:b/>
      <w:sz w:val="32"/>
      <w:szCs w:val="24"/>
      <w:lang w:val="en-US" w:eastAsia="zh-CN" w:bidi="ar-SA"/>
    </w:rPr>
  </w:style>
  <w:style w:type="paragraph" w:customStyle="1" w:styleId="157">
    <w:name w:val="UserStyle_10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58">
    <w:name w:val="UserStyle_101"/>
    <w:qFormat/>
    <w:uiPriority w:val="0"/>
    <w:pPr>
      <w:textAlignment w:val="baseline"/>
    </w:pPr>
    <w:rPr>
      <w:rFonts w:ascii="黑体" w:hAnsi="黑体" w:eastAsia="黑体" w:cstheme="minorBidi"/>
      <w:b/>
      <w:sz w:val="32"/>
      <w:szCs w:val="24"/>
      <w:lang w:val="en-US" w:eastAsia="zh-CN" w:bidi="ar-SA"/>
    </w:rPr>
  </w:style>
  <w:style w:type="paragraph" w:customStyle="1" w:styleId="159">
    <w:name w:val="UserStyle_102"/>
    <w:qFormat/>
    <w:uiPriority w:val="0"/>
    <w:pPr>
      <w:textAlignment w:val="baseline"/>
    </w:pPr>
    <w:rPr>
      <w:rFonts w:ascii="黑体" w:hAnsi="黑体" w:eastAsia="黑体" w:cstheme="minorBidi"/>
      <w:b/>
      <w:sz w:val="32"/>
      <w:szCs w:val="24"/>
      <w:lang w:val="en-US" w:eastAsia="zh-CN" w:bidi="ar-SA"/>
    </w:rPr>
  </w:style>
  <w:style w:type="paragraph" w:customStyle="1" w:styleId="160">
    <w:name w:val="UserStyle_10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61">
    <w:name w:val="UserStyle_104"/>
    <w:basedOn w:val="160"/>
    <w:link w:val="162"/>
    <w:qFormat/>
    <w:uiPriority w:val="0"/>
    <w:pPr>
      <w:spacing w:line="500" w:lineRule="exact"/>
      <w:ind w:left="1588" w:leftChars="832" w:firstLine="433" w:firstLineChars="196"/>
    </w:pPr>
    <w:rPr>
      <w:kern w:val="0"/>
      <w:sz w:val="24"/>
    </w:rPr>
  </w:style>
  <w:style w:type="character" w:customStyle="1" w:styleId="162">
    <w:name w:val="UserStyle_105"/>
    <w:link w:val="161"/>
    <w:qFormat/>
    <w:uiPriority w:val="0"/>
    <w:rPr>
      <w:rFonts w:ascii="Times New Roman" w:hAnsi="Times New Roman" w:eastAsia="宋体"/>
      <w:sz w:val="24"/>
      <w:szCs w:val="24"/>
    </w:rPr>
  </w:style>
  <w:style w:type="paragraph" w:customStyle="1" w:styleId="163">
    <w:name w:val="UserStyle_106"/>
    <w:basedOn w:val="160"/>
    <w:next w:val="160"/>
    <w:qFormat/>
    <w:uiPriority w:val="0"/>
    <w:pPr>
      <w:spacing w:before="152" w:after="160"/>
    </w:pPr>
    <w:rPr>
      <w:rFonts w:ascii="Arial" w:hAnsi="Arial" w:eastAsia="黑体"/>
      <w:sz w:val="20"/>
      <w:szCs w:val="20"/>
    </w:rPr>
  </w:style>
  <w:style w:type="paragraph" w:customStyle="1" w:styleId="164">
    <w:name w:val="UserStyle_107"/>
    <w:qFormat/>
    <w:uiPriority w:val="0"/>
    <w:pPr>
      <w:textAlignment w:val="baseline"/>
    </w:pPr>
    <w:rPr>
      <w:rFonts w:ascii="黑体" w:hAnsi="黑体" w:eastAsia="黑体" w:cstheme="minorBidi"/>
      <w:b/>
      <w:sz w:val="32"/>
      <w:szCs w:val="24"/>
      <w:lang w:val="en-US" w:eastAsia="zh-CN" w:bidi="ar-SA"/>
    </w:rPr>
  </w:style>
  <w:style w:type="paragraph" w:customStyle="1" w:styleId="165">
    <w:name w:val="UserStyle_108"/>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66">
    <w:name w:val="UserStyle_109"/>
    <w:qFormat/>
    <w:uiPriority w:val="0"/>
    <w:pPr>
      <w:textAlignment w:val="baseline"/>
    </w:pPr>
    <w:rPr>
      <w:rFonts w:ascii="黑体" w:hAnsi="黑体" w:eastAsia="黑体" w:cstheme="minorBidi"/>
      <w:b/>
      <w:sz w:val="32"/>
      <w:szCs w:val="24"/>
      <w:lang w:val="en-US" w:eastAsia="zh-CN" w:bidi="ar-SA"/>
    </w:rPr>
  </w:style>
  <w:style w:type="paragraph" w:customStyle="1" w:styleId="167">
    <w:name w:val="UserStyle_11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68">
    <w:name w:val="UserStyle_111"/>
    <w:qFormat/>
    <w:uiPriority w:val="0"/>
    <w:pPr>
      <w:textAlignment w:val="baseline"/>
    </w:pPr>
    <w:rPr>
      <w:rFonts w:ascii="黑体" w:hAnsi="黑体" w:eastAsia="黑体" w:cstheme="minorBidi"/>
      <w:b/>
      <w:sz w:val="32"/>
      <w:szCs w:val="24"/>
      <w:lang w:val="en-US" w:eastAsia="zh-CN" w:bidi="ar-SA"/>
    </w:rPr>
  </w:style>
  <w:style w:type="paragraph" w:customStyle="1" w:styleId="169">
    <w:name w:val="UserStyle_112"/>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70">
    <w:name w:val="UserStyle_113"/>
    <w:qFormat/>
    <w:uiPriority w:val="0"/>
    <w:pPr>
      <w:textAlignment w:val="baseline"/>
    </w:pPr>
    <w:rPr>
      <w:rFonts w:ascii="黑体" w:hAnsi="黑体" w:eastAsia="黑体" w:cstheme="minorBidi"/>
      <w:b/>
      <w:sz w:val="32"/>
      <w:szCs w:val="24"/>
      <w:lang w:val="en-US" w:eastAsia="zh-CN" w:bidi="ar-SA"/>
    </w:rPr>
  </w:style>
  <w:style w:type="paragraph" w:customStyle="1" w:styleId="171">
    <w:name w:val="UserStyle_114"/>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72">
    <w:name w:val="UserStyle_115"/>
    <w:qFormat/>
    <w:uiPriority w:val="0"/>
    <w:pPr>
      <w:textAlignment w:val="baseline"/>
    </w:pPr>
    <w:rPr>
      <w:rFonts w:ascii="黑体" w:hAnsi="黑体" w:eastAsia="黑体" w:cstheme="minorBidi"/>
      <w:b/>
      <w:sz w:val="32"/>
      <w:szCs w:val="24"/>
      <w:lang w:val="en-US" w:eastAsia="zh-CN" w:bidi="ar-SA"/>
    </w:rPr>
  </w:style>
  <w:style w:type="paragraph" w:customStyle="1" w:styleId="173">
    <w:name w:val="UserStyle_116"/>
    <w:qFormat/>
    <w:uiPriority w:val="0"/>
    <w:pPr>
      <w:textAlignment w:val="baseline"/>
    </w:pPr>
    <w:rPr>
      <w:rFonts w:ascii="黑体" w:hAnsi="黑体" w:eastAsia="黑体" w:cstheme="minorBidi"/>
      <w:b/>
      <w:sz w:val="32"/>
      <w:szCs w:val="24"/>
      <w:lang w:val="en-US" w:eastAsia="zh-CN" w:bidi="ar-SA"/>
    </w:rPr>
  </w:style>
  <w:style w:type="paragraph" w:customStyle="1" w:styleId="174">
    <w:name w:val="UserStyle_11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75">
    <w:name w:val="UserStyle_118"/>
    <w:basedOn w:val="174"/>
    <w:link w:val="176"/>
    <w:qFormat/>
    <w:uiPriority w:val="0"/>
    <w:pPr>
      <w:spacing w:line="500" w:lineRule="exact"/>
      <w:ind w:left="1588" w:leftChars="832" w:firstLine="433" w:firstLineChars="196"/>
    </w:pPr>
    <w:rPr>
      <w:kern w:val="0"/>
      <w:sz w:val="24"/>
    </w:rPr>
  </w:style>
  <w:style w:type="character" w:customStyle="1" w:styleId="176">
    <w:name w:val="UserStyle_119"/>
    <w:link w:val="175"/>
    <w:qFormat/>
    <w:uiPriority w:val="0"/>
    <w:rPr>
      <w:rFonts w:ascii="Times New Roman" w:hAnsi="Times New Roman" w:eastAsia="宋体"/>
      <w:sz w:val="24"/>
      <w:szCs w:val="24"/>
    </w:rPr>
  </w:style>
  <w:style w:type="paragraph" w:customStyle="1" w:styleId="177">
    <w:name w:val="UserStyle_120"/>
    <w:basedOn w:val="174"/>
    <w:next w:val="174"/>
    <w:qFormat/>
    <w:uiPriority w:val="0"/>
    <w:pPr>
      <w:spacing w:before="152" w:after="160"/>
    </w:pPr>
    <w:rPr>
      <w:rFonts w:ascii="Arial" w:hAnsi="Arial" w:eastAsia="黑体"/>
      <w:sz w:val="20"/>
      <w:szCs w:val="20"/>
    </w:rPr>
  </w:style>
  <w:style w:type="paragraph" w:customStyle="1" w:styleId="178">
    <w:name w:val="UserStyle_121"/>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79">
    <w:name w:val="UserStyle_122"/>
    <w:basedOn w:val="124"/>
    <w:qFormat/>
    <w:uiPriority w:val="0"/>
    <w:pPr>
      <w:jc w:val="left"/>
    </w:pPr>
    <w:rPr>
      <w:rFonts w:ascii="黑体" w:hAnsi="黑体" w:eastAsia="黑体" w:cs="宋体"/>
      <w:b/>
      <w:bCs/>
      <w:kern w:val="0"/>
      <w:sz w:val="32"/>
      <w:szCs w:val="32"/>
    </w:rPr>
  </w:style>
  <w:style w:type="paragraph" w:customStyle="1" w:styleId="180">
    <w:name w:val="UserStyle_123"/>
    <w:basedOn w:val="124"/>
    <w:next w:val="181"/>
    <w:qFormat/>
    <w:uiPriority w:val="0"/>
    <w:rPr>
      <w:rFonts w:ascii="Times New Roman" w:hAnsi="Times New Roman"/>
      <w:szCs w:val="21"/>
    </w:rPr>
  </w:style>
  <w:style w:type="paragraph" w:customStyle="1" w:styleId="181">
    <w:name w:val="UserStyle_124"/>
    <w:basedOn w:val="180"/>
    <w:semiHidden/>
    <w:qFormat/>
    <w:uiPriority w:val="0"/>
    <w:pPr>
      <w:snapToGrid w:val="0"/>
      <w:jc w:val="left"/>
    </w:pPr>
    <w:rPr>
      <w:rFonts w:ascii="Calibri" w:hAnsi="Calibri"/>
      <w:sz w:val="18"/>
      <w:szCs w:val="18"/>
    </w:rPr>
  </w:style>
  <w:style w:type="paragraph" w:customStyle="1" w:styleId="182">
    <w:name w:val="UserStyle_125"/>
    <w:basedOn w:val="124"/>
    <w:qFormat/>
    <w:uiPriority w:val="0"/>
    <w:rPr>
      <w:rFonts w:ascii="Times New Roman" w:hAnsi="Times New Roman"/>
      <w:szCs w:val="21"/>
    </w:rPr>
  </w:style>
  <w:style w:type="paragraph" w:customStyle="1" w:styleId="183">
    <w:name w:val="WPSOffice手动目录 1"/>
    <w:qFormat/>
    <w:uiPriority w:val="0"/>
    <w:rPr>
      <w:rFonts w:ascii="Times New Roman" w:hAnsi="Times New Roman" w:eastAsia="宋体" w:cstheme="minorBidi"/>
      <w:lang w:val="en-US" w:eastAsia="zh-CN" w:bidi="ar-SA"/>
    </w:rPr>
  </w:style>
  <w:style w:type="paragraph" w:customStyle="1" w:styleId="18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5">
    <w:name w:val="样式 样式 样式 样式 标题 2 + 宋体 五号 非加粗 黑色 + 段前: 6 磅 段后: 0 磅 行距: 单倍行距 + 段前:..."/>
    <w:basedOn w:val="1"/>
    <w:qFormat/>
    <w:uiPriority w:val="0"/>
    <w:pPr>
      <w:keepNext/>
      <w:keepLines/>
      <w:adjustRightInd w:val="0"/>
      <w:spacing w:before="240"/>
      <w:outlineLvl w:val="1"/>
    </w:pPr>
    <w:rPr>
      <w:rFonts w:ascii="宋体" w:hAnsi="宋体"/>
      <w:b/>
      <w:bCs/>
      <w:kern w:val="0"/>
      <w:szCs w:val="20"/>
    </w:rPr>
  </w:style>
  <w:style w:type="paragraph" w:customStyle="1" w:styleId="186">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正文1"/>
    <w:next w:val="188"/>
    <w:qFormat/>
    <w:uiPriority w:val="0"/>
    <w:pPr>
      <w:widowControl w:val="0"/>
      <w:snapToGrid w:val="0"/>
      <w:spacing w:line="360" w:lineRule="auto"/>
      <w:jc w:val="both"/>
    </w:pPr>
    <w:rPr>
      <w:rFonts w:ascii="Calibri" w:hAnsi="Calibri" w:eastAsia="宋体" w:cs="Times New Roman"/>
      <w:sz w:val="24"/>
      <w:lang w:val="en-US" w:eastAsia="zh-CN" w:bidi="ar-SA"/>
    </w:rPr>
  </w:style>
  <w:style w:type="paragraph" w:customStyle="1" w:styleId="188">
    <w:name w:val="页脚1"/>
    <w:basedOn w:val="187"/>
    <w:unhideWhenUsed/>
    <w:qFormat/>
    <w:uiPriority w:val="99"/>
    <w:pPr>
      <w:tabs>
        <w:tab w:val="center" w:pos="4153"/>
        <w:tab w:val="right" w:pos="8306"/>
      </w:tabs>
      <w:jc w:val="left"/>
    </w:pPr>
    <w:rPr>
      <w:sz w:val="18"/>
      <w:szCs w:val="18"/>
    </w:rPr>
  </w:style>
  <w:style w:type="paragraph" w:customStyle="1" w:styleId="189">
    <w:name w:val="正文_1_0"/>
    <w:next w:val="1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页脚_1"/>
    <w:basedOn w:val="189"/>
    <w:unhideWhenUsed/>
    <w:qFormat/>
    <w:uiPriority w:val="99"/>
    <w:pPr>
      <w:tabs>
        <w:tab w:val="center" w:pos="4153"/>
        <w:tab w:val="right" w:pos="8306"/>
      </w:tabs>
      <w:snapToGrid w:val="0"/>
      <w:jc w:val="left"/>
    </w:pPr>
    <w:rPr>
      <w:sz w:val="18"/>
      <w:szCs w:val="18"/>
    </w:rPr>
  </w:style>
  <w:style w:type="paragraph" w:customStyle="1" w:styleId="191">
    <w:name w:val="标题 2_1"/>
    <w:basedOn w:val="192"/>
    <w:next w:val="192"/>
    <w:unhideWhenUsed/>
    <w:qFormat/>
    <w:uiPriority w:val="9"/>
    <w:pPr>
      <w:keepNext/>
      <w:keepLines/>
      <w:spacing w:before="260" w:after="260" w:line="416" w:lineRule="auto"/>
      <w:outlineLvl w:val="1"/>
    </w:pPr>
    <w:rPr>
      <w:rFonts w:ascii="Cambria" w:hAnsi="Cambria"/>
      <w:b/>
      <w:bCs/>
      <w:sz w:val="32"/>
      <w:szCs w:val="32"/>
      <w:lang w:val="zh-CN"/>
    </w:rPr>
  </w:style>
  <w:style w:type="paragraph" w:customStyle="1" w:styleId="19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标题 3_1"/>
    <w:basedOn w:val="192"/>
    <w:next w:val="192"/>
    <w:unhideWhenUsed/>
    <w:qFormat/>
    <w:uiPriority w:val="9"/>
    <w:pPr>
      <w:keepNext/>
      <w:keepLines/>
      <w:spacing w:before="260" w:after="260" w:line="412" w:lineRule="auto"/>
      <w:outlineLvl w:val="2"/>
    </w:pPr>
    <w:rPr>
      <w:b/>
      <w:sz w:val="32"/>
      <w:lang w:val="zh-CN"/>
    </w:rPr>
  </w:style>
  <w:style w:type="character" w:customStyle="1" w:styleId="194">
    <w:name w:val="normaltextrun"/>
    <w:qFormat/>
    <w:uiPriority w:val="0"/>
  </w:style>
  <w:style w:type="character" w:customStyle="1" w:styleId="195">
    <w:name w:val="eop"/>
    <w:basedOn w:val="19"/>
    <w:qFormat/>
    <w:uiPriority w:val="0"/>
  </w:style>
  <w:style w:type="paragraph" w:customStyle="1" w:styleId="196">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7">
    <w:name w:val="正文_4_0"/>
    <w:basedOn w:val="198"/>
    <w:qFormat/>
    <w:uiPriority w:val="0"/>
    <w:rPr>
      <w:szCs w:val="22"/>
    </w:rPr>
  </w:style>
  <w:style w:type="paragraph" w:customStyle="1" w:styleId="198">
    <w:name w:val="正文_3_0_0"/>
    <w:basedOn w:val="199"/>
    <w:qFormat/>
    <w:uiPriority w:val="0"/>
  </w:style>
  <w:style w:type="paragraph" w:customStyle="1" w:styleId="199">
    <w:name w:val="正文_3_0"/>
    <w:basedOn w:val="192"/>
    <w:qFormat/>
    <w:uiPriority w:val="0"/>
    <w:rPr>
      <w:rFonts w:cs="Calibri"/>
      <w:szCs w:val="21"/>
    </w:rPr>
  </w:style>
  <w:style w:type="paragraph" w:customStyle="1" w:styleId="200">
    <w:name w:val="正文_4"/>
    <w:basedOn w:val="192"/>
    <w:qFormat/>
    <w:uiPriority w:val="0"/>
  </w:style>
  <w:style w:type="paragraph" w:customStyle="1" w:styleId="201">
    <w:name w:val="Normal_0"/>
    <w:qFormat/>
    <w:uiPriority w:val="0"/>
    <w:rPr>
      <w:rFonts w:ascii="Times New Roman" w:hAnsi="Times New Roman" w:eastAsia="Times New Roman" w:cs="Times New Roman"/>
      <w:sz w:val="24"/>
      <w:szCs w:val="24"/>
      <w:lang w:val="en-US" w:eastAsia="zh-CN" w:bidi="ar-SA"/>
    </w:rPr>
  </w:style>
  <w:style w:type="paragraph" w:customStyle="1" w:styleId="202">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3">
    <w:name w:val="纯文本_0"/>
    <w:basedOn w:val="204"/>
    <w:unhideWhenUsed/>
    <w:qFormat/>
    <w:uiPriority w:val="0"/>
    <w:rPr>
      <w:rFonts w:ascii="宋体" w:hAnsi="Courier New"/>
      <w:kern w:val="0"/>
      <w:sz w:val="20"/>
      <w:szCs w:val="20"/>
      <w:lang w:val="zh-CN"/>
    </w:rPr>
  </w:style>
  <w:style w:type="paragraph" w:customStyle="1" w:styleId="204">
    <w:name w:val="正文_1"/>
    <w:basedOn w:val="205"/>
    <w:qFormat/>
    <w:uiPriority w:val="0"/>
    <w:rPr>
      <w:rFonts w:ascii="Calibri" w:hAnsi="Calibri"/>
    </w:rPr>
  </w:style>
  <w:style w:type="paragraph" w:customStyle="1" w:styleId="20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6">
    <w:name w:val="常用正文"/>
    <w:basedOn w:val="207"/>
    <w:qFormat/>
    <w:uiPriority w:val="0"/>
    <w:pPr>
      <w:snapToGrid w:val="0"/>
      <w:spacing w:line="360" w:lineRule="auto"/>
      <w:ind w:left="420" w:leftChars="200"/>
    </w:pPr>
    <w:rPr>
      <w:rFonts w:ascii="Times New Roman" w:hAnsi="Times New Roman"/>
      <w:sz w:val="24"/>
      <w:szCs w:val="20"/>
    </w:rPr>
  </w:style>
  <w:style w:type="paragraph" w:customStyle="1" w:styleId="207">
    <w:name w:val="正文_3_1"/>
    <w:basedOn w:val="208"/>
    <w:qFormat/>
    <w:uiPriority w:val="0"/>
    <w:rPr>
      <w:szCs w:val="21"/>
    </w:rPr>
  </w:style>
  <w:style w:type="paragraph" w:customStyle="1" w:styleId="20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9">
    <w:name w:val="页脚_0"/>
    <w:basedOn w:val="204"/>
    <w:unhideWhenUsed/>
    <w:qFormat/>
    <w:uiPriority w:val="99"/>
    <w:pPr>
      <w:tabs>
        <w:tab w:val="center" w:pos="4153"/>
        <w:tab w:val="right" w:pos="8306"/>
      </w:tabs>
      <w:snapToGrid w:val="0"/>
      <w:jc w:val="left"/>
    </w:pPr>
    <w:rPr>
      <w:kern w:val="0"/>
      <w:sz w:val="18"/>
      <w:szCs w:val="18"/>
      <w:lang w:val="zh-CN"/>
    </w:rPr>
  </w:style>
  <w:style w:type="paragraph" w:customStyle="1" w:styleId="210">
    <w:name w:val="Char Char Char Char Char Char"/>
    <w:basedOn w:val="209"/>
    <w:qFormat/>
    <w:uiPriority w:val="0"/>
    <w:pPr>
      <w:ind w:firstLine="200" w:firstLineChars="200"/>
    </w:pPr>
    <w:rPr>
      <w:rFonts w:ascii="微软雅黑" w:hAnsi="微软雅黑" w:eastAsia="微软雅黑"/>
      <w:spacing w:val="-20"/>
      <w:sz w:val="21"/>
      <w:szCs w:val="24"/>
    </w:rPr>
  </w:style>
  <w:style w:type="paragraph" w:customStyle="1" w:styleId="211">
    <w:name w:val="正文_14"/>
    <w:basedOn w:val="212"/>
    <w:qFormat/>
    <w:uiPriority w:val="0"/>
    <w:rPr>
      <w:szCs w:val="21"/>
    </w:rPr>
  </w:style>
  <w:style w:type="paragraph" w:customStyle="1" w:styleId="212">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正文文本缩进_4"/>
    <w:basedOn w:val="214"/>
    <w:qFormat/>
    <w:uiPriority w:val="0"/>
    <w:pPr>
      <w:spacing w:before="100" w:beforeAutospacing="1" w:after="100" w:afterAutospacing="1" w:line="500" w:lineRule="exact"/>
      <w:ind w:left="1588" w:leftChars="832" w:firstLine="433" w:firstLineChars="196"/>
    </w:pPr>
    <w:rPr>
      <w:rFonts w:ascii="Calibri" w:hAnsi="Calibri"/>
      <w:kern w:val="0"/>
      <w:sz w:val="24"/>
      <w:szCs w:val="24"/>
    </w:rPr>
  </w:style>
  <w:style w:type="paragraph" w:customStyle="1" w:styleId="214">
    <w:name w:val="正文_13_0"/>
    <w:basedOn w:val="212"/>
    <w:qFormat/>
    <w:uiPriority w:val="0"/>
    <w:rPr>
      <w:rFonts w:ascii="Times New Roman" w:hAnsi="Times New Roman"/>
      <w:szCs w:val="21"/>
    </w:rPr>
  </w:style>
  <w:style w:type="paragraph" w:customStyle="1" w:styleId="215">
    <w:name w:val="题注_0"/>
    <w:basedOn w:val="214"/>
    <w:next w:val="214"/>
    <w:qFormat/>
    <w:uiPriority w:val="0"/>
    <w:pPr>
      <w:spacing w:before="152" w:after="160"/>
    </w:pPr>
    <w:rPr>
      <w:rFonts w:ascii="Arial" w:hAnsi="Arial" w:eastAsia="黑体"/>
      <w:sz w:val="20"/>
      <w:szCs w:val="20"/>
    </w:rPr>
  </w:style>
  <w:style w:type="paragraph" w:customStyle="1" w:styleId="216">
    <w:name w:val="Normal_20"/>
    <w:basedOn w:val="212"/>
    <w:qFormat/>
    <w:uiPriority w:val="0"/>
    <w:pPr>
      <w:widowControl/>
      <w:jc w:val="left"/>
    </w:pPr>
    <w:rPr>
      <w:rFonts w:ascii="黑体" w:hAnsi="黑体" w:eastAsia="黑体"/>
      <w:b/>
      <w:bCs/>
      <w:kern w:val="0"/>
      <w:sz w:val="32"/>
      <w:szCs w:val="32"/>
    </w:rPr>
  </w:style>
  <w:style w:type="paragraph" w:customStyle="1" w:styleId="217">
    <w:name w:val="标题 3_1_0"/>
    <w:basedOn w:val="218"/>
    <w:next w:val="218"/>
    <w:qFormat/>
    <w:uiPriority w:val="0"/>
    <w:pPr>
      <w:keepNext/>
      <w:keepLines/>
      <w:spacing w:before="260" w:after="260" w:line="415" w:lineRule="auto"/>
      <w:outlineLvl w:val="2"/>
    </w:pPr>
    <w:rPr>
      <w:rFonts w:ascii="Times New Roman" w:hAnsi="Times New Roman"/>
      <w:b/>
      <w:bCs/>
      <w:sz w:val="32"/>
      <w:szCs w:val="32"/>
    </w:rPr>
  </w:style>
  <w:style w:type="paragraph" w:customStyle="1" w:styleId="218">
    <w:name w:val="正文_15"/>
    <w:basedOn w:val="212"/>
    <w:qFormat/>
    <w:uiPriority w:val="0"/>
    <w:rPr>
      <w:szCs w:val="21"/>
    </w:rPr>
  </w:style>
  <w:style w:type="paragraph" w:customStyle="1" w:styleId="219">
    <w:name w:val="正文_14_0"/>
    <w:basedOn w:val="212"/>
    <w:qFormat/>
    <w:uiPriority w:val="0"/>
    <w:rPr>
      <w:rFonts w:ascii="Times New Roman" w:hAnsi="Times New Roman"/>
      <w:szCs w:val="21"/>
    </w:rPr>
  </w:style>
  <w:style w:type="paragraph" w:customStyle="1" w:styleId="220">
    <w:name w:val="正文文本缩进_1_0_0_0"/>
    <w:basedOn w:val="221"/>
    <w:qFormat/>
    <w:uiPriority w:val="0"/>
    <w:pPr>
      <w:spacing w:before="100" w:beforeAutospacing="1" w:after="100" w:afterAutospacing="1" w:line="500" w:lineRule="exact"/>
      <w:ind w:left="1588" w:leftChars="832" w:firstLine="433" w:firstLineChars="196"/>
    </w:pPr>
    <w:rPr>
      <w:rFonts w:ascii="Calibri" w:hAnsi="Calibri"/>
      <w:kern w:val="0"/>
      <w:sz w:val="24"/>
      <w:szCs w:val="24"/>
    </w:rPr>
  </w:style>
  <w:style w:type="paragraph" w:customStyle="1" w:styleId="221">
    <w:name w:val="正文_8_0"/>
    <w:basedOn w:val="212"/>
    <w:qFormat/>
    <w:uiPriority w:val="0"/>
    <w:rPr>
      <w:rFonts w:ascii="Times New Roman" w:hAnsi="Times New Roman"/>
      <w:szCs w:val="21"/>
    </w:rPr>
  </w:style>
  <w:style w:type="paragraph" w:customStyle="1" w:styleId="222">
    <w:name w:val="Normal_22"/>
    <w:basedOn w:val="212"/>
    <w:qFormat/>
    <w:uiPriority w:val="0"/>
    <w:pPr>
      <w:widowControl/>
      <w:jc w:val="left"/>
    </w:pPr>
    <w:rPr>
      <w:rFonts w:ascii="黑体" w:hAnsi="黑体" w:eastAsia="黑体"/>
      <w:b/>
      <w:bCs/>
      <w:kern w:val="0"/>
      <w:sz w:val="32"/>
      <w:szCs w:val="32"/>
    </w:rPr>
  </w:style>
  <w:style w:type="paragraph" w:customStyle="1" w:styleId="223">
    <w:name w:val="Normal_23"/>
    <w:basedOn w:val="224"/>
    <w:qFormat/>
    <w:uiPriority w:val="0"/>
    <w:pPr>
      <w:widowControl/>
      <w:jc w:val="left"/>
    </w:pPr>
    <w:rPr>
      <w:rFonts w:ascii="黑体" w:hAnsi="黑体" w:eastAsia="黑体"/>
      <w:b/>
      <w:bCs/>
      <w:kern w:val="0"/>
      <w:sz w:val="32"/>
      <w:szCs w:val="32"/>
    </w:rPr>
  </w:style>
  <w:style w:type="paragraph" w:customStyle="1" w:styleId="224">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列表段落1"/>
    <w:basedOn w:val="1"/>
    <w:qFormat/>
    <w:uiPriority w:val="34"/>
    <w:pPr>
      <w:ind w:firstLine="420" w:firstLineChars="200"/>
    </w:pPr>
  </w:style>
  <w:style w:type="table" w:customStyle="1" w:styleId="226">
    <w:name w:val="网格型_0"/>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3"/>
    <w:basedOn w:val="1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8">
    <w:name w:val="批注框文本 字符"/>
    <w:basedOn w:val="19"/>
    <w:link w:val="10"/>
    <w:qFormat/>
    <w:uiPriority w:val="0"/>
    <w:rPr>
      <w:rFonts w:ascii="Calibri" w:hAnsi="Calibri"/>
      <w:kern w:val="2"/>
      <w:sz w:val="18"/>
      <w:szCs w:val="18"/>
    </w:rPr>
  </w:style>
  <w:style w:type="character" w:customStyle="1" w:styleId="229">
    <w:name w:val="批注文字 字符"/>
    <w:basedOn w:val="19"/>
    <w:link w:val="6"/>
    <w:qFormat/>
    <w:uiPriority w:val="0"/>
    <w:rPr>
      <w:rFonts w:ascii="Calibri" w:hAnsi="Calibri"/>
      <w:kern w:val="2"/>
      <w:sz w:val="21"/>
      <w:szCs w:val="22"/>
    </w:rPr>
  </w:style>
  <w:style w:type="character" w:customStyle="1" w:styleId="230">
    <w:name w:val="批注主题 字符"/>
    <w:basedOn w:val="229"/>
    <w:link w:val="16"/>
    <w:qFormat/>
    <w:uiPriority w:val="0"/>
    <w:rPr>
      <w:rFonts w:ascii="Calibri" w:hAnsi="Calibri"/>
      <w:b/>
      <w:bCs/>
      <w:kern w:val="2"/>
      <w:sz w:val="21"/>
      <w:szCs w:val="22"/>
    </w:rPr>
  </w:style>
  <w:style w:type="paragraph" w:customStyle="1" w:styleId="231">
    <w:name w:val="修订1"/>
    <w:hidden/>
    <w:semiHidden/>
    <w:qFormat/>
    <w:uiPriority w:val="99"/>
    <w:rPr>
      <w:rFonts w:ascii="Calibri" w:hAnsi="Calibri" w:eastAsia="宋体" w:cstheme="minorBidi"/>
      <w:kern w:val="2"/>
      <w:sz w:val="21"/>
      <w:szCs w:val="22"/>
      <w:lang w:val="en-US" w:eastAsia="zh-CN" w:bidi="ar-SA"/>
    </w:rPr>
  </w:style>
  <w:style w:type="paragraph" w:customStyle="1" w:styleId="232">
    <w:name w:val="修订2"/>
    <w:hidden/>
    <w:semiHidden/>
    <w:qFormat/>
    <w:uiPriority w:val="99"/>
    <w:rPr>
      <w:rFonts w:ascii="Calibri" w:hAnsi="Calibri" w:eastAsia="宋体" w:cstheme="minorBidi"/>
      <w:kern w:val="2"/>
      <w:sz w:val="21"/>
      <w:szCs w:val="22"/>
      <w:lang w:val="en-US" w:eastAsia="zh-CN" w:bidi="ar-SA"/>
    </w:rPr>
  </w:style>
  <w:style w:type="paragraph" w:customStyle="1" w:styleId="233">
    <w:name w:val="修订3"/>
    <w:hidden/>
    <w:semiHidden/>
    <w:qFormat/>
    <w:uiPriority w:val="99"/>
    <w:rPr>
      <w:rFonts w:ascii="Calibri" w:hAnsi="Calibri" w:eastAsia="宋体" w:cstheme="minorBidi"/>
      <w:kern w:val="2"/>
      <w:sz w:val="21"/>
      <w:szCs w:val="22"/>
      <w:lang w:val="en-US" w:eastAsia="zh-CN" w:bidi="ar-SA"/>
    </w:rPr>
  </w:style>
  <w:style w:type="paragraph" w:customStyle="1" w:styleId="234">
    <w:name w:val="修订4"/>
    <w:hidden/>
    <w:semiHidden/>
    <w:qFormat/>
    <w:uiPriority w:val="99"/>
    <w:rPr>
      <w:rFonts w:ascii="Calibri" w:hAnsi="Calibri" w:eastAsia="宋体" w:cstheme="minorBidi"/>
      <w:kern w:val="2"/>
      <w:sz w:val="21"/>
      <w:szCs w:val="22"/>
      <w:lang w:val="en-US" w:eastAsia="zh-CN" w:bidi="ar-SA"/>
    </w:rPr>
  </w:style>
  <w:style w:type="paragraph" w:customStyle="1" w:styleId="235">
    <w:name w:val="修订5"/>
    <w:hidden/>
    <w:semiHidden/>
    <w:qFormat/>
    <w:uiPriority w:val="99"/>
    <w:rPr>
      <w:rFonts w:ascii="Calibri" w:hAnsi="Calibri" w:eastAsia="宋体" w:cstheme="minorBidi"/>
      <w:kern w:val="2"/>
      <w:sz w:val="21"/>
      <w:szCs w:val="22"/>
      <w:lang w:val="en-US" w:eastAsia="zh-CN" w:bidi="ar-SA"/>
    </w:rPr>
  </w:style>
  <w:style w:type="paragraph" w:customStyle="1" w:styleId="236">
    <w:name w:val="Revision"/>
    <w:hidden/>
    <w:semiHidden/>
    <w:qFormat/>
    <w:uiPriority w:val="99"/>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256</Pages>
  <Words>124206</Words>
  <Characters>128408</Characters>
  <Lines>1003</Lines>
  <Paragraphs>282</Paragraphs>
  <TotalTime>97</TotalTime>
  <ScaleCrop>false</ScaleCrop>
  <LinksUpToDate>false</LinksUpToDate>
  <CharactersWithSpaces>130143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2022-11-12T17:10:00Z</dcterms:created>
  <dc:creator>Administrator</dc:creator>
  <cp:lastModifiedBy>喵呜~</cp:lastModifiedBy>
  <cp:lastPrinted>2022-09-07T07:03:00Z</cp:lastPrinted>
  <dcterms:modified xsi:type="dcterms:W3CDTF">2022-11-15T13:51:33Z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158782F4D4C941FF89929834974B3965</vt:lpwstr>
  </property>
</Properties>
</file>